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media/image39.jpg" ContentType="image/png"/>
  <Override PartName="/word/media/image40.jpg" ContentType="image/png"/>
  <Override PartName="/word/media/image41.jpg" ContentType="image/png"/>
  <Override PartName="/word/media/image42.jpg" ContentType="image/png"/>
  <Override PartName="/word/media/image43.jpg" ContentType="image/png"/>
  <Override PartName="/word/media/image44.jpg" ContentType="image/png"/>
  <Override PartName="/word/media/image45.jpg" ContentType="image/png"/>
  <Override PartName="/word/media/image46.jpg" ContentType="image/png"/>
  <Override PartName="/word/media/image47.jpg" ContentType="image/png"/>
  <Override PartName="/word/media/image48.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6F3CE7" w14:textId="77777777" w:rsidR="00335C78" w:rsidRPr="0030134A" w:rsidRDefault="00335C78" w:rsidP="00EE5690">
      <w:pPr>
        <w:jc w:val="left"/>
        <w:rPr>
          <w:rFonts w:cs="Arial"/>
          <w:lang w:val="el-GR"/>
        </w:rPr>
      </w:pPr>
      <w:bookmarkStart w:id="0" w:name="_Hlk90029420"/>
      <w:bookmarkEnd w:id="0"/>
    </w:p>
    <w:p w14:paraId="5E9DEA39" w14:textId="77777777" w:rsidR="0039315A" w:rsidRPr="00EE5690" w:rsidRDefault="0039315A" w:rsidP="00EE5690">
      <w:pPr>
        <w:jc w:val="left"/>
        <w:rPr>
          <w:rFonts w:cs="Arial"/>
          <w:lang w:val="en-GB"/>
        </w:rPr>
      </w:pPr>
    </w:p>
    <w:p w14:paraId="6B2F69FE" w14:textId="77777777" w:rsidR="00A822F2" w:rsidRPr="00EE5690" w:rsidRDefault="00F645AD" w:rsidP="00293100">
      <w:pPr>
        <w:jc w:val="center"/>
        <w:rPr>
          <w:rFonts w:cs="Arial"/>
          <w:lang w:val="en-GB"/>
        </w:rPr>
      </w:pPr>
      <w:r w:rsidRPr="00EE5690">
        <w:rPr>
          <w:rFonts w:cs="Arial"/>
          <w:noProof/>
          <w:lang w:val="es-ES" w:eastAsia="es-ES"/>
        </w:rPr>
        <w:drawing>
          <wp:inline distT="0" distB="0" distL="0" distR="0" wp14:anchorId="73373134" wp14:editId="2767830A">
            <wp:extent cx="1201406" cy="918294"/>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Stratos\Desktop\IASON_LOGO_TRANSPARENT_BLACK.pn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11367" cy="925908"/>
                    </a:xfrm>
                    <a:prstGeom prst="rect">
                      <a:avLst/>
                    </a:prstGeom>
                    <a:noFill/>
                  </pic:spPr>
                </pic:pic>
              </a:graphicData>
            </a:graphic>
          </wp:inline>
        </w:drawing>
      </w:r>
    </w:p>
    <w:p w14:paraId="0BDC73C5" w14:textId="77777777" w:rsidR="0039315A" w:rsidRPr="00EE5690" w:rsidRDefault="0039315A" w:rsidP="00EE5690">
      <w:pPr>
        <w:jc w:val="left"/>
        <w:rPr>
          <w:rFonts w:cs="Arial"/>
          <w:lang w:val="en-GB"/>
        </w:rPr>
      </w:pPr>
    </w:p>
    <w:p w14:paraId="235205AA" w14:textId="77777777" w:rsidR="00D21C20" w:rsidRPr="00EE5690" w:rsidRDefault="00D21C20" w:rsidP="00EE5690">
      <w:pPr>
        <w:jc w:val="left"/>
        <w:rPr>
          <w:rFonts w:cs="Arial"/>
          <w:lang w:val="en-GB"/>
        </w:rPr>
      </w:pPr>
    </w:p>
    <w:tbl>
      <w:tblPr>
        <w:tblW w:w="0" w:type="auto"/>
        <w:tblInd w:w="108" w:type="dxa"/>
        <w:tblLook w:val="04A0" w:firstRow="1" w:lastRow="0" w:firstColumn="1" w:lastColumn="0" w:noHBand="0" w:noVBand="1"/>
      </w:tblPr>
      <w:tblGrid>
        <w:gridCol w:w="1272"/>
        <w:gridCol w:w="7125"/>
      </w:tblGrid>
      <w:tr w:rsidR="00B96825" w:rsidRPr="00EE5690" w14:paraId="1B3C5306" w14:textId="77777777" w:rsidTr="00FD04F7">
        <w:trPr>
          <w:trHeight w:val="567"/>
        </w:trPr>
        <w:tc>
          <w:tcPr>
            <w:tcW w:w="1276" w:type="dxa"/>
            <w:tcBorders>
              <w:bottom w:val="single" w:sz="4" w:space="0" w:color="auto"/>
            </w:tcBorders>
            <w:shd w:val="clear" w:color="auto" w:fill="auto"/>
            <w:vAlign w:val="center"/>
          </w:tcPr>
          <w:p w14:paraId="1CB00DF9" w14:textId="24CACEEE" w:rsidR="00B96825" w:rsidRPr="00293100" w:rsidRDefault="00A822F2" w:rsidP="00EE5690">
            <w:pPr>
              <w:pStyle w:val="Title"/>
              <w:spacing w:after="0"/>
              <w:rPr>
                <w:rFonts w:cs="Arial"/>
                <w:szCs w:val="40"/>
                <w:lang w:val="en-GB"/>
              </w:rPr>
            </w:pPr>
            <w:r w:rsidRPr="00293100">
              <w:rPr>
                <w:rFonts w:cs="Arial"/>
                <w:szCs w:val="40"/>
                <w:lang w:val="en-GB"/>
              </w:rPr>
              <w:t>D</w:t>
            </w:r>
            <w:r w:rsidR="00A37ACC" w:rsidRPr="00293100">
              <w:rPr>
                <w:rFonts w:cs="Arial"/>
                <w:szCs w:val="40"/>
                <w:lang w:val="en-GB"/>
              </w:rPr>
              <w:t>5</w:t>
            </w:r>
            <w:r w:rsidR="00B96825" w:rsidRPr="00293100">
              <w:rPr>
                <w:rFonts w:cs="Arial"/>
                <w:szCs w:val="40"/>
                <w:lang w:val="en-GB"/>
              </w:rPr>
              <w:t>.</w:t>
            </w:r>
            <w:r w:rsidR="00A37ACC" w:rsidRPr="00293100">
              <w:rPr>
                <w:rFonts w:cs="Arial"/>
                <w:szCs w:val="40"/>
                <w:lang w:val="en-GB"/>
              </w:rPr>
              <w:t>2</w:t>
            </w:r>
          </w:p>
        </w:tc>
        <w:tc>
          <w:tcPr>
            <w:tcW w:w="7229" w:type="dxa"/>
            <w:tcBorders>
              <w:bottom w:val="single" w:sz="4" w:space="0" w:color="auto"/>
            </w:tcBorders>
            <w:shd w:val="clear" w:color="auto" w:fill="auto"/>
            <w:vAlign w:val="center"/>
          </w:tcPr>
          <w:p w14:paraId="2914BA50" w14:textId="47D1CB6C" w:rsidR="00B96825" w:rsidRPr="00293100" w:rsidRDefault="00A37ACC" w:rsidP="00EE5690">
            <w:pPr>
              <w:pStyle w:val="Title"/>
              <w:spacing w:after="0"/>
              <w:rPr>
                <w:rFonts w:cs="Arial"/>
                <w:szCs w:val="40"/>
              </w:rPr>
            </w:pPr>
            <w:r w:rsidRPr="00293100">
              <w:rPr>
                <w:rFonts w:cs="Arial"/>
                <w:szCs w:val="40"/>
              </w:rPr>
              <w:t>Guide on the financial social and technical aspects of the sustainable development of MLs, and report on the potentialities of emerging stock exchange markets for carbon transactions and proposed policies.</w:t>
            </w:r>
          </w:p>
        </w:tc>
      </w:tr>
      <w:tr w:rsidR="00B96825" w:rsidRPr="00EE5690" w14:paraId="50BDAD2C" w14:textId="77777777" w:rsidTr="00FD04F7">
        <w:trPr>
          <w:trHeight w:val="283"/>
        </w:trPr>
        <w:tc>
          <w:tcPr>
            <w:tcW w:w="8505" w:type="dxa"/>
            <w:gridSpan w:val="2"/>
            <w:tcBorders>
              <w:top w:val="single" w:sz="4" w:space="0" w:color="auto"/>
              <w:bottom w:val="single" w:sz="4" w:space="0" w:color="auto"/>
            </w:tcBorders>
            <w:shd w:val="clear" w:color="auto" w:fill="auto"/>
            <w:vAlign w:val="center"/>
          </w:tcPr>
          <w:p w14:paraId="7449DD5A" w14:textId="77777777" w:rsidR="00B96825" w:rsidRPr="00EE5690" w:rsidRDefault="00B96825" w:rsidP="00EE5690">
            <w:pPr>
              <w:jc w:val="left"/>
              <w:rPr>
                <w:rFonts w:cs="Arial"/>
              </w:rPr>
            </w:pPr>
          </w:p>
        </w:tc>
      </w:tr>
      <w:tr w:rsidR="00A61E11" w:rsidRPr="00EE5690" w14:paraId="53C81C69" w14:textId="77777777" w:rsidTr="00FD04F7">
        <w:trPr>
          <w:trHeight w:val="283"/>
        </w:trPr>
        <w:tc>
          <w:tcPr>
            <w:tcW w:w="8505" w:type="dxa"/>
            <w:gridSpan w:val="2"/>
            <w:tcBorders>
              <w:top w:val="single" w:sz="4" w:space="0" w:color="auto"/>
            </w:tcBorders>
            <w:shd w:val="clear" w:color="auto" w:fill="auto"/>
            <w:vAlign w:val="center"/>
          </w:tcPr>
          <w:p w14:paraId="17A944FB" w14:textId="77777777" w:rsidR="0039315A" w:rsidRPr="00293100" w:rsidRDefault="000909EF" w:rsidP="00EE5690">
            <w:pPr>
              <w:pStyle w:val="Subtitle"/>
              <w:spacing w:line="240" w:lineRule="auto"/>
              <w:rPr>
                <w:rFonts w:cs="Arial"/>
                <w:szCs w:val="28"/>
                <w:lang w:val="en-GB"/>
              </w:rPr>
            </w:pPr>
            <w:r w:rsidRPr="00293100">
              <w:rPr>
                <w:rFonts w:cs="Arial"/>
                <w:b/>
                <w:szCs w:val="28"/>
                <w:lang w:val="en-GB"/>
              </w:rPr>
              <w:t>MAIL</w:t>
            </w:r>
            <w:r w:rsidRPr="00293100">
              <w:rPr>
                <w:rFonts w:cs="Arial"/>
                <w:szCs w:val="28"/>
                <w:lang w:val="en-GB"/>
              </w:rPr>
              <w:t xml:space="preserve">: </w:t>
            </w:r>
            <w:r w:rsidRPr="00293100">
              <w:rPr>
                <w:rFonts w:eastAsia="Times New Roman" w:cs="Arial"/>
                <w:i w:val="0"/>
                <w:iCs w:val="0"/>
                <w:szCs w:val="28"/>
                <w:lang w:val="en-GB"/>
              </w:rPr>
              <w:t>Identifying Marginal Lands in Europe and strengthening their contribution potentialities in a CO2 sequestration strategy</w:t>
            </w:r>
          </w:p>
        </w:tc>
      </w:tr>
    </w:tbl>
    <w:p w14:paraId="3EF6D012" w14:textId="77777777" w:rsidR="00D21C20" w:rsidRPr="00EE5690" w:rsidRDefault="00D21C20" w:rsidP="00EE5690">
      <w:pPr>
        <w:jc w:val="left"/>
        <w:rPr>
          <w:rFonts w:cs="Arial"/>
          <w:lang w:val="en-GB"/>
        </w:rPr>
      </w:pPr>
    </w:p>
    <w:p w14:paraId="53119482" w14:textId="77777777" w:rsidR="00293100" w:rsidRDefault="00293100">
      <w:pPr>
        <w:spacing w:line="300" w:lineRule="exact"/>
        <w:jc w:val="left"/>
        <w:rPr>
          <w:rFonts w:cs="Arial"/>
          <w:lang w:val="en-GB"/>
        </w:rPr>
      </w:pPr>
    </w:p>
    <w:p w14:paraId="6588444A" w14:textId="77777777" w:rsidR="00293100" w:rsidRDefault="00293100">
      <w:pPr>
        <w:spacing w:line="300" w:lineRule="exact"/>
        <w:jc w:val="left"/>
        <w:rPr>
          <w:rFonts w:cs="Arial"/>
          <w:lang w:val="en-GB"/>
        </w:rPr>
      </w:pPr>
    </w:p>
    <w:p w14:paraId="37B0B0DC" w14:textId="77777777" w:rsidR="00293100" w:rsidRPr="006A1DF9" w:rsidRDefault="00293100" w:rsidP="00293100">
      <w:pPr>
        <w:spacing w:line="240" w:lineRule="auto"/>
        <w:rPr>
          <w:rFonts w:cs="Arial"/>
          <w:sz w:val="20"/>
          <w:szCs w:val="20"/>
          <w:lang w:val="en-GB"/>
        </w:rPr>
      </w:pPr>
      <w:r w:rsidRPr="006A1DF9">
        <w:rPr>
          <w:rFonts w:cs="Arial"/>
          <w:sz w:val="20"/>
          <w:szCs w:val="20"/>
          <w:lang w:val="en-GB"/>
        </w:rPr>
        <w:t xml:space="preserve">MAIL project has received funding from the European Union’s Horizon 2020 research and innovation programme under the Marie </w:t>
      </w:r>
      <w:proofErr w:type="spellStart"/>
      <w:r w:rsidRPr="006A1DF9">
        <w:rPr>
          <w:rFonts w:cs="Arial"/>
          <w:sz w:val="20"/>
          <w:szCs w:val="20"/>
          <w:lang w:val="en-GB"/>
        </w:rPr>
        <w:t>Skłodowska</w:t>
      </w:r>
      <w:proofErr w:type="spellEnd"/>
      <w:r w:rsidRPr="006A1DF9">
        <w:rPr>
          <w:rFonts w:cs="Arial"/>
          <w:sz w:val="20"/>
          <w:szCs w:val="20"/>
          <w:lang w:val="en-GB"/>
        </w:rPr>
        <w:t xml:space="preserve">-Curie grant agreement No </w:t>
      </w:r>
      <w:proofErr w:type="gramStart"/>
      <w:r w:rsidRPr="006A1DF9">
        <w:rPr>
          <w:rFonts w:cs="Arial"/>
          <w:sz w:val="20"/>
          <w:szCs w:val="20"/>
          <w:lang w:val="en-GB"/>
        </w:rPr>
        <w:t>823805;</w:t>
      </w:r>
      <w:proofErr w:type="gramEnd"/>
      <w:r w:rsidRPr="006A1DF9">
        <w:rPr>
          <w:rFonts w:cs="Arial"/>
          <w:sz w:val="20"/>
          <w:szCs w:val="20"/>
          <w:lang w:val="en-GB"/>
        </w:rPr>
        <w:t xml:space="preserve"> [H2020 MSCA RISE 2018]</w:t>
      </w:r>
    </w:p>
    <w:p w14:paraId="4AB4B6C3" w14:textId="7B69942F" w:rsidR="00905FF7" w:rsidRDefault="00905FF7">
      <w:pPr>
        <w:spacing w:line="300" w:lineRule="exact"/>
        <w:jc w:val="left"/>
        <w:rPr>
          <w:rFonts w:cs="Arial"/>
          <w:lang w:val="en-GB"/>
        </w:rPr>
      </w:pPr>
      <w:r>
        <w:rPr>
          <w:rFonts w:cs="Arial"/>
          <w:lang w:val="en-GB"/>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8"/>
        <w:gridCol w:w="6409"/>
      </w:tblGrid>
      <w:tr w:rsidR="000909EF" w:rsidRPr="00EE5690" w14:paraId="30C9CE00" w14:textId="77777777" w:rsidTr="00523EFA">
        <w:trPr>
          <w:trHeight w:val="567"/>
        </w:trPr>
        <w:tc>
          <w:tcPr>
            <w:tcW w:w="1978" w:type="dxa"/>
            <w:shd w:val="clear" w:color="auto" w:fill="FFFF66"/>
            <w:vAlign w:val="center"/>
          </w:tcPr>
          <w:p w14:paraId="746E4892" w14:textId="77777777" w:rsidR="000909EF" w:rsidRPr="00EE5690" w:rsidRDefault="000909EF" w:rsidP="00EE5690">
            <w:pPr>
              <w:spacing w:before="0" w:after="0" w:line="240" w:lineRule="auto"/>
              <w:jc w:val="left"/>
              <w:rPr>
                <w:rFonts w:cs="Arial"/>
              </w:rPr>
            </w:pPr>
            <w:bookmarkStart w:id="1" w:name="_Toc223361308"/>
            <w:r w:rsidRPr="00EE5690">
              <w:rPr>
                <w:rFonts w:cs="Arial"/>
              </w:rPr>
              <w:lastRenderedPageBreak/>
              <w:t>Project title</w:t>
            </w:r>
          </w:p>
        </w:tc>
        <w:tc>
          <w:tcPr>
            <w:tcW w:w="6409" w:type="dxa"/>
            <w:vAlign w:val="center"/>
          </w:tcPr>
          <w:p w14:paraId="45E301D3" w14:textId="77777777" w:rsidR="000909EF" w:rsidRPr="00EE5690" w:rsidRDefault="000909EF" w:rsidP="00EE5690">
            <w:pPr>
              <w:spacing w:before="0" w:after="0" w:line="240" w:lineRule="auto"/>
              <w:jc w:val="left"/>
              <w:rPr>
                <w:rFonts w:cs="Arial"/>
              </w:rPr>
            </w:pPr>
            <w:r w:rsidRPr="00EE5690">
              <w:rPr>
                <w:rFonts w:eastAsia="Times New Roman" w:cs="Arial"/>
                <w:lang w:val="en-GB"/>
              </w:rPr>
              <w:t>Identifying Marginal Lands in Europe and strengthening their contribution potentialities in a CO2 sequestration strategy</w:t>
            </w:r>
          </w:p>
        </w:tc>
      </w:tr>
      <w:tr w:rsidR="000909EF" w:rsidRPr="00EE5690" w14:paraId="0DF382CA" w14:textId="77777777" w:rsidTr="00523EFA">
        <w:trPr>
          <w:trHeight w:val="567"/>
        </w:trPr>
        <w:tc>
          <w:tcPr>
            <w:tcW w:w="1978" w:type="dxa"/>
            <w:shd w:val="clear" w:color="auto" w:fill="FFFF66"/>
            <w:vAlign w:val="center"/>
          </w:tcPr>
          <w:p w14:paraId="48F0A161" w14:textId="77777777" w:rsidR="000909EF" w:rsidRPr="00EE5690" w:rsidRDefault="000909EF" w:rsidP="00EE5690">
            <w:pPr>
              <w:spacing w:before="0" w:after="0" w:line="240" w:lineRule="auto"/>
              <w:jc w:val="left"/>
              <w:rPr>
                <w:rFonts w:cs="Arial"/>
              </w:rPr>
            </w:pPr>
            <w:r w:rsidRPr="00EE5690">
              <w:rPr>
                <w:rFonts w:cs="Arial"/>
              </w:rPr>
              <w:t>Call identifier</w:t>
            </w:r>
          </w:p>
        </w:tc>
        <w:tc>
          <w:tcPr>
            <w:tcW w:w="6409" w:type="dxa"/>
            <w:vAlign w:val="center"/>
          </w:tcPr>
          <w:p w14:paraId="526BD5BD" w14:textId="77777777" w:rsidR="000909EF" w:rsidRPr="00EE5690" w:rsidRDefault="000909EF" w:rsidP="00EE5690">
            <w:pPr>
              <w:spacing w:before="0" w:after="0" w:line="240" w:lineRule="auto"/>
              <w:jc w:val="left"/>
              <w:rPr>
                <w:rFonts w:cs="Arial"/>
              </w:rPr>
            </w:pPr>
            <w:r w:rsidRPr="00EE5690">
              <w:rPr>
                <w:rFonts w:cs="Arial"/>
              </w:rPr>
              <w:t>H2020 MSCA RISE 2018</w:t>
            </w:r>
          </w:p>
        </w:tc>
      </w:tr>
      <w:tr w:rsidR="000909EF" w:rsidRPr="00EE5690" w14:paraId="2B5A321B" w14:textId="77777777" w:rsidTr="00523EFA">
        <w:trPr>
          <w:trHeight w:val="567"/>
        </w:trPr>
        <w:tc>
          <w:tcPr>
            <w:tcW w:w="1978" w:type="dxa"/>
            <w:shd w:val="clear" w:color="auto" w:fill="FFFF66"/>
            <w:vAlign w:val="center"/>
          </w:tcPr>
          <w:p w14:paraId="51ED2BAA" w14:textId="77777777" w:rsidR="000909EF" w:rsidRPr="00EE5690" w:rsidRDefault="000909EF" w:rsidP="00EE5690">
            <w:pPr>
              <w:spacing w:before="0" w:after="0" w:line="240" w:lineRule="auto"/>
              <w:jc w:val="left"/>
              <w:rPr>
                <w:rFonts w:cs="Arial"/>
              </w:rPr>
            </w:pPr>
            <w:r w:rsidRPr="00EE5690">
              <w:rPr>
                <w:rFonts w:cs="Arial"/>
              </w:rPr>
              <w:t>Project acronym</w:t>
            </w:r>
          </w:p>
        </w:tc>
        <w:tc>
          <w:tcPr>
            <w:tcW w:w="6409" w:type="dxa"/>
            <w:vAlign w:val="center"/>
          </w:tcPr>
          <w:p w14:paraId="12B10003" w14:textId="77777777" w:rsidR="000909EF" w:rsidRPr="00EE5690" w:rsidRDefault="000909EF" w:rsidP="00EE5690">
            <w:pPr>
              <w:spacing w:before="0" w:after="0" w:line="240" w:lineRule="auto"/>
              <w:jc w:val="left"/>
              <w:rPr>
                <w:rFonts w:cs="Arial"/>
              </w:rPr>
            </w:pPr>
            <w:r w:rsidRPr="00EE5690">
              <w:rPr>
                <w:rFonts w:cs="Arial"/>
              </w:rPr>
              <w:t>MAIL</w:t>
            </w:r>
          </w:p>
        </w:tc>
      </w:tr>
      <w:tr w:rsidR="000909EF" w:rsidRPr="00EE5690" w14:paraId="2E7C83A9" w14:textId="77777777" w:rsidTr="00523EFA">
        <w:trPr>
          <w:trHeight w:val="567"/>
        </w:trPr>
        <w:tc>
          <w:tcPr>
            <w:tcW w:w="1978" w:type="dxa"/>
            <w:shd w:val="clear" w:color="auto" w:fill="FFFF66"/>
            <w:vAlign w:val="center"/>
          </w:tcPr>
          <w:p w14:paraId="3E41066F" w14:textId="77777777" w:rsidR="000909EF" w:rsidRPr="00EE5690" w:rsidRDefault="000909EF" w:rsidP="00EE5690">
            <w:pPr>
              <w:spacing w:before="0" w:after="0" w:line="240" w:lineRule="auto"/>
              <w:jc w:val="left"/>
              <w:rPr>
                <w:rFonts w:cs="Arial"/>
              </w:rPr>
            </w:pPr>
            <w:r w:rsidRPr="00EE5690">
              <w:rPr>
                <w:rFonts w:cs="Arial"/>
              </w:rPr>
              <w:t>Starting date</w:t>
            </w:r>
          </w:p>
        </w:tc>
        <w:tc>
          <w:tcPr>
            <w:tcW w:w="6409" w:type="dxa"/>
            <w:vAlign w:val="center"/>
          </w:tcPr>
          <w:p w14:paraId="5FA094E2" w14:textId="77777777" w:rsidR="000909EF" w:rsidRPr="00EE5690" w:rsidRDefault="000909EF" w:rsidP="00EE5690">
            <w:pPr>
              <w:spacing w:before="0" w:after="0" w:line="240" w:lineRule="auto"/>
              <w:jc w:val="left"/>
              <w:rPr>
                <w:rFonts w:cs="Arial"/>
              </w:rPr>
            </w:pPr>
            <w:r w:rsidRPr="00EE5690">
              <w:rPr>
                <w:rFonts w:cs="Arial"/>
              </w:rPr>
              <w:t>01.01.2019</w:t>
            </w:r>
          </w:p>
        </w:tc>
      </w:tr>
      <w:tr w:rsidR="000909EF" w:rsidRPr="00EE5690" w14:paraId="46C73431" w14:textId="77777777" w:rsidTr="00523EFA">
        <w:trPr>
          <w:trHeight w:val="567"/>
        </w:trPr>
        <w:tc>
          <w:tcPr>
            <w:tcW w:w="1978" w:type="dxa"/>
            <w:shd w:val="clear" w:color="auto" w:fill="FFFF66"/>
            <w:vAlign w:val="center"/>
          </w:tcPr>
          <w:p w14:paraId="79D3B0E6" w14:textId="77777777" w:rsidR="000909EF" w:rsidRPr="00EE5690" w:rsidRDefault="000909EF" w:rsidP="00EE5690">
            <w:pPr>
              <w:spacing w:before="0" w:after="0" w:line="240" w:lineRule="auto"/>
              <w:jc w:val="left"/>
              <w:rPr>
                <w:rFonts w:cs="Arial"/>
              </w:rPr>
            </w:pPr>
            <w:r w:rsidRPr="00EE5690">
              <w:rPr>
                <w:rFonts w:cs="Arial"/>
              </w:rPr>
              <w:t>End date</w:t>
            </w:r>
          </w:p>
        </w:tc>
        <w:tc>
          <w:tcPr>
            <w:tcW w:w="6409" w:type="dxa"/>
            <w:vAlign w:val="center"/>
          </w:tcPr>
          <w:p w14:paraId="493664D6" w14:textId="7BFAD61C" w:rsidR="000909EF" w:rsidRPr="00EE5690" w:rsidRDefault="003B44E3" w:rsidP="00EE5690">
            <w:pPr>
              <w:spacing w:before="0" w:after="0" w:line="240" w:lineRule="auto"/>
              <w:jc w:val="left"/>
              <w:rPr>
                <w:rFonts w:cs="Arial"/>
              </w:rPr>
            </w:pPr>
            <w:r w:rsidRPr="00EE5690">
              <w:rPr>
                <w:rFonts w:cs="Arial"/>
              </w:rPr>
              <w:t>31.12</w:t>
            </w:r>
            <w:r w:rsidR="000909EF" w:rsidRPr="00EE5690">
              <w:rPr>
                <w:rFonts w:cs="Arial"/>
              </w:rPr>
              <w:t>.2021</w:t>
            </w:r>
          </w:p>
        </w:tc>
      </w:tr>
      <w:tr w:rsidR="000909EF" w:rsidRPr="00EE5690" w14:paraId="503D42B0" w14:textId="77777777" w:rsidTr="00523EFA">
        <w:trPr>
          <w:trHeight w:val="567"/>
        </w:trPr>
        <w:tc>
          <w:tcPr>
            <w:tcW w:w="1978" w:type="dxa"/>
            <w:shd w:val="clear" w:color="auto" w:fill="FFFF66"/>
            <w:vAlign w:val="center"/>
          </w:tcPr>
          <w:p w14:paraId="632A1C75" w14:textId="77777777" w:rsidR="000909EF" w:rsidRPr="00EE5690" w:rsidRDefault="000909EF" w:rsidP="00EE5690">
            <w:pPr>
              <w:spacing w:before="0" w:after="0" w:line="240" w:lineRule="auto"/>
              <w:jc w:val="left"/>
              <w:rPr>
                <w:rFonts w:cs="Arial"/>
              </w:rPr>
            </w:pPr>
            <w:r w:rsidRPr="00EE5690">
              <w:rPr>
                <w:rFonts w:cs="Arial"/>
              </w:rPr>
              <w:t>Funding scheme</w:t>
            </w:r>
          </w:p>
        </w:tc>
        <w:tc>
          <w:tcPr>
            <w:tcW w:w="6409" w:type="dxa"/>
            <w:vAlign w:val="center"/>
          </w:tcPr>
          <w:p w14:paraId="61929A7B" w14:textId="77777777" w:rsidR="000909EF" w:rsidRPr="00EE5690" w:rsidRDefault="00523EFA" w:rsidP="00EE5690">
            <w:pPr>
              <w:spacing w:before="0" w:after="0" w:line="240" w:lineRule="auto"/>
              <w:jc w:val="left"/>
              <w:rPr>
                <w:rFonts w:cs="Arial"/>
              </w:rPr>
            </w:pPr>
            <w:r w:rsidRPr="00EE5690">
              <w:rPr>
                <w:rFonts w:eastAsia="Calibri" w:cs="Arial"/>
              </w:rPr>
              <w:t xml:space="preserve">Marie </w:t>
            </w:r>
            <w:proofErr w:type="spellStart"/>
            <w:r w:rsidRPr="00EE5690">
              <w:rPr>
                <w:rFonts w:eastAsia="Calibri" w:cs="Arial"/>
              </w:rPr>
              <w:t>Skłodowska</w:t>
            </w:r>
            <w:proofErr w:type="spellEnd"/>
            <w:r w:rsidRPr="00EE5690">
              <w:rPr>
                <w:rFonts w:eastAsia="Calibri" w:cs="Arial"/>
              </w:rPr>
              <w:t>-Curie</w:t>
            </w:r>
          </w:p>
        </w:tc>
      </w:tr>
      <w:tr w:rsidR="000909EF" w:rsidRPr="00EE5690" w14:paraId="29083652" w14:textId="77777777" w:rsidTr="00523EFA">
        <w:trPr>
          <w:trHeight w:val="567"/>
        </w:trPr>
        <w:tc>
          <w:tcPr>
            <w:tcW w:w="1978" w:type="dxa"/>
            <w:shd w:val="clear" w:color="auto" w:fill="FFFF66"/>
            <w:vAlign w:val="center"/>
          </w:tcPr>
          <w:p w14:paraId="59344A41" w14:textId="77777777" w:rsidR="000909EF" w:rsidRPr="00EE5690" w:rsidRDefault="000909EF" w:rsidP="00EE5690">
            <w:pPr>
              <w:spacing w:before="0" w:after="0" w:line="240" w:lineRule="auto"/>
              <w:jc w:val="left"/>
              <w:rPr>
                <w:rFonts w:cs="Arial"/>
              </w:rPr>
            </w:pPr>
            <w:r w:rsidRPr="00EE5690">
              <w:rPr>
                <w:rFonts w:cs="Arial"/>
              </w:rPr>
              <w:t>Contract no.</w:t>
            </w:r>
          </w:p>
        </w:tc>
        <w:tc>
          <w:tcPr>
            <w:tcW w:w="6409" w:type="dxa"/>
            <w:vAlign w:val="center"/>
          </w:tcPr>
          <w:p w14:paraId="4611842B" w14:textId="77777777" w:rsidR="000909EF" w:rsidRPr="00EE5690" w:rsidRDefault="00523EFA" w:rsidP="00EE5690">
            <w:pPr>
              <w:spacing w:before="0" w:after="0" w:line="240" w:lineRule="auto"/>
              <w:jc w:val="left"/>
              <w:rPr>
                <w:rFonts w:cs="Arial"/>
              </w:rPr>
            </w:pPr>
            <w:r w:rsidRPr="00EE5690">
              <w:rPr>
                <w:rFonts w:eastAsia="Calibri" w:cs="Arial"/>
              </w:rPr>
              <w:t>823805</w:t>
            </w:r>
          </w:p>
        </w:tc>
      </w:tr>
      <w:tr w:rsidR="000909EF" w:rsidRPr="00EE5690" w14:paraId="3DA407DD" w14:textId="77777777" w:rsidTr="00523EFA">
        <w:trPr>
          <w:trHeight w:val="737"/>
        </w:trPr>
        <w:tc>
          <w:tcPr>
            <w:tcW w:w="8387" w:type="dxa"/>
            <w:gridSpan w:val="2"/>
            <w:shd w:val="clear" w:color="auto" w:fill="CC9900"/>
            <w:vAlign w:val="center"/>
          </w:tcPr>
          <w:p w14:paraId="3B18B351" w14:textId="77777777" w:rsidR="000909EF" w:rsidRPr="00EE5690" w:rsidRDefault="000909EF" w:rsidP="00EE5690">
            <w:pPr>
              <w:spacing w:before="0" w:after="0" w:line="240" w:lineRule="auto"/>
              <w:jc w:val="left"/>
              <w:rPr>
                <w:rFonts w:cs="Arial"/>
              </w:rPr>
            </w:pPr>
          </w:p>
        </w:tc>
      </w:tr>
      <w:tr w:rsidR="000909EF" w:rsidRPr="00EE5690" w14:paraId="00117AAA" w14:textId="77777777" w:rsidTr="00523EFA">
        <w:trPr>
          <w:trHeight w:val="567"/>
        </w:trPr>
        <w:tc>
          <w:tcPr>
            <w:tcW w:w="1978" w:type="dxa"/>
            <w:shd w:val="clear" w:color="auto" w:fill="FFFF66"/>
            <w:vAlign w:val="center"/>
          </w:tcPr>
          <w:p w14:paraId="58CE702B" w14:textId="77777777" w:rsidR="000909EF" w:rsidRPr="00EE5690" w:rsidRDefault="000909EF" w:rsidP="00EE5690">
            <w:pPr>
              <w:spacing w:before="0" w:after="0" w:line="240" w:lineRule="auto"/>
              <w:jc w:val="left"/>
              <w:rPr>
                <w:rFonts w:cs="Arial"/>
              </w:rPr>
            </w:pPr>
            <w:r w:rsidRPr="00EE5690">
              <w:rPr>
                <w:rFonts w:cs="Arial"/>
              </w:rPr>
              <w:t>Deliverable no.</w:t>
            </w:r>
          </w:p>
        </w:tc>
        <w:tc>
          <w:tcPr>
            <w:tcW w:w="6409" w:type="dxa"/>
            <w:vAlign w:val="center"/>
          </w:tcPr>
          <w:p w14:paraId="02B1F505" w14:textId="2C7BB87D" w:rsidR="000909EF" w:rsidRPr="00EE5690" w:rsidRDefault="000909EF" w:rsidP="00EE5690">
            <w:pPr>
              <w:spacing w:before="0" w:after="0" w:line="240" w:lineRule="auto"/>
              <w:jc w:val="left"/>
              <w:rPr>
                <w:rFonts w:cs="Arial"/>
              </w:rPr>
            </w:pPr>
            <w:r w:rsidRPr="00EE5690">
              <w:rPr>
                <w:rFonts w:cs="Arial"/>
              </w:rPr>
              <w:t>D</w:t>
            </w:r>
            <w:r w:rsidR="00A37ACC" w:rsidRPr="00EE5690">
              <w:rPr>
                <w:rFonts w:cs="Arial"/>
              </w:rPr>
              <w:t>5</w:t>
            </w:r>
            <w:r w:rsidR="0021505B" w:rsidRPr="00EE5690">
              <w:rPr>
                <w:rFonts w:cs="Arial"/>
              </w:rPr>
              <w:t>.</w:t>
            </w:r>
            <w:r w:rsidR="00A37ACC" w:rsidRPr="00EE5690">
              <w:rPr>
                <w:rFonts w:cs="Arial"/>
              </w:rPr>
              <w:t>2</w:t>
            </w:r>
          </w:p>
        </w:tc>
      </w:tr>
      <w:tr w:rsidR="000909EF" w:rsidRPr="00EE5690" w14:paraId="72F8FB4C" w14:textId="77777777" w:rsidTr="00523EFA">
        <w:trPr>
          <w:trHeight w:val="567"/>
        </w:trPr>
        <w:tc>
          <w:tcPr>
            <w:tcW w:w="1978" w:type="dxa"/>
            <w:shd w:val="clear" w:color="auto" w:fill="FFFF66"/>
            <w:vAlign w:val="center"/>
          </w:tcPr>
          <w:p w14:paraId="399B87EE" w14:textId="77777777" w:rsidR="000909EF" w:rsidRPr="00EE5690" w:rsidRDefault="000909EF" w:rsidP="00EE5690">
            <w:pPr>
              <w:spacing w:before="0" w:after="0" w:line="240" w:lineRule="auto"/>
              <w:jc w:val="left"/>
              <w:rPr>
                <w:rFonts w:cs="Arial"/>
              </w:rPr>
            </w:pPr>
            <w:r w:rsidRPr="00EE5690">
              <w:rPr>
                <w:rFonts w:cs="Arial"/>
              </w:rPr>
              <w:t>Document name</w:t>
            </w:r>
          </w:p>
        </w:tc>
        <w:tc>
          <w:tcPr>
            <w:tcW w:w="6409" w:type="dxa"/>
            <w:vAlign w:val="center"/>
          </w:tcPr>
          <w:p w14:paraId="1EBA7A77" w14:textId="520156EE" w:rsidR="000909EF" w:rsidRPr="00EE5690" w:rsidRDefault="00523EFA" w:rsidP="00EE5690">
            <w:pPr>
              <w:spacing w:before="0" w:after="0" w:line="240" w:lineRule="auto"/>
              <w:jc w:val="left"/>
              <w:rPr>
                <w:rFonts w:cs="Arial"/>
                <w:highlight w:val="yellow"/>
              </w:rPr>
            </w:pPr>
            <w:r w:rsidRPr="00EE5690">
              <w:rPr>
                <w:rFonts w:cs="Arial"/>
              </w:rPr>
              <w:t>MAIL_D</w:t>
            </w:r>
            <w:r w:rsidR="00A37ACC" w:rsidRPr="00EE5690">
              <w:rPr>
                <w:rFonts w:cs="Arial"/>
              </w:rPr>
              <w:t>5</w:t>
            </w:r>
            <w:r w:rsidR="0021505B" w:rsidRPr="00EE5690">
              <w:rPr>
                <w:rFonts w:cs="Arial"/>
              </w:rPr>
              <w:t>.</w:t>
            </w:r>
            <w:r w:rsidR="00A37ACC" w:rsidRPr="00EE5690">
              <w:rPr>
                <w:rFonts w:cs="Arial"/>
              </w:rPr>
              <w:t>2</w:t>
            </w:r>
            <w:r w:rsidRPr="00EE5690">
              <w:rPr>
                <w:rFonts w:cs="Arial"/>
              </w:rPr>
              <w:t>.pdf</w:t>
            </w:r>
          </w:p>
        </w:tc>
      </w:tr>
      <w:tr w:rsidR="000909EF" w:rsidRPr="00EE5690" w14:paraId="59C51135" w14:textId="77777777" w:rsidTr="00523EFA">
        <w:trPr>
          <w:trHeight w:val="567"/>
        </w:trPr>
        <w:tc>
          <w:tcPr>
            <w:tcW w:w="1978" w:type="dxa"/>
            <w:shd w:val="clear" w:color="auto" w:fill="FFFF66"/>
            <w:vAlign w:val="center"/>
          </w:tcPr>
          <w:p w14:paraId="54CD8B2B" w14:textId="77777777" w:rsidR="000909EF" w:rsidRPr="00EE5690" w:rsidRDefault="000909EF" w:rsidP="00EE5690">
            <w:pPr>
              <w:spacing w:before="0" w:after="0" w:line="240" w:lineRule="auto"/>
              <w:jc w:val="left"/>
              <w:rPr>
                <w:rFonts w:cs="Arial"/>
              </w:rPr>
            </w:pPr>
            <w:r w:rsidRPr="00EE5690">
              <w:rPr>
                <w:rFonts w:cs="Arial"/>
              </w:rPr>
              <w:t>Deliverable name</w:t>
            </w:r>
          </w:p>
        </w:tc>
        <w:tc>
          <w:tcPr>
            <w:tcW w:w="6409" w:type="dxa"/>
            <w:vAlign w:val="center"/>
          </w:tcPr>
          <w:p w14:paraId="6C60D480" w14:textId="4EF903BB" w:rsidR="000909EF" w:rsidRPr="00EE5690" w:rsidRDefault="00A37ACC" w:rsidP="00EE5690">
            <w:pPr>
              <w:spacing w:before="0" w:after="0" w:line="240" w:lineRule="auto"/>
              <w:jc w:val="left"/>
              <w:rPr>
                <w:rFonts w:cs="Arial"/>
              </w:rPr>
            </w:pPr>
            <w:r w:rsidRPr="00EE5690">
              <w:rPr>
                <w:rFonts w:cs="Arial"/>
              </w:rPr>
              <w:t>Guide on the financial social and technical aspects of the sustainable development of MLs, and report on the potentialities of emerging stock exchange markets for carbon transactions and proposed policies.</w:t>
            </w:r>
          </w:p>
        </w:tc>
      </w:tr>
      <w:tr w:rsidR="000909EF" w:rsidRPr="00EE5690" w14:paraId="1EBFCEA2" w14:textId="77777777" w:rsidTr="00523EFA">
        <w:trPr>
          <w:trHeight w:val="567"/>
        </w:trPr>
        <w:tc>
          <w:tcPr>
            <w:tcW w:w="1978" w:type="dxa"/>
            <w:shd w:val="clear" w:color="auto" w:fill="FFFF66"/>
            <w:vAlign w:val="center"/>
          </w:tcPr>
          <w:p w14:paraId="78320EDE" w14:textId="77777777" w:rsidR="000909EF" w:rsidRPr="00EE5690" w:rsidRDefault="000909EF" w:rsidP="00EE5690">
            <w:pPr>
              <w:spacing w:before="0" w:after="0" w:line="240" w:lineRule="auto"/>
              <w:jc w:val="left"/>
              <w:rPr>
                <w:rFonts w:cs="Arial"/>
              </w:rPr>
            </w:pPr>
            <w:r w:rsidRPr="00EE5690">
              <w:rPr>
                <w:rFonts w:cs="Arial"/>
              </w:rPr>
              <w:t>Work Package</w:t>
            </w:r>
          </w:p>
        </w:tc>
        <w:tc>
          <w:tcPr>
            <w:tcW w:w="6409" w:type="dxa"/>
            <w:vAlign w:val="center"/>
          </w:tcPr>
          <w:p w14:paraId="33715B14" w14:textId="1225D1CD" w:rsidR="000909EF" w:rsidRPr="00EE5690" w:rsidRDefault="00B6269B" w:rsidP="00EE5690">
            <w:pPr>
              <w:spacing w:before="0" w:after="0" w:line="240" w:lineRule="auto"/>
              <w:jc w:val="left"/>
              <w:rPr>
                <w:rFonts w:cs="Arial"/>
              </w:rPr>
            </w:pPr>
            <w:r>
              <w:rPr>
                <w:rFonts w:cs="Arial"/>
              </w:rPr>
              <w:t>WP</w:t>
            </w:r>
            <w:r w:rsidR="00A37ACC" w:rsidRPr="00EE5690">
              <w:rPr>
                <w:rFonts w:cs="Arial"/>
              </w:rPr>
              <w:t>5</w:t>
            </w:r>
          </w:p>
        </w:tc>
      </w:tr>
      <w:tr w:rsidR="000909EF" w:rsidRPr="00EE5690" w14:paraId="0E285731" w14:textId="77777777" w:rsidTr="00523EFA">
        <w:trPr>
          <w:trHeight w:val="567"/>
        </w:trPr>
        <w:tc>
          <w:tcPr>
            <w:tcW w:w="1978" w:type="dxa"/>
            <w:shd w:val="clear" w:color="auto" w:fill="FFFF66"/>
            <w:vAlign w:val="center"/>
          </w:tcPr>
          <w:p w14:paraId="3F66D174" w14:textId="77777777" w:rsidR="000909EF" w:rsidRPr="00EE5690" w:rsidRDefault="000909EF" w:rsidP="00EE5690">
            <w:pPr>
              <w:spacing w:before="0" w:after="0" w:line="240" w:lineRule="auto"/>
              <w:jc w:val="left"/>
              <w:rPr>
                <w:rFonts w:cs="Arial"/>
              </w:rPr>
            </w:pPr>
            <w:r w:rsidRPr="00EE5690">
              <w:rPr>
                <w:rFonts w:cs="Arial"/>
              </w:rPr>
              <w:t>Nature</w:t>
            </w:r>
            <w:r w:rsidRPr="00EE5690">
              <w:rPr>
                <w:rStyle w:val="FootnoteReference"/>
                <w:rFonts w:cs="Arial"/>
              </w:rPr>
              <w:footnoteReference w:id="1"/>
            </w:r>
          </w:p>
        </w:tc>
        <w:tc>
          <w:tcPr>
            <w:tcW w:w="6409" w:type="dxa"/>
            <w:vAlign w:val="center"/>
          </w:tcPr>
          <w:p w14:paraId="667E163F" w14:textId="305B2DA2" w:rsidR="000909EF" w:rsidRPr="00EE5690" w:rsidRDefault="0021505B" w:rsidP="00EE5690">
            <w:pPr>
              <w:spacing w:before="0" w:after="0" w:line="240" w:lineRule="auto"/>
              <w:jc w:val="left"/>
              <w:rPr>
                <w:rFonts w:cs="Arial"/>
              </w:rPr>
            </w:pPr>
            <w:r w:rsidRPr="00EE5690">
              <w:rPr>
                <w:rFonts w:cs="Arial"/>
              </w:rPr>
              <w:t>R</w:t>
            </w:r>
          </w:p>
        </w:tc>
      </w:tr>
      <w:tr w:rsidR="000909EF" w:rsidRPr="00EE5690" w14:paraId="3B9E6E5E" w14:textId="77777777" w:rsidTr="00523EFA">
        <w:trPr>
          <w:trHeight w:val="567"/>
        </w:trPr>
        <w:tc>
          <w:tcPr>
            <w:tcW w:w="1978" w:type="dxa"/>
            <w:shd w:val="clear" w:color="auto" w:fill="FFFF66"/>
            <w:vAlign w:val="center"/>
          </w:tcPr>
          <w:p w14:paraId="3CA5A048" w14:textId="77777777" w:rsidR="000909EF" w:rsidRPr="00EE5690" w:rsidRDefault="000909EF" w:rsidP="00EE5690">
            <w:pPr>
              <w:spacing w:before="0" w:after="0" w:line="240" w:lineRule="auto"/>
              <w:jc w:val="left"/>
              <w:rPr>
                <w:rFonts w:cs="Arial"/>
              </w:rPr>
            </w:pPr>
            <w:r w:rsidRPr="00EE5690">
              <w:rPr>
                <w:rFonts w:cs="Arial"/>
              </w:rPr>
              <w:t>Dissemination</w:t>
            </w:r>
            <w:r w:rsidRPr="00EE5690">
              <w:rPr>
                <w:rStyle w:val="FootnoteReference"/>
                <w:rFonts w:cs="Arial"/>
              </w:rPr>
              <w:footnoteReference w:id="2"/>
            </w:r>
          </w:p>
        </w:tc>
        <w:tc>
          <w:tcPr>
            <w:tcW w:w="6409" w:type="dxa"/>
            <w:vAlign w:val="center"/>
          </w:tcPr>
          <w:p w14:paraId="3902CDD0" w14:textId="54787561" w:rsidR="000909EF" w:rsidRPr="00EE5690" w:rsidRDefault="0021505B" w:rsidP="00EE5690">
            <w:pPr>
              <w:spacing w:before="0" w:after="0" w:line="240" w:lineRule="auto"/>
              <w:jc w:val="left"/>
              <w:rPr>
                <w:rFonts w:cs="Arial"/>
              </w:rPr>
            </w:pPr>
            <w:r w:rsidRPr="00EE5690">
              <w:rPr>
                <w:rFonts w:cs="Arial"/>
              </w:rPr>
              <w:t>CO</w:t>
            </w:r>
          </w:p>
        </w:tc>
      </w:tr>
      <w:tr w:rsidR="000909EF" w:rsidRPr="00EE5690" w14:paraId="14202039" w14:textId="77777777" w:rsidTr="00523EFA">
        <w:trPr>
          <w:trHeight w:val="567"/>
        </w:trPr>
        <w:tc>
          <w:tcPr>
            <w:tcW w:w="1978" w:type="dxa"/>
            <w:shd w:val="clear" w:color="auto" w:fill="FFFF66"/>
            <w:vAlign w:val="center"/>
          </w:tcPr>
          <w:p w14:paraId="47FCE2C4" w14:textId="77777777" w:rsidR="000909EF" w:rsidRPr="00EE5690" w:rsidRDefault="000909EF" w:rsidP="00EE5690">
            <w:pPr>
              <w:spacing w:before="0" w:after="0" w:line="240" w:lineRule="auto"/>
              <w:jc w:val="left"/>
              <w:rPr>
                <w:rFonts w:cs="Arial"/>
              </w:rPr>
            </w:pPr>
            <w:r w:rsidRPr="00EE5690">
              <w:rPr>
                <w:rFonts w:cs="Arial"/>
              </w:rPr>
              <w:t>Editor</w:t>
            </w:r>
          </w:p>
        </w:tc>
        <w:tc>
          <w:tcPr>
            <w:tcW w:w="6409" w:type="dxa"/>
            <w:vAlign w:val="center"/>
          </w:tcPr>
          <w:p w14:paraId="4B945225" w14:textId="571A8245" w:rsidR="000909EF" w:rsidRPr="0030134A" w:rsidRDefault="00524C1B" w:rsidP="00EE5690">
            <w:pPr>
              <w:spacing w:before="0" w:after="0" w:line="240" w:lineRule="auto"/>
              <w:jc w:val="left"/>
              <w:rPr>
                <w:rFonts w:cs="Arial"/>
              </w:rPr>
            </w:pPr>
            <w:r w:rsidRPr="00EE5690">
              <w:rPr>
                <w:rFonts w:eastAsia="Calibri" w:cs="Arial"/>
                <w:lang w:val="it-IT"/>
              </w:rPr>
              <w:t>Dzhaner Emin</w:t>
            </w:r>
            <w:r w:rsidR="0030134A" w:rsidRPr="0030134A">
              <w:rPr>
                <w:rFonts w:eastAsia="Calibri" w:cs="Arial"/>
              </w:rPr>
              <w:t xml:space="preserve"> (</w:t>
            </w:r>
            <w:r w:rsidR="0030134A">
              <w:rPr>
                <w:rFonts w:eastAsia="Calibri" w:cs="Arial"/>
              </w:rPr>
              <w:t>IABG</w:t>
            </w:r>
            <w:r w:rsidR="0030134A" w:rsidRPr="0030134A">
              <w:rPr>
                <w:rFonts w:eastAsia="Calibri" w:cs="Arial"/>
              </w:rPr>
              <w:t>)</w:t>
            </w:r>
            <w:r w:rsidR="0030134A">
              <w:rPr>
                <w:rFonts w:eastAsia="Calibri" w:cs="Arial"/>
              </w:rPr>
              <w:t>, Charalampos Georgiadis (AUTH)</w:t>
            </w:r>
          </w:p>
        </w:tc>
      </w:tr>
      <w:tr w:rsidR="000909EF" w:rsidRPr="00EE5690" w14:paraId="212B6F41" w14:textId="77777777" w:rsidTr="00523EFA">
        <w:trPr>
          <w:trHeight w:val="567"/>
        </w:trPr>
        <w:tc>
          <w:tcPr>
            <w:tcW w:w="1978" w:type="dxa"/>
            <w:shd w:val="clear" w:color="auto" w:fill="FFFF66"/>
            <w:vAlign w:val="center"/>
          </w:tcPr>
          <w:p w14:paraId="2F80E8D3" w14:textId="77777777" w:rsidR="000909EF" w:rsidRPr="00EE5690" w:rsidRDefault="000909EF" w:rsidP="00EE5690">
            <w:pPr>
              <w:spacing w:before="0" w:after="0" w:line="240" w:lineRule="auto"/>
              <w:jc w:val="left"/>
              <w:rPr>
                <w:rFonts w:cs="Arial"/>
              </w:rPr>
            </w:pPr>
            <w:r w:rsidRPr="00EE5690">
              <w:rPr>
                <w:rFonts w:cs="Arial"/>
              </w:rPr>
              <w:t>Authors</w:t>
            </w:r>
          </w:p>
        </w:tc>
        <w:tc>
          <w:tcPr>
            <w:tcW w:w="6409" w:type="dxa"/>
            <w:vAlign w:val="center"/>
          </w:tcPr>
          <w:p w14:paraId="7F70B061" w14:textId="263C7F47" w:rsidR="00524C1B" w:rsidRPr="00EE5690" w:rsidRDefault="0021505B" w:rsidP="0030134A">
            <w:pPr>
              <w:spacing w:before="0" w:after="0" w:line="240" w:lineRule="auto"/>
              <w:jc w:val="left"/>
              <w:rPr>
                <w:rFonts w:eastAsia="Calibri" w:cs="Arial"/>
                <w:lang w:val="it-IT"/>
              </w:rPr>
            </w:pPr>
            <w:r w:rsidRPr="00EE5690">
              <w:rPr>
                <w:rFonts w:cs="Arial"/>
                <w:lang w:val="it-IT"/>
              </w:rPr>
              <w:t xml:space="preserve">Charalampos Georgiadis </w:t>
            </w:r>
            <w:r w:rsidR="0030134A">
              <w:rPr>
                <w:rFonts w:cs="Arial"/>
                <w:lang w:val="it-IT"/>
              </w:rPr>
              <w:t xml:space="preserve">(AUTH), </w:t>
            </w:r>
            <w:r w:rsidR="00147A13" w:rsidRPr="00EE5690">
              <w:rPr>
                <w:rFonts w:cs="Arial"/>
                <w:lang w:val="it-IT"/>
              </w:rPr>
              <w:t>Fernando Bezares Sanfelip</w:t>
            </w:r>
            <w:r w:rsidR="0030134A">
              <w:rPr>
                <w:rFonts w:cs="Arial"/>
                <w:lang w:val="it-IT"/>
              </w:rPr>
              <w:t xml:space="preserve"> (CESEFOR), </w:t>
            </w:r>
            <w:r w:rsidR="00147A13" w:rsidRPr="00EE5690">
              <w:rPr>
                <w:rFonts w:cs="Arial"/>
                <w:lang w:val="it-IT"/>
              </w:rPr>
              <w:t>Zoi Touloudi</w:t>
            </w:r>
            <w:r w:rsidR="0030134A">
              <w:rPr>
                <w:rFonts w:cs="Arial"/>
                <w:lang w:val="it-IT"/>
              </w:rPr>
              <w:t xml:space="preserve"> (AUTH), </w:t>
            </w:r>
            <w:r w:rsidR="00524C1B" w:rsidRPr="00EE5690">
              <w:rPr>
                <w:rFonts w:eastAsia="Calibri" w:cs="Arial"/>
                <w:lang w:val="it-IT"/>
              </w:rPr>
              <w:t>Francisco Gallego</w:t>
            </w:r>
            <w:r w:rsidR="0030134A">
              <w:rPr>
                <w:rFonts w:eastAsia="Calibri" w:cs="Arial"/>
                <w:lang w:val="it-IT"/>
              </w:rPr>
              <w:t xml:space="preserve"> (CESEFOR), </w:t>
            </w:r>
            <w:r w:rsidR="00524C1B" w:rsidRPr="00EE5690">
              <w:rPr>
                <w:rFonts w:eastAsia="Calibri" w:cs="Arial"/>
                <w:lang w:val="it-IT"/>
              </w:rPr>
              <w:t>Vassilios Tsioukas</w:t>
            </w:r>
            <w:r w:rsidR="0030134A">
              <w:rPr>
                <w:rFonts w:eastAsia="Calibri" w:cs="Arial"/>
                <w:lang w:val="it-IT"/>
              </w:rPr>
              <w:t xml:space="preserve"> (AUTH)</w:t>
            </w:r>
          </w:p>
        </w:tc>
      </w:tr>
      <w:tr w:rsidR="00524C1B" w:rsidRPr="00EE5690" w14:paraId="04C5B120" w14:textId="77777777" w:rsidTr="00523EFA">
        <w:trPr>
          <w:trHeight w:val="567"/>
        </w:trPr>
        <w:tc>
          <w:tcPr>
            <w:tcW w:w="1978" w:type="dxa"/>
            <w:shd w:val="clear" w:color="auto" w:fill="FFFF66"/>
            <w:vAlign w:val="center"/>
          </w:tcPr>
          <w:p w14:paraId="1A57C763" w14:textId="77777777" w:rsidR="00524C1B" w:rsidRPr="00EE5690" w:rsidRDefault="00524C1B" w:rsidP="00EE5690">
            <w:pPr>
              <w:spacing w:before="0" w:after="0" w:line="240" w:lineRule="auto"/>
              <w:jc w:val="left"/>
              <w:rPr>
                <w:rFonts w:cs="Arial"/>
              </w:rPr>
            </w:pPr>
            <w:r w:rsidRPr="00EE5690">
              <w:rPr>
                <w:rFonts w:cs="Arial"/>
              </w:rPr>
              <w:t>Contributors</w:t>
            </w:r>
          </w:p>
        </w:tc>
        <w:tc>
          <w:tcPr>
            <w:tcW w:w="6409" w:type="dxa"/>
            <w:vAlign w:val="center"/>
          </w:tcPr>
          <w:p w14:paraId="3488F257" w14:textId="21A0C363" w:rsidR="00524C1B" w:rsidRPr="00EE5690" w:rsidRDefault="00524C1B" w:rsidP="00EE5690">
            <w:pPr>
              <w:spacing w:before="0" w:after="0" w:line="240" w:lineRule="auto"/>
              <w:jc w:val="left"/>
              <w:rPr>
                <w:rFonts w:cs="Arial"/>
                <w:lang w:val="pt-PT"/>
              </w:rPr>
            </w:pPr>
            <w:r w:rsidRPr="00EE5690">
              <w:rPr>
                <w:rFonts w:eastAsia="Calibri" w:cs="Arial"/>
                <w:lang w:val="pt-PT"/>
              </w:rPr>
              <w:t>All Project Partners</w:t>
            </w:r>
          </w:p>
        </w:tc>
      </w:tr>
      <w:tr w:rsidR="00524C1B" w:rsidRPr="00EE5690" w14:paraId="44D2E22E" w14:textId="77777777" w:rsidTr="00523EFA">
        <w:trPr>
          <w:trHeight w:val="567"/>
        </w:trPr>
        <w:tc>
          <w:tcPr>
            <w:tcW w:w="1978" w:type="dxa"/>
            <w:shd w:val="clear" w:color="auto" w:fill="FFFF66"/>
            <w:vAlign w:val="center"/>
          </w:tcPr>
          <w:p w14:paraId="2F28D0F9" w14:textId="77777777" w:rsidR="00524C1B" w:rsidRPr="00EE5690" w:rsidRDefault="00524C1B" w:rsidP="00EE5690">
            <w:pPr>
              <w:spacing w:before="0" w:after="0" w:line="240" w:lineRule="auto"/>
              <w:jc w:val="left"/>
              <w:rPr>
                <w:rFonts w:cs="Arial"/>
              </w:rPr>
            </w:pPr>
            <w:r w:rsidRPr="00EE5690">
              <w:rPr>
                <w:rFonts w:cs="Arial"/>
              </w:rPr>
              <w:t>Date</w:t>
            </w:r>
          </w:p>
        </w:tc>
        <w:tc>
          <w:tcPr>
            <w:tcW w:w="6409" w:type="dxa"/>
            <w:vAlign w:val="center"/>
          </w:tcPr>
          <w:p w14:paraId="4BE5AAB6" w14:textId="2104CD2A" w:rsidR="00524C1B" w:rsidRPr="00EE5690" w:rsidRDefault="00784517" w:rsidP="00EE5690">
            <w:pPr>
              <w:spacing w:before="0" w:after="0" w:line="240" w:lineRule="auto"/>
              <w:jc w:val="left"/>
              <w:rPr>
                <w:rFonts w:cs="Arial"/>
              </w:rPr>
            </w:pPr>
            <w:r>
              <w:rPr>
                <w:rFonts w:cs="Arial"/>
              </w:rPr>
              <w:t>30.12.2021</w:t>
            </w:r>
          </w:p>
        </w:tc>
      </w:tr>
    </w:tbl>
    <w:p w14:paraId="693BE549" w14:textId="62C8E21E" w:rsidR="00523EFA" w:rsidRPr="00EE5690" w:rsidRDefault="00523EFA" w:rsidP="00D61275">
      <w:pPr>
        <w:pStyle w:val="MAIL0"/>
      </w:pPr>
      <w:bookmarkStart w:id="2" w:name="_Toc382650060"/>
      <w:bookmarkStart w:id="3" w:name="_Toc91752372"/>
      <w:r w:rsidRPr="00EE5690">
        <w:lastRenderedPageBreak/>
        <w:t>MAIL Consortium</w:t>
      </w:r>
      <w:bookmarkEnd w:id="2"/>
      <w:bookmarkEnd w:id="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389"/>
      </w:tblGrid>
      <w:tr w:rsidR="00DF11E2" w:rsidRPr="000B622E" w14:paraId="4D8969B6" w14:textId="77777777" w:rsidTr="00B90944">
        <w:tc>
          <w:tcPr>
            <w:tcW w:w="4106" w:type="dxa"/>
            <w:vAlign w:val="bottom"/>
          </w:tcPr>
          <w:p w14:paraId="39D814E9" w14:textId="3F3012BB" w:rsidR="00DF11E2" w:rsidRPr="00EE5690" w:rsidRDefault="00DF11E2" w:rsidP="00347108">
            <w:pPr>
              <w:spacing w:line="240" w:lineRule="auto"/>
              <w:jc w:val="center"/>
              <w:rPr>
                <w:rFonts w:cs="Arial"/>
                <w:lang w:val="en-GB"/>
              </w:rPr>
            </w:pPr>
            <w:r w:rsidRPr="00EE5690">
              <w:rPr>
                <w:rFonts w:cs="Arial"/>
                <w:noProof/>
                <w:lang w:val="es-ES" w:eastAsia="es-ES"/>
              </w:rPr>
              <w:drawing>
                <wp:inline distT="0" distB="0" distL="0" distR="0" wp14:anchorId="491AE6E1" wp14:editId="2818342F">
                  <wp:extent cx="647505" cy="619760"/>
                  <wp:effectExtent l="0" t="0" r="635" b="8890"/>
                  <wp:docPr id="23" name="Picture 5"/>
                  <wp:cNvGraphicFramePr/>
                  <a:graphic xmlns:a="http://schemas.openxmlformats.org/drawingml/2006/main">
                    <a:graphicData uri="http://schemas.openxmlformats.org/drawingml/2006/picture">
                      <pic:pic xmlns:pic="http://schemas.openxmlformats.org/drawingml/2006/picture">
                        <pic:nvPicPr>
                          <pic:cNvPr id="8282" name="Picture 15" descr="auth_logo_color"/>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51571" cy="623652"/>
                          </a:xfrm>
                          <a:prstGeom prst="rect">
                            <a:avLst/>
                          </a:prstGeom>
                          <a:noFill/>
                          <a:ln w="9525">
                            <a:noFill/>
                            <a:miter lim="800000"/>
                            <a:headEnd/>
                            <a:tailEnd/>
                          </a:ln>
                        </pic:spPr>
                      </pic:pic>
                    </a:graphicData>
                  </a:graphic>
                </wp:inline>
              </w:drawing>
            </w:r>
          </w:p>
          <w:p w14:paraId="31A6FDFF" w14:textId="77777777" w:rsidR="00DF11E2" w:rsidRPr="00EE5690" w:rsidRDefault="00DF11E2" w:rsidP="00EE5690">
            <w:pPr>
              <w:spacing w:line="240" w:lineRule="auto"/>
              <w:jc w:val="left"/>
              <w:rPr>
                <w:rFonts w:cs="Arial"/>
                <w:lang w:val="en-GB"/>
              </w:rPr>
            </w:pPr>
            <w:r w:rsidRPr="00EE5690">
              <w:rPr>
                <w:rFonts w:cs="Arial"/>
                <w:lang w:val="en-GB"/>
              </w:rPr>
              <w:t>Aristotle University of Thessaloniki (AUTH) Greece</w:t>
            </w:r>
          </w:p>
        </w:tc>
        <w:tc>
          <w:tcPr>
            <w:tcW w:w="4389" w:type="dxa"/>
            <w:vAlign w:val="bottom"/>
          </w:tcPr>
          <w:p w14:paraId="6E6AE0D2" w14:textId="74714085" w:rsidR="00DF11E2" w:rsidRPr="00EE5690" w:rsidRDefault="00DF11E2" w:rsidP="00347108">
            <w:pPr>
              <w:spacing w:line="240" w:lineRule="auto"/>
              <w:jc w:val="center"/>
              <w:rPr>
                <w:rFonts w:cs="Arial"/>
                <w:lang w:val="en-GB"/>
              </w:rPr>
            </w:pPr>
            <w:r w:rsidRPr="00EE5690">
              <w:rPr>
                <w:rFonts w:cs="Arial"/>
                <w:noProof/>
                <w:lang w:val="es-ES" w:eastAsia="es-ES"/>
              </w:rPr>
              <w:drawing>
                <wp:inline distT="0" distB="0" distL="0" distR="0" wp14:anchorId="4396BEDF" wp14:editId="09255C03">
                  <wp:extent cx="751967" cy="304800"/>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8285"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755831" cy="306366"/>
                          </a:xfrm>
                          <a:prstGeom prst="rect">
                            <a:avLst/>
                          </a:prstGeom>
                          <a:noFill/>
                          <a:ln w="9525">
                            <a:noFill/>
                            <a:miter lim="800000"/>
                            <a:headEnd/>
                            <a:tailEnd/>
                          </a:ln>
                        </pic:spPr>
                      </pic:pic>
                    </a:graphicData>
                  </a:graphic>
                </wp:inline>
              </w:drawing>
            </w:r>
          </w:p>
          <w:p w14:paraId="153FD98B" w14:textId="77777777" w:rsidR="00DF11E2" w:rsidRPr="00EE5690" w:rsidRDefault="00DF11E2" w:rsidP="00EE5690">
            <w:pPr>
              <w:spacing w:line="240" w:lineRule="auto"/>
              <w:jc w:val="left"/>
              <w:rPr>
                <w:rFonts w:cs="Arial"/>
                <w:lang w:val="de-DE"/>
              </w:rPr>
            </w:pPr>
            <w:r w:rsidRPr="00EE5690">
              <w:rPr>
                <w:rFonts w:cs="Arial"/>
                <w:lang w:val="de-DE"/>
              </w:rPr>
              <w:t>Industrieanlagen Betriebsgesellschaft MBH (IABG) Germany</w:t>
            </w:r>
          </w:p>
        </w:tc>
      </w:tr>
      <w:tr w:rsidR="00DF11E2" w:rsidRPr="000B622E" w14:paraId="0C5069B7" w14:textId="77777777" w:rsidTr="00B90944">
        <w:tc>
          <w:tcPr>
            <w:tcW w:w="4106" w:type="dxa"/>
            <w:vAlign w:val="center"/>
          </w:tcPr>
          <w:p w14:paraId="2BA93825" w14:textId="2443E101" w:rsidR="00DF11E2" w:rsidRPr="00EE5690" w:rsidRDefault="00DF11E2" w:rsidP="00347108">
            <w:pPr>
              <w:spacing w:line="240" w:lineRule="auto"/>
              <w:jc w:val="center"/>
              <w:rPr>
                <w:rFonts w:cs="Arial"/>
                <w:lang w:val="en-GB"/>
              </w:rPr>
            </w:pPr>
            <w:r w:rsidRPr="00EE5690">
              <w:rPr>
                <w:rFonts w:cs="Arial"/>
                <w:noProof/>
                <w:lang w:val="es-ES" w:eastAsia="es-ES"/>
              </w:rPr>
              <w:drawing>
                <wp:inline distT="0" distB="0" distL="0" distR="0" wp14:anchorId="7947A140" wp14:editId="4C01FD00">
                  <wp:extent cx="411480" cy="462280"/>
                  <wp:effectExtent l="0" t="0" r="7620" b="0"/>
                  <wp:docPr id="21" name="Picture 21"/>
                  <wp:cNvGraphicFramePr/>
                  <a:graphic xmlns:a="http://schemas.openxmlformats.org/drawingml/2006/main">
                    <a:graphicData uri="http://schemas.openxmlformats.org/drawingml/2006/picture">
                      <pic:pic xmlns:pic="http://schemas.openxmlformats.org/drawingml/2006/picture">
                        <pic:nvPicPr>
                          <pic:cNvPr id="8284" name="Picture 18" descr="images.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12008" cy="462873"/>
                          </a:xfrm>
                          <a:prstGeom prst="rect">
                            <a:avLst/>
                          </a:prstGeom>
                          <a:noFill/>
                          <a:ln w="9525">
                            <a:noFill/>
                            <a:miter lim="800000"/>
                            <a:headEnd/>
                            <a:tailEnd/>
                          </a:ln>
                        </pic:spPr>
                      </pic:pic>
                    </a:graphicData>
                  </a:graphic>
                </wp:inline>
              </w:drawing>
            </w:r>
          </w:p>
          <w:p w14:paraId="15DBB2CB" w14:textId="77777777" w:rsidR="00DF11E2" w:rsidRPr="00EE5690" w:rsidRDefault="00DF11E2" w:rsidP="00EE5690">
            <w:pPr>
              <w:spacing w:line="240" w:lineRule="auto"/>
              <w:jc w:val="left"/>
              <w:rPr>
                <w:rFonts w:cs="Arial"/>
                <w:lang w:val="en-GB"/>
              </w:rPr>
            </w:pPr>
            <w:proofErr w:type="spellStart"/>
            <w:r w:rsidRPr="00EE5690">
              <w:rPr>
                <w:rFonts w:cs="Arial"/>
                <w:lang w:val="en-GB"/>
              </w:rPr>
              <w:t>Gounaris</w:t>
            </w:r>
            <w:proofErr w:type="spellEnd"/>
            <w:r w:rsidRPr="00EE5690">
              <w:rPr>
                <w:rFonts w:cs="Arial"/>
                <w:lang w:val="en-GB"/>
              </w:rPr>
              <w:t xml:space="preserve"> N. – </w:t>
            </w:r>
            <w:proofErr w:type="spellStart"/>
            <w:r w:rsidRPr="00EE5690">
              <w:rPr>
                <w:rFonts w:cs="Arial"/>
                <w:lang w:val="en-GB"/>
              </w:rPr>
              <w:t>Kontos</w:t>
            </w:r>
            <w:proofErr w:type="spellEnd"/>
            <w:r w:rsidRPr="00EE5690">
              <w:rPr>
                <w:rFonts w:cs="Arial"/>
                <w:lang w:val="en-GB"/>
              </w:rPr>
              <w:t xml:space="preserve"> K. OE (HOMEOTECH) Greece</w:t>
            </w:r>
          </w:p>
        </w:tc>
        <w:tc>
          <w:tcPr>
            <w:tcW w:w="4389" w:type="dxa"/>
            <w:vAlign w:val="center"/>
          </w:tcPr>
          <w:p w14:paraId="2866D6EF" w14:textId="77777777" w:rsidR="00DF11E2" w:rsidRPr="00EE5690" w:rsidRDefault="00DF11E2" w:rsidP="00EE5690">
            <w:pPr>
              <w:spacing w:line="240" w:lineRule="auto"/>
              <w:jc w:val="left"/>
              <w:rPr>
                <w:rFonts w:cs="Arial"/>
                <w:lang w:val="de-DE"/>
              </w:rPr>
            </w:pPr>
            <w:r w:rsidRPr="00EE5690">
              <w:rPr>
                <w:rFonts w:cs="Arial"/>
                <w:noProof/>
                <w:lang w:val="es-ES" w:eastAsia="es-ES"/>
              </w:rPr>
              <w:drawing>
                <wp:anchor distT="0" distB="0" distL="114300" distR="114300" simplePos="0" relativeHeight="251655168" behindDoc="0" locked="0" layoutInCell="1" allowOverlap="1" wp14:anchorId="0353C072" wp14:editId="7122158F">
                  <wp:simplePos x="0" y="0"/>
                  <wp:positionH relativeFrom="column">
                    <wp:posOffset>1071880</wp:posOffset>
                  </wp:positionH>
                  <wp:positionV relativeFrom="paragraph">
                    <wp:posOffset>-427355</wp:posOffset>
                  </wp:positionV>
                  <wp:extent cx="682625" cy="404495"/>
                  <wp:effectExtent l="0" t="0" r="3175" b="0"/>
                  <wp:wrapTopAndBottom/>
                  <wp:docPr id="25" name="Picture 25"/>
                  <wp:cNvGraphicFramePr/>
                  <a:graphic xmlns:a="http://schemas.openxmlformats.org/drawingml/2006/main">
                    <a:graphicData uri="http://schemas.openxmlformats.org/drawingml/2006/picture">
                      <pic:pic xmlns:pic="http://schemas.openxmlformats.org/drawingml/2006/picture">
                        <pic:nvPicPr>
                          <pic:cNvPr id="8283" name="Picture 1" descr="cnr_iia"/>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82625" cy="4044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E5690">
              <w:rPr>
                <w:rFonts w:cs="Arial"/>
                <w:lang w:val="de-DE"/>
              </w:rPr>
              <w:t xml:space="preserve">Centrum </w:t>
            </w:r>
            <w:proofErr w:type="spellStart"/>
            <w:r w:rsidRPr="00EE5690">
              <w:rPr>
                <w:rFonts w:cs="Arial"/>
                <w:lang w:val="de-DE"/>
              </w:rPr>
              <w:t>Badan</w:t>
            </w:r>
            <w:proofErr w:type="spellEnd"/>
            <w:r w:rsidRPr="00EE5690">
              <w:rPr>
                <w:rFonts w:cs="Arial"/>
                <w:lang w:val="de-DE"/>
              </w:rPr>
              <w:t xml:space="preserve"> </w:t>
            </w:r>
            <w:proofErr w:type="spellStart"/>
            <w:r w:rsidRPr="00EE5690">
              <w:rPr>
                <w:rFonts w:cs="Arial"/>
                <w:lang w:val="de-DE"/>
              </w:rPr>
              <w:t>Kosmicznych</w:t>
            </w:r>
            <w:proofErr w:type="spellEnd"/>
            <w:r w:rsidRPr="00EE5690">
              <w:rPr>
                <w:rFonts w:cs="Arial"/>
                <w:lang w:val="de-DE"/>
              </w:rPr>
              <w:t xml:space="preserve"> </w:t>
            </w:r>
            <w:proofErr w:type="spellStart"/>
            <w:r w:rsidRPr="00EE5690">
              <w:rPr>
                <w:rFonts w:cs="Arial"/>
                <w:lang w:val="de-DE"/>
              </w:rPr>
              <w:t>Polskiej</w:t>
            </w:r>
            <w:proofErr w:type="spellEnd"/>
            <w:r w:rsidRPr="00EE5690">
              <w:rPr>
                <w:rFonts w:cs="Arial"/>
                <w:lang w:val="de-DE"/>
              </w:rPr>
              <w:t xml:space="preserve"> </w:t>
            </w:r>
            <w:proofErr w:type="spellStart"/>
            <w:r w:rsidRPr="00EE5690">
              <w:rPr>
                <w:rFonts w:cs="Arial"/>
                <w:lang w:val="de-DE"/>
              </w:rPr>
              <w:t>Akademii</w:t>
            </w:r>
            <w:proofErr w:type="spellEnd"/>
            <w:r w:rsidRPr="00EE5690">
              <w:rPr>
                <w:rFonts w:cs="Arial"/>
                <w:lang w:val="de-DE"/>
              </w:rPr>
              <w:t xml:space="preserve"> </w:t>
            </w:r>
            <w:proofErr w:type="spellStart"/>
            <w:r w:rsidRPr="00EE5690">
              <w:rPr>
                <w:rFonts w:cs="Arial"/>
                <w:lang w:val="de-DE"/>
              </w:rPr>
              <w:t>Nauk</w:t>
            </w:r>
            <w:proofErr w:type="spellEnd"/>
            <w:r w:rsidRPr="00EE5690">
              <w:rPr>
                <w:rFonts w:cs="Arial"/>
                <w:lang w:val="de-DE"/>
              </w:rPr>
              <w:t xml:space="preserve"> (CBK PAN) </w:t>
            </w:r>
            <w:proofErr w:type="spellStart"/>
            <w:r w:rsidRPr="00EE5690">
              <w:rPr>
                <w:rFonts w:cs="Arial"/>
                <w:lang w:val="de-DE"/>
              </w:rPr>
              <w:t>Poland</w:t>
            </w:r>
            <w:proofErr w:type="spellEnd"/>
            <w:r w:rsidRPr="00EE5690">
              <w:rPr>
                <w:rFonts w:cs="Arial"/>
                <w:noProof/>
                <w:lang w:val="de-DE"/>
              </w:rPr>
              <w:t xml:space="preserve"> </w:t>
            </w:r>
          </w:p>
        </w:tc>
      </w:tr>
      <w:tr w:rsidR="00DF11E2" w:rsidRPr="00EE5690" w14:paraId="13CD5B15" w14:textId="77777777" w:rsidTr="00B90944">
        <w:tc>
          <w:tcPr>
            <w:tcW w:w="4106" w:type="dxa"/>
            <w:vAlign w:val="center"/>
          </w:tcPr>
          <w:p w14:paraId="03F451A0" w14:textId="22306B96" w:rsidR="00DF11E2" w:rsidRPr="00EE5690" w:rsidRDefault="00DF11E2" w:rsidP="00347108">
            <w:pPr>
              <w:spacing w:line="240" w:lineRule="auto"/>
              <w:jc w:val="center"/>
              <w:rPr>
                <w:rFonts w:cs="Arial"/>
                <w:lang w:val="en-GB"/>
              </w:rPr>
            </w:pPr>
            <w:r w:rsidRPr="00EE5690">
              <w:rPr>
                <w:rFonts w:cs="Arial"/>
                <w:noProof/>
                <w:lang w:val="es-ES" w:eastAsia="es-ES"/>
              </w:rPr>
              <w:drawing>
                <wp:inline distT="0" distB="0" distL="0" distR="0" wp14:anchorId="120D0630" wp14:editId="43A207BC">
                  <wp:extent cx="1127095" cy="398376"/>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 name="Picture 17" descr="geo"/>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127095" cy="398376"/>
                          </a:xfrm>
                          <a:prstGeom prst="rect">
                            <a:avLst/>
                          </a:prstGeom>
                          <a:noFill/>
                          <a:ln w="9525">
                            <a:noFill/>
                            <a:miter lim="800000"/>
                            <a:headEnd/>
                            <a:tailEnd/>
                          </a:ln>
                        </pic:spPr>
                      </pic:pic>
                    </a:graphicData>
                  </a:graphic>
                </wp:inline>
              </w:drawing>
            </w:r>
          </w:p>
          <w:p w14:paraId="4EEC06D2" w14:textId="77777777" w:rsidR="00DF11E2" w:rsidRPr="00EE5690" w:rsidRDefault="00DF11E2" w:rsidP="00EE5690">
            <w:pPr>
              <w:spacing w:line="240" w:lineRule="auto"/>
              <w:jc w:val="left"/>
              <w:rPr>
                <w:rFonts w:cs="Arial"/>
                <w:lang w:val="es-ES"/>
              </w:rPr>
            </w:pPr>
            <w:proofErr w:type="spellStart"/>
            <w:r w:rsidRPr="00EE5690">
              <w:rPr>
                <w:rFonts w:cs="Arial"/>
                <w:lang w:val="es-ES"/>
              </w:rPr>
              <w:t>Universitat</w:t>
            </w:r>
            <w:proofErr w:type="spellEnd"/>
            <w:r w:rsidRPr="00EE5690">
              <w:rPr>
                <w:rFonts w:cs="Arial"/>
                <w:lang w:val="es-ES"/>
              </w:rPr>
              <w:t xml:space="preserve"> </w:t>
            </w:r>
            <w:proofErr w:type="spellStart"/>
            <w:r w:rsidRPr="00EE5690">
              <w:rPr>
                <w:rFonts w:cs="Arial"/>
                <w:lang w:val="es-ES"/>
              </w:rPr>
              <w:t>Politecnica</w:t>
            </w:r>
            <w:proofErr w:type="spellEnd"/>
            <w:r w:rsidRPr="00EE5690">
              <w:rPr>
                <w:rFonts w:cs="Arial"/>
                <w:lang w:val="es-ES"/>
              </w:rPr>
              <w:t xml:space="preserve"> de Valencia (UPV) </w:t>
            </w:r>
            <w:proofErr w:type="spellStart"/>
            <w:r w:rsidRPr="00EE5690">
              <w:rPr>
                <w:rFonts w:cs="Arial"/>
                <w:lang w:val="es-ES"/>
              </w:rPr>
              <w:t>Spain</w:t>
            </w:r>
            <w:proofErr w:type="spellEnd"/>
          </w:p>
        </w:tc>
        <w:tc>
          <w:tcPr>
            <w:tcW w:w="4389" w:type="dxa"/>
            <w:vAlign w:val="center"/>
          </w:tcPr>
          <w:p w14:paraId="4FCE79C2" w14:textId="38AE3533" w:rsidR="00DF11E2" w:rsidRPr="00EE5690" w:rsidRDefault="00DF11E2" w:rsidP="00347108">
            <w:pPr>
              <w:spacing w:line="240" w:lineRule="auto"/>
              <w:jc w:val="center"/>
              <w:rPr>
                <w:rFonts w:cs="Arial"/>
                <w:lang w:val="en-GB"/>
              </w:rPr>
            </w:pPr>
            <w:r w:rsidRPr="00EE5690">
              <w:rPr>
                <w:rFonts w:cs="Arial"/>
                <w:noProof/>
                <w:lang w:val="es-ES" w:eastAsia="es-ES"/>
              </w:rPr>
              <w:drawing>
                <wp:inline distT="0" distB="0" distL="0" distR="0" wp14:anchorId="28D26DB7" wp14:editId="3A0F89A5">
                  <wp:extent cx="892800" cy="374860"/>
                  <wp:effectExtent l="0" t="0" r="317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 name="Picture 6" descr="121008Logo HCP.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892800" cy="374860"/>
                          </a:xfrm>
                          <a:prstGeom prst="rect">
                            <a:avLst/>
                          </a:prstGeom>
                          <a:noFill/>
                          <a:ln w="9525">
                            <a:noFill/>
                            <a:miter lim="800000"/>
                            <a:headEnd/>
                            <a:tailEnd/>
                          </a:ln>
                        </pic:spPr>
                      </pic:pic>
                    </a:graphicData>
                  </a:graphic>
                </wp:inline>
              </w:drawing>
            </w:r>
          </w:p>
          <w:p w14:paraId="3F21EEA7" w14:textId="77777777" w:rsidR="00DF11E2" w:rsidRPr="00EE5690" w:rsidRDefault="00DF11E2" w:rsidP="00EE5690">
            <w:pPr>
              <w:spacing w:line="240" w:lineRule="auto"/>
              <w:jc w:val="left"/>
              <w:rPr>
                <w:rFonts w:cs="Arial"/>
                <w:lang w:val="es-ES"/>
              </w:rPr>
            </w:pPr>
            <w:proofErr w:type="spellStart"/>
            <w:r w:rsidRPr="00EE5690">
              <w:rPr>
                <w:rFonts w:cs="Arial"/>
                <w:lang w:val="es-ES"/>
              </w:rPr>
              <w:t>Fundacion</w:t>
            </w:r>
            <w:proofErr w:type="spellEnd"/>
            <w:r w:rsidRPr="00EE5690">
              <w:rPr>
                <w:rFonts w:cs="Arial"/>
                <w:lang w:val="es-ES"/>
              </w:rPr>
              <w:t xml:space="preserve"> Centro De Servicios Y </w:t>
            </w:r>
            <w:proofErr w:type="spellStart"/>
            <w:r w:rsidRPr="00EE5690">
              <w:rPr>
                <w:rFonts w:cs="Arial"/>
                <w:lang w:val="es-ES"/>
              </w:rPr>
              <w:t>Promocion</w:t>
            </w:r>
            <w:proofErr w:type="spellEnd"/>
            <w:r w:rsidRPr="00EE5690">
              <w:rPr>
                <w:rFonts w:cs="Arial"/>
                <w:lang w:val="es-ES"/>
              </w:rPr>
              <w:t xml:space="preserve"> </w:t>
            </w:r>
            <w:proofErr w:type="spellStart"/>
            <w:r w:rsidRPr="00EE5690">
              <w:rPr>
                <w:rFonts w:cs="Arial"/>
                <w:lang w:val="es-ES"/>
              </w:rPr>
              <w:t>FOrestral</w:t>
            </w:r>
            <w:proofErr w:type="spellEnd"/>
            <w:r w:rsidRPr="00EE5690">
              <w:rPr>
                <w:rFonts w:cs="Arial"/>
                <w:lang w:val="es-ES"/>
              </w:rPr>
              <w:t xml:space="preserve"> Y de su Industria De Castilla y </w:t>
            </w:r>
            <w:proofErr w:type="spellStart"/>
            <w:r w:rsidRPr="00EE5690">
              <w:rPr>
                <w:rFonts w:cs="Arial"/>
                <w:lang w:val="es-ES"/>
              </w:rPr>
              <w:t>Leon</w:t>
            </w:r>
            <w:proofErr w:type="spellEnd"/>
            <w:r w:rsidRPr="00EE5690">
              <w:rPr>
                <w:rFonts w:cs="Arial"/>
                <w:lang w:val="es-ES"/>
              </w:rPr>
              <w:t xml:space="preserve"> (CESEFOR) </w:t>
            </w:r>
            <w:proofErr w:type="spellStart"/>
            <w:r w:rsidRPr="00EE5690">
              <w:rPr>
                <w:rFonts w:cs="Arial"/>
                <w:lang w:val="es-ES"/>
              </w:rPr>
              <w:t>Spain</w:t>
            </w:r>
            <w:proofErr w:type="spellEnd"/>
          </w:p>
        </w:tc>
      </w:tr>
    </w:tbl>
    <w:p w14:paraId="5B347B27" w14:textId="59B3B713" w:rsidR="00905FF7" w:rsidRDefault="00905FF7" w:rsidP="00EE5690">
      <w:pPr>
        <w:jc w:val="left"/>
        <w:rPr>
          <w:rFonts w:cs="Arial"/>
          <w:lang w:val="es-ES"/>
        </w:rPr>
      </w:pPr>
    </w:p>
    <w:p w14:paraId="2FA4A0A5" w14:textId="497D5460" w:rsidR="00523EFA" w:rsidRPr="00EE5690" w:rsidRDefault="00905FF7" w:rsidP="00905FF7">
      <w:pPr>
        <w:spacing w:line="300" w:lineRule="exact"/>
        <w:jc w:val="left"/>
        <w:rPr>
          <w:rFonts w:cs="Arial"/>
          <w:lang w:val="es-ES"/>
        </w:rPr>
      </w:pPr>
      <w:r>
        <w:rPr>
          <w:rFonts w:cs="Arial"/>
          <w:lang w:val="es-ES"/>
        </w:rPr>
        <w:br w:type="page"/>
      </w:r>
    </w:p>
    <w:p w14:paraId="07656189" w14:textId="77777777" w:rsidR="009B3BE6" w:rsidRPr="00EE5690" w:rsidRDefault="009B3BE6" w:rsidP="00D61275">
      <w:pPr>
        <w:pStyle w:val="MAIL0"/>
      </w:pPr>
      <w:bookmarkStart w:id="4" w:name="_Toc91752373"/>
      <w:r w:rsidRPr="00EE5690">
        <w:lastRenderedPageBreak/>
        <w:t>Abbreviations</w:t>
      </w:r>
      <w:bookmarkEnd w:id="1"/>
      <w:bookmarkEnd w:id="4"/>
    </w:p>
    <w:tbl>
      <w:tblPr>
        <w:tblW w:w="0" w:type="auto"/>
        <w:tblInd w:w="108" w:type="dxa"/>
        <w:tblLook w:val="04A0" w:firstRow="1" w:lastRow="0" w:firstColumn="1" w:lastColumn="0" w:noHBand="0" w:noVBand="1"/>
      </w:tblPr>
      <w:tblGrid>
        <w:gridCol w:w="2113"/>
        <w:gridCol w:w="6284"/>
      </w:tblGrid>
      <w:tr w:rsidR="009B3BE6" w:rsidRPr="00EE5690" w14:paraId="52ADE20F" w14:textId="77777777" w:rsidTr="00EE5690">
        <w:trPr>
          <w:trHeight w:hRule="exact" w:val="567"/>
        </w:trPr>
        <w:tc>
          <w:tcPr>
            <w:tcW w:w="2113" w:type="dxa"/>
            <w:tcBorders>
              <w:right w:val="single" w:sz="4" w:space="0" w:color="auto"/>
            </w:tcBorders>
            <w:shd w:val="clear" w:color="auto" w:fill="FFC000"/>
            <w:vAlign w:val="center"/>
          </w:tcPr>
          <w:p w14:paraId="575B7A7E" w14:textId="77777777" w:rsidR="009B3BE6" w:rsidRPr="00EE5690" w:rsidRDefault="009B3BE6" w:rsidP="00EE5690">
            <w:pPr>
              <w:spacing w:before="0" w:after="0" w:line="240" w:lineRule="auto"/>
              <w:jc w:val="left"/>
              <w:rPr>
                <w:rStyle w:val="Strong"/>
                <w:rFonts w:cs="Arial"/>
                <w:lang w:val="en-GB"/>
              </w:rPr>
            </w:pPr>
            <w:r w:rsidRPr="00EE5690">
              <w:rPr>
                <w:rStyle w:val="Strong"/>
                <w:rFonts w:cs="Arial"/>
                <w:lang w:val="en-GB"/>
              </w:rPr>
              <w:t>Term</w:t>
            </w:r>
          </w:p>
        </w:tc>
        <w:tc>
          <w:tcPr>
            <w:tcW w:w="6284" w:type="dxa"/>
            <w:tcBorders>
              <w:left w:val="single" w:sz="4" w:space="0" w:color="auto"/>
            </w:tcBorders>
            <w:shd w:val="clear" w:color="auto" w:fill="FFC000"/>
            <w:vAlign w:val="center"/>
          </w:tcPr>
          <w:p w14:paraId="6B7716AD" w14:textId="77777777" w:rsidR="009B3BE6" w:rsidRPr="00EE5690" w:rsidRDefault="009B3BE6" w:rsidP="00EE5690">
            <w:pPr>
              <w:spacing w:before="0" w:after="0" w:line="240" w:lineRule="auto"/>
              <w:jc w:val="left"/>
              <w:rPr>
                <w:rStyle w:val="Strong"/>
                <w:rFonts w:cs="Arial"/>
                <w:lang w:val="en-GB"/>
              </w:rPr>
            </w:pPr>
            <w:r w:rsidRPr="00EE5690">
              <w:rPr>
                <w:rStyle w:val="Strong"/>
                <w:rFonts w:cs="Arial"/>
                <w:lang w:val="en-GB"/>
              </w:rPr>
              <w:t>Explanation</w:t>
            </w:r>
          </w:p>
        </w:tc>
      </w:tr>
      <w:tr w:rsidR="00524C1B" w:rsidRPr="00EE5690" w14:paraId="38D7C819" w14:textId="77777777" w:rsidTr="00EE5690">
        <w:trPr>
          <w:trHeight w:hRule="exact" w:val="567"/>
        </w:trPr>
        <w:tc>
          <w:tcPr>
            <w:tcW w:w="2113" w:type="dxa"/>
            <w:shd w:val="clear" w:color="auto" w:fill="DBF6B9"/>
            <w:vAlign w:val="center"/>
          </w:tcPr>
          <w:p w14:paraId="0D77DB2A"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 xml:space="preserve">AAUs </w:t>
            </w:r>
          </w:p>
        </w:tc>
        <w:tc>
          <w:tcPr>
            <w:tcW w:w="6284" w:type="dxa"/>
            <w:vAlign w:val="center"/>
          </w:tcPr>
          <w:p w14:paraId="4A1F965A"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Assigned Amount Units</w:t>
            </w:r>
          </w:p>
        </w:tc>
      </w:tr>
      <w:tr w:rsidR="00524C1B" w:rsidRPr="00EE5690" w14:paraId="05DE689F" w14:textId="77777777" w:rsidTr="00EE5690">
        <w:trPr>
          <w:trHeight w:hRule="exact" w:val="567"/>
        </w:trPr>
        <w:tc>
          <w:tcPr>
            <w:tcW w:w="2113" w:type="dxa"/>
            <w:shd w:val="clear" w:color="auto" w:fill="DBF6B9"/>
            <w:vAlign w:val="center"/>
          </w:tcPr>
          <w:p w14:paraId="492432E9"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 xml:space="preserve">ACCUs </w:t>
            </w:r>
          </w:p>
        </w:tc>
        <w:tc>
          <w:tcPr>
            <w:tcW w:w="6284" w:type="dxa"/>
            <w:vAlign w:val="center"/>
          </w:tcPr>
          <w:p w14:paraId="0CC1E798"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 xml:space="preserve">Australian Carbon Credit Units </w:t>
            </w:r>
          </w:p>
        </w:tc>
      </w:tr>
      <w:tr w:rsidR="00524C1B" w:rsidRPr="00EE5690" w14:paraId="5D4E7FFC" w14:textId="77777777" w:rsidTr="00EE5690">
        <w:trPr>
          <w:trHeight w:hRule="exact" w:val="567"/>
        </w:trPr>
        <w:tc>
          <w:tcPr>
            <w:tcW w:w="2113" w:type="dxa"/>
            <w:shd w:val="clear" w:color="auto" w:fill="DBF6B9"/>
            <w:vAlign w:val="center"/>
          </w:tcPr>
          <w:p w14:paraId="40604A4B"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 xml:space="preserve">AEA </w:t>
            </w:r>
          </w:p>
        </w:tc>
        <w:tc>
          <w:tcPr>
            <w:tcW w:w="6284" w:type="dxa"/>
            <w:vAlign w:val="center"/>
          </w:tcPr>
          <w:p w14:paraId="490EF15E"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Annual Emission Allocations</w:t>
            </w:r>
          </w:p>
        </w:tc>
      </w:tr>
      <w:tr w:rsidR="00524C1B" w:rsidRPr="00EE5690" w14:paraId="5ECEDCA7" w14:textId="77777777" w:rsidTr="00EE5690">
        <w:trPr>
          <w:trHeight w:hRule="exact" w:val="567"/>
        </w:trPr>
        <w:tc>
          <w:tcPr>
            <w:tcW w:w="2113" w:type="dxa"/>
            <w:shd w:val="clear" w:color="auto" w:fill="DBF6B9"/>
            <w:vAlign w:val="center"/>
          </w:tcPr>
          <w:p w14:paraId="2790C269"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 xml:space="preserve">AFOLU </w:t>
            </w:r>
          </w:p>
        </w:tc>
        <w:tc>
          <w:tcPr>
            <w:tcW w:w="6284" w:type="dxa"/>
            <w:vAlign w:val="center"/>
          </w:tcPr>
          <w:p w14:paraId="777F0424"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 xml:space="preserve">Agriculture, Forestry and Other Land Use </w:t>
            </w:r>
          </w:p>
        </w:tc>
      </w:tr>
      <w:tr w:rsidR="00524C1B" w:rsidRPr="00EE5690" w14:paraId="54B9D321" w14:textId="77777777" w:rsidTr="00EE5690">
        <w:trPr>
          <w:trHeight w:hRule="exact" w:val="567"/>
        </w:trPr>
        <w:tc>
          <w:tcPr>
            <w:tcW w:w="2113" w:type="dxa"/>
            <w:shd w:val="clear" w:color="auto" w:fill="DBF6B9"/>
            <w:vAlign w:val="center"/>
          </w:tcPr>
          <w:p w14:paraId="40F3CB02"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ARR</w:t>
            </w:r>
          </w:p>
        </w:tc>
        <w:tc>
          <w:tcPr>
            <w:tcW w:w="6284" w:type="dxa"/>
            <w:vAlign w:val="center"/>
          </w:tcPr>
          <w:p w14:paraId="63BFEB7C" w14:textId="77777777" w:rsidR="00524C1B" w:rsidRPr="00EE5690" w:rsidRDefault="00524C1B" w:rsidP="00EE5690">
            <w:pPr>
              <w:spacing w:after="0" w:line="240" w:lineRule="auto"/>
              <w:jc w:val="left"/>
              <w:rPr>
                <w:rFonts w:eastAsia="Calibri" w:cs="Arial"/>
                <w:color w:val="000000"/>
              </w:rPr>
            </w:pPr>
            <w:r w:rsidRPr="00EE5690">
              <w:rPr>
                <w:rFonts w:cs="Arial"/>
              </w:rPr>
              <w:t>Afforestation, Reforestation, and revegetation</w:t>
            </w:r>
          </w:p>
        </w:tc>
      </w:tr>
      <w:tr w:rsidR="001C1DB3" w:rsidRPr="00EE5690" w14:paraId="4CB0D514" w14:textId="77777777" w:rsidTr="00EE5690">
        <w:trPr>
          <w:trHeight w:hRule="exact" w:val="567"/>
        </w:trPr>
        <w:tc>
          <w:tcPr>
            <w:tcW w:w="2113" w:type="dxa"/>
            <w:shd w:val="clear" w:color="auto" w:fill="DBF6B9" w:themeFill="accent3" w:themeFillTint="66"/>
            <w:vAlign w:val="center"/>
          </w:tcPr>
          <w:p w14:paraId="1B593E3C" w14:textId="77777777" w:rsidR="001C1DB3" w:rsidRPr="00EE5690" w:rsidRDefault="001C1DB3" w:rsidP="00EE5690">
            <w:pPr>
              <w:spacing w:before="0" w:after="0" w:line="240" w:lineRule="auto"/>
              <w:jc w:val="left"/>
              <w:rPr>
                <w:rFonts w:cs="Arial"/>
                <w:lang w:val="en-GB"/>
              </w:rPr>
            </w:pPr>
            <w:r w:rsidRPr="00EE5690">
              <w:rPr>
                <w:rFonts w:cs="Arial"/>
                <w:lang w:val="en-GB"/>
              </w:rPr>
              <w:t>ARP</w:t>
            </w:r>
          </w:p>
        </w:tc>
        <w:tc>
          <w:tcPr>
            <w:tcW w:w="6284" w:type="dxa"/>
            <w:vAlign w:val="center"/>
          </w:tcPr>
          <w:p w14:paraId="49B555FE" w14:textId="77777777" w:rsidR="001C1DB3" w:rsidRPr="00EE5690" w:rsidRDefault="001C1DB3" w:rsidP="00EE5690">
            <w:pPr>
              <w:spacing w:before="0" w:after="0" w:line="240" w:lineRule="auto"/>
              <w:jc w:val="left"/>
              <w:rPr>
                <w:rFonts w:cs="Arial"/>
                <w:lang w:val="en-GB"/>
              </w:rPr>
            </w:pPr>
            <w:r w:rsidRPr="00EE5690">
              <w:rPr>
                <w:rFonts w:cs="Arial"/>
                <w:lang w:val="en-GB"/>
              </w:rPr>
              <w:t>Afforestation/Reforestation Project</w:t>
            </w:r>
          </w:p>
        </w:tc>
      </w:tr>
      <w:tr w:rsidR="001C1DB3" w:rsidRPr="00EE5690" w14:paraId="6FDC8622" w14:textId="77777777" w:rsidTr="00EE5690">
        <w:trPr>
          <w:trHeight w:hRule="exact" w:val="567"/>
        </w:trPr>
        <w:tc>
          <w:tcPr>
            <w:tcW w:w="2113" w:type="dxa"/>
            <w:shd w:val="clear" w:color="auto" w:fill="DBF6B9" w:themeFill="accent3" w:themeFillTint="66"/>
            <w:vAlign w:val="center"/>
          </w:tcPr>
          <w:p w14:paraId="36EB3802" w14:textId="77777777" w:rsidR="001C1DB3" w:rsidRPr="00EE5690" w:rsidRDefault="001C1DB3" w:rsidP="00EE5690">
            <w:pPr>
              <w:spacing w:before="0" w:after="0" w:line="240" w:lineRule="auto"/>
              <w:jc w:val="left"/>
              <w:rPr>
                <w:rFonts w:cs="Arial"/>
                <w:lang w:val="en-GB"/>
              </w:rPr>
            </w:pPr>
            <w:r w:rsidRPr="00EE5690">
              <w:rPr>
                <w:rFonts w:cs="Arial"/>
                <w:lang w:val="en-GB"/>
              </w:rPr>
              <w:t>CAP</w:t>
            </w:r>
          </w:p>
        </w:tc>
        <w:tc>
          <w:tcPr>
            <w:tcW w:w="6284" w:type="dxa"/>
            <w:vAlign w:val="center"/>
          </w:tcPr>
          <w:p w14:paraId="78D07319" w14:textId="77777777" w:rsidR="001C1DB3" w:rsidRPr="00EE5690" w:rsidRDefault="001C1DB3" w:rsidP="00EE5690">
            <w:pPr>
              <w:spacing w:before="0" w:after="0" w:line="240" w:lineRule="auto"/>
              <w:jc w:val="left"/>
              <w:rPr>
                <w:rFonts w:cs="Arial"/>
                <w:lang w:val="en-GB"/>
              </w:rPr>
            </w:pPr>
            <w:r w:rsidRPr="00EE5690">
              <w:rPr>
                <w:rFonts w:cs="Arial"/>
                <w:lang w:val="en-GB"/>
              </w:rPr>
              <w:t>Common Agricultural Policy</w:t>
            </w:r>
          </w:p>
        </w:tc>
      </w:tr>
      <w:tr w:rsidR="00524C1B" w:rsidRPr="00EE5690" w14:paraId="4FBD2321" w14:textId="77777777" w:rsidTr="00EE5690">
        <w:trPr>
          <w:trHeight w:hRule="exact" w:val="567"/>
        </w:trPr>
        <w:tc>
          <w:tcPr>
            <w:tcW w:w="2113" w:type="dxa"/>
            <w:shd w:val="clear" w:color="auto" w:fill="DBF6B9"/>
            <w:vAlign w:val="center"/>
          </w:tcPr>
          <w:p w14:paraId="7354A0E1"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 xml:space="preserve">CAT </w:t>
            </w:r>
          </w:p>
        </w:tc>
        <w:tc>
          <w:tcPr>
            <w:tcW w:w="6284" w:type="dxa"/>
            <w:vAlign w:val="center"/>
          </w:tcPr>
          <w:p w14:paraId="10ACC98F" w14:textId="77777777" w:rsidR="00524C1B" w:rsidRPr="00EE5690" w:rsidRDefault="00524C1B" w:rsidP="00EE5690">
            <w:pPr>
              <w:spacing w:after="0" w:line="240" w:lineRule="auto"/>
              <w:jc w:val="left"/>
              <w:rPr>
                <w:rFonts w:eastAsia="Calibri" w:cs="Arial"/>
                <w:lang w:val="en-GB"/>
              </w:rPr>
            </w:pPr>
            <w:r w:rsidRPr="00EE5690">
              <w:rPr>
                <w:rFonts w:eastAsia="Calibri" w:cs="Arial"/>
                <w:color w:val="000000"/>
              </w:rPr>
              <w:t>Climate Action Tracker</w:t>
            </w:r>
          </w:p>
        </w:tc>
      </w:tr>
      <w:tr w:rsidR="001C1DB3" w:rsidRPr="00EE5690" w14:paraId="50408C75" w14:textId="77777777" w:rsidTr="00EE5690">
        <w:trPr>
          <w:trHeight w:hRule="exact" w:val="567"/>
        </w:trPr>
        <w:tc>
          <w:tcPr>
            <w:tcW w:w="2113" w:type="dxa"/>
            <w:shd w:val="clear" w:color="auto" w:fill="DBF6B9" w:themeFill="accent3" w:themeFillTint="66"/>
            <w:vAlign w:val="center"/>
          </w:tcPr>
          <w:p w14:paraId="7A12B086" w14:textId="77777777" w:rsidR="001C1DB3" w:rsidRPr="00EE5690" w:rsidRDefault="001C1DB3" w:rsidP="00EE5690">
            <w:pPr>
              <w:spacing w:before="0" w:after="0" w:line="240" w:lineRule="auto"/>
              <w:jc w:val="left"/>
              <w:rPr>
                <w:rFonts w:cs="Arial"/>
                <w:lang w:val="en-GB"/>
              </w:rPr>
            </w:pPr>
            <w:r w:rsidRPr="00EE5690">
              <w:rPr>
                <w:rFonts w:cs="Arial"/>
                <w:lang w:val="en-GB"/>
              </w:rPr>
              <w:t>CBD</w:t>
            </w:r>
          </w:p>
        </w:tc>
        <w:tc>
          <w:tcPr>
            <w:tcW w:w="6284" w:type="dxa"/>
            <w:vAlign w:val="center"/>
          </w:tcPr>
          <w:p w14:paraId="3A0AED5B" w14:textId="77777777" w:rsidR="001C1DB3" w:rsidRPr="00EE5690" w:rsidRDefault="001C1DB3" w:rsidP="00EE5690">
            <w:pPr>
              <w:spacing w:before="0" w:after="0" w:line="240" w:lineRule="auto"/>
              <w:jc w:val="left"/>
              <w:rPr>
                <w:rFonts w:cs="Arial"/>
                <w:lang w:val="en-GB"/>
              </w:rPr>
            </w:pPr>
            <w:r w:rsidRPr="00EE5690">
              <w:rPr>
                <w:rFonts w:cs="Arial"/>
                <w:lang w:val="en-GB"/>
              </w:rPr>
              <w:t>Convention on Biological Diversity</w:t>
            </w:r>
          </w:p>
        </w:tc>
      </w:tr>
      <w:tr w:rsidR="001C1DB3" w:rsidRPr="00EE5690" w14:paraId="118E5F8C" w14:textId="77777777" w:rsidTr="00EE5690">
        <w:trPr>
          <w:trHeight w:hRule="exact" w:val="567"/>
        </w:trPr>
        <w:tc>
          <w:tcPr>
            <w:tcW w:w="2113" w:type="dxa"/>
            <w:shd w:val="clear" w:color="auto" w:fill="DBF6B9" w:themeFill="accent3" w:themeFillTint="66"/>
            <w:vAlign w:val="center"/>
          </w:tcPr>
          <w:p w14:paraId="57593A85" w14:textId="77777777" w:rsidR="001C1DB3" w:rsidRPr="00EE5690" w:rsidRDefault="001C1DB3" w:rsidP="00EE5690">
            <w:pPr>
              <w:spacing w:before="0" w:after="0" w:line="240" w:lineRule="auto"/>
              <w:jc w:val="left"/>
              <w:rPr>
                <w:rFonts w:cs="Arial"/>
                <w:lang w:val="en-GB"/>
              </w:rPr>
            </w:pPr>
            <w:r w:rsidRPr="00EE5690">
              <w:rPr>
                <w:rFonts w:cs="Arial"/>
                <w:lang w:val="en-GB"/>
              </w:rPr>
              <w:t>CDM</w:t>
            </w:r>
          </w:p>
        </w:tc>
        <w:tc>
          <w:tcPr>
            <w:tcW w:w="6284" w:type="dxa"/>
            <w:vAlign w:val="center"/>
          </w:tcPr>
          <w:p w14:paraId="1526EE3D" w14:textId="77777777" w:rsidR="001C1DB3" w:rsidRPr="00EE5690" w:rsidRDefault="001C1DB3" w:rsidP="00EE5690">
            <w:pPr>
              <w:spacing w:before="0" w:after="0" w:line="240" w:lineRule="auto"/>
              <w:jc w:val="left"/>
              <w:rPr>
                <w:rFonts w:cs="Arial"/>
                <w:lang w:val="en-GB"/>
              </w:rPr>
            </w:pPr>
            <w:r w:rsidRPr="00EE5690">
              <w:rPr>
                <w:rFonts w:cs="Arial"/>
                <w:lang w:val="en-GB"/>
              </w:rPr>
              <w:t>Clean Development Mechanism</w:t>
            </w:r>
          </w:p>
        </w:tc>
      </w:tr>
      <w:tr w:rsidR="001C1DB3" w:rsidRPr="00EE5690" w14:paraId="1033F840" w14:textId="77777777" w:rsidTr="00EE5690">
        <w:trPr>
          <w:trHeight w:hRule="exact" w:val="567"/>
        </w:trPr>
        <w:tc>
          <w:tcPr>
            <w:tcW w:w="2113" w:type="dxa"/>
            <w:shd w:val="clear" w:color="auto" w:fill="DBF6B9" w:themeFill="accent3" w:themeFillTint="66"/>
            <w:vAlign w:val="center"/>
          </w:tcPr>
          <w:p w14:paraId="1DF438FB" w14:textId="77777777" w:rsidR="001C1DB3" w:rsidRPr="00EE5690" w:rsidRDefault="001C1DB3" w:rsidP="00EE5690">
            <w:pPr>
              <w:spacing w:before="0" w:after="0" w:line="240" w:lineRule="auto"/>
              <w:jc w:val="left"/>
              <w:rPr>
                <w:rFonts w:cs="Arial"/>
                <w:lang w:val="en-GB"/>
              </w:rPr>
            </w:pPr>
            <w:r w:rsidRPr="00EE5690">
              <w:rPr>
                <w:rFonts w:cs="Arial"/>
                <w:lang w:val="en-GB"/>
              </w:rPr>
              <w:t>CEC</w:t>
            </w:r>
          </w:p>
        </w:tc>
        <w:tc>
          <w:tcPr>
            <w:tcW w:w="6284" w:type="dxa"/>
            <w:vAlign w:val="center"/>
          </w:tcPr>
          <w:p w14:paraId="3D3AB4B9" w14:textId="77777777" w:rsidR="001C1DB3" w:rsidRPr="00EE5690" w:rsidRDefault="001C1DB3" w:rsidP="00EE5690">
            <w:pPr>
              <w:spacing w:before="0" w:after="0" w:line="240" w:lineRule="auto"/>
              <w:jc w:val="left"/>
              <w:rPr>
                <w:rFonts w:cs="Arial"/>
                <w:lang w:val="en-GB"/>
              </w:rPr>
            </w:pPr>
            <w:r w:rsidRPr="00EE5690">
              <w:rPr>
                <w:rFonts w:cs="Arial"/>
                <w:lang w:val="en-GB"/>
              </w:rPr>
              <w:t>Cation-Exchange Capacity</w:t>
            </w:r>
          </w:p>
        </w:tc>
      </w:tr>
      <w:tr w:rsidR="001C1DB3" w:rsidRPr="00EE5690" w14:paraId="23DB7215" w14:textId="77777777" w:rsidTr="00EE5690">
        <w:trPr>
          <w:trHeight w:hRule="exact" w:val="567"/>
        </w:trPr>
        <w:tc>
          <w:tcPr>
            <w:tcW w:w="2113" w:type="dxa"/>
            <w:shd w:val="clear" w:color="auto" w:fill="DBF6B9" w:themeFill="accent3" w:themeFillTint="66"/>
            <w:vAlign w:val="center"/>
          </w:tcPr>
          <w:p w14:paraId="34C756F7" w14:textId="77777777" w:rsidR="001C1DB3" w:rsidRPr="00EE5690" w:rsidRDefault="001C1DB3" w:rsidP="00EE5690">
            <w:pPr>
              <w:spacing w:before="0" w:after="0" w:line="240" w:lineRule="auto"/>
              <w:jc w:val="left"/>
              <w:rPr>
                <w:rFonts w:cs="Arial"/>
                <w:lang w:val="en-GB"/>
              </w:rPr>
            </w:pPr>
            <w:r w:rsidRPr="00EE5690">
              <w:rPr>
                <w:rFonts w:cs="Arial"/>
                <w:lang w:val="en-GB"/>
              </w:rPr>
              <w:t>CEE</w:t>
            </w:r>
          </w:p>
        </w:tc>
        <w:tc>
          <w:tcPr>
            <w:tcW w:w="6284" w:type="dxa"/>
            <w:vAlign w:val="center"/>
          </w:tcPr>
          <w:p w14:paraId="5E5FFF8B" w14:textId="77777777" w:rsidR="001C1DB3" w:rsidRPr="00EE5690" w:rsidRDefault="001C1DB3" w:rsidP="00EE5690">
            <w:pPr>
              <w:spacing w:before="0" w:after="0" w:line="240" w:lineRule="auto"/>
              <w:jc w:val="left"/>
              <w:rPr>
                <w:rFonts w:cs="Arial"/>
                <w:lang w:val="en-GB"/>
              </w:rPr>
            </w:pPr>
            <w:r w:rsidRPr="00EE5690">
              <w:rPr>
                <w:rFonts w:cs="Arial"/>
                <w:lang w:val="en-GB"/>
              </w:rPr>
              <w:t>Central Eastern Europe</w:t>
            </w:r>
          </w:p>
        </w:tc>
      </w:tr>
      <w:tr w:rsidR="00524C1B" w:rsidRPr="00EE5690" w14:paraId="3F3ECA1A" w14:textId="77777777" w:rsidTr="00EE5690">
        <w:trPr>
          <w:trHeight w:hRule="exact" w:val="567"/>
        </w:trPr>
        <w:tc>
          <w:tcPr>
            <w:tcW w:w="2113" w:type="dxa"/>
            <w:shd w:val="clear" w:color="auto" w:fill="DBF6B9"/>
            <w:vAlign w:val="center"/>
          </w:tcPr>
          <w:p w14:paraId="4F450237"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 xml:space="preserve">CER </w:t>
            </w:r>
          </w:p>
        </w:tc>
        <w:tc>
          <w:tcPr>
            <w:tcW w:w="6284" w:type="dxa"/>
            <w:vAlign w:val="center"/>
          </w:tcPr>
          <w:p w14:paraId="2572C6BB"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Certified Emission Reduction</w:t>
            </w:r>
          </w:p>
        </w:tc>
      </w:tr>
      <w:tr w:rsidR="001C1DB3" w:rsidRPr="00EE5690" w14:paraId="1427EAE4" w14:textId="77777777" w:rsidTr="00EE5690">
        <w:trPr>
          <w:trHeight w:hRule="exact" w:val="567"/>
        </w:trPr>
        <w:tc>
          <w:tcPr>
            <w:tcW w:w="2113" w:type="dxa"/>
            <w:shd w:val="clear" w:color="auto" w:fill="DBF6B9" w:themeFill="accent3" w:themeFillTint="66"/>
            <w:vAlign w:val="center"/>
          </w:tcPr>
          <w:p w14:paraId="34B44966" w14:textId="77777777" w:rsidR="001C1DB3" w:rsidRPr="00EE5690" w:rsidRDefault="001C1DB3" w:rsidP="00EE5690">
            <w:pPr>
              <w:spacing w:before="0" w:after="0" w:line="240" w:lineRule="auto"/>
              <w:jc w:val="left"/>
              <w:rPr>
                <w:rFonts w:cs="Arial"/>
                <w:lang w:val="en-GB"/>
              </w:rPr>
            </w:pPr>
            <w:r w:rsidRPr="00EE5690">
              <w:rPr>
                <w:rFonts w:cs="Arial"/>
                <w:lang w:val="en-GB"/>
              </w:rPr>
              <w:t>DEM</w:t>
            </w:r>
          </w:p>
        </w:tc>
        <w:tc>
          <w:tcPr>
            <w:tcW w:w="6284" w:type="dxa"/>
            <w:vAlign w:val="center"/>
          </w:tcPr>
          <w:p w14:paraId="0370A99F" w14:textId="77777777" w:rsidR="001C1DB3" w:rsidRPr="00EE5690" w:rsidRDefault="001C1DB3" w:rsidP="00EE5690">
            <w:pPr>
              <w:spacing w:before="0" w:after="0" w:line="240" w:lineRule="auto"/>
              <w:jc w:val="left"/>
              <w:rPr>
                <w:rFonts w:cs="Arial"/>
                <w:lang w:val="en-GB"/>
              </w:rPr>
            </w:pPr>
            <w:r w:rsidRPr="00EE5690">
              <w:rPr>
                <w:rFonts w:cs="Arial"/>
                <w:lang w:val="en-GB"/>
              </w:rPr>
              <w:t>Digital Elevation Model</w:t>
            </w:r>
          </w:p>
        </w:tc>
      </w:tr>
      <w:tr w:rsidR="00524C1B" w:rsidRPr="00EE5690" w14:paraId="01A1055B" w14:textId="77777777" w:rsidTr="00EE5690">
        <w:trPr>
          <w:trHeight w:hRule="exact" w:val="567"/>
        </w:trPr>
        <w:tc>
          <w:tcPr>
            <w:tcW w:w="2113" w:type="dxa"/>
            <w:shd w:val="clear" w:color="auto" w:fill="DBF6B9"/>
            <w:vAlign w:val="center"/>
          </w:tcPr>
          <w:p w14:paraId="090ADADB"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DOE</w:t>
            </w:r>
          </w:p>
        </w:tc>
        <w:tc>
          <w:tcPr>
            <w:tcW w:w="6284" w:type="dxa"/>
            <w:vAlign w:val="center"/>
          </w:tcPr>
          <w:p w14:paraId="007AC9EC"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Designated Operational Entity</w:t>
            </w:r>
          </w:p>
        </w:tc>
      </w:tr>
      <w:tr w:rsidR="00524C1B" w:rsidRPr="00EE5690" w14:paraId="29D5822E" w14:textId="77777777" w:rsidTr="00EE5690">
        <w:trPr>
          <w:trHeight w:hRule="exact" w:val="567"/>
        </w:trPr>
        <w:tc>
          <w:tcPr>
            <w:tcW w:w="2113" w:type="dxa"/>
            <w:shd w:val="clear" w:color="auto" w:fill="DBF6B9"/>
            <w:vAlign w:val="center"/>
          </w:tcPr>
          <w:p w14:paraId="19572464"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 xml:space="preserve">DOP </w:t>
            </w:r>
          </w:p>
        </w:tc>
        <w:tc>
          <w:tcPr>
            <w:tcW w:w="6284" w:type="dxa"/>
            <w:vAlign w:val="center"/>
          </w:tcPr>
          <w:p w14:paraId="3F1BD55F"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Domestic Offset Projects</w:t>
            </w:r>
          </w:p>
        </w:tc>
      </w:tr>
      <w:tr w:rsidR="00524C1B" w:rsidRPr="00EE5690" w14:paraId="6934F0C9" w14:textId="77777777" w:rsidTr="00EE5690">
        <w:trPr>
          <w:trHeight w:hRule="exact" w:val="567"/>
        </w:trPr>
        <w:tc>
          <w:tcPr>
            <w:tcW w:w="2113" w:type="dxa"/>
            <w:shd w:val="clear" w:color="auto" w:fill="DBF6B9"/>
            <w:vAlign w:val="center"/>
          </w:tcPr>
          <w:p w14:paraId="7EEFE6A3"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 xml:space="preserve">DG CLIMA </w:t>
            </w:r>
          </w:p>
        </w:tc>
        <w:tc>
          <w:tcPr>
            <w:tcW w:w="6284" w:type="dxa"/>
            <w:vAlign w:val="center"/>
          </w:tcPr>
          <w:p w14:paraId="547009CD"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Directorate General for Climate Action</w:t>
            </w:r>
          </w:p>
        </w:tc>
      </w:tr>
      <w:tr w:rsidR="00524C1B" w:rsidRPr="00EE5690" w14:paraId="44B6751A" w14:textId="77777777" w:rsidTr="00EE5690">
        <w:trPr>
          <w:trHeight w:hRule="exact" w:val="567"/>
        </w:trPr>
        <w:tc>
          <w:tcPr>
            <w:tcW w:w="2113" w:type="dxa"/>
            <w:shd w:val="clear" w:color="auto" w:fill="DBF6B9"/>
            <w:vAlign w:val="center"/>
          </w:tcPr>
          <w:p w14:paraId="2F063DC4"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 xml:space="preserve">DG JRC </w:t>
            </w:r>
          </w:p>
        </w:tc>
        <w:tc>
          <w:tcPr>
            <w:tcW w:w="6284" w:type="dxa"/>
            <w:vAlign w:val="center"/>
          </w:tcPr>
          <w:p w14:paraId="1D7C4D84"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Directorate</w:t>
            </w:r>
          </w:p>
        </w:tc>
      </w:tr>
      <w:tr w:rsidR="001C1DB3" w:rsidRPr="00EE5690" w14:paraId="426DDD24" w14:textId="77777777" w:rsidTr="00EE5690">
        <w:trPr>
          <w:trHeight w:hRule="exact" w:val="567"/>
        </w:trPr>
        <w:tc>
          <w:tcPr>
            <w:tcW w:w="2113" w:type="dxa"/>
            <w:shd w:val="clear" w:color="auto" w:fill="DBF6B9" w:themeFill="accent3" w:themeFillTint="66"/>
            <w:vAlign w:val="center"/>
          </w:tcPr>
          <w:p w14:paraId="5A6AF429" w14:textId="77777777" w:rsidR="001C1DB3" w:rsidRPr="00EE5690" w:rsidRDefault="001C1DB3" w:rsidP="00EE5690">
            <w:pPr>
              <w:spacing w:before="0" w:after="0" w:line="240" w:lineRule="auto"/>
              <w:jc w:val="left"/>
              <w:rPr>
                <w:rFonts w:cs="Arial"/>
                <w:lang w:val="en-GB"/>
              </w:rPr>
            </w:pPr>
            <w:r w:rsidRPr="00EE5690">
              <w:rPr>
                <w:rFonts w:cs="Arial"/>
                <w:lang w:val="en-GB"/>
              </w:rPr>
              <w:t>EAFRD</w:t>
            </w:r>
          </w:p>
        </w:tc>
        <w:tc>
          <w:tcPr>
            <w:tcW w:w="6284" w:type="dxa"/>
            <w:vAlign w:val="center"/>
          </w:tcPr>
          <w:p w14:paraId="54259FBC" w14:textId="77777777" w:rsidR="001C1DB3" w:rsidRPr="00EE5690" w:rsidRDefault="001C1DB3" w:rsidP="00EE5690">
            <w:pPr>
              <w:spacing w:before="0" w:after="0" w:line="240" w:lineRule="auto"/>
              <w:jc w:val="left"/>
              <w:rPr>
                <w:rFonts w:cs="Arial"/>
                <w:lang w:val="en-GB"/>
              </w:rPr>
            </w:pPr>
            <w:r w:rsidRPr="00EE5690">
              <w:rPr>
                <w:rFonts w:cs="Arial"/>
                <w:lang w:val="en-GB"/>
              </w:rPr>
              <w:t>European Agricultural Fund for Rural Development</w:t>
            </w:r>
          </w:p>
        </w:tc>
      </w:tr>
      <w:tr w:rsidR="001C1DB3" w:rsidRPr="00EE5690" w14:paraId="43E6276C" w14:textId="77777777" w:rsidTr="00EE5690">
        <w:trPr>
          <w:trHeight w:hRule="exact" w:val="567"/>
        </w:trPr>
        <w:tc>
          <w:tcPr>
            <w:tcW w:w="2113" w:type="dxa"/>
            <w:shd w:val="clear" w:color="auto" w:fill="DBF6B9" w:themeFill="accent3" w:themeFillTint="66"/>
            <w:vAlign w:val="center"/>
          </w:tcPr>
          <w:p w14:paraId="0BC992DC" w14:textId="77777777" w:rsidR="001C1DB3" w:rsidRPr="00EE5690" w:rsidRDefault="001C1DB3" w:rsidP="00EE5690">
            <w:pPr>
              <w:spacing w:before="0" w:after="0" w:line="240" w:lineRule="auto"/>
              <w:jc w:val="left"/>
              <w:rPr>
                <w:rFonts w:cs="Arial"/>
                <w:lang w:val="en-GB"/>
              </w:rPr>
            </w:pPr>
            <w:r w:rsidRPr="00EE5690">
              <w:rPr>
                <w:rFonts w:cs="Arial"/>
                <w:lang w:val="en-GB"/>
              </w:rPr>
              <w:t>EC</w:t>
            </w:r>
          </w:p>
        </w:tc>
        <w:tc>
          <w:tcPr>
            <w:tcW w:w="6284" w:type="dxa"/>
            <w:vAlign w:val="center"/>
          </w:tcPr>
          <w:p w14:paraId="4F13C129" w14:textId="77777777" w:rsidR="001C1DB3" w:rsidRPr="00EE5690" w:rsidRDefault="001C1DB3" w:rsidP="00EE5690">
            <w:pPr>
              <w:spacing w:before="0" w:after="0" w:line="240" w:lineRule="auto"/>
              <w:jc w:val="left"/>
              <w:rPr>
                <w:rFonts w:cs="Arial"/>
                <w:lang w:val="en-GB"/>
              </w:rPr>
            </w:pPr>
            <w:r w:rsidRPr="00EE5690">
              <w:rPr>
                <w:rFonts w:cs="Arial"/>
                <w:lang w:val="en-GB"/>
              </w:rPr>
              <w:t>European Commission</w:t>
            </w:r>
          </w:p>
        </w:tc>
      </w:tr>
      <w:tr w:rsidR="001C1DB3" w:rsidRPr="00EE5690" w14:paraId="1DCB85FB" w14:textId="77777777" w:rsidTr="00EE5690">
        <w:trPr>
          <w:trHeight w:hRule="exact" w:val="567"/>
        </w:trPr>
        <w:tc>
          <w:tcPr>
            <w:tcW w:w="2113" w:type="dxa"/>
            <w:shd w:val="clear" w:color="auto" w:fill="DBF6B9" w:themeFill="accent3" w:themeFillTint="66"/>
            <w:vAlign w:val="center"/>
          </w:tcPr>
          <w:p w14:paraId="6F8338CB" w14:textId="77777777" w:rsidR="001C1DB3" w:rsidRPr="00EE5690" w:rsidRDefault="001C1DB3" w:rsidP="00EE5690">
            <w:pPr>
              <w:spacing w:before="0" w:after="0" w:line="240" w:lineRule="auto"/>
              <w:jc w:val="left"/>
              <w:rPr>
                <w:rFonts w:cs="Arial"/>
                <w:lang w:val="en-GB"/>
              </w:rPr>
            </w:pPr>
            <w:r w:rsidRPr="00EE5690">
              <w:rPr>
                <w:rFonts w:cs="Arial"/>
                <w:lang w:val="en-GB"/>
              </w:rPr>
              <w:t>EFFIS</w:t>
            </w:r>
          </w:p>
        </w:tc>
        <w:tc>
          <w:tcPr>
            <w:tcW w:w="6284" w:type="dxa"/>
            <w:vAlign w:val="center"/>
          </w:tcPr>
          <w:p w14:paraId="1826A66E" w14:textId="77777777" w:rsidR="001C1DB3" w:rsidRPr="00EE5690" w:rsidRDefault="001C1DB3" w:rsidP="00EE5690">
            <w:pPr>
              <w:spacing w:before="0" w:after="0" w:line="240" w:lineRule="auto"/>
              <w:jc w:val="left"/>
              <w:rPr>
                <w:rFonts w:cs="Arial"/>
                <w:lang w:val="en-GB"/>
              </w:rPr>
            </w:pPr>
            <w:r w:rsidRPr="00EE5690">
              <w:rPr>
                <w:rFonts w:cs="Arial"/>
                <w:lang w:val="en-GB"/>
              </w:rPr>
              <w:t>European Forest Fire Information System</w:t>
            </w:r>
          </w:p>
        </w:tc>
      </w:tr>
      <w:tr w:rsidR="001C1DB3" w:rsidRPr="00EE5690" w14:paraId="0071E5E8" w14:textId="77777777" w:rsidTr="00EE5690">
        <w:trPr>
          <w:trHeight w:hRule="exact" w:val="567"/>
        </w:trPr>
        <w:tc>
          <w:tcPr>
            <w:tcW w:w="2113" w:type="dxa"/>
            <w:shd w:val="clear" w:color="auto" w:fill="DBF6B9" w:themeFill="accent3" w:themeFillTint="66"/>
            <w:vAlign w:val="center"/>
          </w:tcPr>
          <w:p w14:paraId="23DFB49E" w14:textId="77777777" w:rsidR="001C1DB3" w:rsidRPr="00EE5690" w:rsidRDefault="001C1DB3" w:rsidP="00EE5690">
            <w:pPr>
              <w:spacing w:before="0" w:after="0" w:line="240" w:lineRule="auto"/>
              <w:jc w:val="left"/>
              <w:rPr>
                <w:rFonts w:cs="Arial"/>
                <w:lang w:val="en-GB"/>
              </w:rPr>
            </w:pPr>
            <w:r w:rsidRPr="00EE5690">
              <w:rPr>
                <w:rFonts w:cs="Arial"/>
                <w:lang w:val="en-GB"/>
              </w:rPr>
              <w:lastRenderedPageBreak/>
              <w:t>EIAH</w:t>
            </w:r>
          </w:p>
        </w:tc>
        <w:tc>
          <w:tcPr>
            <w:tcW w:w="6284" w:type="dxa"/>
            <w:vAlign w:val="center"/>
          </w:tcPr>
          <w:p w14:paraId="5820E159" w14:textId="77777777" w:rsidR="001C1DB3" w:rsidRPr="00EE5690" w:rsidRDefault="001C1DB3" w:rsidP="00EE5690">
            <w:pPr>
              <w:spacing w:before="0" w:after="0" w:line="240" w:lineRule="auto"/>
              <w:jc w:val="left"/>
              <w:rPr>
                <w:rFonts w:cs="Arial"/>
                <w:lang w:val="en-GB"/>
              </w:rPr>
            </w:pPr>
            <w:r w:rsidRPr="00EE5690">
              <w:rPr>
                <w:rFonts w:cs="Arial"/>
                <w:lang w:val="en-GB"/>
              </w:rPr>
              <w:t>European Investment Advisory Hub</w:t>
            </w:r>
          </w:p>
        </w:tc>
      </w:tr>
      <w:tr w:rsidR="00524C1B" w:rsidRPr="00EE5690" w14:paraId="497B04FE" w14:textId="77777777" w:rsidTr="00EE5690">
        <w:trPr>
          <w:trHeight w:hRule="exact" w:val="567"/>
        </w:trPr>
        <w:tc>
          <w:tcPr>
            <w:tcW w:w="2113" w:type="dxa"/>
            <w:shd w:val="clear" w:color="auto" w:fill="DBF6B9"/>
            <w:vAlign w:val="center"/>
          </w:tcPr>
          <w:p w14:paraId="6B686013"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 xml:space="preserve">ER </w:t>
            </w:r>
          </w:p>
        </w:tc>
        <w:tc>
          <w:tcPr>
            <w:tcW w:w="6284" w:type="dxa"/>
            <w:vAlign w:val="center"/>
          </w:tcPr>
          <w:p w14:paraId="1E3A9BE3"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Emission Reductions</w:t>
            </w:r>
          </w:p>
        </w:tc>
      </w:tr>
      <w:tr w:rsidR="001C1DB3" w:rsidRPr="00EE5690" w14:paraId="250AE54B" w14:textId="77777777" w:rsidTr="00EE5690">
        <w:trPr>
          <w:trHeight w:hRule="exact" w:val="567"/>
        </w:trPr>
        <w:tc>
          <w:tcPr>
            <w:tcW w:w="2113" w:type="dxa"/>
            <w:shd w:val="clear" w:color="auto" w:fill="DBF6B9" w:themeFill="accent3" w:themeFillTint="66"/>
            <w:vAlign w:val="center"/>
          </w:tcPr>
          <w:p w14:paraId="2C8DAF34" w14:textId="77777777" w:rsidR="001C1DB3" w:rsidRPr="00EE5690" w:rsidRDefault="001C1DB3" w:rsidP="00EE5690">
            <w:pPr>
              <w:spacing w:before="0" w:after="0" w:line="240" w:lineRule="auto"/>
              <w:jc w:val="left"/>
              <w:rPr>
                <w:rFonts w:cs="Arial"/>
                <w:lang w:val="en-GB"/>
              </w:rPr>
            </w:pPr>
            <w:r w:rsidRPr="00EE5690">
              <w:rPr>
                <w:rFonts w:cs="Arial"/>
                <w:lang w:val="en-GB"/>
              </w:rPr>
              <w:t>ERDF</w:t>
            </w:r>
          </w:p>
        </w:tc>
        <w:tc>
          <w:tcPr>
            <w:tcW w:w="6284" w:type="dxa"/>
            <w:vAlign w:val="center"/>
          </w:tcPr>
          <w:p w14:paraId="52872107" w14:textId="77777777" w:rsidR="001C1DB3" w:rsidRPr="00EE5690" w:rsidRDefault="001C1DB3" w:rsidP="00EE5690">
            <w:pPr>
              <w:spacing w:before="0" w:after="0" w:line="240" w:lineRule="auto"/>
              <w:jc w:val="left"/>
              <w:rPr>
                <w:rFonts w:cs="Arial"/>
                <w:lang w:val="en-GB"/>
              </w:rPr>
            </w:pPr>
            <w:r w:rsidRPr="00EE5690">
              <w:rPr>
                <w:rFonts w:cs="Arial"/>
                <w:lang w:val="en-GB"/>
              </w:rPr>
              <w:t>European Regional Development Fund</w:t>
            </w:r>
          </w:p>
        </w:tc>
      </w:tr>
      <w:tr w:rsidR="00524C1B" w:rsidRPr="00EE5690" w14:paraId="083A6980" w14:textId="77777777" w:rsidTr="00EE5690">
        <w:trPr>
          <w:trHeight w:hRule="exact" w:val="567"/>
        </w:trPr>
        <w:tc>
          <w:tcPr>
            <w:tcW w:w="2113" w:type="dxa"/>
            <w:shd w:val="clear" w:color="auto" w:fill="DBF6B9"/>
            <w:vAlign w:val="center"/>
          </w:tcPr>
          <w:p w14:paraId="1F658C49"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 xml:space="preserve">ERUs </w:t>
            </w:r>
          </w:p>
        </w:tc>
        <w:tc>
          <w:tcPr>
            <w:tcW w:w="6284" w:type="dxa"/>
            <w:vAlign w:val="center"/>
          </w:tcPr>
          <w:p w14:paraId="15C3810C"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Emission Reduction Units tone of CO2</w:t>
            </w:r>
          </w:p>
        </w:tc>
      </w:tr>
      <w:tr w:rsidR="001C1DB3" w:rsidRPr="00EE5690" w14:paraId="5E0B6EA1" w14:textId="77777777" w:rsidTr="00EE5690">
        <w:trPr>
          <w:trHeight w:hRule="exact" w:val="567"/>
        </w:trPr>
        <w:tc>
          <w:tcPr>
            <w:tcW w:w="2113" w:type="dxa"/>
            <w:shd w:val="clear" w:color="auto" w:fill="DBF6B9" w:themeFill="accent3" w:themeFillTint="66"/>
            <w:vAlign w:val="center"/>
          </w:tcPr>
          <w:p w14:paraId="2E0B4504" w14:textId="77777777" w:rsidR="001C1DB3" w:rsidRPr="00EE5690" w:rsidRDefault="001C1DB3" w:rsidP="00EE5690">
            <w:pPr>
              <w:spacing w:before="0" w:after="0" w:line="240" w:lineRule="auto"/>
              <w:jc w:val="left"/>
              <w:rPr>
                <w:rFonts w:cs="Arial"/>
                <w:lang w:val="en-GB"/>
              </w:rPr>
            </w:pPr>
            <w:r w:rsidRPr="00EE5690">
              <w:rPr>
                <w:rFonts w:cs="Arial"/>
                <w:lang w:val="en-GB"/>
              </w:rPr>
              <w:t>EU</w:t>
            </w:r>
          </w:p>
        </w:tc>
        <w:tc>
          <w:tcPr>
            <w:tcW w:w="6284" w:type="dxa"/>
            <w:vAlign w:val="center"/>
          </w:tcPr>
          <w:p w14:paraId="01636AF8" w14:textId="77777777" w:rsidR="001C1DB3" w:rsidRPr="00EE5690" w:rsidRDefault="001C1DB3" w:rsidP="00EE5690">
            <w:pPr>
              <w:spacing w:before="0" w:after="0" w:line="240" w:lineRule="auto"/>
              <w:jc w:val="left"/>
              <w:rPr>
                <w:rFonts w:cs="Arial"/>
                <w:lang w:val="en-GB"/>
              </w:rPr>
            </w:pPr>
            <w:r w:rsidRPr="00EE5690">
              <w:rPr>
                <w:rFonts w:cs="Arial"/>
                <w:lang w:val="en-GB"/>
              </w:rPr>
              <w:t>European Union</w:t>
            </w:r>
          </w:p>
        </w:tc>
      </w:tr>
      <w:tr w:rsidR="00524C1B" w:rsidRPr="00EE5690" w14:paraId="39A1D5E3" w14:textId="77777777" w:rsidTr="00EE5690">
        <w:trPr>
          <w:trHeight w:hRule="exact" w:val="567"/>
        </w:trPr>
        <w:tc>
          <w:tcPr>
            <w:tcW w:w="2113" w:type="dxa"/>
            <w:shd w:val="clear" w:color="auto" w:fill="DBF6B9"/>
            <w:vAlign w:val="center"/>
          </w:tcPr>
          <w:p w14:paraId="48964079"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EUAs</w:t>
            </w:r>
          </w:p>
        </w:tc>
        <w:tc>
          <w:tcPr>
            <w:tcW w:w="6284" w:type="dxa"/>
            <w:vAlign w:val="center"/>
          </w:tcPr>
          <w:p w14:paraId="473439FF"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European Union Allowances</w:t>
            </w:r>
          </w:p>
        </w:tc>
      </w:tr>
      <w:tr w:rsidR="001C1DB3" w:rsidRPr="00EE5690" w14:paraId="4508EE7F" w14:textId="77777777" w:rsidTr="00EE5690">
        <w:trPr>
          <w:trHeight w:hRule="exact" w:val="567"/>
        </w:trPr>
        <w:tc>
          <w:tcPr>
            <w:tcW w:w="2113" w:type="dxa"/>
            <w:shd w:val="clear" w:color="auto" w:fill="DBF6B9" w:themeFill="accent3" w:themeFillTint="66"/>
            <w:vAlign w:val="center"/>
          </w:tcPr>
          <w:p w14:paraId="779FFBB7" w14:textId="77777777" w:rsidR="001C1DB3" w:rsidRPr="00EE5690" w:rsidRDefault="001C1DB3" w:rsidP="00EE5690">
            <w:pPr>
              <w:spacing w:before="0" w:after="0" w:line="240" w:lineRule="auto"/>
              <w:jc w:val="left"/>
              <w:rPr>
                <w:rFonts w:cs="Arial"/>
                <w:lang w:val="en-GB"/>
              </w:rPr>
            </w:pPr>
            <w:r w:rsidRPr="00EE5690">
              <w:rPr>
                <w:rFonts w:cs="Arial"/>
                <w:lang w:val="en-GB"/>
              </w:rPr>
              <w:t>EU ETS</w:t>
            </w:r>
          </w:p>
        </w:tc>
        <w:tc>
          <w:tcPr>
            <w:tcW w:w="6284" w:type="dxa"/>
            <w:vAlign w:val="center"/>
          </w:tcPr>
          <w:p w14:paraId="4F888FFE" w14:textId="77777777" w:rsidR="001C1DB3" w:rsidRPr="00EE5690" w:rsidRDefault="001C1DB3" w:rsidP="00EE5690">
            <w:pPr>
              <w:spacing w:before="0" w:after="0" w:line="240" w:lineRule="auto"/>
              <w:jc w:val="left"/>
              <w:rPr>
                <w:rFonts w:cs="Arial"/>
                <w:lang w:val="en-GB"/>
              </w:rPr>
            </w:pPr>
            <w:r w:rsidRPr="00EE5690">
              <w:rPr>
                <w:rFonts w:cs="Arial"/>
                <w:lang w:val="en-GB"/>
              </w:rPr>
              <w:t>European Union Emission Trading System</w:t>
            </w:r>
          </w:p>
        </w:tc>
      </w:tr>
      <w:tr w:rsidR="001C1DB3" w:rsidRPr="00EE5690" w14:paraId="3427E436" w14:textId="77777777" w:rsidTr="00EE5690">
        <w:trPr>
          <w:trHeight w:hRule="exact" w:val="567"/>
        </w:trPr>
        <w:tc>
          <w:tcPr>
            <w:tcW w:w="2113" w:type="dxa"/>
            <w:shd w:val="clear" w:color="auto" w:fill="DBF6B9" w:themeFill="accent3" w:themeFillTint="66"/>
            <w:vAlign w:val="center"/>
          </w:tcPr>
          <w:p w14:paraId="02B25535" w14:textId="77777777" w:rsidR="001C1DB3" w:rsidRPr="00EE5690" w:rsidRDefault="001C1DB3" w:rsidP="00EE5690">
            <w:pPr>
              <w:spacing w:before="0" w:after="0" w:line="240" w:lineRule="auto"/>
              <w:jc w:val="left"/>
              <w:rPr>
                <w:rFonts w:cs="Arial"/>
                <w:lang w:val="en-GB"/>
              </w:rPr>
            </w:pPr>
            <w:r w:rsidRPr="00EE5690">
              <w:rPr>
                <w:rFonts w:cs="Arial"/>
                <w:lang w:val="en-GB"/>
              </w:rPr>
              <w:t>FAO</w:t>
            </w:r>
          </w:p>
        </w:tc>
        <w:tc>
          <w:tcPr>
            <w:tcW w:w="6284" w:type="dxa"/>
            <w:vAlign w:val="center"/>
          </w:tcPr>
          <w:p w14:paraId="0E7B8848" w14:textId="77777777" w:rsidR="001C1DB3" w:rsidRPr="00EE5690" w:rsidRDefault="001C1DB3" w:rsidP="00EE5690">
            <w:pPr>
              <w:spacing w:before="0" w:after="0" w:line="240" w:lineRule="auto"/>
              <w:jc w:val="left"/>
              <w:rPr>
                <w:rFonts w:cs="Arial"/>
                <w:lang w:val="en-GB"/>
              </w:rPr>
            </w:pPr>
            <w:r w:rsidRPr="00EE5690">
              <w:rPr>
                <w:rFonts w:cs="Arial"/>
                <w:lang w:val="en-GB"/>
              </w:rPr>
              <w:t>Food and Agriculture Organization of the United Nations</w:t>
            </w:r>
          </w:p>
        </w:tc>
      </w:tr>
      <w:tr w:rsidR="00524C1B" w:rsidRPr="00EE5690" w14:paraId="5D07B3CB" w14:textId="77777777" w:rsidTr="00EE5690">
        <w:trPr>
          <w:trHeight w:hRule="exact" w:val="567"/>
        </w:trPr>
        <w:tc>
          <w:tcPr>
            <w:tcW w:w="2113" w:type="dxa"/>
            <w:shd w:val="clear" w:color="auto" w:fill="DBF6B9"/>
            <w:vAlign w:val="center"/>
          </w:tcPr>
          <w:p w14:paraId="505D139D"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FCPF</w:t>
            </w:r>
          </w:p>
        </w:tc>
        <w:tc>
          <w:tcPr>
            <w:tcW w:w="6284" w:type="dxa"/>
            <w:vAlign w:val="center"/>
          </w:tcPr>
          <w:p w14:paraId="1DC65716"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Forest Carbon Partnership Facility</w:t>
            </w:r>
          </w:p>
        </w:tc>
      </w:tr>
      <w:tr w:rsidR="001C1DB3" w:rsidRPr="00EE5690" w14:paraId="62A8506B" w14:textId="77777777" w:rsidTr="00EE5690">
        <w:trPr>
          <w:trHeight w:hRule="exact" w:val="567"/>
        </w:trPr>
        <w:tc>
          <w:tcPr>
            <w:tcW w:w="2113" w:type="dxa"/>
            <w:shd w:val="clear" w:color="auto" w:fill="DBF6B9" w:themeFill="accent3" w:themeFillTint="66"/>
            <w:vAlign w:val="center"/>
          </w:tcPr>
          <w:p w14:paraId="796AC2FB" w14:textId="77777777" w:rsidR="001C1DB3" w:rsidRPr="00EE5690" w:rsidRDefault="001C1DB3" w:rsidP="00EE5690">
            <w:pPr>
              <w:spacing w:before="0" w:after="0" w:line="240" w:lineRule="auto"/>
              <w:jc w:val="left"/>
              <w:rPr>
                <w:rFonts w:cs="Arial"/>
                <w:lang w:val="en-GB"/>
              </w:rPr>
            </w:pPr>
            <w:r w:rsidRPr="00EE5690">
              <w:rPr>
                <w:rFonts w:cs="Arial"/>
                <w:lang w:val="en-GB"/>
              </w:rPr>
              <w:t>FISE</w:t>
            </w:r>
          </w:p>
        </w:tc>
        <w:tc>
          <w:tcPr>
            <w:tcW w:w="6284" w:type="dxa"/>
            <w:vAlign w:val="center"/>
          </w:tcPr>
          <w:p w14:paraId="0FC70F72" w14:textId="77777777" w:rsidR="001C1DB3" w:rsidRPr="00EE5690" w:rsidRDefault="001C1DB3" w:rsidP="00EE5690">
            <w:pPr>
              <w:spacing w:before="0" w:after="0" w:line="240" w:lineRule="auto"/>
              <w:jc w:val="left"/>
              <w:rPr>
                <w:rFonts w:cs="Arial"/>
                <w:lang w:val="en-GB"/>
              </w:rPr>
            </w:pPr>
            <w:r w:rsidRPr="00EE5690">
              <w:rPr>
                <w:rFonts w:cs="Arial"/>
                <w:lang w:val="en-GB"/>
              </w:rPr>
              <w:t>Forest Information System for Europe</w:t>
            </w:r>
          </w:p>
        </w:tc>
      </w:tr>
      <w:tr w:rsidR="001C1DB3" w:rsidRPr="00EE5690" w14:paraId="46DA5EB0" w14:textId="77777777" w:rsidTr="00EE5690">
        <w:trPr>
          <w:trHeight w:hRule="exact" w:val="567"/>
        </w:trPr>
        <w:tc>
          <w:tcPr>
            <w:tcW w:w="2113" w:type="dxa"/>
            <w:shd w:val="clear" w:color="auto" w:fill="DBF6B9" w:themeFill="accent3" w:themeFillTint="66"/>
            <w:vAlign w:val="center"/>
          </w:tcPr>
          <w:p w14:paraId="6E220810" w14:textId="77777777" w:rsidR="001C1DB3" w:rsidRPr="00EE5690" w:rsidRDefault="001C1DB3" w:rsidP="00EE5690">
            <w:pPr>
              <w:spacing w:before="0" w:after="0" w:line="240" w:lineRule="auto"/>
              <w:jc w:val="left"/>
              <w:rPr>
                <w:rFonts w:cs="Arial"/>
                <w:lang w:val="en-GB"/>
              </w:rPr>
            </w:pPr>
            <w:r w:rsidRPr="00EE5690">
              <w:rPr>
                <w:rFonts w:cs="Arial"/>
                <w:lang w:val="en-GB"/>
              </w:rPr>
              <w:t>FMP</w:t>
            </w:r>
          </w:p>
        </w:tc>
        <w:tc>
          <w:tcPr>
            <w:tcW w:w="6284" w:type="dxa"/>
            <w:vAlign w:val="center"/>
          </w:tcPr>
          <w:p w14:paraId="2A9C3CEF" w14:textId="77777777" w:rsidR="001C1DB3" w:rsidRPr="00EE5690" w:rsidRDefault="001C1DB3" w:rsidP="00EE5690">
            <w:pPr>
              <w:spacing w:before="0" w:after="0" w:line="240" w:lineRule="auto"/>
              <w:jc w:val="left"/>
              <w:rPr>
                <w:rFonts w:cs="Arial"/>
                <w:lang w:val="en-GB"/>
              </w:rPr>
            </w:pPr>
            <w:r w:rsidRPr="00EE5690">
              <w:rPr>
                <w:rFonts w:cs="Arial"/>
                <w:lang w:val="en-GB"/>
              </w:rPr>
              <w:t>Forest Management Plan</w:t>
            </w:r>
          </w:p>
        </w:tc>
      </w:tr>
      <w:tr w:rsidR="001C1DB3" w:rsidRPr="00EE5690" w14:paraId="0BE01C0A" w14:textId="77777777" w:rsidTr="00EE5690">
        <w:trPr>
          <w:trHeight w:hRule="exact" w:val="567"/>
        </w:trPr>
        <w:tc>
          <w:tcPr>
            <w:tcW w:w="2113" w:type="dxa"/>
            <w:shd w:val="clear" w:color="auto" w:fill="DBF6B9" w:themeFill="accent3" w:themeFillTint="66"/>
            <w:vAlign w:val="center"/>
          </w:tcPr>
          <w:p w14:paraId="426F52D0" w14:textId="77777777" w:rsidR="001C1DB3" w:rsidRPr="00EE5690" w:rsidRDefault="001C1DB3" w:rsidP="00EE5690">
            <w:pPr>
              <w:spacing w:before="0" w:after="0" w:line="240" w:lineRule="auto"/>
              <w:jc w:val="left"/>
              <w:rPr>
                <w:rFonts w:cs="Arial"/>
                <w:lang w:val="en-GB"/>
              </w:rPr>
            </w:pPr>
            <w:r w:rsidRPr="00EE5690">
              <w:rPr>
                <w:rFonts w:cs="Arial"/>
                <w:lang w:val="en-GB"/>
              </w:rPr>
              <w:t>GDP</w:t>
            </w:r>
          </w:p>
        </w:tc>
        <w:tc>
          <w:tcPr>
            <w:tcW w:w="6284" w:type="dxa"/>
            <w:vAlign w:val="center"/>
          </w:tcPr>
          <w:p w14:paraId="43C8DD57" w14:textId="77777777" w:rsidR="001C1DB3" w:rsidRPr="00EE5690" w:rsidRDefault="001C1DB3" w:rsidP="00EE5690">
            <w:pPr>
              <w:spacing w:before="0" w:after="0" w:line="240" w:lineRule="auto"/>
              <w:jc w:val="left"/>
              <w:rPr>
                <w:rFonts w:cs="Arial"/>
                <w:lang w:val="en-GB"/>
              </w:rPr>
            </w:pPr>
            <w:r w:rsidRPr="00EE5690">
              <w:rPr>
                <w:rFonts w:cs="Arial"/>
                <w:lang w:val="en-GB"/>
              </w:rPr>
              <w:t>Gross Domestic Product</w:t>
            </w:r>
          </w:p>
        </w:tc>
      </w:tr>
      <w:tr w:rsidR="001C1DB3" w:rsidRPr="00EE5690" w14:paraId="5BF48D6B" w14:textId="77777777" w:rsidTr="00EE5690">
        <w:trPr>
          <w:trHeight w:hRule="exact" w:val="567"/>
        </w:trPr>
        <w:tc>
          <w:tcPr>
            <w:tcW w:w="2113" w:type="dxa"/>
            <w:shd w:val="clear" w:color="auto" w:fill="DBF6B9" w:themeFill="accent3" w:themeFillTint="66"/>
            <w:vAlign w:val="center"/>
          </w:tcPr>
          <w:p w14:paraId="2FA05F69" w14:textId="77777777" w:rsidR="001C1DB3" w:rsidRPr="00EE5690" w:rsidRDefault="001C1DB3" w:rsidP="00EE5690">
            <w:pPr>
              <w:spacing w:before="0" w:after="0" w:line="240" w:lineRule="auto"/>
              <w:jc w:val="left"/>
              <w:rPr>
                <w:rFonts w:cs="Arial"/>
                <w:lang w:val="en-GB"/>
              </w:rPr>
            </w:pPr>
            <w:r w:rsidRPr="00EE5690">
              <w:rPr>
                <w:rFonts w:cs="Arial"/>
                <w:lang w:val="en-GB"/>
              </w:rPr>
              <w:t>GEE</w:t>
            </w:r>
          </w:p>
        </w:tc>
        <w:tc>
          <w:tcPr>
            <w:tcW w:w="6284" w:type="dxa"/>
            <w:vAlign w:val="center"/>
          </w:tcPr>
          <w:p w14:paraId="36790654" w14:textId="77777777" w:rsidR="001C1DB3" w:rsidRPr="00EE5690" w:rsidRDefault="001C1DB3" w:rsidP="00EE5690">
            <w:pPr>
              <w:spacing w:before="0" w:after="0" w:line="240" w:lineRule="auto"/>
              <w:jc w:val="left"/>
              <w:rPr>
                <w:rFonts w:cs="Arial"/>
                <w:lang w:val="en-GB"/>
              </w:rPr>
            </w:pPr>
            <w:r w:rsidRPr="00EE5690">
              <w:rPr>
                <w:rFonts w:cs="Arial"/>
                <w:lang w:val="en-GB"/>
              </w:rPr>
              <w:t>Google Earth Engine</w:t>
            </w:r>
          </w:p>
        </w:tc>
      </w:tr>
      <w:tr w:rsidR="001C1DB3" w:rsidRPr="00EE5690" w14:paraId="1D4D9D8E" w14:textId="77777777" w:rsidTr="00EE5690">
        <w:trPr>
          <w:trHeight w:hRule="exact" w:val="567"/>
        </w:trPr>
        <w:tc>
          <w:tcPr>
            <w:tcW w:w="2113" w:type="dxa"/>
            <w:shd w:val="clear" w:color="auto" w:fill="DBF6B9" w:themeFill="accent3" w:themeFillTint="66"/>
            <w:vAlign w:val="center"/>
          </w:tcPr>
          <w:p w14:paraId="4FE237F5" w14:textId="77777777" w:rsidR="001C1DB3" w:rsidRPr="00EE5690" w:rsidRDefault="001C1DB3" w:rsidP="00EE5690">
            <w:pPr>
              <w:spacing w:before="0" w:after="0" w:line="240" w:lineRule="auto"/>
              <w:jc w:val="left"/>
              <w:rPr>
                <w:rFonts w:cs="Arial"/>
                <w:lang w:val="en-GB"/>
              </w:rPr>
            </w:pPr>
            <w:r w:rsidRPr="00EE5690">
              <w:rPr>
                <w:rFonts w:cs="Arial"/>
                <w:lang w:val="en-GB"/>
              </w:rPr>
              <w:t>GFCF</w:t>
            </w:r>
          </w:p>
        </w:tc>
        <w:tc>
          <w:tcPr>
            <w:tcW w:w="6284" w:type="dxa"/>
            <w:vAlign w:val="center"/>
          </w:tcPr>
          <w:p w14:paraId="34899609" w14:textId="77777777" w:rsidR="001C1DB3" w:rsidRPr="00EE5690" w:rsidRDefault="001C1DB3" w:rsidP="00EE5690">
            <w:pPr>
              <w:spacing w:before="0" w:after="0" w:line="240" w:lineRule="auto"/>
              <w:jc w:val="left"/>
              <w:rPr>
                <w:rFonts w:cs="Arial"/>
                <w:lang w:val="en-GB"/>
              </w:rPr>
            </w:pPr>
            <w:r w:rsidRPr="00EE5690">
              <w:rPr>
                <w:rFonts w:cs="Arial"/>
                <w:lang w:val="en-GB"/>
              </w:rPr>
              <w:t>Gross Fixed Capital Formation</w:t>
            </w:r>
          </w:p>
        </w:tc>
      </w:tr>
      <w:tr w:rsidR="001C1DB3" w:rsidRPr="00EE5690" w14:paraId="0855CC3B" w14:textId="77777777" w:rsidTr="00EE5690">
        <w:trPr>
          <w:trHeight w:hRule="exact" w:val="567"/>
        </w:trPr>
        <w:tc>
          <w:tcPr>
            <w:tcW w:w="2113" w:type="dxa"/>
            <w:shd w:val="clear" w:color="auto" w:fill="DBF6B9" w:themeFill="accent3" w:themeFillTint="66"/>
            <w:vAlign w:val="center"/>
          </w:tcPr>
          <w:p w14:paraId="45A21299" w14:textId="77777777" w:rsidR="001C1DB3" w:rsidRPr="00EE5690" w:rsidRDefault="001C1DB3" w:rsidP="00EE5690">
            <w:pPr>
              <w:spacing w:before="0" w:after="0" w:line="240" w:lineRule="auto"/>
              <w:jc w:val="left"/>
              <w:rPr>
                <w:rFonts w:cs="Arial"/>
                <w:lang w:val="en-GB"/>
              </w:rPr>
            </w:pPr>
            <w:r w:rsidRPr="00EE5690">
              <w:rPr>
                <w:rFonts w:cs="Arial"/>
                <w:lang w:val="en-GB"/>
              </w:rPr>
              <w:t>GHG</w:t>
            </w:r>
          </w:p>
        </w:tc>
        <w:tc>
          <w:tcPr>
            <w:tcW w:w="6284" w:type="dxa"/>
            <w:vAlign w:val="center"/>
          </w:tcPr>
          <w:p w14:paraId="75B05264" w14:textId="77777777" w:rsidR="001C1DB3" w:rsidRPr="00EE5690" w:rsidRDefault="001C1DB3" w:rsidP="00EE5690">
            <w:pPr>
              <w:spacing w:before="0" w:after="0" w:line="240" w:lineRule="auto"/>
              <w:jc w:val="left"/>
              <w:rPr>
                <w:rFonts w:cs="Arial"/>
                <w:lang w:val="en-GB"/>
              </w:rPr>
            </w:pPr>
            <w:r w:rsidRPr="00EE5690">
              <w:rPr>
                <w:rFonts w:cs="Arial"/>
                <w:lang w:val="en-GB"/>
              </w:rPr>
              <w:t>Greenhouse Gases</w:t>
            </w:r>
          </w:p>
        </w:tc>
      </w:tr>
      <w:tr w:rsidR="00524C1B" w:rsidRPr="00EE5690" w14:paraId="4C2580CC" w14:textId="77777777" w:rsidTr="00EE5690">
        <w:trPr>
          <w:trHeight w:hRule="exact" w:val="567"/>
        </w:trPr>
        <w:tc>
          <w:tcPr>
            <w:tcW w:w="2113" w:type="dxa"/>
            <w:shd w:val="clear" w:color="auto" w:fill="DBF6B9"/>
            <w:vAlign w:val="center"/>
          </w:tcPr>
          <w:p w14:paraId="68344FE2"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GS</w:t>
            </w:r>
          </w:p>
        </w:tc>
        <w:tc>
          <w:tcPr>
            <w:tcW w:w="6284" w:type="dxa"/>
            <w:vAlign w:val="center"/>
          </w:tcPr>
          <w:p w14:paraId="39E97475"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Gold Standard</w:t>
            </w:r>
          </w:p>
        </w:tc>
      </w:tr>
      <w:tr w:rsidR="001C1DB3" w:rsidRPr="00EE5690" w14:paraId="6DFA958E" w14:textId="77777777" w:rsidTr="00EE5690">
        <w:trPr>
          <w:trHeight w:hRule="exact" w:val="567"/>
        </w:trPr>
        <w:tc>
          <w:tcPr>
            <w:tcW w:w="2113" w:type="dxa"/>
            <w:shd w:val="clear" w:color="auto" w:fill="DBF6B9" w:themeFill="accent3" w:themeFillTint="66"/>
            <w:vAlign w:val="center"/>
          </w:tcPr>
          <w:p w14:paraId="5E889753" w14:textId="77777777" w:rsidR="001C1DB3" w:rsidRPr="00EE5690" w:rsidRDefault="001C1DB3" w:rsidP="00EE5690">
            <w:pPr>
              <w:spacing w:before="0" w:after="0" w:line="240" w:lineRule="auto"/>
              <w:jc w:val="left"/>
              <w:rPr>
                <w:rFonts w:cs="Arial"/>
                <w:lang w:val="en-GB"/>
              </w:rPr>
            </w:pPr>
            <w:r w:rsidRPr="00EE5690">
              <w:rPr>
                <w:rFonts w:cs="Arial"/>
                <w:lang w:val="en-GB"/>
              </w:rPr>
              <w:t>GSD</w:t>
            </w:r>
          </w:p>
        </w:tc>
        <w:tc>
          <w:tcPr>
            <w:tcW w:w="6284" w:type="dxa"/>
            <w:vAlign w:val="center"/>
          </w:tcPr>
          <w:p w14:paraId="39222538" w14:textId="77777777" w:rsidR="001C1DB3" w:rsidRPr="00EE5690" w:rsidRDefault="001C1DB3" w:rsidP="00EE5690">
            <w:pPr>
              <w:spacing w:before="0" w:after="0" w:line="240" w:lineRule="auto"/>
              <w:jc w:val="left"/>
              <w:rPr>
                <w:rFonts w:cs="Arial"/>
                <w:lang w:val="en-GB"/>
              </w:rPr>
            </w:pPr>
            <w:r w:rsidRPr="00EE5690">
              <w:rPr>
                <w:rFonts w:cs="Arial"/>
                <w:lang w:val="en-GB"/>
              </w:rPr>
              <w:t>Ground Sampling Distance</w:t>
            </w:r>
          </w:p>
        </w:tc>
      </w:tr>
      <w:tr w:rsidR="001C1DB3" w:rsidRPr="00EE5690" w14:paraId="04B93A2D" w14:textId="77777777" w:rsidTr="00EE5690">
        <w:trPr>
          <w:trHeight w:hRule="exact" w:val="567"/>
        </w:trPr>
        <w:tc>
          <w:tcPr>
            <w:tcW w:w="2113" w:type="dxa"/>
            <w:shd w:val="clear" w:color="auto" w:fill="DBF6B9" w:themeFill="accent3" w:themeFillTint="66"/>
            <w:vAlign w:val="center"/>
          </w:tcPr>
          <w:p w14:paraId="41485BFA" w14:textId="77777777" w:rsidR="001C1DB3" w:rsidRPr="00EE5690" w:rsidRDefault="001C1DB3" w:rsidP="00EE5690">
            <w:pPr>
              <w:spacing w:before="0" w:after="0" w:line="240" w:lineRule="auto"/>
              <w:jc w:val="left"/>
              <w:rPr>
                <w:rFonts w:cs="Arial"/>
                <w:lang w:val="en-GB"/>
              </w:rPr>
            </w:pPr>
            <w:r w:rsidRPr="00EE5690">
              <w:rPr>
                <w:rFonts w:cs="Arial"/>
                <w:lang w:val="en-GB"/>
              </w:rPr>
              <w:t>GVA</w:t>
            </w:r>
          </w:p>
        </w:tc>
        <w:tc>
          <w:tcPr>
            <w:tcW w:w="6284" w:type="dxa"/>
            <w:vAlign w:val="center"/>
          </w:tcPr>
          <w:p w14:paraId="0FFD552C" w14:textId="77777777" w:rsidR="001C1DB3" w:rsidRPr="00EE5690" w:rsidRDefault="001C1DB3" w:rsidP="00EE5690">
            <w:pPr>
              <w:spacing w:before="0" w:after="0" w:line="240" w:lineRule="auto"/>
              <w:jc w:val="left"/>
              <w:rPr>
                <w:rFonts w:cs="Arial"/>
                <w:lang w:val="en-GB"/>
              </w:rPr>
            </w:pPr>
            <w:r w:rsidRPr="00EE5690">
              <w:rPr>
                <w:rFonts w:cs="Arial"/>
              </w:rPr>
              <w:t>Gross Value Added</w:t>
            </w:r>
          </w:p>
        </w:tc>
      </w:tr>
      <w:tr w:rsidR="001C1DB3" w:rsidRPr="00EE5690" w14:paraId="21569F03" w14:textId="77777777" w:rsidTr="00EE5690">
        <w:trPr>
          <w:trHeight w:hRule="exact" w:val="567"/>
        </w:trPr>
        <w:tc>
          <w:tcPr>
            <w:tcW w:w="2113" w:type="dxa"/>
            <w:shd w:val="clear" w:color="auto" w:fill="DBF6B9" w:themeFill="accent3" w:themeFillTint="66"/>
            <w:vAlign w:val="center"/>
          </w:tcPr>
          <w:p w14:paraId="50F984DF" w14:textId="77777777" w:rsidR="001C1DB3" w:rsidRPr="00EE5690" w:rsidRDefault="001C1DB3" w:rsidP="00EE5690">
            <w:pPr>
              <w:spacing w:before="0" w:after="0" w:line="240" w:lineRule="auto"/>
              <w:jc w:val="left"/>
              <w:rPr>
                <w:rFonts w:cs="Arial"/>
                <w:lang w:val="en-GB"/>
              </w:rPr>
            </w:pPr>
            <w:r w:rsidRPr="00EE5690">
              <w:rPr>
                <w:rFonts w:cs="Arial"/>
                <w:lang w:val="en-GB"/>
              </w:rPr>
              <w:t>HESC</w:t>
            </w:r>
          </w:p>
        </w:tc>
        <w:tc>
          <w:tcPr>
            <w:tcW w:w="6284" w:type="dxa"/>
            <w:vAlign w:val="center"/>
          </w:tcPr>
          <w:p w14:paraId="0F6B4584" w14:textId="77777777" w:rsidR="001C1DB3" w:rsidRPr="00EE5690" w:rsidRDefault="001C1DB3" w:rsidP="00EE5690">
            <w:pPr>
              <w:spacing w:before="0" w:after="0" w:line="240" w:lineRule="auto"/>
              <w:jc w:val="left"/>
              <w:rPr>
                <w:rFonts w:cs="Arial"/>
                <w:lang w:val="en-GB"/>
              </w:rPr>
            </w:pPr>
            <w:r w:rsidRPr="00EE5690">
              <w:rPr>
                <w:rFonts w:cs="Arial"/>
              </w:rPr>
              <w:t>Human Environment</w:t>
            </w:r>
          </w:p>
        </w:tc>
      </w:tr>
      <w:tr w:rsidR="00524C1B" w:rsidRPr="00EE5690" w14:paraId="1E2AA84F" w14:textId="77777777" w:rsidTr="00EE5690">
        <w:trPr>
          <w:trHeight w:hRule="exact" w:val="567"/>
        </w:trPr>
        <w:tc>
          <w:tcPr>
            <w:tcW w:w="2113" w:type="dxa"/>
            <w:shd w:val="clear" w:color="auto" w:fill="DBF6B9"/>
            <w:vAlign w:val="center"/>
          </w:tcPr>
          <w:p w14:paraId="4CA7B3E9"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 xml:space="preserve">ICAP </w:t>
            </w:r>
          </w:p>
        </w:tc>
        <w:tc>
          <w:tcPr>
            <w:tcW w:w="6284" w:type="dxa"/>
            <w:vAlign w:val="center"/>
          </w:tcPr>
          <w:p w14:paraId="58ADC9FC"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International Carbon Action Partnership</w:t>
            </w:r>
          </w:p>
        </w:tc>
      </w:tr>
      <w:tr w:rsidR="00524C1B" w:rsidRPr="00EE5690" w14:paraId="3C057F8E" w14:textId="77777777" w:rsidTr="00EE5690">
        <w:trPr>
          <w:trHeight w:hRule="exact" w:val="567"/>
        </w:trPr>
        <w:tc>
          <w:tcPr>
            <w:tcW w:w="2113" w:type="dxa"/>
            <w:shd w:val="clear" w:color="auto" w:fill="DBF6B9"/>
            <w:vAlign w:val="center"/>
          </w:tcPr>
          <w:p w14:paraId="6587976B"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 xml:space="preserve">ICAO </w:t>
            </w:r>
          </w:p>
        </w:tc>
        <w:tc>
          <w:tcPr>
            <w:tcW w:w="6284" w:type="dxa"/>
            <w:vAlign w:val="center"/>
          </w:tcPr>
          <w:p w14:paraId="1DC8D0F8"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International Civil Aviation Organization</w:t>
            </w:r>
          </w:p>
        </w:tc>
      </w:tr>
      <w:tr w:rsidR="00524C1B" w:rsidRPr="00EE5690" w14:paraId="6E36401A" w14:textId="77777777" w:rsidTr="00EE5690">
        <w:trPr>
          <w:trHeight w:hRule="exact" w:val="567"/>
        </w:trPr>
        <w:tc>
          <w:tcPr>
            <w:tcW w:w="2113" w:type="dxa"/>
            <w:shd w:val="clear" w:color="auto" w:fill="DBF6B9"/>
            <w:vAlign w:val="center"/>
          </w:tcPr>
          <w:p w14:paraId="44AE09F3"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 xml:space="preserve">INDC </w:t>
            </w:r>
          </w:p>
        </w:tc>
        <w:tc>
          <w:tcPr>
            <w:tcW w:w="6284" w:type="dxa"/>
            <w:vAlign w:val="center"/>
          </w:tcPr>
          <w:p w14:paraId="63C0958D" w14:textId="77777777" w:rsidR="00524C1B" w:rsidRPr="00EE5690" w:rsidRDefault="00524C1B" w:rsidP="00EE5690">
            <w:pPr>
              <w:spacing w:after="0" w:line="240" w:lineRule="auto"/>
              <w:jc w:val="left"/>
              <w:rPr>
                <w:rFonts w:eastAsia="Calibri" w:cs="Arial"/>
                <w:color w:val="000000"/>
              </w:rPr>
            </w:pPr>
            <w:r w:rsidRPr="00EE5690">
              <w:rPr>
                <w:rFonts w:eastAsia="Calibri" w:cs="Arial"/>
                <w:color w:val="000000"/>
              </w:rPr>
              <w:t>Intended Nationally Determined Contribution</w:t>
            </w:r>
          </w:p>
        </w:tc>
      </w:tr>
      <w:tr w:rsidR="00D14218" w:rsidRPr="00EE5690" w14:paraId="6EEA4C49" w14:textId="77777777" w:rsidTr="00EE5690">
        <w:trPr>
          <w:trHeight w:hRule="exact" w:val="567"/>
        </w:trPr>
        <w:tc>
          <w:tcPr>
            <w:tcW w:w="2113" w:type="dxa"/>
            <w:shd w:val="clear" w:color="auto" w:fill="DBF6B9" w:themeFill="accent3" w:themeFillTint="66"/>
            <w:vAlign w:val="center"/>
          </w:tcPr>
          <w:p w14:paraId="578F295C" w14:textId="77777777" w:rsidR="00D14218" w:rsidRPr="00EE5690" w:rsidRDefault="00D14218" w:rsidP="00EE5690">
            <w:pPr>
              <w:spacing w:before="0" w:after="0" w:line="240" w:lineRule="auto"/>
              <w:jc w:val="left"/>
              <w:rPr>
                <w:rFonts w:cs="Arial"/>
                <w:lang w:val="en-GB"/>
              </w:rPr>
            </w:pPr>
            <w:r w:rsidRPr="00EE5690">
              <w:rPr>
                <w:rFonts w:cs="Arial"/>
                <w:lang w:val="en-GB"/>
              </w:rPr>
              <w:t>IPCC</w:t>
            </w:r>
          </w:p>
        </w:tc>
        <w:tc>
          <w:tcPr>
            <w:tcW w:w="6284" w:type="dxa"/>
            <w:vAlign w:val="center"/>
          </w:tcPr>
          <w:p w14:paraId="2A328378" w14:textId="77777777" w:rsidR="00D14218" w:rsidRPr="00EE5690" w:rsidRDefault="00D14218" w:rsidP="00EE5690">
            <w:pPr>
              <w:spacing w:before="0" w:after="0" w:line="240" w:lineRule="auto"/>
              <w:jc w:val="left"/>
              <w:rPr>
                <w:rFonts w:cs="Arial"/>
                <w:lang w:val="en-GB"/>
              </w:rPr>
            </w:pPr>
            <w:r w:rsidRPr="00EE5690">
              <w:rPr>
                <w:rFonts w:cs="Arial"/>
                <w:lang w:val="en-GB"/>
              </w:rPr>
              <w:t>Intergovernmental Panel on Climate Change</w:t>
            </w:r>
          </w:p>
        </w:tc>
      </w:tr>
      <w:tr w:rsidR="00EE5690" w:rsidRPr="00EE5690" w14:paraId="56D5F8B7" w14:textId="77777777" w:rsidTr="00EE5690">
        <w:trPr>
          <w:trHeight w:hRule="exact" w:val="567"/>
        </w:trPr>
        <w:tc>
          <w:tcPr>
            <w:tcW w:w="2113" w:type="dxa"/>
            <w:shd w:val="clear" w:color="auto" w:fill="DBF6B9"/>
            <w:vAlign w:val="center"/>
          </w:tcPr>
          <w:p w14:paraId="2896454D" w14:textId="77777777" w:rsidR="00EE5690" w:rsidRPr="00EE5690" w:rsidRDefault="00EE5690" w:rsidP="00EE5690">
            <w:pPr>
              <w:spacing w:after="0" w:line="240" w:lineRule="auto"/>
              <w:jc w:val="left"/>
              <w:rPr>
                <w:rFonts w:eastAsia="Calibri" w:cs="Arial"/>
                <w:color w:val="000000"/>
              </w:rPr>
            </w:pPr>
            <w:r w:rsidRPr="00EE5690">
              <w:rPr>
                <w:rFonts w:eastAsia="Calibri" w:cs="Arial"/>
                <w:color w:val="000000"/>
              </w:rPr>
              <w:lastRenderedPageBreak/>
              <w:t xml:space="preserve">ITEA </w:t>
            </w:r>
          </w:p>
        </w:tc>
        <w:tc>
          <w:tcPr>
            <w:tcW w:w="6284" w:type="dxa"/>
            <w:vAlign w:val="center"/>
          </w:tcPr>
          <w:p w14:paraId="27ED54AB" w14:textId="77777777" w:rsidR="00EE5690" w:rsidRPr="00EE5690" w:rsidRDefault="00EE5690" w:rsidP="00EE5690">
            <w:pPr>
              <w:spacing w:after="0" w:line="240" w:lineRule="auto"/>
              <w:jc w:val="left"/>
              <w:rPr>
                <w:rFonts w:eastAsia="Calibri" w:cs="Arial"/>
                <w:color w:val="000000"/>
              </w:rPr>
            </w:pPr>
            <w:r w:rsidRPr="00EE5690">
              <w:rPr>
                <w:rFonts w:eastAsia="Calibri" w:cs="Arial"/>
                <w:color w:val="000000"/>
              </w:rPr>
              <w:t>International Emissions Trading Association</w:t>
            </w:r>
          </w:p>
        </w:tc>
      </w:tr>
      <w:tr w:rsidR="00EE5690" w:rsidRPr="00EE5690" w14:paraId="16853E0F" w14:textId="77777777" w:rsidTr="00EE5690">
        <w:trPr>
          <w:trHeight w:hRule="exact" w:val="567"/>
        </w:trPr>
        <w:tc>
          <w:tcPr>
            <w:tcW w:w="2113" w:type="dxa"/>
            <w:shd w:val="clear" w:color="auto" w:fill="DBF6B9"/>
            <w:vAlign w:val="center"/>
          </w:tcPr>
          <w:p w14:paraId="31F7BA26" w14:textId="77777777" w:rsidR="00EE5690" w:rsidRPr="00EE5690" w:rsidRDefault="00EE5690" w:rsidP="00EE5690">
            <w:pPr>
              <w:spacing w:after="0" w:line="240" w:lineRule="auto"/>
              <w:jc w:val="left"/>
              <w:rPr>
                <w:rFonts w:eastAsia="Calibri" w:cs="Arial"/>
                <w:color w:val="000000"/>
              </w:rPr>
            </w:pPr>
            <w:r w:rsidRPr="00EE5690">
              <w:rPr>
                <w:rFonts w:eastAsia="Calibri" w:cs="Arial"/>
                <w:color w:val="000000"/>
              </w:rPr>
              <w:t>ITMO</w:t>
            </w:r>
          </w:p>
        </w:tc>
        <w:tc>
          <w:tcPr>
            <w:tcW w:w="6284" w:type="dxa"/>
            <w:vAlign w:val="center"/>
          </w:tcPr>
          <w:p w14:paraId="07AD182D" w14:textId="77777777" w:rsidR="00EE5690" w:rsidRPr="00EE5690" w:rsidRDefault="00EE5690" w:rsidP="00EE5690">
            <w:pPr>
              <w:spacing w:after="0" w:line="240" w:lineRule="auto"/>
              <w:jc w:val="left"/>
              <w:rPr>
                <w:rFonts w:eastAsia="Calibri" w:cs="Arial"/>
                <w:color w:val="000000"/>
              </w:rPr>
            </w:pPr>
            <w:r w:rsidRPr="00EE5690">
              <w:rPr>
                <w:rFonts w:eastAsia="Calibri" w:cs="Arial"/>
                <w:color w:val="000000"/>
              </w:rPr>
              <w:t>Internationally Transferrable Mitigation Outcomes</w:t>
            </w:r>
          </w:p>
        </w:tc>
      </w:tr>
      <w:tr w:rsidR="00D14218" w:rsidRPr="00EE5690" w14:paraId="32158AA7" w14:textId="77777777" w:rsidTr="00EE5690">
        <w:trPr>
          <w:trHeight w:hRule="exact" w:val="567"/>
        </w:trPr>
        <w:tc>
          <w:tcPr>
            <w:tcW w:w="2113" w:type="dxa"/>
            <w:shd w:val="clear" w:color="auto" w:fill="DBF6B9" w:themeFill="accent3" w:themeFillTint="66"/>
            <w:vAlign w:val="center"/>
          </w:tcPr>
          <w:p w14:paraId="2D7D877A" w14:textId="77777777" w:rsidR="00D14218" w:rsidRPr="00EE5690" w:rsidRDefault="00D14218" w:rsidP="00EE5690">
            <w:pPr>
              <w:spacing w:before="0" w:after="0" w:line="240" w:lineRule="auto"/>
              <w:jc w:val="left"/>
              <w:rPr>
                <w:rFonts w:cs="Arial"/>
                <w:lang w:val="en-GB"/>
              </w:rPr>
            </w:pPr>
            <w:r w:rsidRPr="00EE5690">
              <w:rPr>
                <w:rFonts w:cs="Arial"/>
                <w:lang w:val="en-GB"/>
              </w:rPr>
              <w:t>ITTO</w:t>
            </w:r>
          </w:p>
        </w:tc>
        <w:tc>
          <w:tcPr>
            <w:tcW w:w="6284" w:type="dxa"/>
            <w:vAlign w:val="center"/>
          </w:tcPr>
          <w:p w14:paraId="43C33002" w14:textId="7A3CBF75" w:rsidR="00D14218" w:rsidRPr="00EE5690" w:rsidRDefault="00D14218" w:rsidP="00EE5690">
            <w:pPr>
              <w:spacing w:before="0" w:after="0" w:line="240" w:lineRule="auto"/>
              <w:jc w:val="left"/>
              <w:rPr>
                <w:rFonts w:cs="Arial"/>
                <w:lang w:val="en-GB"/>
              </w:rPr>
            </w:pPr>
            <w:r w:rsidRPr="00EE5690">
              <w:rPr>
                <w:rFonts w:cs="Arial"/>
                <w:lang w:val="en-GB"/>
              </w:rPr>
              <w:t>International Tropical Timber Organization</w:t>
            </w:r>
          </w:p>
        </w:tc>
      </w:tr>
      <w:tr w:rsidR="00D14218" w:rsidRPr="00EE5690" w14:paraId="0757A459" w14:textId="77777777" w:rsidTr="00EE5690">
        <w:trPr>
          <w:trHeight w:hRule="exact" w:val="567"/>
        </w:trPr>
        <w:tc>
          <w:tcPr>
            <w:tcW w:w="2113" w:type="dxa"/>
            <w:shd w:val="clear" w:color="auto" w:fill="DBF6B9" w:themeFill="accent3" w:themeFillTint="66"/>
            <w:vAlign w:val="center"/>
          </w:tcPr>
          <w:p w14:paraId="7F74FEE8" w14:textId="77777777" w:rsidR="00D14218" w:rsidRPr="00EE5690" w:rsidRDefault="00D14218" w:rsidP="00EE5690">
            <w:pPr>
              <w:spacing w:before="0" w:after="0" w:line="240" w:lineRule="auto"/>
              <w:jc w:val="left"/>
              <w:rPr>
                <w:rFonts w:cs="Arial"/>
                <w:lang w:val="en-GB"/>
              </w:rPr>
            </w:pPr>
            <w:r w:rsidRPr="00EE5690">
              <w:rPr>
                <w:rFonts w:cs="Arial"/>
                <w:lang w:val="en-GB"/>
              </w:rPr>
              <w:t>IUCN</w:t>
            </w:r>
          </w:p>
        </w:tc>
        <w:tc>
          <w:tcPr>
            <w:tcW w:w="6284" w:type="dxa"/>
            <w:vAlign w:val="center"/>
          </w:tcPr>
          <w:p w14:paraId="46640D1B" w14:textId="7D45575A" w:rsidR="00D14218" w:rsidRPr="00EE5690" w:rsidRDefault="00D14218" w:rsidP="00EE5690">
            <w:pPr>
              <w:spacing w:before="0" w:after="0" w:line="240" w:lineRule="auto"/>
              <w:jc w:val="left"/>
              <w:rPr>
                <w:rFonts w:cs="Arial"/>
                <w:lang w:val="en-GB"/>
              </w:rPr>
            </w:pPr>
            <w:r w:rsidRPr="00EE5690">
              <w:rPr>
                <w:rFonts w:cs="Arial"/>
                <w:lang w:val="en-GB"/>
              </w:rPr>
              <w:t>International Union for Conservation of Nature</w:t>
            </w:r>
          </w:p>
        </w:tc>
      </w:tr>
      <w:tr w:rsidR="00EE5690" w:rsidRPr="00EE5690" w14:paraId="1B6062F0" w14:textId="77777777" w:rsidTr="00EE5690">
        <w:trPr>
          <w:trHeight w:hRule="exact" w:val="567"/>
        </w:trPr>
        <w:tc>
          <w:tcPr>
            <w:tcW w:w="2113" w:type="dxa"/>
            <w:shd w:val="clear" w:color="auto" w:fill="DBF6B9"/>
            <w:vAlign w:val="center"/>
          </w:tcPr>
          <w:p w14:paraId="3EB9C5DA" w14:textId="77777777" w:rsidR="00EE5690" w:rsidRPr="00EE5690" w:rsidRDefault="00EE5690" w:rsidP="00EE5690">
            <w:pPr>
              <w:spacing w:after="0" w:line="240" w:lineRule="auto"/>
              <w:jc w:val="left"/>
              <w:rPr>
                <w:rFonts w:eastAsia="Calibri" w:cs="Arial"/>
                <w:color w:val="000000"/>
              </w:rPr>
            </w:pPr>
            <w:r w:rsidRPr="00EE5690">
              <w:rPr>
                <w:rFonts w:eastAsia="Calibri" w:cs="Arial"/>
                <w:color w:val="000000"/>
              </w:rPr>
              <w:t xml:space="preserve">JI </w:t>
            </w:r>
          </w:p>
        </w:tc>
        <w:tc>
          <w:tcPr>
            <w:tcW w:w="6284" w:type="dxa"/>
            <w:vAlign w:val="center"/>
          </w:tcPr>
          <w:p w14:paraId="77E806F8" w14:textId="77777777" w:rsidR="00EE5690" w:rsidRPr="00EE5690" w:rsidRDefault="00EE5690" w:rsidP="00EE5690">
            <w:pPr>
              <w:spacing w:after="0" w:line="240" w:lineRule="auto"/>
              <w:jc w:val="left"/>
              <w:rPr>
                <w:rFonts w:eastAsia="Calibri" w:cs="Arial"/>
                <w:color w:val="000000"/>
              </w:rPr>
            </w:pPr>
            <w:r w:rsidRPr="00EE5690">
              <w:rPr>
                <w:rFonts w:eastAsia="Calibri" w:cs="Arial"/>
                <w:color w:val="000000"/>
              </w:rPr>
              <w:t>Joint Implementation</w:t>
            </w:r>
          </w:p>
        </w:tc>
      </w:tr>
      <w:tr w:rsidR="00D14218" w:rsidRPr="00EE5690" w14:paraId="744ED440" w14:textId="77777777" w:rsidTr="00EE5690">
        <w:trPr>
          <w:trHeight w:hRule="exact" w:val="567"/>
        </w:trPr>
        <w:tc>
          <w:tcPr>
            <w:tcW w:w="2113" w:type="dxa"/>
            <w:shd w:val="clear" w:color="auto" w:fill="DBF6B9" w:themeFill="accent3" w:themeFillTint="66"/>
            <w:vAlign w:val="center"/>
          </w:tcPr>
          <w:p w14:paraId="48488E26" w14:textId="77777777" w:rsidR="00D14218" w:rsidRPr="00EE5690" w:rsidRDefault="00D14218" w:rsidP="00EE5690">
            <w:pPr>
              <w:spacing w:before="0" w:after="0" w:line="240" w:lineRule="auto"/>
              <w:jc w:val="left"/>
              <w:rPr>
                <w:rFonts w:cs="Arial"/>
                <w:lang w:val="en-GB"/>
              </w:rPr>
            </w:pPr>
            <w:r w:rsidRPr="00EE5690">
              <w:rPr>
                <w:rFonts w:cs="Arial"/>
                <w:lang w:val="en-GB"/>
              </w:rPr>
              <w:t>JRC</w:t>
            </w:r>
          </w:p>
        </w:tc>
        <w:tc>
          <w:tcPr>
            <w:tcW w:w="6284" w:type="dxa"/>
            <w:vAlign w:val="center"/>
          </w:tcPr>
          <w:p w14:paraId="22821AE7" w14:textId="07FDBD22" w:rsidR="00D14218" w:rsidRPr="00EE5690" w:rsidRDefault="00D14218" w:rsidP="00EE5690">
            <w:pPr>
              <w:spacing w:before="0" w:after="0" w:line="240" w:lineRule="auto"/>
              <w:jc w:val="left"/>
              <w:rPr>
                <w:rFonts w:cs="Arial"/>
                <w:lang w:val="en-GB"/>
              </w:rPr>
            </w:pPr>
            <w:r w:rsidRPr="00EE5690">
              <w:rPr>
                <w:rFonts w:cs="Arial"/>
                <w:lang w:val="en-GB"/>
              </w:rPr>
              <w:t>Joint Research Centre</w:t>
            </w:r>
          </w:p>
        </w:tc>
      </w:tr>
      <w:tr w:rsidR="00D14218" w:rsidRPr="00EE5690" w14:paraId="52B25211" w14:textId="77777777" w:rsidTr="00EE5690">
        <w:trPr>
          <w:trHeight w:hRule="exact" w:val="567"/>
        </w:trPr>
        <w:tc>
          <w:tcPr>
            <w:tcW w:w="2113" w:type="dxa"/>
            <w:shd w:val="clear" w:color="auto" w:fill="DBF6B9" w:themeFill="accent3" w:themeFillTint="66"/>
            <w:vAlign w:val="center"/>
          </w:tcPr>
          <w:p w14:paraId="0F318E45" w14:textId="5E8ECA1A" w:rsidR="00D14218" w:rsidRPr="00EE5690" w:rsidRDefault="00D14218" w:rsidP="00EE5690">
            <w:pPr>
              <w:spacing w:before="0" w:after="0" w:line="240" w:lineRule="auto"/>
              <w:jc w:val="left"/>
              <w:rPr>
                <w:rFonts w:cs="Arial"/>
                <w:lang w:val="en-GB"/>
              </w:rPr>
            </w:pPr>
            <w:r w:rsidRPr="00EE5690">
              <w:rPr>
                <w:rFonts w:cs="Arial"/>
                <w:lang w:val="en-GB"/>
              </w:rPr>
              <w:t>LAU</w:t>
            </w:r>
          </w:p>
        </w:tc>
        <w:tc>
          <w:tcPr>
            <w:tcW w:w="6284" w:type="dxa"/>
            <w:vAlign w:val="center"/>
          </w:tcPr>
          <w:p w14:paraId="7B2B99A5" w14:textId="47BBA4B3" w:rsidR="00D14218" w:rsidRPr="00EE5690" w:rsidRDefault="00D14218" w:rsidP="00EE5690">
            <w:pPr>
              <w:spacing w:before="0" w:after="0" w:line="240" w:lineRule="auto"/>
              <w:jc w:val="left"/>
              <w:rPr>
                <w:rFonts w:cs="Arial"/>
                <w:lang w:val="en-GB"/>
              </w:rPr>
            </w:pPr>
            <w:r w:rsidRPr="00EE5690">
              <w:rPr>
                <w:rFonts w:cs="Arial"/>
                <w:lang w:val="en-GB"/>
              </w:rPr>
              <w:t>Local Administrative Units</w:t>
            </w:r>
          </w:p>
        </w:tc>
      </w:tr>
      <w:tr w:rsidR="00D14218" w:rsidRPr="00EE5690" w14:paraId="1629BB04" w14:textId="77777777" w:rsidTr="00EE5690">
        <w:trPr>
          <w:trHeight w:hRule="exact" w:val="567"/>
        </w:trPr>
        <w:tc>
          <w:tcPr>
            <w:tcW w:w="2113" w:type="dxa"/>
            <w:shd w:val="clear" w:color="auto" w:fill="DBF6B9" w:themeFill="accent3" w:themeFillTint="66"/>
            <w:vAlign w:val="center"/>
          </w:tcPr>
          <w:p w14:paraId="1E032B39" w14:textId="77777777" w:rsidR="00D14218" w:rsidRPr="00EE5690" w:rsidRDefault="00D14218" w:rsidP="00EE5690">
            <w:pPr>
              <w:spacing w:before="0" w:after="0" w:line="240" w:lineRule="auto"/>
              <w:jc w:val="left"/>
              <w:rPr>
                <w:rFonts w:cs="Arial"/>
                <w:lang w:val="en-GB"/>
              </w:rPr>
            </w:pPr>
            <w:proofErr w:type="spellStart"/>
            <w:r w:rsidRPr="00EE5690">
              <w:rPr>
                <w:rFonts w:cs="Arial"/>
                <w:lang w:val="en-GB"/>
              </w:rPr>
              <w:t>LCl</w:t>
            </w:r>
            <w:proofErr w:type="spellEnd"/>
          </w:p>
        </w:tc>
        <w:tc>
          <w:tcPr>
            <w:tcW w:w="6284" w:type="dxa"/>
            <w:vAlign w:val="center"/>
          </w:tcPr>
          <w:p w14:paraId="7A9DE366" w14:textId="6853E6C3" w:rsidR="00D14218" w:rsidRPr="00EE5690" w:rsidRDefault="00D14218" w:rsidP="00EE5690">
            <w:pPr>
              <w:spacing w:before="0" w:after="0" w:line="240" w:lineRule="auto"/>
              <w:jc w:val="left"/>
              <w:rPr>
                <w:rFonts w:cs="Arial"/>
                <w:lang w:val="en-GB"/>
              </w:rPr>
            </w:pPr>
            <w:r w:rsidRPr="00EE5690">
              <w:rPr>
                <w:rFonts w:cs="Arial"/>
                <w:lang w:val="en-GB"/>
              </w:rPr>
              <w:t>Labour Cost level</w:t>
            </w:r>
          </w:p>
        </w:tc>
      </w:tr>
      <w:tr w:rsidR="00D14218" w:rsidRPr="00EE5690" w14:paraId="79000895" w14:textId="77777777" w:rsidTr="00EE5690">
        <w:trPr>
          <w:trHeight w:hRule="exact" w:val="567"/>
        </w:trPr>
        <w:tc>
          <w:tcPr>
            <w:tcW w:w="2113" w:type="dxa"/>
            <w:shd w:val="clear" w:color="auto" w:fill="DBF6B9" w:themeFill="accent3" w:themeFillTint="66"/>
            <w:vAlign w:val="center"/>
          </w:tcPr>
          <w:p w14:paraId="59F83EC6" w14:textId="22F6AD5B" w:rsidR="00D14218" w:rsidRPr="00EE5690" w:rsidRDefault="00D14218" w:rsidP="00EE5690">
            <w:pPr>
              <w:spacing w:before="0" w:after="0" w:line="240" w:lineRule="auto"/>
              <w:jc w:val="left"/>
              <w:rPr>
                <w:rFonts w:cs="Arial"/>
                <w:lang w:val="en-GB"/>
              </w:rPr>
            </w:pPr>
            <w:r w:rsidRPr="00EE5690">
              <w:rPr>
                <w:rFonts w:cs="Arial"/>
                <w:lang w:val="en-GB"/>
              </w:rPr>
              <w:t>LULUCF</w:t>
            </w:r>
          </w:p>
        </w:tc>
        <w:tc>
          <w:tcPr>
            <w:tcW w:w="6284" w:type="dxa"/>
            <w:vAlign w:val="center"/>
          </w:tcPr>
          <w:p w14:paraId="238D2638" w14:textId="23282EB1" w:rsidR="00D14218" w:rsidRPr="00EE5690" w:rsidRDefault="00D14218" w:rsidP="00EE5690">
            <w:pPr>
              <w:spacing w:before="0" w:after="0" w:line="240" w:lineRule="auto"/>
              <w:jc w:val="left"/>
              <w:rPr>
                <w:rFonts w:cs="Arial"/>
                <w:lang w:val="en-GB"/>
              </w:rPr>
            </w:pPr>
            <w:r w:rsidRPr="00EE5690">
              <w:rPr>
                <w:rFonts w:cs="Arial"/>
                <w:lang w:val="en-GB"/>
              </w:rPr>
              <w:t>Land Use, Land-Use Change and Forestry</w:t>
            </w:r>
          </w:p>
        </w:tc>
      </w:tr>
      <w:tr w:rsidR="00D14218" w:rsidRPr="00EE5690" w14:paraId="48831029" w14:textId="77777777" w:rsidTr="00EE5690">
        <w:trPr>
          <w:trHeight w:hRule="exact" w:val="567"/>
        </w:trPr>
        <w:tc>
          <w:tcPr>
            <w:tcW w:w="2113" w:type="dxa"/>
            <w:shd w:val="clear" w:color="auto" w:fill="DBF6B9" w:themeFill="accent3" w:themeFillTint="66"/>
            <w:vAlign w:val="center"/>
          </w:tcPr>
          <w:p w14:paraId="12099C24" w14:textId="63C415BC" w:rsidR="00D14218" w:rsidRPr="00EE5690" w:rsidRDefault="00D14218" w:rsidP="00EE5690">
            <w:pPr>
              <w:spacing w:before="0" w:after="0" w:line="240" w:lineRule="auto"/>
              <w:jc w:val="left"/>
              <w:rPr>
                <w:rFonts w:cs="Arial"/>
                <w:lang w:val="en-GB"/>
              </w:rPr>
            </w:pPr>
            <w:r w:rsidRPr="00EE5690">
              <w:rPr>
                <w:rFonts w:cs="Arial"/>
                <w:lang w:val="en-GB"/>
              </w:rPr>
              <w:t>MDG</w:t>
            </w:r>
          </w:p>
        </w:tc>
        <w:tc>
          <w:tcPr>
            <w:tcW w:w="6284" w:type="dxa"/>
            <w:vAlign w:val="center"/>
          </w:tcPr>
          <w:p w14:paraId="15B7D56A" w14:textId="5BFE527B" w:rsidR="00D14218" w:rsidRPr="00EE5690" w:rsidRDefault="009C7CFE" w:rsidP="00EE5690">
            <w:pPr>
              <w:spacing w:before="0" w:after="0" w:line="240" w:lineRule="auto"/>
              <w:jc w:val="left"/>
              <w:rPr>
                <w:rFonts w:cs="Arial"/>
                <w:lang w:val="en-GB"/>
              </w:rPr>
            </w:pPr>
            <w:r w:rsidRPr="00EE5690">
              <w:rPr>
                <w:rFonts w:cs="Arial"/>
                <w:lang w:val="en-GB"/>
              </w:rPr>
              <w:t>Millennium Development Goals</w:t>
            </w:r>
          </w:p>
        </w:tc>
      </w:tr>
      <w:tr w:rsidR="00D14218" w:rsidRPr="00EE5690" w14:paraId="478E32A7" w14:textId="77777777" w:rsidTr="00EE5690">
        <w:trPr>
          <w:trHeight w:hRule="exact" w:val="567"/>
        </w:trPr>
        <w:tc>
          <w:tcPr>
            <w:tcW w:w="2113" w:type="dxa"/>
            <w:shd w:val="clear" w:color="auto" w:fill="DBF6B9" w:themeFill="accent3" w:themeFillTint="66"/>
            <w:vAlign w:val="center"/>
          </w:tcPr>
          <w:p w14:paraId="670FC7C3" w14:textId="58911EFE" w:rsidR="00D14218" w:rsidRPr="00EE5690" w:rsidRDefault="00D14218" w:rsidP="00EE5690">
            <w:pPr>
              <w:spacing w:before="0" w:after="0" w:line="240" w:lineRule="auto"/>
              <w:jc w:val="left"/>
              <w:rPr>
                <w:rFonts w:cs="Arial"/>
                <w:lang w:val="en-GB"/>
              </w:rPr>
            </w:pPr>
            <w:r w:rsidRPr="00EE5690">
              <w:rPr>
                <w:rFonts w:cs="Arial"/>
                <w:lang w:val="en-GB"/>
              </w:rPr>
              <w:t>MSI</w:t>
            </w:r>
          </w:p>
        </w:tc>
        <w:tc>
          <w:tcPr>
            <w:tcW w:w="6284" w:type="dxa"/>
            <w:vAlign w:val="center"/>
          </w:tcPr>
          <w:p w14:paraId="636F7FFF" w14:textId="476A2E75" w:rsidR="00D14218" w:rsidRPr="00EE5690" w:rsidRDefault="009C7CFE" w:rsidP="00EE5690">
            <w:pPr>
              <w:jc w:val="left"/>
              <w:rPr>
                <w:rFonts w:cs="Arial"/>
                <w:lang w:val="en-GB"/>
              </w:rPr>
            </w:pPr>
            <w:r w:rsidRPr="00EE5690">
              <w:rPr>
                <w:rFonts w:cs="Arial"/>
                <w:shd w:val="clear" w:color="auto" w:fill="FFFFFF"/>
              </w:rPr>
              <w:t>Multispectral Instrument</w:t>
            </w:r>
          </w:p>
        </w:tc>
      </w:tr>
      <w:tr w:rsidR="00EE5690" w:rsidRPr="00EE5690" w14:paraId="2AF43C52" w14:textId="77777777" w:rsidTr="00EE5690">
        <w:trPr>
          <w:trHeight w:hRule="exact" w:val="567"/>
        </w:trPr>
        <w:tc>
          <w:tcPr>
            <w:tcW w:w="2113" w:type="dxa"/>
            <w:shd w:val="clear" w:color="auto" w:fill="DBF6B9" w:themeFill="accent3" w:themeFillTint="66"/>
            <w:vAlign w:val="center"/>
          </w:tcPr>
          <w:p w14:paraId="04763623" w14:textId="65F41D5C" w:rsidR="00EE5690" w:rsidRPr="00EE5690" w:rsidRDefault="00EE5690" w:rsidP="00EE5690">
            <w:pPr>
              <w:spacing w:before="0" w:after="0" w:line="240" w:lineRule="auto"/>
              <w:jc w:val="left"/>
              <w:rPr>
                <w:rFonts w:cs="Arial"/>
                <w:lang w:val="en-GB"/>
              </w:rPr>
            </w:pPr>
            <w:r w:rsidRPr="00DB35D4">
              <w:rPr>
                <w:rFonts w:eastAsia="Calibri" w:cs="Arial"/>
                <w:color w:val="000000"/>
              </w:rPr>
              <w:t xml:space="preserve">MRV </w:t>
            </w:r>
          </w:p>
        </w:tc>
        <w:tc>
          <w:tcPr>
            <w:tcW w:w="6284" w:type="dxa"/>
            <w:vAlign w:val="bottom"/>
          </w:tcPr>
          <w:p w14:paraId="46078E8B" w14:textId="61172E5B" w:rsidR="00EE5690" w:rsidRPr="00EE5690" w:rsidRDefault="00EE5690" w:rsidP="00EE5690">
            <w:pPr>
              <w:jc w:val="left"/>
              <w:rPr>
                <w:rFonts w:cs="Arial"/>
                <w:shd w:val="clear" w:color="auto" w:fill="FFFFFF"/>
              </w:rPr>
            </w:pPr>
            <w:r w:rsidRPr="00DB35D4">
              <w:rPr>
                <w:rFonts w:eastAsia="Calibri" w:cs="Arial"/>
                <w:color w:val="000000"/>
              </w:rPr>
              <w:t>Monitoring Reporting Verification</w:t>
            </w:r>
          </w:p>
        </w:tc>
      </w:tr>
      <w:tr w:rsidR="00EE5690" w:rsidRPr="00EE5690" w14:paraId="55721AC0" w14:textId="77777777" w:rsidTr="00EE5690">
        <w:trPr>
          <w:trHeight w:hRule="exact" w:val="567"/>
        </w:trPr>
        <w:tc>
          <w:tcPr>
            <w:tcW w:w="2113" w:type="dxa"/>
            <w:shd w:val="clear" w:color="auto" w:fill="DBF6B9" w:themeFill="accent3" w:themeFillTint="66"/>
            <w:vAlign w:val="center"/>
          </w:tcPr>
          <w:p w14:paraId="353A026A" w14:textId="196005D9" w:rsidR="00EE5690" w:rsidRPr="00EE5690" w:rsidRDefault="00EE5690" w:rsidP="00EE5690">
            <w:pPr>
              <w:spacing w:before="0" w:after="0" w:line="240" w:lineRule="auto"/>
              <w:jc w:val="left"/>
              <w:rPr>
                <w:rFonts w:cs="Arial"/>
                <w:lang w:val="en-GB"/>
              </w:rPr>
            </w:pPr>
            <w:r w:rsidRPr="00EE5690">
              <w:rPr>
                <w:rFonts w:cs="Arial"/>
                <w:lang w:val="en-GB"/>
              </w:rPr>
              <w:t>MtCO2e</w:t>
            </w:r>
          </w:p>
        </w:tc>
        <w:tc>
          <w:tcPr>
            <w:tcW w:w="6284" w:type="dxa"/>
            <w:vAlign w:val="center"/>
          </w:tcPr>
          <w:p w14:paraId="0D7B7CDE" w14:textId="744B7ED3" w:rsidR="00EE5690" w:rsidRPr="00EE5690" w:rsidRDefault="00EE5690" w:rsidP="00EE5690">
            <w:pPr>
              <w:spacing w:before="0" w:after="0" w:line="240" w:lineRule="auto"/>
              <w:jc w:val="left"/>
              <w:rPr>
                <w:rFonts w:cs="Arial"/>
                <w:lang w:val="en-GB"/>
              </w:rPr>
            </w:pPr>
            <w:r w:rsidRPr="00EE5690">
              <w:rPr>
                <w:rFonts w:cs="Arial"/>
                <w:lang w:val="en-GB"/>
              </w:rPr>
              <w:t>Metric tons of carbon dioxide equivalent</w:t>
            </w:r>
          </w:p>
        </w:tc>
      </w:tr>
      <w:tr w:rsidR="00EE5690" w:rsidRPr="00EE5690" w14:paraId="781157DE" w14:textId="77777777" w:rsidTr="00EE5690">
        <w:trPr>
          <w:trHeight w:hRule="exact" w:val="567"/>
        </w:trPr>
        <w:tc>
          <w:tcPr>
            <w:tcW w:w="2113" w:type="dxa"/>
            <w:shd w:val="clear" w:color="auto" w:fill="DBF6B9" w:themeFill="accent3" w:themeFillTint="66"/>
            <w:vAlign w:val="center"/>
          </w:tcPr>
          <w:p w14:paraId="3A290F2B" w14:textId="41C23D5A" w:rsidR="00EE5690" w:rsidRPr="00EE5690" w:rsidRDefault="00EE5690" w:rsidP="00EE5690">
            <w:pPr>
              <w:spacing w:before="0" w:after="0" w:line="240" w:lineRule="auto"/>
              <w:jc w:val="left"/>
              <w:rPr>
                <w:rFonts w:cs="Arial"/>
                <w:lang w:val="en-GB"/>
              </w:rPr>
            </w:pPr>
            <w:r w:rsidRPr="00DB35D4">
              <w:rPr>
                <w:rFonts w:eastAsia="Calibri" w:cs="Arial"/>
                <w:color w:val="000000"/>
              </w:rPr>
              <w:t xml:space="preserve">NDC </w:t>
            </w:r>
          </w:p>
        </w:tc>
        <w:tc>
          <w:tcPr>
            <w:tcW w:w="6284" w:type="dxa"/>
            <w:vAlign w:val="center"/>
          </w:tcPr>
          <w:p w14:paraId="5437B46B" w14:textId="53B86AA1" w:rsidR="00EE5690" w:rsidRPr="00EE5690" w:rsidRDefault="00EE5690" w:rsidP="00EE5690">
            <w:pPr>
              <w:spacing w:before="0" w:after="0" w:line="240" w:lineRule="auto"/>
              <w:jc w:val="left"/>
              <w:rPr>
                <w:rFonts w:cs="Arial"/>
                <w:lang w:val="en-GB"/>
              </w:rPr>
            </w:pPr>
            <w:r w:rsidRPr="00DB35D4">
              <w:rPr>
                <w:rFonts w:eastAsia="Calibri" w:cs="Arial"/>
                <w:color w:val="000000"/>
              </w:rPr>
              <w:t>Nationally Determined Contributions</w:t>
            </w:r>
          </w:p>
        </w:tc>
      </w:tr>
      <w:tr w:rsidR="00EE5690" w:rsidRPr="00EE5690" w14:paraId="5F06ED76" w14:textId="77777777" w:rsidTr="00EE5690">
        <w:trPr>
          <w:trHeight w:hRule="exact" w:val="567"/>
        </w:trPr>
        <w:tc>
          <w:tcPr>
            <w:tcW w:w="2113" w:type="dxa"/>
            <w:shd w:val="clear" w:color="auto" w:fill="DBF6B9" w:themeFill="accent3" w:themeFillTint="66"/>
            <w:vAlign w:val="center"/>
          </w:tcPr>
          <w:p w14:paraId="15792A3E" w14:textId="3FB0C1EB" w:rsidR="00EE5690" w:rsidRPr="00EE5690" w:rsidRDefault="00EE5690" w:rsidP="00EE5690">
            <w:pPr>
              <w:spacing w:before="0" w:after="0" w:line="240" w:lineRule="auto"/>
              <w:jc w:val="left"/>
              <w:rPr>
                <w:rFonts w:cs="Arial"/>
                <w:lang w:val="en-GB"/>
              </w:rPr>
            </w:pPr>
            <w:r w:rsidRPr="00EE5690">
              <w:rPr>
                <w:rFonts w:cs="Arial"/>
                <w:lang w:val="en-GB"/>
              </w:rPr>
              <w:t>NE</w:t>
            </w:r>
          </w:p>
        </w:tc>
        <w:tc>
          <w:tcPr>
            <w:tcW w:w="6284" w:type="dxa"/>
            <w:vAlign w:val="center"/>
          </w:tcPr>
          <w:p w14:paraId="645654FA" w14:textId="6A19FEA4" w:rsidR="00EE5690" w:rsidRPr="00EE5690" w:rsidRDefault="00EE5690" w:rsidP="00EE5690">
            <w:pPr>
              <w:spacing w:before="0" w:after="0" w:line="240" w:lineRule="auto"/>
              <w:jc w:val="left"/>
              <w:rPr>
                <w:rFonts w:cs="Arial"/>
                <w:lang w:val="en-GB"/>
              </w:rPr>
            </w:pPr>
            <w:r w:rsidRPr="00EE5690">
              <w:rPr>
                <w:rFonts w:cs="Arial"/>
                <w:lang w:val="en-GB"/>
              </w:rPr>
              <w:t>North Europe</w:t>
            </w:r>
          </w:p>
        </w:tc>
      </w:tr>
      <w:tr w:rsidR="00EE5690" w:rsidRPr="00EE5690" w14:paraId="7E6A1E03" w14:textId="77777777" w:rsidTr="00EE5690">
        <w:trPr>
          <w:trHeight w:hRule="exact" w:val="567"/>
        </w:trPr>
        <w:tc>
          <w:tcPr>
            <w:tcW w:w="2113" w:type="dxa"/>
            <w:shd w:val="clear" w:color="auto" w:fill="DBF6B9" w:themeFill="accent3" w:themeFillTint="66"/>
            <w:vAlign w:val="center"/>
          </w:tcPr>
          <w:p w14:paraId="27D09E43" w14:textId="1CBA6646" w:rsidR="00EE5690" w:rsidRPr="00EE5690" w:rsidRDefault="00EE5690" w:rsidP="00EE5690">
            <w:pPr>
              <w:spacing w:before="0" w:after="0" w:line="240" w:lineRule="auto"/>
              <w:jc w:val="left"/>
              <w:rPr>
                <w:rFonts w:cs="Arial"/>
                <w:lang w:val="en-GB"/>
              </w:rPr>
            </w:pPr>
            <w:r w:rsidRPr="00EE5690">
              <w:rPr>
                <w:rFonts w:cs="Arial"/>
                <w:lang w:val="en-GB"/>
              </w:rPr>
              <w:t>NGO</w:t>
            </w:r>
          </w:p>
        </w:tc>
        <w:tc>
          <w:tcPr>
            <w:tcW w:w="6284" w:type="dxa"/>
            <w:vAlign w:val="center"/>
          </w:tcPr>
          <w:p w14:paraId="09543461" w14:textId="494A01D3" w:rsidR="00EE5690" w:rsidRPr="00EE5690" w:rsidRDefault="00EE5690" w:rsidP="00EE5690">
            <w:pPr>
              <w:spacing w:before="0" w:after="0" w:line="240" w:lineRule="auto"/>
              <w:jc w:val="left"/>
              <w:rPr>
                <w:rFonts w:cs="Arial"/>
                <w:lang w:val="en-GB"/>
              </w:rPr>
            </w:pPr>
            <w:r w:rsidRPr="00EE5690">
              <w:rPr>
                <w:rFonts w:cs="Arial"/>
                <w:lang w:val="en-GB"/>
              </w:rPr>
              <w:t>Non-Governmental Organization</w:t>
            </w:r>
          </w:p>
        </w:tc>
      </w:tr>
      <w:tr w:rsidR="00EE5690" w:rsidRPr="00EE5690" w14:paraId="4BEE4F9E" w14:textId="77777777" w:rsidTr="00EE5690">
        <w:trPr>
          <w:trHeight w:hRule="exact" w:val="567"/>
        </w:trPr>
        <w:tc>
          <w:tcPr>
            <w:tcW w:w="2113" w:type="dxa"/>
            <w:shd w:val="clear" w:color="auto" w:fill="DBF6B9" w:themeFill="accent3" w:themeFillTint="66"/>
            <w:vAlign w:val="center"/>
          </w:tcPr>
          <w:p w14:paraId="480E62CF" w14:textId="2DED67B5" w:rsidR="00EE5690" w:rsidRPr="00EE5690" w:rsidRDefault="00EE5690" w:rsidP="00EE5690">
            <w:pPr>
              <w:spacing w:before="0" w:after="0" w:line="240" w:lineRule="auto"/>
              <w:jc w:val="left"/>
              <w:rPr>
                <w:rFonts w:cs="Arial"/>
                <w:lang w:val="en-GB"/>
              </w:rPr>
            </w:pPr>
            <w:r w:rsidRPr="00EE5690">
              <w:rPr>
                <w:rFonts w:cs="Arial"/>
                <w:lang w:val="en-GB"/>
              </w:rPr>
              <w:t>NWG</w:t>
            </w:r>
          </w:p>
        </w:tc>
        <w:tc>
          <w:tcPr>
            <w:tcW w:w="6284" w:type="dxa"/>
            <w:vAlign w:val="center"/>
          </w:tcPr>
          <w:p w14:paraId="6AF173A4" w14:textId="1152864F" w:rsidR="00EE5690" w:rsidRPr="00EE5690" w:rsidRDefault="00EE5690" w:rsidP="00EE5690">
            <w:pPr>
              <w:spacing w:before="0" w:after="0" w:line="240" w:lineRule="auto"/>
              <w:jc w:val="left"/>
              <w:rPr>
                <w:rFonts w:cs="Arial"/>
                <w:lang w:val="en-GB"/>
              </w:rPr>
            </w:pPr>
            <w:r w:rsidRPr="00EE5690">
              <w:rPr>
                <w:rFonts w:cs="Arial"/>
                <w:lang w:val="en-GB"/>
              </w:rPr>
              <w:t>Non-Wood Goods</w:t>
            </w:r>
          </w:p>
        </w:tc>
      </w:tr>
      <w:tr w:rsidR="00EE5690" w:rsidRPr="00EE5690" w14:paraId="2CBB6714" w14:textId="77777777" w:rsidTr="00EE5690">
        <w:trPr>
          <w:trHeight w:hRule="exact" w:val="567"/>
        </w:trPr>
        <w:tc>
          <w:tcPr>
            <w:tcW w:w="2113" w:type="dxa"/>
            <w:shd w:val="clear" w:color="auto" w:fill="DBF6B9" w:themeFill="accent3" w:themeFillTint="66"/>
            <w:vAlign w:val="center"/>
          </w:tcPr>
          <w:p w14:paraId="10712FC0" w14:textId="12B4480D" w:rsidR="00EE5690" w:rsidRPr="00EE5690" w:rsidRDefault="00EE5690" w:rsidP="00EE5690">
            <w:pPr>
              <w:spacing w:before="0" w:after="0" w:line="240" w:lineRule="auto"/>
              <w:jc w:val="left"/>
              <w:rPr>
                <w:rFonts w:cs="Arial"/>
                <w:lang w:val="en-GB"/>
              </w:rPr>
            </w:pPr>
            <w:r w:rsidRPr="00EE5690">
              <w:rPr>
                <w:rFonts w:cs="Arial"/>
                <w:lang w:val="en-GB"/>
              </w:rPr>
              <w:t>NWP</w:t>
            </w:r>
          </w:p>
        </w:tc>
        <w:tc>
          <w:tcPr>
            <w:tcW w:w="6284" w:type="dxa"/>
            <w:vAlign w:val="center"/>
          </w:tcPr>
          <w:p w14:paraId="614199F0" w14:textId="49D855AE" w:rsidR="00EE5690" w:rsidRPr="00EE5690" w:rsidRDefault="00EE5690" w:rsidP="00EE5690">
            <w:pPr>
              <w:spacing w:before="0" w:after="0" w:line="240" w:lineRule="auto"/>
              <w:jc w:val="left"/>
              <w:rPr>
                <w:rFonts w:cs="Arial"/>
                <w:lang w:val="en-GB"/>
              </w:rPr>
            </w:pPr>
            <w:r w:rsidRPr="00EE5690">
              <w:rPr>
                <w:rFonts w:cs="Arial"/>
                <w:lang w:val="en-GB"/>
              </w:rPr>
              <w:t>Non-Wood Products</w:t>
            </w:r>
          </w:p>
        </w:tc>
      </w:tr>
      <w:tr w:rsidR="00EE5690" w:rsidRPr="00EE5690" w14:paraId="72032BBB" w14:textId="77777777" w:rsidTr="00EE5690">
        <w:trPr>
          <w:trHeight w:hRule="exact" w:val="567"/>
        </w:trPr>
        <w:tc>
          <w:tcPr>
            <w:tcW w:w="2113" w:type="dxa"/>
            <w:shd w:val="clear" w:color="auto" w:fill="DBF6B9" w:themeFill="accent3" w:themeFillTint="66"/>
            <w:vAlign w:val="center"/>
          </w:tcPr>
          <w:p w14:paraId="351B4C2F" w14:textId="71EECE3F" w:rsidR="00EE5690" w:rsidRPr="00EE5690" w:rsidRDefault="00EE5690" w:rsidP="00EE5690">
            <w:pPr>
              <w:spacing w:before="0" w:after="0" w:line="240" w:lineRule="auto"/>
              <w:jc w:val="left"/>
              <w:rPr>
                <w:rFonts w:cs="Arial"/>
                <w:lang w:val="en-GB"/>
              </w:rPr>
            </w:pPr>
            <w:r w:rsidRPr="00DB35D4">
              <w:rPr>
                <w:rFonts w:eastAsia="Calibri" w:cs="Arial"/>
                <w:color w:val="000000"/>
              </w:rPr>
              <w:t>OECD</w:t>
            </w:r>
          </w:p>
        </w:tc>
        <w:tc>
          <w:tcPr>
            <w:tcW w:w="6284" w:type="dxa"/>
            <w:vAlign w:val="center"/>
          </w:tcPr>
          <w:p w14:paraId="73467BAA" w14:textId="716B3F72" w:rsidR="00EE5690" w:rsidRPr="00EE5690" w:rsidRDefault="00EE5690" w:rsidP="00EE5690">
            <w:pPr>
              <w:spacing w:before="0" w:after="0" w:line="240" w:lineRule="auto"/>
              <w:jc w:val="left"/>
              <w:rPr>
                <w:rFonts w:cs="Arial"/>
                <w:lang w:val="en-GB"/>
              </w:rPr>
            </w:pPr>
            <w:r w:rsidRPr="00DB35D4">
              <w:rPr>
                <w:rFonts w:eastAsia="Calibri" w:cs="Arial"/>
                <w:color w:val="000000"/>
              </w:rPr>
              <w:t>Organization for Economic Co</w:t>
            </w:r>
          </w:p>
        </w:tc>
      </w:tr>
      <w:tr w:rsidR="00EE5690" w:rsidRPr="00EE5690" w14:paraId="377D1494" w14:textId="77777777" w:rsidTr="00EE5690">
        <w:trPr>
          <w:trHeight w:hRule="exact" w:val="567"/>
        </w:trPr>
        <w:tc>
          <w:tcPr>
            <w:tcW w:w="2113" w:type="dxa"/>
            <w:shd w:val="clear" w:color="auto" w:fill="DBF6B9" w:themeFill="accent3" w:themeFillTint="66"/>
            <w:vAlign w:val="center"/>
          </w:tcPr>
          <w:p w14:paraId="2C6E2A68" w14:textId="1FE427FD" w:rsidR="00EE5690" w:rsidRPr="00EE5690" w:rsidRDefault="00EE5690" w:rsidP="00EE5690">
            <w:pPr>
              <w:spacing w:before="0" w:after="0" w:line="240" w:lineRule="auto"/>
              <w:jc w:val="left"/>
              <w:rPr>
                <w:rFonts w:cs="Arial"/>
                <w:lang w:val="en-GB"/>
              </w:rPr>
            </w:pPr>
            <w:r w:rsidRPr="00EE5690">
              <w:rPr>
                <w:rFonts w:cs="Arial"/>
                <w:lang w:val="en-GB"/>
              </w:rPr>
              <w:t>PAP/RAC</w:t>
            </w:r>
          </w:p>
        </w:tc>
        <w:tc>
          <w:tcPr>
            <w:tcW w:w="6284" w:type="dxa"/>
            <w:vAlign w:val="center"/>
          </w:tcPr>
          <w:p w14:paraId="195D9DD8" w14:textId="71743DE7" w:rsidR="00EE5690" w:rsidRPr="00EE5690" w:rsidRDefault="00EE5690" w:rsidP="00EE5690">
            <w:pPr>
              <w:spacing w:before="0" w:after="0" w:line="240" w:lineRule="auto"/>
              <w:jc w:val="left"/>
              <w:rPr>
                <w:rFonts w:cs="Arial"/>
                <w:lang w:val="en-GB"/>
              </w:rPr>
            </w:pPr>
            <w:r w:rsidRPr="00EE5690">
              <w:rPr>
                <w:rFonts w:cs="Arial"/>
                <w:lang w:val="en-GB"/>
              </w:rPr>
              <w:t>Priority Actions Programme/Regional Activity Centre</w:t>
            </w:r>
          </w:p>
        </w:tc>
      </w:tr>
      <w:tr w:rsidR="00EE5690" w:rsidRPr="00EE5690" w14:paraId="3D0C5C69" w14:textId="77777777" w:rsidTr="00EE5690">
        <w:trPr>
          <w:trHeight w:hRule="exact" w:val="567"/>
        </w:trPr>
        <w:tc>
          <w:tcPr>
            <w:tcW w:w="2113" w:type="dxa"/>
            <w:shd w:val="clear" w:color="auto" w:fill="DBF6B9" w:themeFill="accent3" w:themeFillTint="66"/>
            <w:vAlign w:val="center"/>
          </w:tcPr>
          <w:p w14:paraId="388EABE2" w14:textId="100E69DD" w:rsidR="00EE5690" w:rsidRPr="00EE5690" w:rsidRDefault="00EE5690" w:rsidP="00EE5690">
            <w:pPr>
              <w:spacing w:before="0" w:after="0" w:line="240" w:lineRule="auto"/>
              <w:jc w:val="left"/>
              <w:rPr>
                <w:rFonts w:cs="Arial"/>
                <w:lang w:val="en-GB"/>
              </w:rPr>
            </w:pPr>
            <w:r w:rsidRPr="00DB35D4">
              <w:rPr>
                <w:rFonts w:eastAsia="Calibri" w:cs="Arial"/>
                <w:color w:val="000000"/>
              </w:rPr>
              <w:t xml:space="preserve">PDD </w:t>
            </w:r>
          </w:p>
        </w:tc>
        <w:tc>
          <w:tcPr>
            <w:tcW w:w="6284" w:type="dxa"/>
            <w:vAlign w:val="center"/>
          </w:tcPr>
          <w:p w14:paraId="5464E0AE" w14:textId="13FFFE2F" w:rsidR="00EE5690" w:rsidRPr="00EE5690" w:rsidRDefault="00EE5690" w:rsidP="00EE5690">
            <w:pPr>
              <w:spacing w:before="0" w:after="0" w:line="240" w:lineRule="auto"/>
              <w:jc w:val="left"/>
              <w:rPr>
                <w:rFonts w:cs="Arial"/>
                <w:lang w:val="en-GB"/>
              </w:rPr>
            </w:pPr>
            <w:r w:rsidRPr="00DB35D4">
              <w:rPr>
                <w:rFonts w:eastAsia="Calibri" w:cs="Arial"/>
                <w:color w:val="000000"/>
              </w:rPr>
              <w:t xml:space="preserve">Project Design Document </w:t>
            </w:r>
          </w:p>
        </w:tc>
      </w:tr>
      <w:tr w:rsidR="00EE5690" w:rsidRPr="00EE5690" w14:paraId="1DCB3118" w14:textId="77777777" w:rsidTr="00EE5690">
        <w:trPr>
          <w:trHeight w:hRule="exact" w:val="567"/>
        </w:trPr>
        <w:tc>
          <w:tcPr>
            <w:tcW w:w="2113" w:type="dxa"/>
            <w:shd w:val="clear" w:color="auto" w:fill="DBF6B9" w:themeFill="accent3" w:themeFillTint="66"/>
            <w:vAlign w:val="center"/>
          </w:tcPr>
          <w:p w14:paraId="548B3294" w14:textId="35924BF1" w:rsidR="00EE5690" w:rsidRPr="00EE5690" w:rsidRDefault="00EE5690" w:rsidP="00EE5690">
            <w:pPr>
              <w:spacing w:before="0" w:after="0" w:line="240" w:lineRule="auto"/>
              <w:jc w:val="left"/>
              <w:rPr>
                <w:rFonts w:cs="Arial"/>
                <w:lang w:val="en-GB"/>
              </w:rPr>
            </w:pPr>
            <w:r w:rsidRPr="00EE5690">
              <w:rPr>
                <w:rFonts w:cs="Arial"/>
                <w:lang w:val="en-GB"/>
              </w:rPr>
              <w:t>PEBLDS</w:t>
            </w:r>
          </w:p>
        </w:tc>
        <w:tc>
          <w:tcPr>
            <w:tcW w:w="6284" w:type="dxa"/>
            <w:vAlign w:val="center"/>
          </w:tcPr>
          <w:p w14:paraId="7B20362C" w14:textId="58E16365" w:rsidR="00EE5690" w:rsidRPr="00EE5690" w:rsidRDefault="00EE5690" w:rsidP="00EE5690">
            <w:pPr>
              <w:spacing w:before="0" w:after="0" w:line="240" w:lineRule="auto"/>
              <w:jc w:val="left"/>
              <w:rPr>
                <w:rFonts w:cs="Arial"/>
                <w:lang w:val="en-GB"/>
              </w:rPr>
            </w:pPr>
            <w:r w:rsidRPr="00EE5690">
              <w:rPr>
                <w:rFonts w:cs="Arial"/>
                <w:lang w:val="en-GB"/>
              </w:rPr>
              <w:t>Pan-European Biological and Landscape Diversity Strategy</w:t>
            </w:r>
          </w:p>
        </w:tc>
      </w:tr>
      <w:tr w:rsidR="00EE5690" w:rsidRPr="00EE5690" w14:paraId="5A6A8A99" w14:textId="77777777" w:rsidTr="00EE5690">
        <w:trPr>
          <w:trHeight w:hRule="exact" w:val="567"/>
        </w:trPr>
        <w:tc>
          <w:tcPr>
            <w:tcW w:w="2113" w:type="dxa"/>
            <w:shd w:val="clear" w:color="auto" w:fill="DBF6B9" w:themeFill="accent3" w:themeFillTint="66"/>
            <w:vAlign w:val="center"/>
          </w:tcPr>
          <w:p w14:paraId="20CCEBFC" w14:textId="3A95F3A4" w:rsidR="00EE5690" w:rsidRPr="00EE5690" w:rsidRDefault="00EE5690" w:rsidP="00EE5690">
            <w:pPr>
              <w:spacing w:before="0" w:after="0" w:line="240" w:lineRule="auto"/>
              <w:jc w:val="left"/>
              <w:rPr>
                <w:rFonts w:cs="Arial"/>
                <w:lang w:val="en-GB"/>
              </w:rPr>
            </w:pPr>
            <w:r w:rsidRPr="00DB35D4">
              <w:rPr>
                <w:rFonts w:eastAsia="Calibri" w:cs="Arial"/>
                <w:color w:val="000000"/>
              </w:rPr>
              <w:t>PES</w:t>
            </w:r>
          </w:p>
        </w:tc>
        <w:tc>
          <w:tcPr>
            <w:tcW w:w="6284" w:type="dxa"/>
            <w:vAlign w:val="center"/>
          </w:tcPr>
          <w:p w14:paraId="7085DC8A" w14:textId="0C55F9C9" w:rsidR="00EE5690" w:rsidRPr="00EE5690" w:rsidRDefault="00EE5690" w:rsidP="00EE5690">
            <w:pPr>
              <w:spacing w:before="0" w:after="0" w:line="240" w:lineRule="auto"/>
              <w:jc w:val="left"/>
              <w:rPr>
                <w:rFonts w:cs="Arial"/>
                <w:lang w:val="en-GB"/>
              </w:rPr>
            </w:pPr>
            <w:r w:rsidRPr="00DB35D4">
              <w:rPr>
                <w:rFonts w:cs="Arial"/>
              </w:rPr>
              <w:t>Paid</w:t>
            </w:r>
            <w:r>
              <w:rPr>
                <w:rFonts w:cs="Arial"/>
              </w:rPr>
              <w:t xml:space="preserve"> </w:t>
            </w:r>
            <w:r w:rsidRPr="00DB35D4">
              <w:rPr>
                <w:rFonts w:cs="Arial"/>
              </w:rPr>
              <w:t>for Ecosystem Services</w:t>
            </w:r>
          </w:p>
        </w:tc>
      </w:tr>
      <w:tr w:rsidR="00EE5690" w:rsidRPr="00EE5690" w14:paraId="6E7DCADF" w14:textId="77777777" w:rsidTr="00EE5690">
        <w:trPr>
          <w:trHeight w:hRule="exact" w:val="567"/>
        </w:trPr>
        <w:tc>
          <w:tcPr>
            <w:tcW w:w="2113" w:type="dxa"/>
            <w:shd w:val="clear" w:color="auto" w:fill="DBF6B9" w:themeFill="accent3" w:themeFillTint="66"/>
            <w:vAlign w:val="center"/>
          </w:tcPr>
          <w:p w14:paraId="7C7CE49D" w14:textId="467D240E" w:rsidR="00EE5690" w:rsidRPr="00DB35D4" w:rsidRDefault="00EE5690" w:rsidP="00EE5690">
            <w:pPr>
              <w:spacing w:before="0" w:after="0" w:line="240" w:lineRule="auto"/>
              <w:jc w:val="left"/>
              <w:rPr>
                <w:rFonts w:eastAsia="Calibri" w:cs="Arial"/>
                <w:color w:val="000000"/>
              </w:rPr>
            </w:pPr>
            <w:proofErr w:type="spellStart"/>
            <w:r w:rsidRPr="00DB35D4">
              <w:rPr>
                <w:rFonts w:eastAsia="Calibri" w:cs="Arial"/>
                <w:color w:val="000000"/>
              </w:rPr>
              <w:lastRenderedPageBreak/>
              <w:t>PoA</w:t>
            </w:r>
            <w:proofErr w:type="spellEnd"/>
            <w:r w:rsidRPr="00DB35D4">
              <w:rPr>
                <w:rFonts w:eastAsia="Calibri" w:cs="Arial"/>
                <w:color w:val="000000"/>
              </w:rPr>
              <w:t xml:space="preserve"> </w:t>
            </w:r>
          </w:p>
        </w:tc>
        <w:tc>
          <w:tcPr>
            <w:tcW w:w="6284" w:type="dxa"/>
            <w:vAlign w:val="center"/>
          </w:tcPr>
          <w:p w14:paraId="5E5B4548" w14:textId="49DD1131" w:rsidR="00EE5690" w:rsidRPr="00DB35D4" w:rsidRDefault="00EE5690" w:rsidP="00EE5690">
            <w:pPr>
              <w:spacing w:before="0" w:after="0" w:line="240" w:lineRule="auto"/>
              <w:jc w:val="left"/>
              <w:rPr>
                <w:rFonts w:cs="Arial"/>
              </w:rPr>
            </w:pPr>
            <w:r w:rsidRPr="00DB35D4">
              <w:rPr>
                <w:rFonts w:eastAsia="Calibri" w:cs="Arial"/>
                <w:color w:val="000000"/>
              </w:rPr>
              <w:t>Program of activities</w:t>
            </w:r>
          </w:p>
        </w:tc>
      </w:tr>
      <w:tr w:rsidR="00EE5690" w:rsidRPr="00EE5690" w14:paraId="1280995B" w14:textId="77777777" w:rsidTr="00EE5690">
        <w:trPr>
          <w:trHeight w:hRule="exact" w:val="567"/>
        </w:trPr>
        <w:tc>
          <w:tcPr>
            <w:tcW w:w="2113" w:type="dxa"/>
            <w:shd w:val="clear" w:color="auto" w:fill="DBF6B9" w:themeFill="accent3" w:themeFillTint="66"/>
            <w:vAlign w:val="center"/>
          </w:tcPr>
          <w:p w14:paraId="7835599E" w14:textId="2E2D0A8D" w:rsidR="00EE5690" w:rsidRPr="00EE5690" w:rsidRDefault="00EE5690" w:rsidP="00EE5690">
            <w:pPr>
              <w:spacing w:before="0" w:after="0" w:line="240" w:lineRule="auto"/>
              <w:jc w:val="left"/>
              <w:rPr>
                <w:rFonts w:cs="Arial"/>
                <w:lang w:val="en-GB"/>
              </w:rPr>
            </w:pPr>
            <w:r w:rsidRPr="00DB35D4">
              <w:rPr>
                <w:rFonts w:eastAsia="Calibri" w:cs="Arial"/>
                <w:color w:val="000000"/>
              </w:rPr>
              <w:t>PVC</w:t>
            </w:r>
          </w:p>
        </w:tc>
        <w:tc>
          <w:tcPr>
            <w:tcW w:w="6284" w:type="dxa"/>
            <w:vAlign w:val="center"/>
          </w:tcPr>
          <w:p w14:paraId="31BBF3B1" w14:textId="10FA7E58" w:rsidR="00EE5690" w:rsidRPr="00EE5690" w:rsidRDefault="00EE5690" w:rsidP="00EE5690">
            <w:pPr>
              <w:spacing w:before="0" w:after="0" w:line="240" w:lineRule="auto"/>
              <w:jc w:val="left"/>
              <w:rPr>
                <w:rFonts w:cs="Arial"/>
                <w:lang w:val="en-GB"/>
              </w:rPr>
            </w:pPr>
            <w:r w:rsidRPr="00DB35D4">
              <w:rPr>
                <w:rFonts w:eastAsia="Calibri" w:cs="Arial"/>
                <w:color w:val="000000"/>
              </w:rPr>
              <w:t>Plan Vivo Certificate</w:t>
            </w:r>
          </w:p>
        </w:tc>
      </w:tr>
      <w:tr w:rsidR="00D905EC" w:rsidRPr="00EE5690" w14:paraId="0AFA2343" w14:textId="77777777" w:rsidTr="00D905EC">
        <w:trPr>
          <w:trHeight w:hRule="exact" w:val="567"/>
        </w:trPr>
        <w:tc>
          <w:tcPr>
            <w:tcW w:w="2113" w:type="dxa"/>
            <w:shd w:val="clear" w:color="auto" w:fill="DBF6B9" w:themeFill="accent3" w:themeFillTint="66"/>
            <w:vAlign w:val="center"/>
          </w:tcPr>
          <w:p w14:paraId="22A0E9DA" w14:textId="2A183241" w:rsidR="00D905EC" w:rsidRPr="00DB35D4" w:rsidRDefault="00D905EC" w:rsidP="00D905EC">
            <w:pPr>
              <w:spacing w:before="0" w:after="0" w:line="240" w:lineRule="auto"/>
              <w:jc w:val="left"/>
              <w:rPr>
                <w:rFonts w:eastAsia="Calibri" w:cs="Arial"/>
                <w:color w:val="000000"/>
              </w:rPr>
            </w:pPr>
            <w:r w:rsidRPr="00DB35D4">
              <w:rPr>
                <w:rFonts w:eastAsia="Calibri" w:cs="Arial"/>
                <w:color w:val="000000"/>
              </w:rPr>
              <w:t xml:space="preserve">QA/QC </w:t>
            </w:r>
          </w:p>
        </w:tc>
        <w:tc>
          <w:tcPr>
            <w:tcW w:w="6284" w:type="dxa"/>
            <w:vAlign w:val="center"/>
          </w:tcPr>
          <w:p w14:paraId="12380A91" w14:textId="7D4CB370" w:rsidR="00D905EC" w:rsidRPr="00DB35D4" w:rsidRDefault="00D905EC" w:rsidP="00D905EC">
            <w:pPr>
              <w:spacing w:before="0" w:after="0" w:line="240" w:lineRule="auto"/>
              <w:jc w:val="left"/>
              <w:rPr>
                <w:rFonts w:eastAsia="Calibri" w:cs="Arial"/>
                <w:color w:val="000000"/>
              </w:rPr>
            </w:pPr>
            <w:r w:rsidRPr="00DB35D4">
              <w:rPr>
                <w:rFonts w:eastAsia="Calibri" w:cs="Arial"/>
                <w:color w:val="000000"/>
              </w:rPr>
              <w:t>Quality Assessment/Quality Control</w:t>
            </w:r>
          </w:p>
        </w:tc>
      </w:tr>
      <w:tr w:rsidR="00D905EC" w:rsidRPr="00EE5690" w14:paraId="68A1F2CA" w14:textId="77777777" w:rsidTr="00D905EC">
        <w:trPr>
          <w:trHeight w:hRule="exact" w:val="567"/>
        </w:trPr>
        <w:tc>
          <w:tcPr>
            <w:tcW w:w="2113" w:type="dxa"/>
            <w:shd w:val="clear" w:color="auto" w:fill="DBF6B9" w:themeFill="accent3" w:themeFillTint="66"/>
            <w:vAlign w:val="center"/>
          </w:tcPr>
          <w:p w14:paraId="5CF5C855" w14:textId="79A5C2DE" w:rsidR="00D905EC" w:rsidRPr="00DB35D4" w:rsidRDefault="00D905EC" w:rsidP="00D905EC">
            <w:pPr>
              <w:spacing w:before="0" w:after="0" w:line="240" w:lineRule="auto"/>
              <w:jc w:val="left"/>
              <w:rPr>
                <w:rFonts w:eastAsia="Calibri" w:cs="Arial"/>
                <w:color w:val="000000"/>
              </w:rPr>
            </w:pPr>
            <w:r w:rsidRPr="00DB35D4">
              <w:rPr>
                <w:rFonts w:eastAsia="Calibri" w:cs="Arial"/>
                <w:color w:val="000000"/>
              </w:rPr>
              <w:t>RBCF</w:t>
            </w:r>
          </w:p>
        </w:tc>
        <w:tc>
          <w:tcPr>
            <w:tcW w:w="6284" w:type="dxa"/>
            <w:vAlign w:val="center"/>
          </w:tcPr>
          <w:p w14:paraId="5C1339EC" w14:textId="6731BC00" w:rsidR="00D905EC" w:rsidRPr="00DB35D4" w:rsidRDefault="00D905EC" w:rsidP="00D905EC">
            <w:pPr>
              <w:spacing w:before="0" w:after="0" w:line="240" w:lineRule="auto"/>
              <w:jc w:val="left"/>
              <w:rPr>
                <w:rFonts w:eastAsia="Calibri" w:cs="Arial"/>
                <w:color w:val="000000"/>
              </w:rPr>
            </w:pPr>
            <w:r w:rsidRPr="00DB35D4">
              <w:rPr>
                <w:rFonts w:eastAsia="Calibri" w:cs="Arial"/>
                <w:color w:val="000000"/>
              </w:rPr>
              <w:t>Results-Based Climate Financing</w:t>
            </w:r>
          </w:p>
        </w:tc>
      </w:tr>
      <w:tr w:rsidR="00D905EC" w:rsidRPr="00EE5690" w14:paraId="3D119E54" w14:textId="77777777" w:rsidTr="00D905EC">
        <w:trPr>
          <w:trHeight w:hRule="exact" w:val="567"/>
        </w:trPr>
        <w:tc>
          <w:tcPr>
            <w:tcW w:w="2113" w:type="dxa"/>
            <w:shd w:val="clear" w:color="auto" w:fill="DBF6B9" w:themeFill="accent3" w:themeFillTint="66"/>
            <w:vAlign w:val="center"/>
          </w:tcPr>
          <w:p w14:paraId="5510B34D" w14:textId="7A0647DA" w:rsidR="00D905EC" w:rsidRPr="00DB35D4" w:rsidRDefault="00D905EC" w:rsidP="00D905EC">
            <w:pPr>
              <w:spacing w:before="0" w:after="0" w:line="240" w:lineRule="auto"/>
              <w:jc w:val="left"/>
              <w:rPr>
                <w:rFonts w:eastAsia="Calibri" w:cs="Arial"/>
                <w:color w:val="000000"/>
              </w:rPr>
            </w:pPr>
            <w:r w:rsidRPr="00DB35D4">
              <w:rPr>
                <w:rFonts w:eastAsia="Calibri" w:cs="Arial"/>
                <w:color w:val="000000"/>
              </w:rPr>
              <w:t xml:space="preserve">REDD+ </w:t>
            </w:r>
          </w:p>
        </w:tc>
        <w:tc>
          <w:tcPr>
            <w:tcW w:w="6284" w:type="dxa"/>
            <w:vAlign w:val="center"/>
          </w:tcPr>
          <w:p w14:paraId="7CBB6B55" w14:textId="5DFF8010" w:rsidR="00D905EC" w:rsidRPr="00DB35D4" w:rsidRDefault="00D905EC" w:rsidP="00D905EC">
            <w:pPr>
              <w:spacing w:before="0" w:after="0" w:line="240" w:lineRule="auto"/>
              <w:jc w:val="left"/>
              <w:rPr>
                <w:rFonts w:eastAsia="Calibri" w:cs="Arial"/>
                <w:color w:val="000000"/>
              </w:rPr>
            </w:pPr>
            <w:r w:rsidRPr="00DB35D4">
              <w:rPr>
                <w:rFonts w:eastAsia="Calibri" w:cs="Arial"/>
                <w:color w:val="000000"/>
              </w:rPr>
              <w:t>Reduce Emissions from Deforestation and forest Degradation</w:t>
            </w:r>
          </w:p>
        </w:tc>
      </w:tr>
      <w:tr w:rsidR="00D905EC" w:rsidRPr="00EE5690" w14:paraId="432B8F02" w14:textId="77777777" w:rsidTr="00D905EC">
        <w:trPr>
          <w:trHeight w:hRule="exact" w:val="567"/>
        </w:trPr>
        <w:tc>
          <w:tcPr>
            <w:tcW w:w="2113" w:type="dxa"/>
            <w:shd w:val="clear" w:color="auto" w:fill="DBF6B9" w:themeFill="accent3" w:themeFillTint="66"/>
            <w:vAlign w:val="center"/>
          </w:tcPr>
          <w:p w14:paraId="3BFC7FFC" w14:textId="2DE0C80B" w:rsidR="00D905EC" w:rsidRPr="00DB35D4" w:rsidRDefault="00D905EC" w:rsidP="00D905EC">
            <w:pPr>
              <w:spacing w:before="0" w:after="0" w:line="240" w:lineRule="auto"/>
              <w:jc w:val="left"/>
              <w:rPr>
                <w:rFonts w:eastAsia="Calibri" w:cs="Arial"/>
                <w:color w:val="000000"/>
              </w:rPr>
            </w:pPr>
            <w:r w:rsidRPr="00DB35D4">
              <w:rPr>
                <w:rFonts w:eastAsia="Calibri" w:cs="Arial"/>
                <w:color w:val="000000"/>
              </w:rPr>
              <w:t xml:space="preserve">RMU </w:t>
            </w:r>
          </w:p>
        </w:tc>
        <w:tc>
          <w:tcPr>
            <w:tcW w:w="6284" w:type="dxa"/>
            <w:vAlign w:val="center"/>
          </w:tcPr>
          <w:p w14:paraId="60C6BC1D" w14:textId="23672CDB" w:rsidR="00D905EC" w:rsidRPr="00DB35D4" w:rsidRDefault="00D905EC" w:rsidP="00D905EC">
            <w:pPr>
              <w:spacing w:before="0" w:after="0" w:line="240" w:lineRule="auto"/>
              <w:jc w:val="left"/>
              <w:rPr>
                <w:rFonts w:eastAsia="Calibri" w:cs="Arial"/>
                <w:color w:val="000000"/>
              </w:rPr>
            </w:pPr>
            <w:r w:rsidRPr="00DB35D4">
              <w:rPr>
                <w:rFonts w:eastAsia="Calibri" w:cs="Arial"/>
                <w:color w:val="000000"/>
              </w:rPr>
              <w:t>Removal Units</w:t>
            </w:r>
          </w:p>
        </w:tc>
      </w:tr>
      <w:tr w:rsidR="008F5172" w:rsidRPr="00EE5690" w14:paraId="6C3AF770" w14:textId="77777777" w:rsidTr="008F5172">
        <w:trPr>
          <w:trHeight w:hRule="exact" w:val="567"/>
        </w:trPr>
        <w:tc>
          <w:tcPr>
            <w:tcW w:w="2113" w:type="dxa"/>
            <w:shd w:val="clear" w:color="auto" w:fill="DBF6B9" w:themeFill="accent3" w:themeFillTint="66"/>
            <w:vAlign w:val="center"/>
          </w:tcPr>
          <w:p w14:paraId="7F19D6F6" w14:textId="7835C92B" w:rsidR="008F5172" w:rsidRPr="00EE5690" w:rsidRDefault="008F5172" w:rsidP="008F5172">
            <w:pPr>
              <w:spacing w:before="0" w:after="0" w:line="240" w:lineRule="auto"/>
              <w:jc w:val="left"/>
              <w:rPr>
                <w:rFonts w:cs="Arial"/>
                <w:lang w:val="en-GB"/>
              </w:rPr>
            </w:pPr>
            <w:r w:rsidRPr="00DB35D4">
              <w:rPr>
                <w:rFonts w:eastAsia="Calibri" w:cs="Arial"/>
                <w:color w:val="000000"/>
              </w:rPr>
              <w:t xml:space="preserve">SBSTA </w:t>
            </w:r>
          </w:p>
        </w:tc>
        <w:tc>
          <w:tcPr>
            <w:tcW w:w="6284" w:type="dxa"/>
            <w:vAlign w:val="center"/>
          </w:tcPr>
          <w:p w14:paraId="1D58A191" w14:textId="42737720" w:rsidR="008F5172" w:rsidRPr="00EE5690" w:rsidRDefault="008F5172" w:rsidP="008F5172">
            <w:pPr>
              <w:spacing w:before="0" w:after="0" w:line="240" w:lineRule="auto"/>
              <w:jc w:val="left"/>
              <w:rPr>
                <w:rFonts w:cs="Arial"/>
                <w:lang w:val="en-GB"/>
              </w:rPr>
            </w:pPr>
            <w:r w:rsidRPr="00DB35D4">
              <w:rPr>
                <w:rFonts w:eastAsia="Calibri" w:cs="Arial"/>
                <w:color w:val="000000"/>
              </w:rPr>
              <w:t xml:space="preserve">Subsidiary Body for Scientific and Technological Advice </w:t>
            </w:r>
          </w:p>
        </w:tc>
      </w:tr>
      <w:tr w:rsidR="008F5172" w:rsidRPr="00EE5690" w14:paraId="1C0F3522" w14:textId="77777777" w:rsidTr="008F5172">
        <w:trPr>
          <w:trHeight w:hRule="exact" w:val="567"/>
        </w:trPr>
        <w:tc>
          <w:tcPr>
            <w:tcW w:w="2113" w:type="dxa"/>
            <w:shd w:val="clear" w:color="auto" w:fill="DBF6B9" w:themeFill="accent3" w:themeFillTint="66"/>
            <w:vAlign w:val="center"/>
          </w:tcPr>
          <w:p w14:paraId="0DFD5674" w14:textId="37B9D7DD" w:rsidR="008F5172" w:rsidRPr="00EE5690" w:rsidRDefault="008F5172" w:rsidP="008F5172">
            <w:pPr>
              <w:spacing w:before="0" w:after="0" w:line="240" w:lineRule="auto"/>
              <w:jc w:val="left"/>
              <w:rPr>
                <w:rFonts w:cs="Arial"/>
                <w:lang w:val="en-GB"/>
              </w:rPr>
            </w:pPr>
            <w:r w:rsidRPr="00DB35D4">
              <w:rPr>
                <w:rFonts w:eastAsia="Calibri" w:cs="Arial"/>
                <w:color w:val="000000"/>
              </w:rPr>
              <w:t xml:space="preserve">SDGs </w:t>
            </w:r>
          </w:p>
        </w:tc>
        <w:tc>
          <w:tcPr>
            <w:tcW w:w="6284" w:type="dxa"/>
            <w:vAlign w:val="center"/>
          </w:tcPr>
          <w:p w14:paraId="4AEA5D6E" w14:textId="6F9B1991" w:rsidR="008F5172" w:rsidRPr="00EE5690" w:rsidRDefault="008F5172" w:rsidP="008F5172">
            <w:pPr>
              <w:spacing w:before="0" w:after="0" w:line="240" w:lineRule="auto"/>
              <w:jc w:val="left"/>
              <w:rPr>
                <w:rFonts w:cs="Arial"/>
                <w:lang w:val="en-GB"/>
              </w:rPr>
            </w:pPr>
            <w:r w:rsidRPr="00DB35D4">
              <w:rPr>
                <w:rFonts w:eastAsia="Calibri" w:cs="Arial"/>
                <w:color w:val="000000"/>
              </w:rPr>
              <w:t>Sustainable Development Goals</w:t>
            </w:r>
          </w:p>
        </w:tc>
      </w:tr>
      <w:tr w:rsidR="008F5172" w:rsidRPr="00EE5690" w14:paraId="250BE6A4" w14:textId="77777777" w:rsidTr="00EE5690">
        <w:trPr>
          <w:trHeight w:hRule="exact" w:val="567"/>
        </w:trPr>
        <w:tc>
          <w:tcPr>
            <w:tcW w:w="2113" w:type="dxa"/>
            <w:shd w:val="clear" w:color="auto" w:fill="DBF6B9" w:themeFill="accent3" w:themeFillTint="66"/>
            <w:vAlign w:val="center"/>
          </w:tcPr>
          <w:p w14:paraId="172729FB" w14:textId="7B977C05" w:rsidR="008F5172" w:rsidRPr="00EE5690" w:rsidRDefault="008F5172" w:rsidP="008F5172">
            <w:pPr>
              <w:spacing w:before="0" w:after="0" w:line="240" w:lineRule="auto"/>
              <w:jc w:val="left"/>
              <w:rPr>
                <w:rFonts w:cs="Arial"/>
                <w:lang w:val="en-GB"/>
              </w:rPr>
            </w:pPr>
            <w:r w:rsidRPr="00EE5690">
              <w:rPr>
                <w:rFonts w:cs="Arial"/>
                <w:lang w:val="en-GB"/>
              </w:rPr>
              <w:t>SE</w:t>
            </w:r>
          </w:p>
        </w:tc>
        <w:tc>
          <w:tcPr>
            <w:tcW w:w="6284" w:type="dxa"/>
            <w:vAlign w:val="center"/>
          </w:tcPr>
          <w:p w14:paraId="548247DE" w14:textId="733FE416" w:rsidR="008F5172" w:rsidRPr="00EE5690" w:rsidRDefault="008F5172" w:rsidP="008F5172">
            <w:pPr>
              <w:spacing w:before="0" w:after="0" w:line="240" w:lineRule="auto"/>
              <w:jc w:val="left"/>
              <w:rPr>
                <w:rFonts w:cs="Arial"/>
                <w:lang w:val="en-GB"/>
              </w:rPr>
            </w:pPr>
            <w:r w:rsidRPr="00EE5690">
              <w:rPr>
                <w:rFonts w:cs="Arial"/>
                <w:lang w:val="en-GB"/>
              </w:rPr>
              <w:t>Southern Europe</w:t>
            </w:r>
          </w:p>
        </w:tc>
      </w:tr>
      <w:tr w:rsidR="008F5172" w:rsidRPr="00EE5690" w14:paraId="2E858B56" w14:textId="77777777" w:rsidTr="00EE5690">
        <w:trPr>
          <w:trHeight w:hRule="exact" w:val="567"/>
        </w:trPr>
        <w:tc>
          <w:tcPr>
            <w:tcW w:w="2113" w:type="dxa"/>
            <w:shd w:val="clear" w:color="auto" w:fill="DBF6B9" w:themeFill="accent3" w:themeFillTint="66"/>
            <w:vAlign w:val="center"/>
          </w:tcPr>
          <w:p w14:paraId="549BF6FF" w14:textId="5D33F722" w:rsidR="008F5172" w:rsidRPr="00EE5690" w:rsidRDefault="008F5172" w:rsidP="008F5172">
            <w:pPr>
              <w:spacing w:before="0" w:after="0" w:line="240" w:lineRule="auto"/>
              <w:jc w:val="left"/>
              <w:rPr>
                <w:rFonts w:cs="Arial"/>
                <w:lang w:val="en-GB"/>
              </w:rPr>
            </w:pPr>
            <w:r w:rsidRPr="00EE5690">
              <w:rPr>
                <w:rFonts w:cs="Arial"/>
                <w:lang w:val="en-GB"/>
              </w:rPr>
              <w:t>SFM</w:t>
            </w:r>
          </w:p>
        </w:tc>
        <w:tc>
          <w:tcPr>
            <w:tcW w:w="6284" w:type="dxa"/>
            <w:vAlign w:val="center"/>
          </w:tcPr>
          <w:p w14:paraId="7E5F712B" w14:textId="692F6DFC" w:rsidR="008F5172" w:rsidRPr="00EE5690" w:rsidRDefault="008F5172" w:rsidP="008F5172">
            <w:pPr>
              <w:spacing w:before="0" w:after="0" w:line="240" w:lineRule="auto"/>
              <w:jc w:val="left"/>
              <w:rPr>
                <w:rFonts w:cs="Arial"/>
                <w:lang w:val="en-GB"/>
              </w:rPr>
            </w:pPr>
            <w:r w:rsidRPr="00EE5690">
              <w:rPr>
                <w:rFonts w:cs="Arial"/>
                <w:lang w:val="en-GB"/>
              </w:rPr>
              <w:t>Sustainable Forest Management</w:t>
            </w:r>
          </w:p>
        </w:tc>
      </w:tr>
      <w:tr w:rsidR="008F5172" w:rsidRPr="00EE5690" w14:paraId="791BB35D" w14:textId="77777777" w:rsidTr="00EE5690">
        <w:trPr>
          <w:trHeight w:hRule="exact" w:val="567"/>
        </w:trPr>
        <w:tc>
          <w:tcPr>
            <w:tcW w:w="2113" w:type="dxa"/>
            <w:shd w:val="clear" w:color="auto" w:fill="DBF6B9" w:themeFill="accent3" w:themeFillTint="66"/>
            <w:vAlign w:val="center"/>
          </w:tcPr>
          <w:p w14:paraId="543F40E0" w14:textId="6F5F3A74" w:rsidR="008F5172" w:rsidRPr="00EE5690" w:rsidRDefault="008F5172" w:rsidP="008F5172">
            <w:pPr>
              <w:spacing w:before="0" w:after="0" w:line="240" w:lineRule="auto"/>
              <w:jc w:val="left"/>
              <w:rPr>
                <w:rFonts w:cs="Arial"/>
                <w:lang w:val="en-GB"/>
              </w:rPr>
            </w:pPr>
            <w:proofErr w:type="spellStart"/>
            <w:r w:rsidRPr="00EE5690">
              <w:rPr>
                <w:rFonts w:cs="Arial"/>
                <w:lang w:val="en-GB"/>
              </w:rPr>
              <w:t>SoEF</w:t>
            </w:r>
            <w:proofErr w:type="spellEnd"/>
          </w:p>
        </w:tc>
        <w:tc>
          <w:tcPr>
            <w:tcW w:w="6284" w:type="dxa"/>
            <w:vAlign w:val="center"/>
          </w:tcPr>
          <w:p w14:paraId="19A8BB07" w14:textId="0D368CA7" w:rsidR="008F5172" w:rsidRPr="00EE5690" w:rsidRDefault="008F5172" w:rsidP="008F5172">
            <w:pPr>
              <w:spacing w:before="0" w:after="0" w:line="240" w:lineRule="auto"/>
              <w:jc w:val="left"/>
              <w:rPr>
                <w:rFonts w:cs="Arial"/>
                <w:lang w:val="en-GB"/>
              </w:rPr>
            </w:pPr>
            <w:r w:rsidRPr="00EE5690">
              <w:rPr>
                <w:rFonts w:cs="Arial"/>
                <w:lang w:val="en-GB"/>
              </w:rPr>
              <w:t>State of Europe's Forests</w:t>
            </w:r>
          </w:p>
        </w:tc>
      </w:tr>
      <w:tr w:rsidR="008F5172" w:rsidRPr="00EE5690" w14:paraId="10DCBA76" w14:textId="77777777" w:rsidTr="00EE5690">
        <w:trPr>
          <w:trHeight w:hRule="exact" w:val="567"/>
        </w:trPr>
        <w:tc>
          <w:tcPr>
            <w:tcW w:w="2113" w:type="dxa"/>
            <w:shd w:val="clear" w:color="auto" w:fill="DBF6B9" w:themeFill="accent3" w:themeFillTint="66"/>
            <w:vAlign w:val="center"/>
          </w:tcPr>
          <w:p w14:paraId="36BCDCFD" w14:textId="79695233" w:rsidR="008F5172" w:rsidRPr="00EE5690" w:rsidRDefault="008F5172" w:rsidP="008F5172">
            <w:pPr>
              <w:spacing w:before="0" w:after="0" w:line="240" w:lineRule="auto"/>
              <w:jc w:val="left"/>
              <w:rPr>
                <w:rFonts w:cs="Arial"/>
                <w:lang w:val="en-GB"/>
              </w:rPr>
            </w:pPr>
            <w:r w:rsidRPr="00EE5690">
              <w:rPr>
                <w:rFonts w:cs="Arial"/>
                <w:lang w:val="en-GB"/>
              </w:rPr>
              <w:t>SWD</w:t>
            </w:r>
          </w:p>
        </w:tc>
        <w:tc>
          <w:tcPr>
            <w:tcW w:w="6284" w:type="dxa"/>
            <w:vAlign w:val="center"/>
          </w:tcPr>
          <w:p w14:paraId="0676A676" w14:textId="3BDAC289" w:rsidR="008F5172" w:rsidRPr="00EE5690" w:rsidRDefault="008F5172" w:rsidP="008F5172">
            <w:pPr>
              <w:spacing w:before="0" w:after="0" w:line="240" w:lineRule="auto"/>
              <w:jc w:val="left"/>
              <w:rPr>
                <w:rFonts w:cs="Arial"/>
                <w:lang w:val="en-GB"/>
              </w:rPr>
            </w:pPr>
            <w:r w:rsidRPr="00EE5690">
              <w:rPr>
                <w:rFonts w:cs="Arial"/>
                <w:lang w:val="en-GB"/>
              </w:rPr>
              <w:t>Staff Working Document</w:t>
            </w:r>
          </w:p>
        </w:tc>
      </w:tr>
      <w:tr w:rsidR="008F5172" w:rsidRPr="00EE5690" w14:paraId="4A07B8B1" w14:textId="77777777" w:rsidTr="00EE5690">
        <w:trPr>
          <w:trHeight w:hRule="exact" w:val="567"/>
        </w:trPr>
        <w:tc>
          <w:tcPr>
            <w:tcW w:w="2113" w:type="dxa"/>
            <w:shd w:val="clear" w:color="auto" w:fill="DBF6B9" w:themeFill="accent3" w:themeFillTint="66"/>
            <w:vAlign w:val="center"/>
          </w:tcPr>
          <w:p w14:paraId="7EEA002E" w14:textId="45F0E59C" w:rsidR="008F5172" w:rsidRPr="00EE5690" w:rsidRDefault="008F5172" w:rsidP="008F5172">
            <w:pPr>
              <w:spacing w:before="0" w:after="0" w:line="240" w:lineRule="auto"/>
              <w:jc w:val="left"/>
              <w:rPr>
                <w:rFonts w:cs="Arial"/>
                <w:lang w:val="en-GB"/>
              </w:rPr>
            </w:pPr>
            <w:r w:rsidRPr="00EE5690">
              <w:rPr>
                <w:rFonts w:cs="Arial"/>
                <w:lang w:val="en-GB"/>
              </w:rPr>
              <w:t>tCO2e</w:t>
            </w:r>
          </w:p>
        </w:tc>
        <w:tc>
          <w:tcPr>
            <w:tcW w:w="6284" w:type="dxa"/>
            <w:vAlign w:val="center"/>
          </w:tcPr>
          <w:p w14:paraId="7215D134" w14:textId="76AC9C12" w:rsidR="008F5172" w:rsidRPr="00EE5690" w:rsidRDefault="008F5172" w:rsidP="008F5172">
            <w:pPr>
              <w:spacing w:before="0" w:after="0" w:line="240" w:lineRule="auto"/>
              <w:jc w:val="left"/>
              <w:rPr>
                <w:rFonts w:cs="Arial"/>
                <w:lang w:val="en-GB"/>
              </w:rPr>
            </w:pPr>
            <w:r w:rsidRPr="00EE5690">
              <w:rPr>
                <w:rFonts w:cs="Arial"/>
                <w:lang w:val="en-GB"/>
              </w:rPr>
              <w:t>Tonnes of carbon dioxide equivalent</w:t>
            </w:r>
          </w:p>
        </w:tc>
      </w:tr>
      <w:tr w:rsidR="008F5172" w:rsidRPr="00EE5690" w14:paraId="34977F95" w14:textId="77777777" w:rsidTr="00EE5690">
        <w:trPr>
          <w:trHeight w:hRule="exact" w:val="567"/>
        </w:trPr>
        <w:tc>
          <w:tcPr>
            <w:tcW w:w="2113" w:type="dxa"/>
            <w:shd w:val="clear" w:color="auto" w:fill="DBF6B9" w:themeFill="accent3" w:themeFillTint="66"/>
            <w:vAlign w:val="center"/>
          </w:tcPr>
          <w:p w14:paraId="2545416F" w14:textId="73B60DCE" w:rsidR="008F5172" w:rsidRPr="00EE5690" w:rsidRDefault="008F5172" w:rsidP="008F5172">
            <w:pPr>
              <w:spacing w:before="0" w:after="0" w:line="240" w:lineRule="auto"/>
              <w:jc w:val="left"/>
              <w:rPr>
                <w:rFonts w:cs="Arial"/>
                <w:lang w:val="en-GB"/>
              </w:rPr>
            </w:pPr>
            <w:r w:rsidRPr="00EE5690">
              <w:rPr>
                <w:rFonts w:cs="Arial"/>
                <w:lang w:val="en-GB"/>
              </w:rPr>
              <w:t>TOA</w:t>
            </w:r>
          </w:p>
        </w:tc>
        <w:tc>
          <w:tcPr>
            <w:tcW w:w="6284" w:type="dxa"/>
            <w:vAlign w:val="center"/>
          </w:tcPr>
          <w:p w14:paraId="6CEBFEB6" w14:textId="561F5BCA" w:rsidR="008F5172" w:rsidRPr="00EE5690" w:rsidRDefault="008F5172" w:rsidP="008F5172">
            <w:pPr>
              <w:spacing w:before="0" w:after="0" w:line="240" w:lineRule="auto"/>
              <w:jc w:val="left"/>
              <w:rPr>
                <w:rFonts w:cs="Arial"/>
                <w:lang w:val="en-GB"/>
              </w:rPr>
            </w:pPr>
            <w:r w:rsidRPr="00EE5690">
              <w:rPr>
                <w:rFonts w:cs="Arial"/>
                <w:lang w:val="en-GB"/>
              </w:rPr>
              <w:t>Top Of Atmosphere</w:t>
            </w:r>
          </w:p>
        </w:tc>
      </w:tr>
      <w:tr w:rsidR="008F5172" w:rsidRPr="00EE5690" w14:paraId="7FF2309E" w14:textId="77777777" w:rsidTr="00EE5690">
        <w:trPr>
          <w:trHeight w:hRule="exact" w:val="567"/>
        </w:trPr>
        <w:tc>
          <w:tcPr>
            <w:tcW w:w="2113" w:type="dxa"/>
            <w:shd w:val="clear" w:color="auto" w:fill="DBF6B9" w:themeFill="accent3" w:themeFillTint="66"/>
            <w:vAlign w:val="center"/>
          </w:tcPr>
          <w:p w14:paraId="33064D86" w14:textId="70E0F1F8" w:rsidR="008F5172" w:rsidRPr="00EE5690" w:rsidRDefault="008F5172" w:rsidP="008F5172">
            <w:pPr>
              <w:spacing w:before="0" w:after="0" w:line="240" w:lineRule="auto"/>
              <w:jc w:val="left"/>
              <w:rPr>
                <w:rFonts w:cs="Arial"/>
                <w:lang w:val="en-GB"/>
              </w:rPr>
            </w:pPr>
            <w:r w:rsidRPr="00EE5690">
              <w:rPr>
                <w:rFonts w:cs="Arial"/>
              </w:rPr>
              <w:t>UN</w:t>
            </w:r>
          </w:p>
        </w:tc>
        <w:tc>
          <w:tcPr>
            <w:tcW w:w="6284" w:type="dxa"/>
            <w:vAlign w:val="center"/>
          </w:tcPr>
          <w:p w14:paraId="13D8D1B8" w14:textId="00AF980E" w:rsidR="008F5172" w:rsidRPr="00EE5690" w:rsidRDefault="008F5172" w:rsidP="008F5172">
            <w:pPr>
              <w:spacing w:before="0" w:after="0" w:line="240" w:lineRule="auto"/>
              <w:jc w:val="left"/>
              <w:rPr>
                <w:rFonts w:cs="Arial"/>
                <w:lang w:val="en-GB"/>
              </w:rPr>
            </w:pPr>
            <w:r w:rsidRPr="00EE5690">
              <w:rPr>
                <w:rFonts w:cs="Arial"/>
                <w:lang w:val="en-GB"/>
              </w:rPr>
              <w:t>United Nation</w:t>
            </w:r>
          </w:p>
        </w:tc>
      </w:tr>
      <w:tr w:rsidR="008F5172" w:rsidRPr="00EE5690" w14:paraId="3BE0C4A5" w14:textId="77777777" w:rsidTr="00EE5690">
        <w:trPr>
          <w:trHeight w:hRule="exact" w:val="567"/>
        </w:trPr>
        <w:tc>
          <w:tcPr>
            <w:tcW w:w="2113" w:type="dxa"/>
            <w:shd w:val="clear" w:color="auto" w:fill="DBF6B9" w:themeFill="accent3" w:themeFillTint="66"/>
            <w:vAlign w:val="center"/>
          </w:tcPr>
          <w:p w14:paraId="0940271F" w14:textId="3725D6E2" w:rsidR="008F5172" w:rsidRPr="00EE5690" w:rsidRDefault="008F5172" w:rsidP="008F5172">
            <w:pPr>
              <w:spacing w:before="0" w:after="0" w:line="240" w:lineRule="auto"/>
              <w:jc w:val="left"/>
              <w:rPr>
                <w:rFonts w:cs="Arial"/>
                <w:lang w:val="en-GB"/>
              </w:rPr>
            </w:pPr>
            <w:r w:rsidRPr="00EE5690">
              <w:rPr>
                <w:rFonts w:cs="Arial"/>
                <w:lang w:val="en-GB"/>
              </w:rPr>
              <w:t>UNCCD</w:t>
            </w:r>
          </w:p>
        </w:tc>
        <w:tc>
          <w:tcPr>
            <w:tcW w:w="6284" w:type="dxa"/>
            <w:vAlign w:val="center"/>
          </w:tcPr>
          <w:p w14:paraId="7D297E57" w14:textId="45DF11AC" w:rsidR="008F5172" w:rsidRPr="00EE5690" w:rsidRDefault="008F5172" w:rsidP="008F5172">
            <w:pPr>
              <w:spacing w:before="0" w:after="0" w:line="240" w:lineRule="auto"/>
              <w:jc w:val="left"/>
              <w:rPr>
                <w:rFonts w:cs="Arial"/>
                <w:lang w:val="en-GB"/>
              </w:rPr>
            </w:pPr>
            <w:r w:rsidRPr="00EE5690">
              <w:rPr>
                <w:rFonts w:cs="Arial"/>
                <w:lang w:val="en-GB"/>
              </w:rPr>
              <w:t>United Nations Convention to Combat Desertification</w:t>
            </w:r>
          </w:p>
        </w:tc>
      </w:tr>
      <w:tr w:rsidR="008F5172" w:rsidRPr="00EE5690" w14:paraId="10AA2837" w14:textId="77777777" w:rsidTr="00EE5690">
        <w:trPr>
          <w:trHeight w:hRule="exact" w:val="567"/>
        </w:trPr>
        <w:tc>
          <w:tcPr>
            <w:tcW w:w="2113" w:type="dxa"/>
            <w:shd w:val="clear" w:color="auto" w:fill="DBF6B9" w:themeFill="accent3" w:themeFillTint="66"/>
            <w:vAlign w:val="center"/>
          </w:tcPr>
          <w:p w14:paraId="38E4BD4B" w14:textId="6156DC47" w:rsidR="008F5172" w:rsidRPr="00EE5690" w:rsidRDefault="008F5172" w:rsidP="008F5172">
            <w:pPr>
              <w:spacing w:before="0" w:after="0" w:line="240" w:lineRule="auto"/>
              <w:jc w:val="left"/>
              <w:rPr>
                <w:rFonts w:cs="Arial"/>
                <w:lang w:val="en-GB"/>
              </w:rPr>
            </w:pPr>
            <w:r w:rsidRPr="00EE5690">
              <w:rPr>
                <w:rFonts w:cs="Arial"/>
                <w:lang w:val="en-GB"/>
              </w:rPr>
              <w:t>UNDP</w:t>
            </w:r>
          </w:p>
        </w:tc>
        <w:tc>
          <w:tcPr>
            <w:tcW w:w="6284" w:type="dxa"/>
            <w:vAlign w:val="center"/>
          </w:tcPr>
          <w:p w14:paraId="3A3EA76F" w14:textId="5019D01D" w:rsidR="008F5172" w:rsidRPr="00EE5690" w:rsidRDefault="008F5172" w:rsidP="008F5172">
            <w:pPr>
              <w:spacing w:before="0" w:after="0" w:line="240" w:lineRule="auto"/>
              <w:jc w:val="left"/>
              <w:rPr>
                <w:rFonts w:cs="Arial"/>
                <w:lang w:val="en-GB"/>
              </w:rPr>
            </w:pPr>
            <w:r w:rsidRPr="00EE5690">
              <w:rPr>
                <w:rFonts w:cs="Arial"/>
                <w:lang w:val="en-GB"/>
              </w:rPr>
              <w:t>United Nations Development Programme</w:t>
            </w:r>
          </w:p>
        </w:tc>
      </w:tr>
      <w:tr w:rsidR="008F5172" w:rsidRPr="00EE5690" w14:paraId="05E33257" w14:textId="77777777" w:rsidTr="00EE5690">
        <w:trPr>
          <w:trHeight w:hRule="exact" w:val="567"/>
        </w:trPr>
        <w:tc>
          <w:tcPr>
            <w:tcW w:w="2113" w:type="dxa"/>
            <w:shd w:val="clear" w:color="auto" w:fill="DBF6B9" w:themeFill="accent3" w:themeFillTint="66"/>
            <w:vAlign w:val="center"/>
          </w:tcPr>
          <w:p w14:paraId="6AD5861E" w14:textId="224D0CD8" w:rsidR="008F5172" w:rsidRPr="00EE5690" w:rsidRDefault="008F5172" w:rsidP="008F5172">
            <w:pPr>
              <w:spacing w:before="0" w:after="0" w:line="240" w:lineRule="auto"/>
              <w:jc w:val="left"/>
              <w:rPr>
                <w:rFonts w:cs="Arial"/>
                <w:lang w:val="en-GB"/>
              </w:rPr>
            </w:pPr>
            <w:r w:rsidRPr="00EE5690">
              <w:rPr>
                <w:rFonts w:cs="Arial"/>
                <w:lang w:val="en-GB"/>
              </w:rPr>
              <w:t xml:space="preserve">UNEP </w:t>
            </w:r>
          </w:p>
        </w:tc>
        <w:tc>
          <w:tcPr>
            <w:tcW w:w="6284" w:type="dxa"/>
            <w:vAlign w:val="center"/>
          </w:tcPr>
          <w:p w14:paraId="1C871952" w14:textId="00F272F8" w:rsidR="008F5172" w:rsidRPr="00EE5690" w:rsidRDefault="008F5172" w:rsidP="008F5172">
            <w:pPr>
              <w:spacing w:before="0" w:after="0" w:line="240" w:lineRule="auto"/>
              <w:jc w:val="left"/>
              <w:rPr>
                <w:rFonts w:cs="Arial"/>
                <w:lang w:val="en-GB"/>
              </w:rPr>
            </w:pPr>
            <w:r w:rsidRPr="00EE5690">
              <w:rPr>
                <w:rFonts w:cs="Arial"/>
                <w:lang w:val="en-GB"/>
              </w:rPr>
              <w:t>United Nation Environment Programme</w:t>
            </w:r>
          </w:p>
        </w:tc>
      </w:tr>
      <w:tr w:rsidR="008F5172" w:rsidRPr="00EE5690" w14:paraId="1B83CDCA" w14:textId="77777777" w:rsidTr="00EE5690">
        <w:trPr>
          <w:trHeight w:hRule="exact" w:val="567"/>
        </w:trPr>
        <w:tc>
          <w:tcPr>
            <w:tcW w:w="2113" w:type="dxa"/>
            <w:shd w:val="clear" w:color="auto" w:fill="DBF6B9" w:themeFill="accent3" w:themeFillTint="66"/>
            <w:vAlign w:val="center"/>
          </w:tcPr>
          <w:p w14:paraId="780ED505" w14:textId="2D54408F" w:rsidR="008F5172" w:rsidRPr="00EE5690" w:rsidRDefault="008F5172" w:rsidP="008F5172">
            <w:pPr>
              <w:spacing w:before="0" w:after="0" w:line="240" w:lineRule="auto"/>
              <w:jc w:val="left"/>
              <w:rPr>
                <w:rFonts w:cs="Arial"/>
                <w:lang w:val="en-GB"/>
              </w:rPr>
            </w:pPr>
            <w:r w:rsidRPr="00EE5690">
              <w:rPr>
                <w:rFonts w:cs="Arial"/>
                <w:lang w:val="en-GB"/>
              </w:rPr>
              <w:t>UNESCO</w:t>
            </w:r>
          </w:p>
        </w:tc>
        <w:tc>
          <w:tcPr>
            <w:tcW w:w="6284" w:type="dxa"/>
            <w:vAlign w:val="center"/>
          </w:tcPr>
          <w:p w14:paraId="6C0F2177" w14:textId="52D8E5D4" w:rsidR="008F5172" w:rsidRPr="00EE5690" w:rsidRDefault="008F5172" w:rsidP="008F5172">
            <w:pPr>
              <w:spacing w:before="0" w:after="0" w:line="240" w:lineRule="auto"/>
              <w:jc w:val="left"/>
              <w:rPr>
                <w:rFonts w:cs="Arial"/>
                <w:lang w:val="en-GB"/>
              </w:rPr>
            </w:pPr>
            <w:r w:rsidRPr="00EE5690">
              <w:rPr>
                <w:rFonts w:cs="Arial"/>
                <w:lang w:val="en-GB"/>
              </w:rPr>
              <w:t>United Nations Educational, Scientific and Cultural Organization</w:t>
            </w:r>
          </w:p>
        </w:tc>
      </w:tr>
      <w:tr w:rsidR="008F5172" w:rsidRPr="00EE5690" w14:paraId="236F0D17" w14:textId="77777777" w:rsidTr="00EE5690">
        <w:trPr>
          <w:trHeight w:hRule="exact" w:val="567"/>
        </w:trPr>
        <w:tc>
          <w:tcPr>
            <w:tcW w:w="2113" w:type="dxa"/>
            <w:shd w:val="clear" w:color="auto" w:fill="DBF6B9" w:themeFill="accent3" w:themeFillTint="66"/>
            <w:vAlign w:val="center"/>
          </w:tcPr>
          <w:p w14:paraId="2A7A8617" w14:textId="3C24ABF0" w:rsidR="008F5172" w:rsidRPr="00EE5690" w:rsidRDefault="008F5172" w:rsidP="008F5172">
            <w:pPr>
              <w:spacing w:before="0" w:after="0" w:line="240" w:lineRule="auto"/>
              <w:jc w:val="left"/>
              <w:rPr>
                <w:rFonts w:cs="Arial"/>
                <w:lang w:val="en-GB"/>
              </w:rPr>
            </w:pPr>
            <w:r w:rsidRPr="00EE5690">
              <w:rPr>
                <w:rFonts w:cs="Arial"/>
                <w:lang w:val="en-GB"/>
              </w:rPr>
              <w:t>UNFCCC</w:t>
            </w:r>
          </w:p>
        </w:tc>
        <w:tc>
          <w:tcPr>
            <w:tcW w:w="6284" w:type="dxa"/>
            <w:vAlign w:val="center"/>
          </w:tcPr>
          <w:p w14:paraId="3976F3AD" w14:textId="7048877A" w:rsidR="008F5172" w:rsidRPr="00EE5690" w:rsidRDefault="008F5172" w:rsidP="008F5172">
            <w:pPr>
              <w:spacing w:before="0" w:after="0" w:line="240" w:lineRule="auto"/>
              <w:jc w:val="left"/>
              <w:rPr>
                <w:rFonts w:cs="Arial"/>
                <w:lang w:val="en-GB"/>
              </w:rPr>
            </w:pPr>
            <w:r w:rsidRPr="00EE5690">
              <w:rPr>
                <w:rFonts w:cs="Arial"/>
                <w:lang w:val="en-GB"/>
              </w:rPr>
              <w:t>United Nations Framework Convention on Climate Change</w:t>
            </w:r>
          </w:p>
        </w:tc>
      </w:tr>
      <w:tr w:rsidR="008F5172" w:rsidRPr="00EE5690" w14:paraId="37B77E7E" w14:textId="77777777" w:rsidTr="00EE5690">
        <w:trPr>
          <w:trHeight w:hRule="exact" w:val="567"/>
        </w:trPr>
        <w:tc>
          <w:tcPr>
            <w:tcW w:w="2113" w:type="dxa"/>
            <w:shd w:val="clear" w:color="auto" w:fill="DBF6B9" w:themeFill="accent3" w:themeFillTint="66"/>
            <w:vAlign w:val="center"/>
          </w:tcPr>
          <w:p w14:paraId="7655EBA4" w14:textId="1A9CB0EF" w:rsidR="008F5172" w:rsidRPr="00EE5690" w:rsidRDefault="008F5172" w:rsidP="008F5172">
            <w:pPr>
              <w:spacing w:before="0" w:after="0" w:line="240" w:lineRule="auto"/>
              <w:jc w:val="left"/>
              <w:rPr>
                <w:rFonts w:cs="Arial"/>
                <w:lang w:val="en-GB"/>
              </w:rPr>
            </w:pPr>
            <w:r w:rsidRPr="00EE5690">
              <w:rPr>
                <w:rFonts w:cs="Arial"/>
                <w:lang w:val="en-GB"/>
              </w:rPr>
              <w:t>UNFF</w:t>
            </w:r>
          </w:p>
        </w:tc>
        <w:tc>
          <w:tcPr>
            <w:tcW w:w="6284" w:type="dxa"/>
            <w:vAlign w:val="center"/>
          </w:tcPr>
          <w:p w14:paraId="593DECEF" w14:textId="0E5F97B7" w:rsidR="008F5172" w:rsidRPr="00EE5690" w:rsidRDefault="008F5172" w:rsidP="008F5172">
            <w:pPr>
              <w:spacing w:before="0" w:after="0" w:line="240" w:lineRule="auto"/>
              <w:jc w:val="left"/>
              <w:rPr>
                <w:rFonts w:cs="Arial"/>
                <w:lang w:val="en-GB"/>
              </w:rPr>
            </w:pPr>
            <w:r w:rsidRPr="00EE5690">
              <w:rPr>
                <w:rFonts w:cs="Arial"/>
                <w:lang w:val="en-GB"/>
              </w:rPr>
              <w:t>United Nations Forum on Forests</w:t>
            </w:r>
          </w:p>
        </w:tc>
      </w:tr>
      <w:tr w:rsidR="008F5172" w:rsidRPr="00EE5690" w14:paraId="63E0AD66" w14:textId="77777777" w:rsidTr="00EE5690">
        <w:trPr>
          <w:trHeight w:hRule="exact" w:val="567"/>
        </w:trPr>
        <w:tc>
          <w:tcPr>
            <w:tcW w:w="2113" w:type="dxa"/>
            <w:shd w:val="clear" w:color="auto" w:fill="DBF6B9" w:themeFill="accent3" w:themeFillTint="66"/>
            <w:vAlign w:val="center"/>
          </w:tcPr>
          <w:p w14:paraId="157C704F" w14:textId="609EA2D5" w:rsidR="008F5172" w:rsidRPr="00EE5690" w:rsidRDefault="008F5172" w:rsidP="008F5172">
            <w:pPr>
              <w:spacing w:before="0" w:after="0" w:line="240" w:lineRule="auto"/>
              <w:jc w:val="left"/>
              <w:rPr>
                <w:rFonts w:cs="Arial"/>
                <w:lang w:val="en-GB"/>
              </w:rPr>
            </w:pPr>
            <w:r w:rsidRPr="00EE5690">
              <w:rPr>
                <w:rFonts w:cs="Arial"/>
                <w:lang w:val="en-GB"/>
              </w:rPr>
              <w:t>USDA</w:t>
            </w:r>
          </w:p>
        </w:tc>
        <w:tc>
          <w:tcPr>
            <w:tcW w:w="6284" w:type="dxa"/>
            <w:vAlign w:val="center"/>
          </w:tcPr>
          <w:p w14:paraId="61ED3394" w14:textId="2F40262F" w:rsidR="008F5172" w:rsidRPr="00EE5690" w:rsidRDefault="008F5172" w:rsidP="008F5172">
            <w:pPr>
              <w:spacing w:before="0" w:after="0" w:line="240" w:lineRule="auto"/>
              <w:jc w:val="left"/>
              <w:rPr>
                <w:rFonts w:cs="Arial"/>
                <w:lang w:val="en-GB"/>
              </w:rPr>
            </w:pPr>
            <w:r w:rsidRPr="00EE5690">
              <w:rPr>
                <w:rFonts w:cs="Arial"/>
                <w:lang w:val="en-GB"/>
              </w:rPr>
              <w:t>United States Department of Agriculture</w:t>
            </w:r>
          </w:p>
        </w:tc>
      </w:tr>
      <w:tr w:rsidR="008F5172" w:rsidRPr="00EE5690" w14:paraId="523EDFF7" w14:textId="77777777" w:rsidTr="00EE5690">
        <w:trPr>
          <w:trHeight w:hRule="exact" w:val="567"/>
        </w:trPr>
        <w:tc>
          <w:tcPr>
            <w:tcW w:w="2113" w:type="dxa"/>
            <w:shd w:val="clear" w:color="auto" w:fill="DBF6B9" w:themeFill="accent3" w:themeFillTint="66"/>
            <w:vAlign w:val="center"/>
          </w:tcPr>
          <w:p w14:paraId="3D690CD4" w14:textId="7B756E35" w:rsidR="008F5172" w:rsidRPr="00EE5690" w:rsidRDefault="008F5172" w:rsidP="008F5172">
            <w:pPr>
              <w:spacing w:before="0" w:after="0" w:line="240" w:lineRule="auto"/>
              <w:jc w:val="left"/>
              <w:rPr>
                <w:rFonts w:cs="Arial"/>
                <w:lang w:val="en-GB"/>
              </w:rPr>
            </w:pPr>
            <w:r w:rsidRPr="00EE5690">
              <w:rPr>
                <w:rFonts w:cs="Arial"/>
                <w:lang w:val="en-GB"/>
              </w:rPr>
              <w:t>WCED</w:t>
            </w:r>
          </w:p>
        </w:tc>
        <w:tc>
          <w:tcPr>
            <w:tcW w:w="6284" w:type="dxa"/>
            <w:vAlign w:val="center"/>
          </w:tcPr>
          <w:p w14:paraId="021DF4A4" w14:textId="03E27573" w:rsidR="008F5172" w:rsidRPr="00EE5690" w:rsidRDefault="008F5172" w:rsidP="008F5172">
            <w:pPr>
              <w:spacing w:before="0" w:after="0" w:line="240" w:lineRule="auto"/>
              <w:jc w:val="left"/>
              <w:rPr>
                <w:rFonts w:cs="Arial"/>
                <w:lang w:val="en-GB"/>
              </w:rPr>
            </w:pPr>
            <w:r w:rsidRPr="00EE5690">
              <w:rPr>
                <w:rFonts w:cs="Arial"/>
                <w:lang w:val="en-GB"/>
              </w:rPr>
              <w:t>Western Cape Education Department</w:t>
            </w:r>
          </w:p>
        </w:tc>
      </w:tr>
      <w:tr w:rsidR="008F5172" w:rsidRPr="00EE5690" w14:paraId="3E94BDF9" w14:textId="77777777" w:rsidTr="008F5172">
        <w:trPr>
          <w:trHeight w:hRule="exact" w:val="567"/>
        </w:trPr>
        <w:tc>
          <w:tcPr>
            <w:tcW w:w="2113" w:type="dxa"/>
            <w:shd w:val="clear" w:color="auto" w:fill="DBF6B9" w:themeFill="accent3" w:themeFillTint="66"/>
            <w:vAlign w:val="center"/>
          </w:tcPr>
          <w:p w14:paraId="2CF9F165" w14:textId="0AEF2484" w:rsidR="008F5172" w:rsidRPr="00EE5690" w:rsidRDefault="008F5172" w:rsidP="008F5172">
            <w:pPr>
              <w:spacing w:before="0" w:after="0" w:line="240" w:lineRule="auto"/>
              <w:jc w:val="left"/>
              <w:rPr>
                <w:rFonts w:cs="Arial"/>
                <w:lang w:val="en-GB"/>
              </w:rPr>
            </w:pPr>
            <w:r w:rsidRPr="00DB35D4">
              <w:rPr>
                <w:rFonts w:eastAsia="Calibri" w:cs="Arial"/>
                <w:color w:val="000000"/>
              </w:rPr>
              <w:lastRenderedPageBreak/>
              <w:t>VCS</w:t>
            </w:r>
          </w:p>
        </w:tc>
        <w:tc>
          <w:tcPr>
            <w:tcW w:w="6284" w:type="dxa"/>
            <w:vAlign w:val="center"/>
          </w:tcPr>
          <w:p w14:paraId="0BAE7394" w14:textId="135882EB" w:rsidR="008F5172" w:rsidRPr="00EE5690" w:rsidRDefault="008F5172" w:rsidP="008F5172">
            <w:pPr>
              <w:spacing w:before="0" w:after="0" w:line="240" w:lineRule="auto"/>
              <w:jc w:val="left"/>
              <w:rPr>
                <w:rFonts w:cs="Arial"/>
                <w:lang w:val="en-GB"/>
              </w:rPr>
            </w:pPr>
            <w:r w:rsidRPr="00DB35D4">
              <w:rPr>
                <w:rFonts w:cs="Arial"/>
                <w:lang w:val="en-GB"/>
              </w:rPr>
              <w:t>Verified Carbon Standard</w:t>
            </w:r>
          </w:p>
        </w:tc>
      </w:tr>
      <w:tr w:rsidR="008F5172" w:rsidRPr="00EE5690" w14:paraId="02CB732B" w14:textId="77777777" w:rsidTr="008F5172">
        <w:trPr>
          <w:trHeight w:hRule="exact" w:val="567"/>
        </w:trPr>
        <w:tc>
          <w:tcPr>
            <w:tcW w:w="2113" w:type="dxa"/>
            <w:shd w:val="clear" w:color="auto" w:fill="DBF6B9" w:themeFill="accent3" w:themeFillTint="66"/>
            <w:vAlign w:val="center"/>
          </w:tcPr>
          <w:p w14:paraId="0211CFB1" w14:textId="45A3363B" w:rsidR="008F5172" w:rsidRPr="00EE5690" w:rsidRDefault="008F5172" w:rsidP="008F5172">
            <w:pPr>
              <w:spacing w:before="0" w:after="0" w:line="240" w:lineRule="auto"/>
              <w:jc w:val="left"/>
              <w:rPr>
                <w:rFonts w:cs="Arial"/>
                <w:lang w:val="en-GB"/>
              </w:rPr>
            </w:pPr>
            <w:r w:rsidRPr="00DB35D4">
              <w:rPr>
                <w:rFonts w:eastAsia="Calibri" w:cs="Arial"/>
                <w:color w:val="000000"/>
              </w:rPr>
              <w:t>VCU</w:t>
            </w:r>
          </w:p>
        </w:tc>
        <w:tc>
          <w:tcPr>
            <w:tcW w:w="6284" w:type="dxa"/>
            <w:vAlign w:val="center"/>
          </w:tcPr>
          <w:p w14:paraId="00597433" w14:textId="21644C81" w:rsidR="008F5172" w:rsidRPr="00EE5690" w:rsidRDefault="008F5172" w:rsidP="008F5172">
            <w:pPr>
              <w:spacing w:before="0" w:after="0" w:line="240" w:lineRule="auto"/>
              <w:jc w:val="left"/>
              <w:rPr>
                <w:rFonts w:cs="Arial"/>
                <w:lang w:val="en-GB"/>
              </w:rPr>
            </w:pPr>
            <w:r w:rsidRPr="00DB35D4">
              <w:rPr>
                <w:rFonts w:eastAsia="Calibri" w:cs="Arial"/>
                <w:color w:val="000000"/>
              </w:rPr>
              <w:t>Verified Carbon Unit</w:t>
            </w:r>
          </w:p>
        </w:tc>
      </w:tr>
      <w:tr w:rsidR="008F5172" w:rsidRPr="00EE5690" w14:paraId="15AF7B2C" w14:textId="77777777" w:rsidTr="008F5172">
        <w:trPr>
          <w:trHeight w:hRule="exact" w:val="567"/>
        </w:trPr>
        <w:tc>
          <w:tcPr>
            <w:tcW w:w="2113" w:type="dxa"/>
            <w:shd w:val="clear" w:color="auto" w:fill="DBF6B9" w:themeFill="accent3" w:themeFillTint="66"/>
            <w:vAlign w:val="center"/>
          </w:tcPr>
          <w:p w14:paraId="4EEF4E6B" w14:textId="1FD7A6E4" w:rsidR="008F5172" w:rsidRPr="00EE5690" w:rsidRDefault="008F5172" w:rsidP="008F5172">
            <w:pPr>
              <w:spacing w:before="0" w:after="0" w:line="240" w:lineRule="auto"/>
              <w:jc w:val="left"/>
              <w:rPr>
                <w:rFonts w:cs="Arial"/>
                <w:lang w:val="en-GB"/>
              </w:rPr>
            </w:pPr>
            <w:r w:rsidRPr="00DB35D4">
              <w:rPr>
                <w:rFonts w:eastAsia="Calibri" w:cs="Arial"/>
                <w:color w:val="000000"/>
              </w:rPr>
              <w:t xml:space="preserve">VER </w:t>
            </w:r>
          </w:p>
        </w:tc>
        <w:tc>
          <w:tcPr>
            <w:tcW w:w="6284" w:type="dxa"/>
            <w:vAlign w:val="center"/>
          </w:tcPr>
          <w:p w14:paraId="4DA0321E" w14:textId="2F2A2AE2" w:rsidR="008F5172" w:rsidRPr="00EE5690" w:rsidRDefault="008F5172" w:rsidP="008F5172">
            <w:pPr>
              <w:spacing w:before="0" w:after="0" w:line="240" w:lineRule="auto"/>
              <w:jc w:val="left"/>
              <w:rPr>
                <w:rFonts w:cs="Arial"/>
                <w:lang w:val="en-GB"/>
              </w:rPr>
            </w:pPr>
            <w:r w:rsidRPr="00DB35D4">
              <w:rPr>
                <w:rFonts w:eastAsia="Calibri" w:cs="Arial"/>
                <w:color w:val="000000"/>
              </w:rPr>
              <w:t>Verified Emission Reduction</w:t>
            </w:r>
          </w:p>
        </w:tc>
      </w:tr>
      <w:tr w:rsidR="008F5172" w:rsidRPr="00EE5690" w14:paraId="1DF8646E" w14:textId="77777777" w:rsidTr="008F5172">
        <w:trPr>
          <w:trHeight w:hRule="exact" w:val="567"/>
        </w:trPr>
        <w:tc>
          <w:tcPr>
            <w:tcW w:w="2113" w:type="dxa"/>
            <w:shd w:val="clear" w:color="auto" w:fill="DBF6B9" w:themeFill="accent3" w:themeFillTint="66"/>
            <w:vAlign w:val="center"/>
          </w:tcPr>
          <w:p w14:paraId="3169CCD0" w14:textId="7FBBE076" w:rsidR="008F5172" w:rsidRPr="00EE5690" w:rsidRDefault="008F5172" w:rsidP="008F5172">
            <w:pPr>
              <w:spacing w:before="0" w:after="0" w:line="240" w:lineRule="auto"/>
              <w:jc w:val="left"/>
              <w:rPr>
                <w:rFonts w:cs="Arial"/>
                <w:lang w:val="en-GB"/>
              </w:rPr>
            </w:pPr>
            <w:r w:rsidRPr="00DB35D4">
              <w:rPr>
                <w:rFonts w:eastAsia="Calibri" w:cs="Arial"/>
                <w:color w:val="000000"/>
              </w:rPr>
              <w:t>VVB</w:t>
            </w:r>
          </w:p>
        </w:tc>
        <w:tc>
          <w:tcPr>
            <w:tcW w:w="6284" w:type="dxa"/>
            <w:vAlign w:val="center"/>
          </w:tcPr>
          <w:p w14:paraId="42E31DBB" w14:textId="659F1031" w:rsidR="008F5172" w:rsidRPr="00EE5690" w:rsidRDefault="008F5172" w:rsidP="008F5172">
            <w:pPr>
              <w:spacing w:before="0" w:after="0" w:line="240" w:lineRule="auto"/>
              <w:jc w:val="left"/>
              <w:rPr>
                <w:rFonts w:cs="Arial"/>
                <w:lang w:val="en-GB"/>
              </w:rPr>
            </w:pPr>
            <w:r w:rsidRPr="00DB35D4">
              <w:rPr>
                <w:rFonts w:eastAsia="Calibri" w:cs="Arial"/>
                <w:color w:val="000000"/>
              </w:rPr>
              <w:t>Validation and Verification Body</w:t>
            </w:r>
          </w:p>
        </w:tc>
      </w:tr>
      <w:tr w:rsidR="008F5172" w:rsidRPr="00EE5690" w14:paraId="18E8DD2A" w14:textId="77777777" w:rsidTr="00EE5690">
        <w:trPr>
          <w:trHeight w:hRule="exact" w:val="567"/>
        </w:trPr>
        <w:tc>
          <w:tcPr>
            <w:tcW w:w="2113" w:type="dxa"/>
            <w:shd w:val="clear" w:color="auto" w:fill="DBF6B9" w:themeFill="accent3" w:themeFillTint="66"/>
            <w:vAlign w:val="center"/>
          </w:tcPr>
          <w:p w14:paraId="5122DCE6" w14:textId="3DA4CACF" w:rsidR="008F5172" w:rsidRPr="00EE5690" w:rsidRDefault="008F5172" w:rsidP="008F5172">
            <w:pPr>
              <w:spacing w:before="0" w:after="0" w:line="240" w:lineRule="auto"/>
              <w:jc w:val="left"/>
              <w:rPr>
                <w:rFonts w:cs="Arial"/>
                <w:lang w:val="en-GB"/>
              </w:rPr>
            </w:pPr>
            <w:r w:rsidRPr="00EE5690">
              <w:rPr>
                <w:rFonts w:cs="Arial"/>
                <w:lang w:val="en-GB"/>
              </w:rPr>
              <w:t>WE</w:t>
            </w:r>
          </w:p>
        </w:tc>
        <w:tc>
          <w:tcPr>
            <w:tcW w:w="6284" w:type="dxa"/>
            <w:vAlign w:val="center"/>
          </w:tcPr>
          <w:p w14:paraId="4181500D" w14:textId="648C1284" w:rsidR="008F5172" w:rsidRPr="00EE5690" w:rsidRDefault="008F5172" w:rsidP="008F5172">
            <w:pPr>
              <w:spacing w:before="0" w:after="0" w:line="240" w:lineRule="auto"/>
              <w:jc w:val="left"/>
              <w:rPr>
                <w:rFonts w:cs="Arial"/>
                <w:lang w:val="en-GB"/>
              </w:rPr>
            </w:pPr>
            <w:r w:rsidRPr="00EE5690">
              <w:rPr>
                <w:rFonts w:cs="Arial"/>
                <w:lang w:val="en-GB"/>
              </w:rPr>
              <w:t>Western Europe</w:t>
            </w:r>
          </w:p>
        </w:tc>
      </w:tr>
      <w:tr w:rsidR="008F5172" w:rsidRPr="00EE5690" w14:paraId="641C8C08" w14:textId="77777777" w:rsidTr="00EE5690">
        <w:trPr>
          <w:trHeight w:hRule="exact" w:val="567"/>
        </w:trPr>
        <w:tc>
          <w:tcPr>
            <w:tcW w:w="2113" w:type="dxa"/>
            <w:shd w:val="clear" w:color="auto" w:fill="DBF6B9" w:themeFill="accent3" w:themeFillTint="66"/>
            <w:vAlign w:val="center"/>
          </w:tcPr>
          <w:p w14:paraId="387950F3" w14:textId="4409FDE1" w:rsidR="008F5172" w:rsidRPr="00EE5690" w:rsidRDefault="008F5172" w:rsidP="008F5172">
            <w:pPr>
              <w:spacing w:before="0" w:after="0" w:line="240" w:lineRule="auto"/>
              <w:jc w:val="left"/>
              <w:rPr>
                <w:rFonts w:cs="Arial"/>
                <w:lang w:val="en-GB"/>
              </w:rPr>
            </w:pPr>
            <w:r w:rsidRPr="00EE5690">
              <w:rPr>
                <w:rFonts w:cs="Arial"/>
                <w:lang w:val="en-GB"/>
              </w:rPr>
              <w:t>WWF</w:t>
            </w:r>
          </w:p>
        </w:tc>
        <w:tc>
          <w:tcPr>
            <w:tcW w:w="6284" w:type="dxa"/>
            <w:vAlign w:val="center"/>
          </w:tcPr>
          <w:p w14:paraId="21235910" w14:textId="57EBFAD1" w:rsidR="008F5172" w:rsidRPr="00EE5690" w:rsidRDefault="008F5172" w:rsidP="008F5172">
            <w:pPr>
              <w:spacing w:before="0" w:after="0" w:line="240" w:lineRule="auto"/>
              <w:jc w:val="left"/>
              <w:rPr>
                <w:rFonts w:cs="Arial"/>
                <w:lang w:val="en-GB"/>
              </w:rPr>
            </w:pPr>
            <w:r w:rsidRPr="00EE5690">
              <w:rPr>
                <w:rFonts w:cs="Arial"/>
                <w:lang w:val="en-GB"/>
              </w:rPr>
              <w:t>World Wildlife Fund</w:t>
            </w:r>
          </w:p>
        </w:tc>
      </w:tr>
    </w:tbl>
    <w:p w14:paraId="4E3D1BCE" w14:textId="77777777" w:rsidR="009B3BE6" w:rsidRPr="00EE5690" w:rsidRDefault="009B3BE6" w:rsidP="00EE5690">
      <w:pPr>
        <w:jc w:val="left"/>
        <w:rPr>
          <w:rFonts w:cs="Arial"/>
          <w:lang w:val="en-GB"/>
        </w:rPr>
      </w:pPr>
    </w:p>
    <w:p w14:paraId="19609B62" w14:textId="77777777" w:rsidR="0056757E" w:rsidRPr="00EE5690" w:rsidRDefault="0056757E" w:rsidP="00EE5690">
      <w:pPr>
        <w:spacing w:line="300" w:lineRule="exact"/>
        <w:jc w:val="left"/>
        <w:rPr>
          <w:rFonts w:cs="Arial"/>
          <w:lang w:val="en-GB"/>
        </w:rPr>
      </w:pPr>
      <w:r w:rsidRPr="00EE5690">
        <w:rPr>
          <w:rFonts w:cs="Arial"/>
          <w:lang w:val="en-GB"/>
        </w:rPr>
        <w:br w:type="page"/>
      </w:r>
    </w:p>
    <w:sdt>
      <w:sdtPr>
        <w:rPr>
          <w:rFonts w:ascii="Arial" w:eastAsiaTheme="minorHAnsi" w:hAnsi="Arial" w:cs="Arial"/>
          <w:b w:val="0"/>
          <w:bCs w:val="0"/>
          <w:color w:val="auto"/>
          <w:sz w:val="22"/>
          <w:szCs w:val="22"/>
        </w:rPr>
        <w:id w:val="727306473"/>
        <w:docPartObj>
          <w:docPartGallery w:val="Table of Contents"/>
          <w:docPartUnique/>
        </w:docPartObj>
      </w:sdtPr>
      <w:sdtEndPr/>
      <w:sdtContent>
        <w:p w14:paraId="6C3395F3" w14:textId="77777777" w:rsidR="00976AF8" w:rsidRPr="00D61275" w:rsidRDefault="00976AF8" w:rsidP="00EE5690">
          <w:pPr>
            <w:pStyle w:val="TOCHeading"/>
            <w:rPr>
              <w:rStyle w:val="MAILChar"/>
              <w:rFonts w:eastAsiaTheme="majorEastAsia"/>
            </w:rPr>
          </w:pPr>
          <w:r w:rsidRPr="00D61275">
            <w:rPr>
              <w:rStyle w:val="MAILChar"/>
              <w:rFonts w:eastAsiaTheme="majorEastAsia"/>
            </w:rPr>
            <w:t>Contents</w:t>
          </w:r>
        </w:p>
        <w:p w14:paraId="120C6F4F" w14:textId="77777777" w:rsidR="00976AF8" w:rsidRPr="00EE5690" w:rsidRDefault="00976AF8" w:rsidP="00EE5690">
          <w:pPr>
            <w:pStyle w:val="TOC1"/>
            <w:jc w:val="left"/>
            <w:rPr>
              <w:rFonts w:cs="Arial"/>
            </w:rPr>
          </w:pPr>
        </w:p>
        <w:p w14:paraId="6317F474" w14:textId="7BAD13AC" w:rsidR="00FE4088" w:rsidRDefault="00121AB0">
          <w:pPr>
            <w:pStyle w:val="TOC1"/>
            <w:rPr>
              <w:rFonts w:asciiTheme="minorHAnsi" w:eastAsiaTheme="minorEastAsia" w:hAnsiTheme="minorHAnsi"/>
              <w:noProof/>
              <w:lang w:val="el-GR" w:eastAsia="el-GR"/>
            </w:rPr>
          </w:pPr>
          <w:r w:rsidRPr="00EE5690">
            <w:rPr>
              <w:rFonts w:cs="Arial"/>
            </w:rPr>
            <w:fldChar w:fldCharType="begin"/>
          </w:r>
          <w:r w:rsidR="00976AF8" w:rsidRPr="00EE5690">
            <w:rPr>
              <w:rFonts w:cs="Arial"/>
            </w:rPr>
            <w:instrText xml:space="preserve"> TOC \o "1-3" \h \z \u </w:instrText>
          </w:r>
          <w:r w:rsidRPr="00EE5690">
            <w:rPr>
              <w:rFonts w:cs="Arial"/>
            </w:rPr>
            <w:fldChar w:fldCharType="separate"/>
          </w:r>
          <w:hyperlink w:anchor="_Toc91752372" w:history="1">
            <w:r w:rsidR="00FE4088" w:rsidRPr="00D12D7C">
              <w:rPr>
                <w:rStyle w:val="Hyperlink"/>
                <w:noProof/>
              </w:rPr>
              <w:t>MAIL Consortium</w:t>
            </w:r>
            <w:r w:rsidR="00FE4088">
              <w:rPr>
                <w:noProof/>
                <w:webHidden/>
              </w:rPr>
              <w:tab/>
            </w:r>
            <w:r w:rsidR="00FE4088">
              <w:rPr>
                <w:noProof/>
                <w:webHidden/>
              </w:rPr>
              <w:fldChar w:fldCharType="begin"/>
            </w:r>
            <w:r w:rsidR="00FE4088">
              <w:rPr>
                <w:noProof/>
                <w:webHidden/>
              </w:rPr>
              <w:instrText xml:space="preserve"> PAGEREF _Toc91752372 \h </w:instrText>
            </w:r>
            <w:r w:rsidR="00FE4088">
              <w:rPr>
                <w:noProof/>
                <w:webHidden/>
              </w:rPr>
            </w:r>
            <w:r w:rsidR="00FE4088">
              <w:rPr>
                <w:noProof/>
                <w:webHidden/>
              </w:rPr>
              <w:fldChar w:fldCharType="separate"/>
            </w:r>
            <w:r w:rsidR="0073710A">
              <w:rPr>
                <w:noProof/>
                <w:webHidden/>
              </w:rPr>
              <w:t>3</w:t>
            </w:r>
            <w:r w:rsidR="00FE4088">
              <w:rPr>
                <w:noProof/>
                <w:webHidden/>
              </w:rPr>
              <w:fldChar w:fldCharType="end"/>
            </w:r>
          </w:hyperlink>
        </w:p>
        <w:p w14:paraId="2909F6D6" w14:textId="46B1C019" w:rsidR="00FE4088" w:rsidRDefault="003B0DE2">
          <w:pPr>
            <w:pStyle w:val="TOC1"/>
            <w:rPr>
              <w:rFonts w:asciiTheme="minorHAnsi" w:eastAsiaTheme="minorEastAsia" w:hAnsiTheme="minorHAnsi"/>
              <w:noProof/>
              <w:lang w:val="el-GR" w:eastAsia="el-GR"/>
            </w:rPr>
          </w:pPr>
          <w:hyperlink w:anchor="_Toc91752373" w:history="1">
            <w:r w:rsidR="00FE4088" w:rsidRPr="00D12D7C">
              <w:rPr>
                <w:rStyle w:val="Hyperlink"/>
                <w:noProof/>
              </w:rPr>
              <w:t>Abbreviations</w:t>
            </w:r>
            <w:r w:rsidR="00FE4088">
              <w:rPr>
                <w:noProof/>
                <w:webHidden/>
              </w:rPr>
              <w:tab/>
            </w:r>
            <w:r w:rsidR="00FE4088">
              <w:rPr>
                <w:noProof/>
                <w:webHidden/>
              </w:rPr>
              <w:fldChar w:fldCharType="begin"/>
            </w:r>
            <w:r w:rsidR="00FE4088">
              <w:rPr>
                <w:noProof/>
                <w:webHidden/>
              </w:rPr>
              <w:instrText xml:space="preserve"> PAGEREF _Toc91752373 \h </w:instrText>
            </w:r>
            <w:r w:rsidR="00FE4088">
              <w:rPr>
                <w:noProof/>
                <w:webHidden/>
              </w:rPr>
            </w:r>
            <w:r w:rsidR="00FE4088">
              <w:rPr>
                <w:noProof/>
                <w:webHidden/>
              </w:rPr>
              <w:fldChar w:fldCharType="separate"/>
            </w:r>
            <w:r w:rsidR="0073710A">
              <w:rPr>
                <w:noProof/>
                <w:webHidden/>
              </w:rPr>
              <w:t>4</w:t>
            </w:r>
            <w:r w:rsidR="00FE4088">
              <w:rPr>
                <w:noProof/>
                <w:webHidden/>
              </w:rPr>
              <w:fldChar w:fldCharType="end"/>
            </w:r>
          </w:hyperlink>
        </w:p>
        <w:p w14:paraId="7E4F2A68" w14:textId="6387425C" w:rsidR="00FE4088" w:rsidRDefault="003B0DE2">
          <w:pPr>
            <w:pStyle w:val="TOC1"/>
            <w:rPr>
              <w:rFonts w:asciiTheme="minorHAnsi" w:eastAsiaTheme="minorEastAsia" w:hAnsiTheme="minorHAnsi"/>
              <w:noProof/>
              <w:lang w:val="el-GR" w:eastAsia="el-GR"/>
            </w:rPr>
          </w:pPr>
          <w:hyperlink w:anchor="_Toc91752374" w:history="1">
            <w:r w:rsidR="00FE4088" w:rsidRPr="00D12D7C">
              <w:rPr>
                <w:rStyle w:val="Hyperlink"/>
                <w:noProof/>
              </w:rPr>
              <w:t>Executive Summary</w:t>
            </w:r>
            <w:r w:rsidR="00FE4088">
              <w:rPr>
                <w:noProof/>
                <w:webHidden/>
              </w:rPr>
              <w:tab/>
            </w:r>
            <w:r w:rsidR="00FE4088">
              <w:rPr>
                <w:noProof/>
                <w:webHidden/>
              </w:rPr>
              <w:fldChar w:fldCharType="begin"/>
            </w:r>
            <w:r w:rsidR="00FE4088">
              <w:rPr>
                <w:noProof/>
                <w:webHidden/>
              </w:rPr>
              <w:instrText xml:space="preserve"> PAGEREF _Toc91752374 \h </w:instrText>
            </w:r>
            <w:r w:rsidR="00FE4088">
              <w:rPr>
                <w:noProof/>
                <w:webHidden/>
              </w:rPr>
            </w:r>
            <w:r w:rsidR="00FE4088">
              <w:rPr>
                <w:noProof/>
                <w:webHidden/>
              </w:rPr>
              <w:fldChar w:fldCharType="separate"/>
            </w:r>
            <w:r w:rsidR="0073710A">
              <w:rPr>
                <w:noProof/>
                <w:webHidden/>
              </w:rPr>
              <w:t>13</w:t>
            </w:r>
            <w:r w:rsidR="00FE4088">
              <w:rPr>
                <w:noProof/>
                <w:webHidden/>
              </w:rPr>
              <w:fldChar w:fldCharType="end"/>
            </w:r>
          </w:hyperlink>
        </w:p>
        <w:p w14:paraId="3E1AE09A" w14:textId="2B7A901E" w:rsidR="00FE4088" w:rsidRDefault="003B0DE2">
          <w:pPr>
            <w:pStyle w:val="TOC1"/>
            <w:rPr>
              <w:rFonts w:asciiTheme="minorHAnsi" w:eastAsiaTheme="minorEastAsia" w:hAnsiTheme="minorHAnsi"/>
              <w:noProof/>
              <w:lang w:val="el-GR" w:eastAsia="el-GR"/>
            </w:rPr>
          </w:pPr>
          <w:hyperlink w:anchor="_Toc91752375" w:history="1">
            <w:r w:rsidR="00FE4088" w:rsidRPr="00D12D7C">
              <w:rPr>
                <w:rStyle w:val="Hyperlink"/>
                <w:noProof/>
              </w:rPr>
              <w:t>1.</w:t>
            </w:r>
            <w:r w:rsidR="00FE4088">
              <w:rPr>
                <w:rFonts w:asciiTheme="minorHAnsi" w:eastAsiaTheme="minorEastAsia" w:hAnsiTheme="minorHAnsi"/>
                <w:noProof/>
                <w:lang w:val="el-GR" w:eastAsia="el-GR"/>
              </w:rPr>
              <w:tab/>
            </w:r>
            <w:r w:rsidR="00FE4088" w:rsidRPr="00D12D7C">
              <w:rPr>
                <w:rStyle w:val="Hyperlink"/>
                <w:noProof/>
              </w:rPr>
              <w:t>Introduction</w:t>
            </w:r>
            <w:r w:rsidR="00FE4088">
              <w:rPr>
                <w:noProof/>
                <w:webHidden/>
              </w:rPr>
              <w:tab/>
            </w:r>
            <w:r w:rsidR="00FE4088">
              <w:rPr>
                <w:noProof/>
                <w:webHidden/>
              </w:rPr>
              <w:fldChar w:fldCharType="begin"/>
            </w:r>
            <w:r w:rsidR="00FE4088">
              <w:rPr>
                <w:noProof/>
                <w:webHidden/>
              </w:rPr>
              <w:instrText xml:space="preserve"> PAGEREF _Toc91752375 \h </w:instrText>
            </w:r>
            <w:r w:rsidR="00FE4088">
              <w:rPr>
                <w:noProof/>
                <w:webHidden/>
              </w:rPr>
            </w:r>
            <w:r w:rsidR="00FE4088">
              <w:rPr>
                <w:noProof/>
                <w:webHidden/>
              </w:rPr>
              <w:fldChar w:fldCharType="separate"/>
            </w:r>
            <w:r w:rsidR="0073710A">
              <w:rPr>
                <w:noProof/>
                <w:webHidden/>
              </w:rPr>
              <w:t>16</w:t>
            </w:r>
            <w:r w:rsidR="00FE4088">
              <w:rPr>
                <w:noProof/>
                <w:webHidden/>
              </w:rPr>
              <w:fldChar w:fldCharType="end"/>
            </w:r>
          </w:hyperlink>
        </w:p>
        <w:p w14:paraId="2827417F" w14:textId="135EC8D8" w:rsidR="00FE4088" w:rsidRDefault="003B0DE2">
          <w:pPr>
            <w:pStyle w:val="TOC1"/>
            <w:rPr>
              <w:rFonts w:asciiTheme="minorHAnsi" w:eastAsiaTheme="minorEastAsia" w:hAnsiTheme="minorHAnsi"/>
              <w:noProof/>
              <w:lang w:val="el-GR" w:eastAsia="el-GR"/>
            </w:rPr>
          </w:pPr>
          <w:hyperlink w:anchor="_Toc91752376" w:history="1">
            <w:r w:rsidR="00FE4088" w:rsidRPr="00D12D7C">
              <w:rPr>
                <w:rStyle w:val="Hyperlink"/>
                <w:noProof/>
              </w:rPr>
              <w:t>2.</w:t>
            </w:r>
            <w:r w:rsidR="00FE4088">
              <w:rPr>
                <w:rFonts w:asciiTheme="minorHAnsi" w:eastAsiaTheme="minorEastAsia" w:hAnsiTheme="minorHAnsi"/>
                <w:noProof/>
                <w:lang w:val="el-GR" w:eastAsia="el-GR"/>
              </w:rPr>
              <w:tab/>
            </w:r>
            <w:r w:rsidR="00FE4088" w:rsidRPr="00D12D7C">
              <w:rPr>
                <w:rStyle w:val="Hyperlink"/>
                <w:noProof/>
              </w:rPr>
              <w:t>Definitions and Terms in MLs and Carbon sequestration context</w:t>
            </w:r>
            <w:r w:rsidR="00FE4088">
              <w:rPr>
                <w:noProof/>
                <w:webHidden/>
              </w:rPr>
              <w:tab/>
            </w:r>
            <w:r w:rsidR="00FE4088">
              <w:rPr>
                <w:noProof/>
                <w:webHidden/>
              </w:rPr>
              <w:fldChar w:fldCharType="begin"/>
            </w:r>
            <w:r w:rsidR="00FE4088">
              <w:rPr>
                <w:noProof/>
                <w:webHidden/>
              </w:rPr>
              <w:instrText xml:space="preserve"> PAGEREF _Toc91752376 \h </w:instrText>
            </w:r>
            <w:r w:rsidR="00FE4088">
              <w:rPr>
                <w:noProof/>
                <w:webHidden/>
              </w:rPr>
            </w:r>
            <w:r w:rsidR="00FE4088">
              <w:rPr>
                <w:noProof/>
                <w:webHidden/>
              </w:rPr>
              <w:fldChar w:fldCharType="separate"/>
            </w:r>
            <w:r w:rsidR="0073710A">
              <w:rPr>
                <w:noProof/>
                <w:webHidden/>
              </w:rPr>
              <w:t>18</w:t>
            </w:r>
            <w:r w:rsidR="00FE4088">
              <w:rPr>
                <w:noProof/>
                <w:webHidden/>
              </w:rPr>
              <w:fldChar w:fldCharType="end"/>
            </w:r>
          </w:hyperlink>
        </w:p>
        <w:p w14:paraId="05087EE8" w14:textId="12AAA4C5" w:rsidR="00FE4088" w:rsidRDefault="003B0DE2">
          <w:pPr>
            <w:pStyle w:val="TOC2"/>
            <w:rPr>
              <w:rFonts w:asciiTheme="minorHAnsi" w:eastAsiaTheme="minorEastAsia" w:hAnsiTheme="minorHAnsi"/>
              <w:noProof/>
              <w:lang w:val="el-GR" w:eastAsia="el-GR"/>
            </w:rPr>
          </w:pPr>
          <w:hyperlink w:anchor="_Toc91752377" w:history="1">
            <w:r w:rsidR="00FE4088" w:rsidRPr="00D12D7C">
              <w:rPr>
                <w:rStyle w:val="Hyperlink"/>
                <w:noProof/>
              </w:rPr>
              <w:t>2.1.</w:t>
            </w:r>
            <w:r w:rsidR="00FE4088">
              <w:rPr>
                <w:rFonts w:asciiTheme="minorHAnsi" w:eastAsiaTheme="minorEastAsia" w:hAnsiTheme="minorHAnsi"/>
                <w:noProof/>
                <w:lang w:val="el-GR" w:eastAsia="el-GR"/>
              </w:rPr>
              <w:tab/>
            </w:r>
            <w:r w:rsidR="00FE4088" w:rsidRPr="00D12D7C">
              <w:rPr>
                <w:rStyle w:val="Hyperlink"/>
                <w:noProof/>
              </w:rPr>
              <w:t>Sustainable development definition</w:t>
            </w:r>
            <w:r w:rsidR="00FE4088">
              <w:rPr>
                <w:noProof/>
                <w:webHidden/>
              </w:rPr>
              <w:tab/>
            </w:r>
            <w:r w:rsidR="00FE4088">
              <w:rPr>
                <w:noProof/>
                <w:webHidden/>
              </w:rPr>
              <w:fldChar w:fldCharType="begin"/>
            </w:r>
            <w:r w:rsidR="00FE4088">
              <w:rPr>
                <w:noProof/>
                <w:webHidden/>
              </w:rPr>
              <w:instrText xml:space="preserve"> PAGEREF _Toc91752377 \h </w:instrText>
            </w:r>
            <w:r w:rsidR="00FE4088">
              <w:rPr>
                <w:noProof/>
                <w:webHidden/>
              </w:rPr>
            </w:r>
            <w:r w:rsidR="00FE4088">
              <w:rPr>
                <w:noProof/>
                <w:webHidden/>
              </w:rPr>
              <w:fldChar w:fldCharType="separate"/>
            </w:r>
            <w:r w:rsidR="0073710A">
              <w:rPr>
                <w:noProof/>
                <w:webHidden/>
              </w:rPr>
              <w:t>18</w:t>
            </w:r>
            <w:r w:rsidR="00FE4088">
              <w:rPr>
                <w:noProof/>
                <w:webHidden/>
              </w:rPr>
              <w:fldChar w:fldCharType="end"/>
            </w:r>
          </w:hyperlink>
        </w:p>
        <w:p w14:paraId="31F92E9F" w14:textId="3DCD0674" w:rsidR="00FE4088" w:rsidRDefault="003B0DE2">
          <w:pPr>
            <w:pStyle w:val="TOC2"/>
            <w:rPr>
              <w:rFonts w:asciiTheme="minorHAnsi" w:eastAsiaTheme="minorEastAsia" w:hAnsiTheme="minorHAnsi"/>
              <w:noProof/>
              <w:lang w:val="el-GR" w:eastAsia="el-GR"/>
            </w:rPr>
          </w:pPr>
          <w:hyperlink w:anchor="_Toc91752378" w:history="1">
            <w:r w:rsidR="00FE4088" w:rsidRPr="00D12D7C">
              <w:rPr>
                <w:rStyle w:val="Hyperlink"/>
                <w:noProof/>
              </w:rPr>
              <w:t>2.2.</w:t>
            </w:r>
            <w:r w:rsidR="00FE4088">
              <w:rPr>
                <w:rFonts w:asciiTheme="minorHAnsi" w:eastAsiaTheme="minorEastAsia" w:hAnsiTheme="minorHAnsi"/>
                <w:noProof/>
                <w:lang w:val="el-GR" w:eastAsia="el-GR"/>
              </w:rPr>
              <w:tab/>
            </w:r>
            <w:r w:rsidR="00FE4088" w:rsidRPr="00D12D7C">
              <w:rPr>
                <w:rStyle w:val="Hyperlink"/>
                <w:noProof/>
              </w:rPr>
              <w:t>Forest and carbon related sequestration definitions</w:t>
            </w:r>
            <w:r w:rsidR="00FE4088">
              <w:rPr>
                <w:noProof/>
                <w:webHidden/>
              </w:rPr>
              <w:tab/>
            </w:r>
            <w:r w:rsidR="00FE4088">
              <w:rPr>
                <w:noProof/>
                <w:webHidden/>
              </w:rPr>
              <w:fldChar w:fldCharType="begin"/>
            </w:r>
            <w:r w:rsidR="00FE4088">
              <w:rPr>
                <w:noProof/>
                <w:webHidden/>
              </w:rPr>
              <w:instrText xml:space="preserve"> PAGEREF _Toc91752378 \h </w:instrText>
            </w:r>
            <w:r w:rsidR="00FE4088">
              <w:rPr>
                <w:noProof/>
                <w:webHidden/>
              </w:rPr>
            </w:r>
            <w:r w:rsidR="00FE4088">
              <w:rPr>
                <w:noProof/>
                <w:webHidden/>
              </w:rPr>
              <w:fldChar w:fldCharType="separate"/>
            </w:r>
            <w:r w:rsidR="0073710A">
              <w:rPr>
                <w:noProof/>
                <w:webHidden/>
              </w:rPr>
              <w:t>21</w:t>
            </w:r>
            <w:r w:rsidR="00FE4088">
              <w:rPr>
                <w:noProof/>
                <w:webHidden/>
              </w:rPr>
              <w:fldChar w:fldCharType="end"/>
            </w:r>
          </w:hyperlink>
        </w:p>
        <w:p w14:paraId="3F7E6746" w14:textId="4C7A94D5" w:rsidR="00FE4088" w:rsidRDefault="003B0DE2">
          <w:pPr>
            <w:pStyle w:val="TOC2"/>
            <w:rPr>
              <w:rFonts w:asciiTheme="minorHAnsi" w:eastAsiaTheme="minorEastAsia" w:hAnsiTheme="minorHAnsi"/>
              <w:noProof/>
              <w:lang w:val="el-GR" w:eastAsia="el-GR"/>
            </w:rPr>
          </w:pPr>
          <w:hyperlink w:anchor="_Toc91752379" w:history="1">
            <w:r w:rsidR="00FE4088" w:rsidRPr="00D12D7C">
              <w:rPr>
                <w:rStyle w:val="Hyperlink"/>
                <w:noProof/>
              </w:rPr>
              <w:t>2.3.</w:t>
            </w:r>
            <w:r w:rsidR="00FE4088">
              <w:rPr>
                <w:rFonts w:asciiTheme="minorHAnsi" w:eastAsiaTheme="minorEastAsia" w:hAnsiTheme="minorHAnsi"/>
                <w:noProof/>
                <w:lang w:val="el-GR" w:eastAsia="el-GR"/>
              </w:rPr>
              <w:tab/>
            </w:r>
            <w:r w:rsidR="00FE4088" w:rsidRPr="00D12D7C">
              <w:rPr>
                <w:rStyle w:val="Hyperlink"/>
                <w:noProof/>
              </w:rPr>
              <w:t>Sustainable Forest Management</w:t>
            </w:r>
            <w:r w:rsidR="00FE4088">
              <w:rPr>
                <w:noProof/>
                <w:webHidden/>
              </w:rPr>
              <w:tab/>
            </w:r>
            <w:r w:rsidR="00FE4088">
              <w:rPr>
                <w:noProof/>
                <w:webHidden/>
              </w:rPr>
              <w:fldChar w:fldCharType="begin"/>
            </w:r>
            <w:r w:rsidR="00FE4088">
              <w:rPr>
                <w:noProof/>
                <w:webHidden/>
              </w:rPr>
              <w:instrText xml:space="preserve"> PAGEREF _Toc91752379 \h </w:instrText>
            </w:r>
            <w:r w:rsidR="00FE4088">
              <w:rPr>
                <w:noProof/>
                <w:webHidden/>
              </w:rPr>
            </w:r>
            <w:r w:rsidR="00FE4088">
              <w:rPr>
                <w:noProof/>
                <w:webHidden/>
              </w:rPr>
              <w:fldChar w:fldCharType="separate"/>
            </w:r>
            <w:r w:rsidR="0073710A">
              <w:rPr>
                <w:noProof/>
                <w:webHidden/>
              </w:rPr>
              <w:t>23</w:t>
            </w:r>
            <w:r w:rsidR="00FE4088">
              <w:rPr>
                <w:noProof/>
                <w:webHidden/>
              </w:rPr>
              <w:fldChar w:fldCharType="end"/>
            </w:r>
          </w:hyperlink>
        </w:p>
        <w:p w14:paraId="6F4CB647" w14:textId="194C61AC" w:rsidR="00FE4088" w:rsidRDefault="003B0DE2">
          <w:pPr>
            <w:pStyle w:val="TOC2"/>
            <w:rPr>
              <w:rFonts w:asciiTheme="minorHAnsi" w:eastAsiaTheme="minorEastAsia" w:hAnsiTheme="minorHAnsi"/>
              <w:noProof/>
              <w:lang w:val="el-GR" w:eastAsia="el-GR"/>
            </w:rPr>
          </w:pPr>
          <w:hyperlink w:anchor="_Toc91752380" w:history="1">
            <w:r w:rsidR="00FE4088" w:rsidRPr="00D12D7C">
              <w:rPr>
                <w:rStyle w:val="Hyperlink"/>
                <w:noProof/>
              </w:rPr>
              <w:t>2.4.</w:t>
            </w:r>
            <w:r w:rsidR="00FE4088">
              <w:rPr>
                <w:rFonts w:asciiTheme="minorHAnsi" w:eastAsiaTheme="minorEastAsia" w:hAnsiTheme="minorHAnsi"/>
                <w:noProof/>
                <w:lang w:val="el-GR" w:eastAsia="el-GR"/>
              </w:rPr>
              <w:tab/>
            </w:r>
            <w:r w:rsidR="00FE4088" w:rsidRPr="00D12D7C">
              <w:rPr>
                <w:rStyle w:val="Hyperlink"/>
                <w:noProof/>
              </w:rPr>
              <w:t>Sustainable forest management Criteria and Indicators</w:t>
            </w:r>
            <w:r w:rsidR="00FE4088">
              <w:rPr>
                <w:noProof/>
                <w:webHidden/>
              </w:rPr>
              <w:tab/>
            </w:r>
            <w:r w:rsidR="00FE4088">
              <w:rPr>
                <w:noProof/>
                <w:webHidden/>
              </w:rPr>
              <w:fldChar w:fldCharType="begin"/>
            </w:r>
            <w:r w:rsidR="00FE4088">
              <w:rPr>
                <w:noProof/>
                <w:webHidden/>
              </w:rPr>
              <w:instrText xml:space="preserve"> PAGEREF _Toc91752380 \h </w:instrText>
            </w:r>
            <w:r w:rsidR="00FE4088">
              <w:rPr>
                <w:noProof/>
                <w:webHidden/>
              </w:rPr>
            </w:r>
            <w:r w:rsidR="00FE4088">
              <w:rPr>
                <w:noProof/>
                <w:webHidden/>
              </w:rPr>
              <w:fldChar w:fldCharType="separate"/>
            </w:r>
            <w:r w:rsidR="0073710A">
              <w:rPr>
                <w:noProof/>
                <w:webHidden/>
              </w:rPr>
              <w:t>24</w:t>
            </w:r>
            <w:r w:rsidR="00FE4088">
              <w:rPr>
                <w:noProof/>
                <w:webHidden/>
              </w:rPr>
              <w:fldChar w:fldCharType="end"/>
            </w:r>
          </w:hyperlink>
        </w:p>
        <w:p w14:paraId="6CF9B76E" w14:textId="4D551170" w:rsidR="00FE4088" w:rsidRDefault="003B0DE2">
          <w:pPr>
            <w:pStyle w:val="TOC2"/>
            <w:rPr>
              <w:rFonts w:asciiTheme="minorHAnsi" w:eastAsiaTheme="minorEastAsia" w:hAnsiTheme="minorHAnsi"/>
              <w:noProof/>
              <w:lang w:val="el-GR" w:eastAsia="el-GR"/>
            </w:rPr>
          </w:pPr>
          <w:hyperlink w:anchor="_Toc91752381" w:history="1">
            <w:r w:rsidR="00FE4088" w:rsidRPr="00D12D7C">
              <w:rPr>
                <w:rStyle w:val="Hyperlink"/>
                <w:noProof/>
              </w:rPr>
              <w:t>2.5.</w:t>
            </w:r>
            <w:r w:rsidR="00FE4088">
              <w:rPr>
                <w:rFonts w:asciiTheme="minorHAnsi" w:eastAsiaTheme="minorEastAsia" w:hAnsiTheme="minorHAnsi"/>
                <w:noProof/>
                <w:lang w:val="el-GR" w:eastAsia="el-GR"/>
              </w:rPr>
              <w:tab/>
            </w:r>
            <w:r w:rsidR="00FE4088" w:rsidRPr="00D12D7C">
              <w:rPr>
                <w:rStyle w:val="Hyperlink"/>
                <w:noProof/>
              </w:rPr>
              <w:t>Pan European Guidelines for Afforestation and Reforestation</w:t>
            </w:r>
            <w:r w:rsidR="00FE4088">
              <w:rPr>
                <w:noProof/>
                <w:webHidden/>
              </w:rPr>
              <w:tab/>
            </w:r>
            <w:r w:rsidR="00FE4088">
              <w:rPr>
                <w:noProof/>
                <w:webHidden/>
              </w:rPr>
              <w:fldChar w:fldCharType="begin"/>
            </w:r>
            <w:r w:rsidR="00FE4088">
              <w:rPr>
                <w:noProof/>
                <w:webHidden/>
              </w:rPr>
              <w:instrText xml:space="preserve"> PAGEREF _Toc91752381 \h </w:instrText>
            </w:r>
            <w:r w:rsidR="00FE4088">
              <w:rPr>
                <w:noProof/>
                <w:webHidden/>
              </w:rPr>
            </w:r>
            <w:r w:rsidR="00FE4088">
              <w:rPr>
                <w:noProof/>
                <w:webHidden/>
              </w:rPr>
              <w:fldChar w:fldCharType="separate"/>
            </w:r>
            <w:r w:rsidR="0073710A">
              <w:rPr>
                <w:noProof/>
                <w:webHidden/>
              </w:rPr>
              <w:t>27</w:t>
            </w:r>
            <w:r w:rsidR="00FE4088">
              <w:rPr>
                <w:noProof/>
                <w:webHidden/>
              </w:rPr>
              <w:fldChar w:fldCharType="end"/>
            </w:r>
          </w:hyperlink>
        </w:p>
        <w:p w14:paraId="42FED7B2" w14:textId="0D375784" w:rsidR="00FE4088" w:rsidRDefault="003B0DE2">
          <w:pPr>
            <w:pStyle w:val="TOC2"/>
            <w:rPr>
              <w:rFonts w:asciiTheme="minorHAnsi" w:eastAsiaTheme="minorEastAsia" w:hAnsiTheme="minorHAnsi"/>
              <w:noProof/>
              <w:lang w:val="el-GR" w:eastAsia="el-GR"/>
            </w:rPr>
          </w:pPr>
          <w:hyperlink w:anchor="_Toc91752382" w:history="1">
            <w:r w:rsidR="00FE4088" w:rsidRPr="00D12D7C">
              <w:rPr>
                <w:rStyle w:val="Hyperlink"/>
                <w:noProof/>
              </w:rPr>
              <w:t>2.6.</w:t>
            </w:r>
            <w:r w:rsidR="00FE4088">
              <w:rPr>
                <w:rFonts w:asciiTheme="minorHAnsi" w:eastAsiaTheme="minorEastAsia" w:hAnsiTheme="minorHAnsi"/>
                <w:noProof/>
                <w:lang w:val="el-GR" w:eastAsia="el-GR"/>
              </w:rPr>
              <w:tab/>
            </w:r>
            <w:r w:rsidR="00FE4088" w:rsidRPr="00D12D7C">
              <w:rPr>
                <w:rStyle w:val="Hyperlink"/>
                <w:noProof/>
              </w:rPr>
              <w:t>Funding</w:t>
            </w:r>
            <w:r w:rsidR="00FE4088">
              <w:rPr>
                <w:noProof/>
                <w:webHidden/>
              </w:rPr>
              <w:tab/>
            </w:r>
            <w:r w:rsidR="00FE4088">
              <w:rPr>
                <w:noProof/>
                <w:webHidden/>
              </w:rPr>
              <w:fldChar w:fldCharType="begin"/>
            </w:r>
            <w:r w:rsidR="00FE4088">
              <w:rPr>
                <w:noProof/>
                <w:webHidden/>
              </w:rPr>
              <w:instrText xml:space="preserve"> PAGEREF _Toc91752382 \h </w:instrText>
            </w:r>
            <w:r w:rsidR="00FE4088">
              <w:rPr>
                <w:noProof/>
                <w:webHidden/>
              </w:rPr>
            </w:r>
            <w:r w:rsidR="00FE4088">
              <w:rPr>
                <w:noProof/>
                <w:webHidden/>
              </w:rPr>
              <w:fldChar w:fldCharType="separate"/>
            </w:r>
            <w:r w:rsidR="0073710A">
              <w:rPr>
                <w:noProof/>
                <w:webHidden/>
              </w:rPr>
              <w:t>33</w:t>
            </w:r>
            <w:r w:rsidR="00FE4088">
              <w:rPr>
                <w:noProof/>
                <w:webHidden/>
              </w:rPr>
              <w:fldChar w:fldCharType="end"/>
            </w:r>
          </w:hyperlink>
        </w:p>
        <w:p w14:paraId="45A58E52" w14:textId="6B701BED" w:rsidR="00FE4088" w:rsidRDefault="003B0DE2">
          <w:pPr>
            <w:pStyle w:val="TOC1"/>
            <w:rPr>
              <w:rFonts w:asciiTheme="minorHAnsi" w:eastAsiaTheme="minorEastAsia" w:hAnsiTheme="minorHAnsi"/>
              <w:noProof/>
              <w:lang w:val="el-GR" w:eastAsia="el-GR"/>
            </w:rPr>
          </w:pPr>
          <w:hyperlink w:anchor="_Toc91752383" w:history="1">
            <w:r w:rsidR="00FE4088" w:rsidRPr="00D12D7C">
              <w:rPr>
                <w:rStyle w:val="Hyperlink"/>
                <w:noProof/>
              </w:rPr>
              <w:t>3.</w:t>
            </w:r>
            <w:r w:rsidR="00FE4088">
              <w:rPr>
                <w:rFonts w:asciiTheme="minorHAnsi" w:eastAsiaTheme="minorEastAsia" w:hAnsiTheme="minorHAnsi"/>
                <w:noProof/>
                <w:lang w:val="el-GR" w:eastAsia="el-GR"/>
              </w:rPr>
              <w:tab/>
            </w:r>
            <w:r w:rsidR="00FE4088" w:rsidRPr="00D12D7C">
              <w:rPr>
                <w:rStyle w:val="Hyperlink"/>
                <w:noProof/>
              </w:rPr>
              <w:t>Methodology Development for assessing sustainable development of MLs as Carbon sinks</w:t>
            </w:r>
            <w:r w:rsidR="00FE4088">
              <w:rPr>
                <w:noProof/>
                <w:webHidden/>
              </w:rPr>
              <w:tab/>
            </w:r>
            <w:r w:rsidR="00FE4088">
              <w:rPr>
                <w:noProof/>
                <w:webHidden/>
              </w:rPr>
              <w:fldChar w:fldCharType="begin"/>
            </w:r>
            <w:r w:rsidR="00FE4088">
              <w:rPr>
                <w:noProof/>
                <w:webHidden/>
              </w:rPr>
              <w:instrText xml:space="preserve"> PAGEREF _Toc91752383 \h </w:instrText>
            </w:r>
            <w:r w:rsidR="00FE4088">
              <w:rPr>
                <w:noProof/>
                <w:webHidden/>
              </w:rPr>
            </w:r>
            <w:r w:rsidR="00FE4088">
              <w:rPr>
                <w:noProof/>
                <w:webHidden/>
              </w:rPr>
              <w:fldChar w:fldCharType="separate"/>
            </w:r>
            <w:r w:rsidR="0073710A">
              <w:rPr>
                <w:noProof/>
                <w:webHidden/>
              </w:rPr>
              <w:t>37</w:t>
            </w:r>
            <w:r w:rsidR="00FE4088">
              <w:rPr>
                <w:noProof/>
                <w:webHidden/>
              </w:rPr>
              <w:fldChar w:fldCharType="end"/>
            </w:r>
          </w:hyperlink>
        </w:p>
        <w:p w14:paraId="7B51C4A4" w14:textId="70872246" w:rsidR="00FE4088" w:rsidRDefault="003B0DE2">
          <w:pPr>
            <w:pStyle w:val="TOC2"/>
            <w:rPr>
              <w:rFonts w:asciiTheme="minorHAnsi" w:eastAsiaTheme="minorEastAsia" w:hAnsiTheme="minorHAnsi"/>
              <w:noProof/>
              <w:lang w:val="el-GR" w:eastAsia="el-GR"/>
            </w:rPr>
          </w:pPr>
          <w:hyperlink w:anchor="_Toc91752384" w:history="1">
            <w:r w:rsidR="00FE4088" w:rsidRPr="00D12D7C">
              <w:rPr>
                <w:rStyle w:val="Hyperlink"/>
                <w:noProof/>
              </w:rPr>
              <w:t>3.1.</w:t>
            </w:r>
            <w:r w:rsidR="00FE4088">
              <w:rPr>
                <w:rFonts w:asciiTheme="minorHAnsi" w:eastAsiaTheme="minorEastAsia" w:hAnsiTheme="minorHAnsi"/>
                <w:noProof/>
                <w:lang w:val="el-GR" w:eastAsia="el-GR"/>
              </w:rPr>
              <w:tab/>
            </w:r>
            <w:r w:rsidR="00FE4088" w:rsidRPr="00D12D7C">
              <w:rPr>
                <w:rStyle w:val="Hyperlink"/>
                <w:noProof/>
              </w:rPr>
              <w:t>Area refinement</w:t>
            </w:r>
            <w:r w:rsidR="00FE4088">
              <w:rPr>
                <w:noProof/>
                <w:webHidden/>
              </w:rPr>
              <w:tab/>
            </w:r>
            <w:r w:rsidR="00FE4088">
              <w:rPr>
                <w:noProof/>
                <w:webHidden/>
              </w:rPr>
              <w:fldChar w:fldCharType="begin"/>
            </w:r>
            <w:r w:rsidR="00FE4088">
              <w:rPr>
                <w:noProof/>
                <w:webHidden/>
              </w:rPr>
              <w:instrText xml:space="preserve"> PAGEREF _Toc91752384 \h </w:instrText>
            </w:r>
            <w:r w:rsidR="00FE4088">
              <w:rPr>
                <w:noProof/>
                <w:webHidden/>
              </w:rPr>
            </w:r>
            <w:r w:rsidR="00FE4088">
              <w:rPr>
                <w:noProof/>
                <w:webHidden/>
              </w:rPr>
              <w:fldChar w:fldCharType="separate"/>
            </w:r>
            <w:r w:rsidR="0073710A">
              <w:rPr>
                <w:noProof/>
                <w:webHidden/>
              </w:rPr>
              <w:t>39</w:t>
            </w:r>
            <w:r w:rsidR="00FE4088">
              <w:rPr>
                <w:noProof/>
                <w:webHidden/>
              </w:rPr>
              <w:fldChar w:fldCharType="end"/>
            </w:r>
          </w:hyperlink>
        </w:p>
        <w:p w14:paraId="0AF1B427" w14:textId="67DFFCAB" w:rsidR="00FE4088" w:rsidRDefault="003B0DE2">
          <w:pPr>
            <w:pStyle w:val="TOC1"/>
            <w:rPr>
              <w:rFonts w:asciiTheme="minorHAnsi" w:eastAsiaTheme="minorEastAsia" w:hAnsiTheme="minorHAnsi"/>
              <w:noProof/>
              <w:lang w:val="el-GR" w:eastAsia="el-GR"/>
            </w:rPr>
          </w:pPr>
          <w:hyperlink w:anchor="_Toc91752385" w:history="1">
            <w:r w:rsidR="00FE4088" w:rsidRPr="00D12D7C">
              <w:rPr>
                <w:rStyle w:val="Hyperlink"/>
                <w:noProof/>
              </w:rPr>
              <w:t>4.</w:t>
            </w:r>
            <w:r w:rsidR="00FE4088">
              <w:rPr>
                <w:rFonts w:asciiTheme="minorHAnsi" w:eastAsiaTheme="minorEastAsia" w:hAnsiTheme="minorHAnsi"/>
                <w:noProof/>
                <w:lang w:val="el-GR" w:eastAsia="el-GR"/>
              </w:rPr>
              <w:tab/>
            </w:r>
            <w:r w:rsidR="00FE4088" w:rsidRPr="00D12D7C">
              <w:rPr>
                <w:rStyle w:val="Hyperlink"/>
                <w:noProof/>
              </w:rPr>
              <w:t>Eligibility Assessment</w:t>
            </w:r>
            <w:r w:rsidR="00FE4088">
              <w:rPr>
                <w:noProof/>
                <w:webHidden/>
              </w:rPr>
              <w:tab/>
            </w:r>
            <w:r w:rsidR="00FE4088">
              <w:rPr>
                <w:noProof/>
                <w:webHidden/>
              </w:rPr>
              <w:fldChar w:fldCharType="begin"/>
            </w:r>
            <w:r w:rsidR="00FE4088">
              <w:rPr>
                <w:noProof/>
                <w:webHidden/>
              </w:rPr>
              <w:instrText xml:space="preserve"> PAGEREF _Toc91752385 \h </w:instrText>
            </w:r>
            <w:r w:rsidR="00FE4088">
              <w:rPr>
                <w:noProof/>
                <w:webHidden/>
              </w:rPr>
            </w:r>
            <w:r w:rsidR="00FE4088">
              <w:rPr>
                <w:noProof/>
                <w:webHidden/>
              </w:rPr>
              <w:fldChar w:fldCharType="separate"/>
            </w:r>
            <w:r w:rsidR="0073710A">
              <w:rPr>
                <w:noProof/>
                <w:webHidden/>
              </w:rPr>
              <w:t>41</w:t>
            </w:r>
            <w:r w:rsidR="00FE4088">
              <w:rPr>
                <w:noProof/>
                <w:webHidden/>
              </w:rPr>
              <w:fldChar w:fldCharType="end"/>
            </w:r>
          </w:hyperlink>
        </w:p>
        <w:p w14:paraId="7598F749" w14:textId="205D8545" w:rsidR="00FE4088" w:rsidRDefault="003B0DE2">
          <w:pPr>
            <w:pStyle w:val="TOC1"/>
            <w:rPr>
              <w:rFonts w:asciiTheme="minorHAnsi" w:eastAsiaTheme="minorEastAsia" w:hAnsiTheme="minorHAnsi"/>
              <w:noProof/>
              <w:lang w:val="el-GR" w:eastAsia="el-GR"/>
            </w:rPr>
          </w:pPr>
          <w:hyperlink w:anchor="_Toc91752386" w:history="1">
            <w:r w:rsidR="00FE4088" w:rsidRPr="00D12D7C">
              <w:rPr>
                <w:rStyle w:val="Hyperlink"/>
                <w:noProof/>
              </w:rPr>
              <w:t>5.</w:t>
            </w:r>
            <w:r w:rsidR="00FE4088">
              <w:rPr>
                <w:rFonts w:asciiTheme="minorHAnsi" w:eastAsiaTheme="minorEastAsia" w:hAnsiTheme="minorHAnsi"/>
                <w:noProof/>
                <w:lang w:val="el-GR" w:eastAsia="el-GR"/>
              </w:rPr>
              <w:tab/>
            </w:r>
            <w:r w:rsidR="00FE4088" w:rsidRPr="00D12D7C">
              <w:rPr>
                <w:rStyle w:val="Hyperlink"/>
                <w:noProof/>
              </w:rPr>
              <w:t>Financial Aspects of sustainability</w:t>
            </w:r>
            <w:r w:rsidR="00FE4088">
              <w:rPr>
                <w:noProof/>
                <w:webHidden/>
              </w:rPr>
              <w:tab/>
            </w:r>
            <w:r w:rsidR="00FE4088">
              <w:rPr>
                <w:noProof/>
                <w:webHidden/>
              </w:rPr>
              <w:fldChar w:fldCharType="begin"/>
            </w:r>
            <w:r w:rsidR="00FE4088">
              <w:rPr>
                <w:noProof/>
                <w:webHidden/>
              </w:rPr>
              <w:instrText xml:space="preserve"> PAGEREF _Toc91752386 \h </w:instrText>
            </w:r>
            <w:r w:rsidR="00FE4088">
              <w:rPr>
                <w:noProof/>
                <w:webHidden/>
              </w:rPr>
            </w:r>
            <w:r w:rsidR="00FE4088">
              <w:rPr>
                <w:noProof/>
                <w:webHidden/>
              </w:rPr>
              <w:fldChar w:fldCharType="separate"/>
            </w:r>
            <w:r w:rsidR="0073710A">
              <w:rPr>
                <w:noProof/>
                <w:webHidden/>
              </w:rPr>
              <w:t>42</w:t>
            </w:r>
            <w:r w:rsidR="00FE4088">
              <w:rPr>
                <w:noProof/>
                <w:webHidden/>
              </w:rPr>
              <w:fldChar w:fldCharType="end"/>
            </w:r>
          </w:hyperlink>
        </w:p>
        <w:p w14:paraId="0853916D" w14:textId="11ED6361" w:rsidR="00FE4088" w:rsidRDefault="003B0DE2">
          <w:pPr>
            <w:pStyle w:val="TOC1"/>
            <w:rPr>
              <w:rFonts w:asciiTheme="minorHAnsi" w:eastAsiaTheme="minorEastAsia" w:hAnsiTheme="minorHAnsi"/>
              <w:noProof/>
              <w:lang w:val="el-GR" w:eastAsia="el-GR"/>
            </w:rPr>
          </w:pPr>
          <w:hyperlink w:anchor="_Toc91752387" w:history="1">
            <w:r w:rsidR="00FE4088" w:rsidRPr="00D12D7C">
              <w:rPr>
                <w:rStyle w:val="Hyperlink"/>
                <w:noProof/>
              </w:rPr>
              <w:t>6.</w:t>
            </w:r>
            <w:r w:rsidR="00FE4088">
              <w:rPr>
                <w:rFonts w:asciiTheme="minorHAnsi" w:eastAsiaTheme="minorEastAsia" w:hAnsiTheme="minorHAnsi"/>
                <w:noProof/>
                <w:lang w:val="el-GR" w:eastAsia="el-GR"/>
              </w:rPr>
              <w:tab/>
            </w:r>
            <w:r w:rsidR="00FE4088" w:rsidRPr="00D12D7C">
              <w:rPr>
                <w:rStyle w:val="Hyperlink"/>
                <w:noProof/>
              </w:rPr>
              <w:t>Social Aspects of sustainability</w:t>
            </w:r>
            <w:r w:rsidR="00FE4088">
              <w:rPr>
                <w:noProof/>
                <w:webHidden/>
              </w:rPr>
              <w:tab/>
            </w:r>
            <w:r w:rsidR="00FE4088">
              <w:rPr>
                <w:noProof/>
                <w:webHidden/>
              </w:rPr>
              <w:fldChar w:fldCharType="begin"/>
            </w:r>
            <w:r w:rsidR="00FE4088">
              <w:rPr>
                <w:noProof/>
                <w:webHidden/>
              </w:rPr>
              <w:instrText xml:space="preserve"> PAGEREF _Toc91752387 \h </w:instrText>
            </w:r>
            <w:r w:rsidR="00FE4088">
              <w:rPr>
                <w:noProof/>
                <w:webHidden/>
              </w:rPr>
            </w:r>
            <w:r w:rsidR="00FE4088">
              <w:rPr>
                <w:noProof/>
                <w:webHidden/>
              </w:rPr>
              <w:fldChar w:fldCharType="separate"/>
            </w:r>
            <w:r w:rsidR="0073710A">
              <w:rPr>
                <w:noProof/>
                <w:webHidden/>
              </w:rPr>
              <w:t>53</w:t>
            </w:r>
            <w:r w:rsidR="00FE4088">
              <w:rPr>
                <w:noProof/>
                <w:webHidden/>
              </w:rPr>
              <w:fldChar w:fldCharType="end"/>
            </w:r>
          </w:hyperlink>
        </w:p>
        <w:p w14:paraId="08FEB747" w14:textId="350F3B62" w:rsidR="00FE4088" w:rsidRDefault="003B0DE2">
          <w:pPr>
            <w:pStyle w:val="TOC1"/>
            <w:rPr>
              <w:rFonts w:asciiTheme="minorHAnsi" w:eastAsiaTheme="minorEastAsia" w:hAnsiTheme="minorHAnsi"/>
              <w:noProof/>
              <w:lang w:val="el-GR" w:eastAsia="el-GR"/>
            </w:rPr>
          </w:pPr>
          <w:hyperlink w:anchor="_Toc91752388" w:history="1">
            <w:r w:rsidR="00FE4088" w:rsidRPr="00D12D7C">
              <w:rPr>
                <w:rStyle w:val="Hyperlink"/>
                <w:noProof/>
              </w:rPr>
              <w:t>7.</w:t>
            </w:r>
            <w:r w:rsidR="00FE4088">
              <w:rPr>
                <w:rFonts w:asciiTheme="minorHAnsi" w:eastAsiaTheme="minorEastAsia" w:hAnsiTheme="minorHAnsi"/>
                <w:noProof/>
                <w:lang w:val="el-GR" w:eastAsia="el-GR"/>
              </w:rPr>
              <w:tab/>
            </w:r>
            <w:r w:rsidR="00FE4088" w:rsidRPr="00D12D7C">
              <w:rPr>
                <w:rStyle w:val="Hyperlink"/>
                <w:noProof/>
              </w:rPr>
              <w:t>Environmental Aspects of sustainability</w:t>
            </w:r>
            <w:r w:rsidR="00FE4088">
              <w:rPr>
                <w:noProof/>
                <w:webHidden/>
              </w:rPr>
              <w:tab/>
            </w:r>
            <w:r w:rsidR="00FE4088">
              <w:rPr>
                <w:noProof/>
                <w:webHidden/>
              </w:rPr>
              <w:fldChar w:fldCharType="begin"/>
            </w:r>
            <w:r w:rsidR="00FE4088">
              <w:rPr>
                <w:noProof/>
                <w:webHidden/>
              </w:rPr>
              <w:instrText xml:space="preserve"> PAGEREF _Toc91752388 \h </w:instrText>
            </w:r>
            <w:r w:rsidR="00FE4088">
              <w:rPr>
                <w:noProof/>
                <w:webHidden/>
              </w:rPr>
            </w:r>
            <w:r w:rsidR="00FE4088">
              <w:rPr>
                <w:noProof/>
                <w:webHidden/>
              </w:rPr>
              <w:fldChar w:fldCharType="separate"/>
            </w:r>
            <w:r w:rsidR="0073710A">
              <w:rPr>
                <w:noProof/>
                <w:webHidden/>
              </w:rPr>
              <w:t>62</w:t>
            </w:r>
            <w:r w:rsidR="00FE4088">
              <w:rPr>
                <w:noProof/>
                <w:webHidden/>
              </w:rPr>
              <w:fldChar w:fldCharType="end"/>
            </w:r>
          </w:hyperlink>
        </w:p>
        <w:p w14:paraId="2EC9C682" w14:textId="72E567AA" w:rsidR="00FE4088" w:rsidRDefault="003B0DE2">
          <w:pPr>
            <w:pStyle w:val="TOC1"/>
            <w:rPr>
              <w:rFonts w:asciiTheme="minorHAnsi" w:eastAsiaTheme="minorEastAsia" w:hAnsiTheme="minorHAnsi"/>
              <w:noProof/>
              <w:lang w:val="el-GR" w:eastAsia="el-GR"/>
            </w:rPr>
          </w:pPr>
          <w:hyperlink w:anchor="_Toc91752389" w:history="1">
            <w:r w:rsidR="00FE4088" w:rsidRPr="00D12D7C">
              <w:rPr>
                <w:rStyle w:val="Hyperlink"/>
                <w:noProof/>
              </w:rPr>
              <w:t>8.</w:t>
            </w:r>
            <w:r w:rsidR="00FE4088">
              <w:rPr>
                <w:rFonts w:asciiTheme="minorHAnsi" w:eastAsiaTheme="minorEastAsia" w:hAnsiTheme="minorHAnsi"/>
                <w:noProof/>
                <w:lang w:val="el-GR" w:eastAsia="el-GR"/>
              </w:rPr>
              <w:tab/>
            </w:r>
            <w:r w:rsidR="00FE4088" w:rsidRPr="00D12D7C">
              <w:rPr>
                <w:rStyle w:val="Hyperlink"/>
                <w:noProof/>
              </w:rPr>
              <w:t>Technological Aspects of sustainability</w:t>
            </w:r>
            <w:r w:rsidR="00FE4088">
              <w:rPr>
                <w:noProof/>
                <w:webHidden/>
              </w:rPr>
              <w:tab/>
            </w:r>
            <w:r w:rsidR="00FE4088">
              <w:rPr>
                <w:noProof/>
                <w:webHidden/>
              </w:rPr>
              <w:fldChar w:fldCharType="begin"/>
            </w:r>
            <w:r w:rsidR="00FE4088">
              <w:rPr>
                <w:noProof/>
                <w:webHidden/>
              </w:rPr>
              <w:instrText xml:space="preserve"> PAGEREF _Toc91752389 \h </w:instrText>
            </w:r>
            <w:r w:rsidR="00FE4088">
              <w:rPr>
                <w:noProof/>
                <w:webHidden/>
              </w:rPr>
            </w:r>
            <w:r w:rsidR="00FE4088">
              <w:rPr>
                <w:noProof/>
                <w:webHidden/>
              </w:rPr>
              <w:fldChar w:fldCharType="separate"/>
            </w:r>
            <w:r w:rsidR="0073710A">
              <w:rPr>
                <w:noProof/>
                <w:webHidden/>
              </w:rPr>
              <w:t>75</w:t>
            </w:r>
            <w:r w:rsidR="00FE4088">
              <w:rPr>
                <w:noProof/>
                <w:webHidden/>
              </w:rPr>
              <w:fldChar w:fldCharType="end"/>
            </w:r>
          </w:hyperlink>
        </w:p>
        <w:p w14:paraId="0DD1270C" w14:textId="1A30A45B" w:rsidR="00FE4088" w:rsidRDefault="003B0DE2">
          <w:pPr>
            <w:pStyle w:val="TOC2"/>
            <w:rPr>
              <w:rFonts w:asciiTheme="minorHAnsi" w:eastAsiaTheme="minorEastAsia" w:hAnsiTheme="minorHAnsi"/>
              <w:noProof/>
              <w:lang w:val="el-GR" w:eastAsia="el-GR"/>
            </w:rPr>
          </w:pPr>
          <w:hyperlink w:anchor="_Toc91752390" w:history="1">
            <w:r w:rsidR="00FE4088" w:rsidRPr="00D12D7C">
              <w:rPr>
                <w:rStyle w:val="Hyperlink"/>
                <w:noProof/>
              </w:rPr>
              <w:t>8.1.</w:t>
            </w:r>
            <w:r w:rsidR="00FE4088">
              <w:rPr>
                <w:rFonts w:asciiTheme="minorHAnsi" w:eastAsiaTheme="minorEastAsia" w:hAnsiTheme="minorHAnsi"/>
                <w:noProof/>
                <w:lang w:val="el-GR" w:eastAsia="el-GR"/>
              </w:rPr>
              <w:tab/>
            </w:r>
            <w:r w:rsidR="00FE4088" w:rsidRPr="00D12D7C">
              <w:rPr>
                <w:rStyle w:val="Hyperlink"/>
                <w:noProof/>
              </w:rPr>
              <w:t>Marginal Land Detection</w:t>
            </w:r>
            <w:r w:rsidR="00FE4088">
              <w:rPr>
                <w:noProof/>
                <w:webHidden/>
              </w:rPr>
              <w:tab/>
            </w:r>
            <w:r w:rsidR="00FE4088">
              <w:rPr>
                <w:noProof/>
                <w:webHidden/>
              </w:rPr>
              <w:fldChar w:fldCharType="begin"/>
            </w:r>
            <w:r w:rsidR="00FE4088">
              <w:rPr>
                <w:noProof/>
                <w:webHidden/>
              </w:rPr>
              <w:instrText xml:space="preserve"> PAGEREF _Toc91752390 \h </w:instrText>
            </w:r>
            <w:r w:rsidR="00FE4088">
              <w:rPr>
                <w:noProof/>
                <w:webHidden/>
              </w:rPr>
            </w:r>
            <w:r w:rsidR="00FE4088">
              <w:rPr>
                <w:noProof/>
                <w:webHidden/>
              </w:rPr>
              <w:fldChar w:fldCharType="separate"/>
            </w:r>
            <w:r w:rsidR="0073710A">
              <w:rPr>
                <w:noProof/>
                <w:webHidden/>
              </w:rPr>
              <w:t>76</w:t>
            </w:r>
            <w:r w:rsidR="00FE4088">
              <w:rPr>
                <w:noProof/>
                <w:webHidden/>
              </w:rPr>
              <w:fldChar w:fldCharType="end"/>
            </w:r>
          </w:hyperlink>
        </w:p>
        <w:p w14:paraId="2BD3A538" w14:textId="338FE65D" w:rsidR="00FE4088" w:rsidRDefault="003B0DE2">
          <w:pPr>
            <w:pStyle w:val="TOC2"/>
            <w:rPr>
              <w:rFonts w:asciiTheme="minorHAnsi" w:eastAsiaTheme="minorEastAsia" w:hAnsiTheme="minorHAnsi"/>
              <w:noProof/>
              <w:lang w:val="el-GR" w:eastAsia="el-GR"/>
            </w:rPr>
          </w:pPr>
          <w:hyperlink w:anchor="_Toc91752391" w:history="1">
            <w:r w:rsidR="00FE4088" w:rsidRPr="00D12D7C">
              <w:rPr>
                <w:rStyle w:val="Hyperlink"/>
                <w:noProof/>
              </w:rPr>
              <w:t>8.2.</w:t>
            </w:r>
            <w:r w:rsidR="00FE4088">
              <w:rPr>
                <w:rFonts w:asciiTheme="minorHAnsi" w:eastAsiaTheme="minorEastAsia" w:hAnsiTheme="minorHAnsi"/>
                <w:noProof/>
                <w:lang w:val="el-GR" w:eastAsia="el-GR"/>
              </w:rPr>
              <w:tab/>
            </w:r>
            <w:r w:rsidR="00FE4088" w:rsidRPr="00D12D7C">
              <w:rPr>
                <w:rStyle w:val="Hyperlink"/>
                <w:noProof/>
              </w:rPr>
              <w:t>Augmentation of marginal land detection</w:t>
            </w:r>
            <w:r w:rsidR="00FE4088">
              <w:rPr>
                <w:noProof/>
                <w:webHidden/>
              </w:rPr>
              <w:tab/>
            </w:r>
            <w:r w:rsidR="00FE4088">
              <w:rPr>
                <w:noProof/>
                <w:webHidden/>
              </w:rPr>
              <w:fldChar w:fldCharType="begin"/>
            </w:r>
            <w:r w:rsidR="00FE4088">
              <w:rPr>
                <w:noProof/>
                <w:webHidden/>
              </w:rPr>
              <w:instrText xml:space="preserve"> PAGEREF _Toc91752391 \h </w:instrText>
            </w:r>
            <w:r w:rsidR="00FE4088">
              <w:rPr>
                <w:noProof/>
                <w:webHidden/>
              </w:rPr>
            </w:r>
            <w:r w:rsidR="00FE4088">
              <w:rPr>
                <w:noProof/>
                <w:webHidden/>
              </w:rPr>
              <w:fldChar w:fldCharType="separate"/>
            </w:r>
            <w:r w:rsidR="0073710A">
              <w:rPr>
                <w:noProof/>
                <w:webHidden/>
              </w:rPr>
              <w:t>76</w:t>
            </w:r>
            <w:r w:rsidR="00FE4088">
              <w:rPr>
                <w:noProof/>
                <w:webHidden/>
              </w:rPr>
              <w:fldChar w:fldCharType="end"/>
            </w:r>
          </w:hyperlink>
        </w:p>
        <w:p w14:paraId="71760F1C" w14:textId="3D7FE954" w:rsidR="00FE4088" w:rsidRDefault="003B0DE2">
          <w:pPr>
            <w:pStyle w:val="TOC2"/>
            <w:rPr>
              <w:rFonts w:asciiTheme="minorHAnsi" w:eastAsiaTheme="minorEastAsia" w:hAnsiTheme="minorHAnsi"/>
              <w:noProof/>
              <w:lang w:val="el-GR" w:eastAsia="el-GR"/>
            </w:rPr>
          </w:pPr>
          <w:hyperlink w:anchor="_Toc91752392" w:history="1">
            <w:r w:rsidR="00FE4088" w:rsidRPr="00D12D7C">
              <w:rPr>
                <w:rStyle w:val="Hyperlink"/>
                <w:noProof/>
              </w:rPr>
              <w:t>8.3.</w:t>
            </w:r>
            <w:r w:rsidR="00FE4088">
              <w:rPr>
                <w:rFonts w:asciiTheme="minorHAnsi" w:eastAsiaTheme="minorEastAsia" w:hAnsiTheme="minorHAnsi"/>
                <w:noProof/>
                <w:lang w:val="el-GR" w:eastAsia="el-GR"/>
              </w:rPr>
              <w:tab/>
            </w:r>
            <w:r w:rsidR="00FE4088" w:rsidRPr="00D12D7C">
              <w:rPr>
                <w:rStyle w:val="Hyperlink"/>
                <w:noProof/>
              </w:rPr>
              <w:t>Model for the estimation of sequestered carbon</w:t>
            </w:r>
            <w:r w:rsidR="00FE4088">
              <w:rPr>
                <w:noProof/>
                <w:webHidden/>
              </w:rPr>
              <w:tab/>
            </w:r>
            <w:r w:rsidR="00FE4088">
              <w:rPr>
                <w:noProof/>
                <w:webHidden/>
              </w:rPr>
              <w:fldChar w:fldCharType="begin"/>
            </w:r>
            <w:r w:rsidR="00FE4088">
              <w:rPr>
                <w:noProof/>
                <w:webHidden/>
              </w:rPr>
              <w:instrText xml:space="preserve"> PAGEREF _Toc91752392 \h </w:instrText>
            </w:r>
            <w:r w:rsidR="00FE4088">
              <w:rPr>
                <w:noProof/>
                <w:webHidden/>
              </w:rPr>
            </w:r>
            <w:r w:rsidR="00FE4088">
              <w:rPr>
                <w:noProof/>
                <w:webHidden/>
              </w:rPr>
              <w:fldChar w:fldCharType="separate"/>
            </w:r>
            <w:r w:rsidR="0073710A">
              <w:rPr>
                <w:noProof/>
                <w:webHidden/>
              </w:rPr>
              <w:t>76</w:t>
            </w:r>
            <w:r w:rsidR="00FE4088">
              <w:rPr>
                <w:noProof/>
                <w:webHidden/>
              </w:rPr>
              <w:fldChar w:fldCharType="end"/>
            </w:r>
          </w:hyperlink>
        </w:p>
        <w:p w14:paraId="592EA719" w14:textId="47854B96" w:rsidR="00FE4088" w:rsidRDefault="003B0DE2">
          <w:pPr>
            <w:pStyle w:val="TOC2"/>
            <w:rPr>
              <w:rFonts w:asciiTheme="minorHAnsi" w:eastAsiaTheme="minorEastAsia" w:hAnsiTheme="minorHAnsi"/>
              <w:noProof/>
              <w:lang w:val="el-GR" w:eastAsia="el-GR"/>
            </w:rPr>
          </w:pPr>
          <w:hyperlink w:anchor="_Toc91752393" w:history="1">
            <w:r w:rsidR="00FE4088" w:rsidRPr="00D12D7C">
              <w:rPr>
                <w:rStyle w:val="Hyperlink"/>
                <w:noProof/>
              </w:rPr>
              <w:t>8.4.</w:t>
            </w:r>
            <w:r w:rsidR="00FE4088">
              <w:rPr>
                <w:rFonts w:asciiTheme="minorHAnsi" w:eastAsiaTheme="minorEastAsia" w:hAnsiTheme="minorHAnsi"/>
                <w:noProof/>
                <w:lang w:val="el-GR" w:eastAsia="el-GR"/>
              </w:rPr>
              <w:tab/>
            </w:r>
            <w:r w:rsidR="00FE4088" w:rsidRPr="00D12D7C">
              <w:rPr>
                <w:rStyle w:val="Hyperlink"/>
                <w:noProof/>
              </w:rPr>
              <w:t>Estimation of biomass volume</w:t>
            </w:r>
            <w:r w:rsidR="00FE4088">
              <w:rPr>
                <w:noProof/>
                <w:webHidden/>
              </w:rPr>
              <w:tab/>
            </w:r>
            <w:r w:rsidR="00FE4088">
              <w:rPr>
                <w:noProof/>
                <w:webHidden/>
              </w:rPr>
              <w:fldChar w:fldCharType="begin"/>
            </w:r>
            <w:r w:rsidR="00FE4088">
              <w:rPr>
                <w:noProof/>
                <w:webHidden/>
              </w:rPr>
              <w:instrText xml:space="preserve"> PAGEREF _Toc91752393 \h </w:instrText>
            </w:r>
            <w:r w:rsidR="00FE4088">
              <w:rPr>
                <w:noProof/>
                <w:webHidden/>
              </w:rPr>
            </w:r>
            <w:r w:rsidR="00FE4088">
              <w:rPr>
                <w:noProof/>
                <w:webHidden/>
              </w:rPr>
              <w:fldChar w:fldCharType="separate"/>
            </w:r>
            <w:r w:rsidR="0073710A">
              <w:rPr>
                <w:noProof/>
                <w:webHidden/>
              </w:rPr>
              <w:t>77</w:t>
            </w:r>
            <w:r w:rsidR="00FE4088">
              <w:rPr>
                <w:noProof/>
                <w:webHidden/>
              </w:rPr>
              <w:fldChar w:fldCharType="end"/>
            </w:r>
          </w:hyperlink>
        </w:p>
        <w:p w14:paraId="6DCD42B8" w14:textId="3B42ABFB" w:rsidR="00FE4088" w:rsidRDefault="003B0DE2">
          <w:pPr>
            <w:pStyle w:val="TOC2"/>
            <w:rPr>
              <w:rFonts w:asciiTheme="minorHAnsi" w:eastAsiaTheme="minorEastAsia" w:hAnsiTheme="minorHAnsi"/>
              <w:noProof/>
              <w:lang w:val="el-GR" w:eastAsia="el-GR"/>
            </w:rPr>
          </w:pPr>
          <w:hyperlink w:anchor="_Toc91752394" w:history="1">
            <w:r w:rsidR="00FE4088" w:rsidRPr="00D12D7C">
              <w:rPr>
                <w:rStyle w:val="Hyperlink"/>
                <w:noProof/>
              </w:rPr>
              <w:t>8.5.</w:t>
            </w:r>
            <w:r w:rsidR="00FE4088">
              <w:rPr>
                <w:rFonts w:asciiTheme="minorHAnsi" w:eastAsiaTheme="minorEastAsia" w:hAnsiTheme="minorHAnsi"/>
                <w:noProof/>
                <w:lang w:val="el-GR" w:eastAsia="el-GR"/>
              </w:rPr>
              <w:tab/>
            </w:r>
            <w:r w:rsidR="00FE4088" w:rsidRPr="00D12D7C">
              <w:rPr>
                <w:rStyle w:val="Hyperlink"/>
                <w:noProof/>
              </w:rPr>
              <w:t>Estimation of carbon stock in forest products</w:t>
            </w:r>
            <w:r w:rsidR="00FE4088">
              <w:rPr>
                <w:noProof/>
                <w:webHidden/>
              </w:rPr>
              <w:tab/>
            </w:r>
            <w:r w:rsidR="00FE4088">
              <w:rPr>
                <w:noProof/>
                <w:webHidden/>
              </w:rPr>
              <w:fldChar w:fldCharType="begin"/>
            </w:r>
            <w:r w:rsidR="00FE4088">
              <w:rPr>
                <w:noProof/>
                <w:webHidden/>
              </w:rPr>
              <w:instrText xml:space="preserve"> PAGEREF _Toc91752394 \h </w:instrText>
            </w:r>
            <w:r w:rsidR="00FE4088">
              <w:rPr>
                <w:noProof/>
                <w:webHidden/>
              </w:rPr>
            </w:r>
            <w:r w:rsidR="00FE4088">
              <w:rPr>
                <w:noProof/>
                <w:webHidden/>
              </w:rPr>
              <w:fldChar w:fldCharType="separate"/>
            </w:r>
            <w:r w:rsidR="0073710A">
              <w:rPr>
                <w:noProof/>
                <w:webHidden/>
              </w:rPr>
              <w:t>77</w:t>
            </w:r>
            <w:r w:rsidR="00FE4088">
              <w:rPr>
                <w:noProof/>
                <w:webHidden/>
              </w:rPr>
              <w:fldChar w:fldCharType="end"/>
            </w:r>
          </w:hyperlink>
        </w:p>
        <w:p w14:paraId="76858879" w14:textId="4EDDB344" w:rsidR="00FE4088" w:rsidRDefault="003B0DE2">
          <w:pPr>
            <w:pStyle w:val="TOC2"/>
            <w:rPr>
              <w:rFonts w:asciiTheme="minorHAnsi" w:eastAsiaTheme="minorEastAsia" w:hAnsiTheme="minorHAnsi"/>
              <w:noProof/>
              <w:lang w:val="el-GR" w:eastAsia="el-GR"/>
            </w:rPr>
          </w:pPr>
          <w:hyperlink w:anchor="_Toc91752395" w:history="1">
            <w:r w:rsidR="00FE4088" w:rsidRPr="00D12D7C">
              <w:rPr>
                <w:rStyle w:val="Hyperlink"/>
                <w:noProof/>
              </w:rPr>
              <w:t>8.6.</w:t>
            </w:r>
            <w:r w:rsidR="00FE4088">
              <w:rPr>
                <w:rFonts w:asciiTheme="minorHAnsi" w:eastAsiaTheme="minorEastAsia" w:hAnsiTheme="minorHAnsi"/>
                <w:noProof/>
                <w:lang w:val="el-GR" w:eastAsia="el-GR"/>
              </w:rPr>
              <w:tab/>
            </w:r>
            <w:r w:rsidR="00FE4088" w:rsidRPr="00D12D7C">
              <w:rPr>
                <w:rStyle w:val="Hyperlink"/>
                <w:noProof/>
              </w:rPr>
              <w:t>Classification of MLs in carbon sequestration capacity groups</w:t>
            </w:r>
            <w:r w:rsidR="00FE4088">
              <w:rPr>
                <w:noProof/>
                <w:webHidden/>
              </w:rPr>
              <w:tab/>
            </w:r>
            <w:r w:rsidR="00FE4088">
              <w:rPr>
                <w:noProof/>
                <w:webHidden/>
              </w:rPr>
              <w:fldChar w:fldCharType="begin"/>
            </w:r>
            <w:r w:rsidR="00FE4088">
              <w:rPr>
                <w:noProof/>
                <w:webHidden/>
              </w:rPr>
              <w:instrText xml:space="preserve"> PAGEREF _Toc91752395 \h </w:instrText>
            </w:r>
            <w:r w:rsidR="00FE4088">
              <w:rPr>
                <w:noProof/>
                <w:webHidden/>
              </w:rPr>
            </w:r>
            <w:r w:rsidR="00FE4088">
              <w:rPr>
                <w:noProof/>
                <w:webHidden/>
              </w:rPr>
              <w:fldChar w:fldCharType="separate"/>
            </w:r>
            <w:r w:rsidR="0073710A">
              <w:rPr>
                <w:noProof/>
                <w:webHidden/>
              </w:rPr>
              <w:t>77</w:t>
            </w:r>
            <w:r w:rsidR="00FE4088">
              <w:rPr>
                <w:noProof/>
                <w:webHidden/>
              </w:rPr>
              <w:fldChar w:fldCharType="end"/>
            </w:r>
          </w:hyperlink>
        </w:p>
        <w:p w14:paraId="7BD17F11" w14:textId="03491DC7" w:rsidR="00FE4088" w:rsidRDefault="003B0DE2">
          <w:pPr>
            <w:pStyle w:val="TOC2"/>
            <w:rPr>
              <w:rFonts w:asciiTheme="minorHAnsi" w:eastAsiaTheme="minorEastAsia" w:hAnsiTheme="minorHAnsi"/>
              <w:noProof/>
              <w:lang w:val="el-GR" w:eastAsia="el-GR"/>
            </w:rPr>
          </w:pPr>
          <w:hyperlink w:anchor="_Toc91752396" w:history="1">
            <w:r w:rsidR="00FE4088" w:rsidRPr="00D12D7C">
              <w:rPr>
                <w:rStyle w:val="Hyperlink"/>
                <w:noProof/>
              </w:rPr>
              <w:t>8.7.</w:t>
            </w:r>
            <w:r w:rsidR="00FE4088">
              <w:rPr>
                <w:rFonts w:asciiTheme="minorHAnsi" w:eastAsiaTheme="minorEastAsia" w:hAnsiTheme="minorHAnsi"/>
                <w:noProof/>
                <w:lang w:val="el-GR" w:eastAsia="el-GR"/>
              </w:rPr>
              <w:tab/>
            </w:r>
            <w:r w:rsidR="00FE4088" w:rsidRPr="00D12D7C">
              <w:rPr>
                <w:rStyle w:val="Hyperlink"/>
                <w:noProof/>
              </w:rPr>
              <w:t>Change detection and mapping of forest marginal lands</w:t>
            </w:r>
            <w:r w:rsidR="00FE4088">
              <w:rPr>
                <w:noProof/>
                <w:webHidden/>
              </w:rPr>
              <w:tab/>
            </w:r>
            <w:r w:rsidR="00FE4088">
              <w:rPr>
                <w:noProof/>
                <w:webHidden/>
              </w:rPr>
              <w:fldChar w:fldCharType="begin"/>
            </w:r>
            <w:r w:rsidR="00FE4088">
              <w:rPr>
                <w:noProof/>
                <w:webHidden/>
              </w:rPr>
              <w:instrText xml:space="preserve"> PAGEREF _Toc91752396 \h </w:instrText>
            </w:r>
            <w:r w:rsidR="00FE4088">
              <w:rPr>
                <w:noProof/>
                <w:webHidden/>
              </w:rPr>
            </w:r>
            <w:r w:rsidR="00FE4088">
              <w:rPr>
                <w:noProof/>
                <w:webHidden/>
              </w:rPr>
              <w:fldChar w:fldCharType="separate"/>
            </w:r>
            <w:r w:rsidR="0073710A">
              <w:rPr>
                <w:noProof/>
                <w:webHidden/>
              </w:rPr>
              <w:t>77</w:t>
            </w:r>
            <w:r w:rsidR="00FE4088">
              <w:rPr>
                <w:noProof/>
                <w:webHidden/>
              </w:rPr>
              <w:fldChar w:fldCharType="end"/>
            </w:r>
          </w:hyperlink>
        </w:p>
        <w:p w14:paraId="2F04ABC8" w14:textId="7A007AB0" w:rsidR="00FE4088" w:rsidRDefault="003B0DE2">
          <w:pPr>
            <w:pStyle w:val="TOC2"/>
            <w:rPr>
              <w:rFonts w:asciiTheme="minorHAnsi" w:eastAsiaTheme="minorEastAsia" w:hAnsiTheme="minorHAnsi"/>
              <w:noProof/>
              <w:lang w:val="el-GR" w:eastAsia="el-GR"/>
            </w:rPr>
          </w:pPr>
          <w:hyperlink w:anchor="_Toc91752397" w:history="1">
            <w:r w:rsidR="00FE4088" w:rsidRPr="00D12D7C">
              <w:rPr>
                <w:rStyle w:val="Hyperlink"/>
                <w:noProof/>
              </w:rPr>
              <w:t>8.8.</w:t>
            </w:r>
            <w:r w:rsidR="00FE4088">
              <w:rPr>
                <w:rFonts w:asciiTheme="minorHAnsi" w:eastAsiaTheme="minorEastAsia" w:hAnsiTheme="minorHAnsi"/>
                <w:noProof/>
                <w:lang w:val="el-GR" w:eastAsia="el-GR"/>
              </w:rPr>
              <w:tab/>
            </w:r>
            <w:r w:rsidR="00FE4088" w:rsidRPr="00D12D7C">
              <w:rPr>
                <w:rStyle w:val="Hyperlink"/>
                <w:noProof/>
              </w:rPr>
              <w:t>Software systems</w:t>
            </w:r>
            <w:r w:rsidR="00FE4088">
              <w:rPr>
                <w:noProof/>
                <w:webHidden/>
              </w:rPr>
              <w:tab/>
            </w:r>
            <w:r w:rsidR="00FE4088">
              <w:rPr>
                <w:noProof/>
                <w:webHidden/>
              </w:rPr>
              <w:fldChar w:fldCharType="begin"/>
            </w:r>
            <w:r w:rsidR="00FE4088">
              <w:rPr>
                <w:noProof/>
                <w:webHidden/>
              </w:rPr>
              <w:instrText xml:space="preserve"> PAGEREF _Toc91752397 \h </w:instrText>
            </w:r>
            <w:r w:rsidR="00FE4088">
              <w:rPr>
                <w:noProof/>
                <w:webHidden/>
              </w:rPr>
            </w:r>
            <w:r w:rsidR="00FE4088">
              <w:rPr>
                <w:noProof/>
                <w:webHidden/>
              </w:rPr>
              <w:fldChar w:fldCharType="separate"/>
            </w:r>
            <w:r w:rsidR="0073710A">
              <w:rPr>
                <w:noProof/>
                <w:webHidden/>
              </w:rPr>
              <w:t>78</w:t>
            </w:r>
            <w:r w:rsidR="00FE4088">
              <w:rPr>
                <w:noProof/>
                <w:webHidden/>
              </w:rPr>
              <w:fldChar w:fldCharType="end"/>
            </w:r>
          </w:hyperlink>
        </w:p>
        <w:p w14:paraId="613EF431" w14:textId="79B050A7" w:rsidR="00FE4088" w:rsidRDefault="003B0DE2">
          <w:pPr>
            <w:pStyle w:val="TOC2"/>
            <w:rPr>
              <w:rFonts w:asciiTheme="minorHAnsi" w:eastAsiaTheme="minorEastAsia" w:hAnsiTheme="minorHAnsi"/>
              <w:noProof/>
              <w:lang w:val="el-GR" w:eastAsia="el-GR"/>
            </w:rPr>
          </w:pPr>
          <w:hyperlink w:anchor="_Toc91752398" w:history="1">
            <w:r w:rsidR="00FE4088" w:rsidRPr="00D12D7C">
              <w:rPr>
                <w:rStyle w:val="Hyperlink"/>
                <w:noProof/>
              </w:rPr>
              <w:t>8.9.</w:t>
            </w:r>
            <w:r w:rsidR="00FE4088">
              <w:rPr>
                <w:rFonts w:asciiTheme="minorHAnsi" w:eastAsiaTheme="minorEastAsia" w:hAnsiTheme="minorHAnsi"/>
                <w:noProof/>
                <w:lang w:val="el-GR" w:eastAsia="el-GR"/>
              </w:rPr>
              <w:tab/>
            </w:r>
            <w:r w:rsidR="00FE4088" w:rsidRPr="00D12D7C">
              <w:rPr>
                <w:rStyle w:val="Hyperlink"/>
                <w:noProof/>
              </w:rPr>
              <w:t>Web application for the management of MLs</w:t>
            </w:r>
            <w:r w:rsidR="00FE4088">
              <w:rPr>
                <w:noProof/>
                <w:webHidden/>
              </w:rPr>
              <w:tab/>
            </w:r>
            <w:r w:rsidR="00FE4088">
              <w:rPr>
                <w:noProof/>
                <w:webHidden/>
              </w:rPr>
              <w:fldChar w:fldCharType="begin"/>
            </w:r>
            <w:r w:rsidR="00FE4088">
              <w:rPr>
                <w:noProof/>
                <w:webHidden/>
              </w:rPr>
              <w:instrText xml:space="preserve"> PAGEREF _Toc91752398 \h </w:instrText>
            </w:r>
            <w:r w:rsidR="00FE4088">
              <w:rPr>
                <w:noProof/>
                <w:webHidden/>
              </w:rPr>
            </w:r>
            <w:r w:rsidR="00FE4088">
              <w:rPr>
                <w:noProof/>
                <w:webHidden/>
              </w:rPr>
              <w:fldChar w:fldCharType="separate"/>
            </w:r>
            <w:r w:rsidR="0073710A">
              <w:rPr>
                <w:noProof/>
                <w:webHidden/>
              </w:rPr>
              <w:t>78</w:t>
            </w:r>
            <w:r w:rsidR="00FE4088">
              <w:rPr>
                <w:noProof/>
                <w:webHidden/>
              </w:rPr>
              <w:fldChar w:fldCharType="end"/>
            </w:r>
          </w:hyperlink>
        </w:p>
        <w:p w14:paraId="472AE227" w14:textId="048C2D50" w:rsidR="00FE4088" w:rsidRDefault="003B0DE2">
          <w:pPr>
            <w:pStyle w:val="TOC1"/>
            <w:rPr>
              <w:rFonts w:asciiTheme="minorHAnsi" w:eastAsiaTheme="minorEastAsia" w:hAnsiTheme="minorHAnsi"/>
              <w:noProof/>
              <w:lang w:val="el-GR" w:eastAsia="el-GR"/>
            </w:rPr>
          </w:pPr>
          <w:hyperlink w:anchor="_Toc91752399" w:history="1">
            <w:r w:rsidR="00FE4088" w:rsidRPr="00D12D7C">
              <w:rPr>
                <w:rStyle w:val="Hyperlink"/>
                <w:noProof/>
              </w:rPr>
              <w:t>9.</w:t>
            </w:r>
            <w:r w:rsidR="00FE4088">
              <w:rPr>
                <w:rFonts w:asciiTheme="minorHAnsi" w:eastAsiaTheme="minorEastAsia" w:hAnsiTheme="minorHAnsi"/>
                <w:noProof/>
                <w:lang w:val="el-GR" w:eastAsia="el-GR"/>
              </w:rPr>
              <w:tab/>
            </w:r>
            <w:r w:rsidR="00FE4088" w:rsidRPr="00D12D7C">
              <w:rPr>
                <w:rStyle w:val="Hyperlink"/>
                <w:noProof/>
              </w:rPr>
              <w:t>Feasibility analysis</w:t>
            </w:r>
            <w:r w:rsidR="00FE4088">
              <w:rPr>
                <w:noProof/>
                <w:webHidden/>
              </w:rPr>
              <w:tab/>
            </w:r>
            <w:r w:rsidR="00FE4088">
              <w:rPr>
                <w:noProof/>
                <w:webHidden/>
              </w:rPr>
              <w:fldChar w:fldCharType="begin"/>
            </w:r>
            <w:r w:rsidR="00FE4088">
              <w:rPr>
                <w:noProof/>
                <w:webHidden/>
              </w:rPr>
              <w:instrText xml:space="preserve"> PAGEREF _Toc91752399 \h </w:instrText>
            </w:r>
            <w:r w:rsidR="00FE4088">
              <w:rPr>
                <w:noProof/>
                <w:webHidden/>
              </w:rPr>
            </w:r>
            <w:r w:rsidR="00FE4088">
              <w:rPr>
                <w:noProof/>
                <w:webHidden/>
              </w:rPr>
              <w:fldChar w:fldCharType="separate"/>
            </w:r>
            <w:r w:rsidR="0073710A">
              <w:rPr>
                <w:noProof/>
                <w:webHidden/>
              </w:rPr>
              <w:t>79</w:t>
            </w:r>
            <w:r w:rsidR="00FE4088">
              <w:rPr>
                <w:noProof/>
                <w:webHidden/>
              </w:rPr>
              <w:fldChar w:fldCharType="end"/>
            </w:r>
          </w:hyperlink>
        </w:p>
        <w:p w14:paraId="5332D0A7" w14:textId="3F81C4CE" w:rsidR="00FE4088" w:rsidRDefault="003B0DE2">
          <w:pPr>
            <w:pStyle w:val="TOC2"/>
            <w:rPr>
              <w:rFonts w:asciiTheme="minorHAnsi" w:eastAsiaTheme="minorEastAsia" w:hAnsiTheme="minorHAnsi"/>
              <w:noProof/>
              <w:lang w:val="el-GR" w:eastAsia="el-GR"/>
            </w:rPr>
          </w:pPr>
          <w:hyperlink w:anchor="_Toc91752400" w:history="1">
            <w:r w:rsidR="00FE4088" w:rsidRPr="00D12D7C">
              <w:rPr>
                <w:rStyle w:val="Hyperlink"/>
                <w:noProof/>
              </w:rPr>
              <w:t>9.1.</w:t>
            </w:r>
            <w:r w:rsidR="00FE4088">
              <w:rPr>
                <w:rFonts w:asciiTheme="minorHAnsi" w:eastAsiaTheme="minorEastAsia" w:hAnsiTheme="minorHAnsi"/>
                <w:noProof/>
                <w:lang w:val="el-GR" w:eastAsia="el-GR"/>
              </w:rPr>
              <w:tab/>
            </w:r>
            <w:r w:rsidR="00FE4088" w:rsidRPr="00D12D7C">
              <w:rPr>
                <w:rStyle w:val="Hyperlink"/>
                <w:noProof/>
              </w:rPr>
              <w:t>Economical afforestation model in Marginal Lands</w:t>
            </w:r>
            <w:r w:rsidR="00FE4088">
              <w:rPr>
                <w:noProof/>
                <w:webHidden/>
              </w:rPr>
              <w:tab/>
            </w:r>
            <w:r w:rsidR="00FE4088">
              <w:rPr>
                <w:noProof/>
                <w:webHidden/>
              </w:rPr>
              <w:fldChar w:fldCharType="begin"/>
            </w:r>
            <w:r w:rsidR="00FE4088">
              <w:rPr>
                <w:noProof/>
                <w:webHidden/>
              </w:rPr>
              <w:instrText xml:space="preserve"> PAGEREF _Toc91752400 \h </w:instrText>
            </w:r>
            <w:r w:rsidR="00FE4088">
              <w:rPr>
                <w:noProof/>
                <w:webHidden/>
              </w:rPr>
            </w:r>
            <w:r w:rsidR="00FE4088">
              <w:rPr>
                <w:noProof/>
                <w:webHidden/>
              </w:rPr>
              <w:fldChar w:fldCharType="separate"/>
            </w:r>
            <w:r w:rsidR="0073710A">
              <w:rPr>
                <w:noProof/>
                <w:webHidden/>
              </w:rPr>
              <w:t>83</w:t>
            </w:r>
            <w:r w:rsidR="00FE4088">
              <w:rPr>
                <w:noProof/>
                <w:webHidden/>
              </w:rPr>
              <w:fldChar w:fldCharType="end"/>
            </w:r>
          </w:hyperlink>
        </w:p>
        <w:p w14:paraId="5F7B7261" w14:textId="5DDE3B4B" w:rsidR="00FE4088" w:rsidRDefault="003B0DE2">
          <w:pPr>
            <w:pStyle w:val="TOC2"/>
            <w:tabs>
              <w:tab w:val="left" w:pos="1100"/>
            </w:tabs>
            <w:rPr>
              <w:rFonts w:asciiTheme="minorHAnsi" w:eastAsiaTheme="minorEastAsia" w:hAnsiTheme="minorHAnsi"/>
              <w:noProof/>
              <w:lang w:val="el-GR" w:eastAsia="el-GR"/>
            </w:rPr>
          </w:pPr>
          <w:hyperlink w:anchor="_Toc91752401" w:history="1">
            <w:r w:rsidR="00FE4088" w:rsidRPr="00D12D7C">
              <w:rPr>
                <w:rStyle w:val="Hyperlink"/>
                <w:noProof/>
              </w:rPr>
              <w:t>9.1.1.</w:t>
            </w:r>
            <w:r w:rsidR="00FE4088">
              <w:rPr>
                <w:rFonts w:asciiTheme="minorHAnsi" w:eastAsiaTheme="minorEastAsia" w:hAnsiTheme="minorHAnsi"/>
                <w:noProof/>
                <w:lang w:val="el-GR" w:eastAsia="el-GR"/>
              </w:rPr>
              <w:tab/>
            </w:r>
            <w:r w:rsidR="00FE4088" w:rsidRPr="00D12D7C">
              <w:rPr>
                <w:rStyle w:val="Hyperlink"/>
                <w:noProof/>
              </w:rPr>
              <w:t>Base Price Calculation</w:t>
            </w:r>
            <w:r w:rsidR="00FE4088">
              <w:rPr>
                <w:noProof/>
                <w:webHidden/>
              </w:rPr>
              <w:tab/>
            </w:r>
            <w:r w:rsidR="00FE4088">
              <w:rPr>
                <w:noProof/>
                <w:webHidden/>
              </w:rPr>
              <w:fldChar w:fldCharType="begin"/>
            </w:r>
            <w:r w:rsidR="00FE4088">
              <w:rPr>
                <w:noProof/>
                <w:webHidden/>
              </w:rPr>
              <w:instrText xml:space="preserve"> PAGEREF _Toc91752401 \h </w:instrText>
            </w:r>
            <w:r w:rsidR="00FE4088">
              <w:rPr>
                <w:noProof/>
                <w:webHidden/>
              </w:rPr>
            </w:r>
            <w:r w:rsidR="00FE4088">
              <w:rPr>
                <w:noProof/>
                <w:webHidden/>
              </w:rPr>
              <w:fldChar w:fldCharType="separate"/>
            </w:r>
            <w:r w:rsidR="0073710A">
              <w:rPr>
                <w:noProof/>
                <w:webHidden/>
              </w:rPr>
              <w:t>83</w:t>
            </w:r>
            <w:r w:rsidR="00FE4088">
              <w:rPr>
                <w:noProof/>
                <w:webHidden/>
              </w:rPr>
              <w:fldChar w:fldCharType="end"/>
            </w:r>
          </w:hyperlink>
        </w:p>
        <w:p w14:paraId="1DDFD9AB" w14:textId="53E921C3" w:rsidR="00FE4088" w:rsidRDefault="003B0DE2">
          <w:pPr>
            <w:pStyle w:val="TOC2"/>
            <w:tabs>
              <w:tab w:val="left" w:pos="1100"/>
            </w:tabs>
            <w:rPr>
              <w:rFonts w:asciiTheme="minorHAnsi" w:eastAsiaTheme="minorEastAsia" w:hAnsiTheme="minorHAnsi"/>
              <w:noProof/>
              <w:lang w:val="el-GR" w:eastAsia="el-GR"/>
            </w:rPr>
          </w:pPr>
          <w:hyperlink w:anchor="_Toc91752402" w:history="1">
            <w:r w:rsidR="00FE4088" w:rsidRPr="00D12D7C">
              <w:rPr>
                <w:rStyle w:val="Hyperlink"/>
                <w:noProof/>
              </w:rPr>
              <w:t>9.1.2.</w:t>
            </w:r>
            <w:r w:rsidR="00FE4088">
              <w:rPr>
                <w:rFonts w:asciiTheme="minorHAnsi" w:eastAsiaTheme="minorEastAsia" w:hAnsiTheme="minorHAnsi"/>
                <w:noProof/>
                <w:lang w:val="el-GR" w:eastAsia="el-GR"/>
              </w:rPr>
              <w:tab/>
            </w:r>
            <w:r w:rsidR="00FE4088" w:rsidRPr="00D12D7C">
              <w:rPr>
                <w:rStyle w:val="Hyperlink"/>
                <w:noProof/>
              </w:rPr>
              <w:t>Data Collection and Discount Rates</w:t>
            </w:r>
            <w:r w:rsidR="00FE4088">
              <w:rPr>
                <w:noProof/>
                <w:webHidden/>
              </w:rPr>
              <w:tab/>
            </w:r>
            <w:r w:rsidR="00FE4088">
              <w:rPr>
                <w:noProof/>
                <w:webHidden/>
              </w:rPr>
              <w:fldChar w:fldCharType="begin"/>
            </w:r>
            <w:r w:rsidR="00FE4088">
              <w:rPr>
                <w:noProof/>
                <w:webHidden/>
              </w:rPr>
              <w:instrText xml:space="preserve"> PAGEREF _Toc91752402 \h </w:instrText>
            </w:r>
            <w:r w:rsidR="00FE4088">
              <w:rPr>
                <w:noProof/>
                <w:webHidden/>
              </w:rPr>
            </w:r>
            <w:r w:rsidR="00FE4088">
              <w:rPr>
                <w:noProof/>
                <w:webHidden/>
              </w:rPr>
              <w:fldChar w:fldCharType="separate"/>
            </w:r>
            <w:r w:rsidR="0073710A">
              <w:rPr>
                <w:noProof/>
                <w:webHidden/>
              </w:rPr>
              <w:t>83</w:t>
            </w:r>
            <w:r w:rsidR="00FE4088">
              <w:rPr>
                <w:noProof/>
                <w:webHidden/>
              </w:rPr>
              <w:fldChar w:fldCharType="end"/>
            </w:r>
          </w:hyperlink>
        </w:p>
        <w:p w14:paraId="2FAE3436" w14:textId="57918BBA" w:rsidR="00FE4088" w:rsidRDefault="003B0DE2">
          <w:pPr>
            <w:pStyle w:val="TOC2"/>
            <w:rPr>
              <w:rFonts w:asciiTheme="minorHAnsi" w:eastAsiaTheme="minorEastAsia" w:hAnsiTheme="minorHAnsi"/>
              <w:noProof/>
              <w:lang w:val="el-GR" w:eastAsia="el-GR"/>
            </w:rPr>
          </w:pPr>
          <w:hyperlink w:anchor="_Toc91752403" w:history="1">
            <w:r w:rsidR="00FE4088" w:rsidRPr="00D12D7C">
              <w:rPr>
                <w:rStyle w:val="Hyperlink"/>
                <w:noProof/>
              </w:rPr>
              <w:t>9.2.</w:t>
            </w:r>
            <w:r w:rsidR="00FE4088">
              <w:rPr>
                <w:rFonts w:asciiTheme="minorHAnsi" w:eastAsiaTheme="minorEastAsia" w:hAnsiTheme="minorHAnsi"/>
                <w:noProof/>
                <w:lang w:val="el-GR" w:eastAsia="el-GR"/>
              </w:rPr>
              <w:tab/>
            </w:r>
            <w:r w:rsidR="00FE4088" w:rsidRPr="00D12D7C">
              <w:rPr>
                <w:rStyle w:val="Hyperlink"/>
                <w:noProof/>
              </w:rPr>
              <w:t>Results of the economical model</w:t>
            </w:r>
            <w:r w:rsidR="00FE4088">
              <w:rPr>
                <w:noProof/>
                <w:webHidden/>
              </w:rPr>
              <w:tab/>
            </w:r>
            <w:r w:rsidR="00FE4088">
              <w:rPr>
                <w:noProof/>
                <w:webHidden/>
              </w:rPr>
              <w:fldChar w:fldCharType="begin"/>
            </w:r>
            <w:r w:rsidR="00FE4088">
              <w:rPr>
                <w:noProof/>
                <w:webHidden/>
              </w:rPr>
              <w:instrText xml:space="preserve"> PAGEREF _Toc91752403 \h </w:instrText>
            </w:r>
            <w:r w:rsidR="00FE4088">
              <w:rPr>
                <w:noProof/>
                <w:webHidden/>
              </w:rPr>
            </w:r>
            <w:r w:rsidR="00FE4088">
              <w:rPr>
                <w:noProof/>
                <w:webHidden/>
              </w:rPr>
              <w:fldChar w:fldCharType="separate"/>
            </w:r>
            <w:r w:rsidR="0073710A">
              <w:rPr>
                <w:noProof/>
                <w:webHidden/>
              </w:rPr>
              <w:t>85</w:t>
            </w:r>
            <w:r w:rsidR="00FE4088">
              <w:rPr>
                <w:noProof/>
                <w:webHidden/>
              </w:rPr>
              <w:fldChar w:fldCharType="end"/>
            </w:r>
          </w:hyperlink>
        </w:p>
        <w:p w14:paraId="4915D335" w14:textId="6DA1ED0E" w:rsidR="00FE4088" w:rsidRDefault="003B0DE2">
          <w:pPr>
            <w:pStyle w:val="TOC2"/>
            <w:rPr>
              <w:rFonts w:asciiTheme="minorHAnsi" w:eastAsiaTheme="minorEastAsia" w:hAnsiTheme="minorHAnsi"/>
              <w:noProof/>
              <w:lang w:val="el-GR" w:eastAsia="el-GR"/>
            </w:rPr>
          </w:pPr>
          <w:hyperlink w:anchor="_Toc91752404" w:history="1">
            <w:r w:rsidR="00FE4088" w:rsidRPr="00D12D7C">
              <w:rPr>
                <w:rStyle w:val="Hyperlink"/>
                <w:noProof/>
              </w:rPr>
              <w:t>9.3.</w:t>
            </w:r>
            <w:r w:rsidR="00FE4088">
              <w:rPr>
                <w:rFonts w:asciiTheme="minorHAnsi" w:eastAsiaTheme="minorEastAsia" w:hAnsiTheme="minorHAnsi"/>
                <w:noProof/>
                <w:lang w:val="el-GR" w:eastAsia="el-GR"/>
              </w:rPr>
              <w:tab/>
            </w:r>
            <w:r w:rsidR="00FE4088" w:rsidRPr="00D12D7C">
              <w:rPr>
                <w:rStyle w:val="Hyperlink"/>
                <w:noProof/>
              </w:rPr>
              <w:t>Discussion</w:t>
            </w:r>
            <w:r w:rsidR="00FE4088">
              <w:rPr>
                <w:noProof/>
                <w:webHidden/>
              </w:rPr>
              <w:tab/>
            </w:r>
            <w:r w:rsidR="00FE4088">
              <w:rPr>
                <w:noProof/>
                <w:webHidden/>
              </w:rPr>
              <w:fldChar w:fldCharType="begin"/>
            </w:r>
            <w:r w:rsidR="00FE4088">
              <w:rPr>
                <w:noProof/>
                <w:webHidden/>
              </w:rPr>
              <w:instrText xml:space="preserve"> PAGEREF _Toc91752404 \h </w:instrText>
            </w:r>
            <w:r w:rsidR="00FE4088">
              <w:rPr>
                <w:noProof/>
                <w:webHidden/>
              </w:rPr>
            </w:r>
            <w:r w:rsidR="00FE4088">
              <w:rPr>
                <w:noProof/>
                <w:webHidden/>
              </w:rPr>
              <w:fldChar w:fldCharType="separate"/>
            </w:r>
            <w:r w:rsidR="0073710A">
              <w:rPr>
                <w:noProof/>
                <w:webHidden/>
              </w:rPr>
              <w:t>88</w:t>
            </w:r>
            <w:r w:rsidR="00FE4088">
              <w:rPr>
                <w:noProof/>
                <w:webHidden/>
              </w:rPr>
              <w:fldChar w:fldCharType="end"/>
            </w:r>
          </w:hyperlink>
        </w:p>
        <w:p w14:paraId="65547F0E" w14:textId="206BD260" w:rsidR="00FE4088" w:rsidRDefault="003B0DE2">
          <w:pPr>
            <w:pStyle w:val="TOC1"/>
            <w:tabs>
              <w:tab w:val="left" w:pos="567"/>
            </w:tabs>
            <w:rPr>
              <w:rFonts w:asciiTheme="minorHAnsi" w:eastAsiaTheme="minorEastAsia" w:hAnsiTheme="minorHAnsi"/>
              <w:noProof/>
              <w:lang w:val="el-GR" w:eastAsia="el-GR"/>
            </w:rPr>
          </w:pPr>
          <w:hyperlink w:anchor="_Toc91752405" w:history="1">
            <w:r w:rsidR="00FE4088" w:rsidRPr="00D12D7C">
              <w:rPr>
                <w:rStyle w:val="Hyperlink"/>
                <w:noProof/>
              </w:rPr>
              <w:t>10.</w:t>
            </w:r>
            <w:r w:rsidR="00FE4088">
              <w:rPr>
                <w:rFonts w:asciiTheme="minorHAnsi" w:eastAsiaTheme="minorEastAsia" w:hAnsiTheme="minorHAnsi"/>
                <w:noProof/>
                <w:lang w:val="el-GR" w:eastAsia="el-GR"/>
              </w:rPr>
              <w:tab/>
            </w:r>
            <w:r w:rsidR="00FE4088" w:rsidRPr="00D12D7C">
              <w:rPr>
                <w:rStyle w:val="Hyperlink"/>
                <w:noProof/>
              </w:rPr>
              <w:t>Analysis of identified sustainable development indicators and aspects in marginal lands</w:t>
            </w:r>
            <w:r w:rsidR="00FE4088">
              <w:rPr>
                <w:noProof/>
                <w:webHidden/>
              </w:rPr>
              <w:tab/>
            </w:r>
            <w:r w:rsidR="00FE4088">
              <w:rPr>
                <w:noProof/>
                <w:webHidden/>
              </w:rPr>
              <w:fldChar w:fldCharType="begin"/>
            </w:r>
            <w:r w:rsidR="00FE4088">
              <w:rPr>
                <w:noProof/>
                <w:webHidden/>
              </w:rPr>
              <w:instrText xml:space="preserve"> PAGEREF _Toc91752405 \h </w:instrText>
            </w:r>
            <w:r w:rsidR="00FE4088">
              <w:rPr>
                <w:noProof/>
                <w:webHidden/>
              </w:rPr>
            </w:r>
            <w:r w:rsidR="00FE4088">
              <w:rPr>
                <w:noProof/>
                <w:webHidden/>
              </w:rPr>
              <w:fldChar w:fldCharType="separate"/>
            </w:r>
            <w:r w:rsidR="0073710A">
              <w:rPr>
                <w:noProof/>
                <w:webHidden/>
              </w:rPr>
              <w:t>89</w:t>
            </w:r>
            <w:r w:rsidR="00FE4088">
              <w:rPr>
                <w:noProof/>
                <w:webHidden/>
              </w:rPr>
              <w:fldChar w:fldCharType="end"/>
            </w:r>
          </w:hyperlink>
        </w:p>
        <w:p w14:paraId="759B1E04" w14:textId="35A7F137" w:rsidR="00FE4088" w:rsidRDefault="003B0DE2">
          <w:pPr>
            <w:pStyle w:val="TOC2"/>
            <w:tabs>
              <w:tab w:val="left" w:pos="1100"/>
            </w:tabs>
            <w:rPr>
              <w:rFonts w:asciiTheme="minorHAnsi" w:eastAsiaTheme="minorEastAsia" w:hAnsiTheme="minorHAnsi"/>
              <w:noProof/>
              <w:lang w:val="el-GR" w:eastAsia="el-GR"/>
            </w:rPr>
          </w:pPr>
          <w:hyperlink w:anchor="_Toc91752406" w:history="1">
            <w:r w:rsidR="00FE4088" w:rsidRPr="00D12D7C">
              <w:rPr>
                <w:rStyle w:val="Hyperlink"/>
                <w:noProof/>
              </w:rPr>
              <w:t>10.1.</w:t>
            </w:r>
            <w:r w:rsidR="00FE4088">
              <w:rPr>
                <w:rFonts w:asciiTheme="minorHAnsi" w:eastAsiaTheme="minorEastAsia" w:hAnsiTheme="minorHAnsi"/>
                <w:noProof/>
                <w:lang w:val="el-GR" w:eastAsia="el-GR"/>
              </w:rPr>
              <w:tab/>
            </w:r>
            <w:r w:rsidR="00FE4088" w:rsidRPr="00D12D7C">
              <w:rPr>
                <w:rStyle w:val="Hyperlink"/>
                <w:noProof/>
              </w:rPr>
              <w:t>Data representation and normalization</w:t>
            </w:r>
            <w:r w:rsidR="00FE4088">
              <w:rPr>
                <w:noProof/>
                <w:webHidden/>
              </w:rPr>
              <w:tab/>
            </w:r>
            <w:r w:rsidR="00FE4088">
              <w:rPr>
                <w:noProof/>
                <w:webHidden/>
              </w:rPr>
              <w:fldChar w:fldCharType="begin"/>
            </w:r>
            <w:r w:rsidR="00FE4088">
              <w:rPr>
                <w:noProof/>
                <w:webHidden/>
              </w:rPr>
              <w:instrText xml:space="preserve"> PAGEREF _Toc91752406 \h </w:instrText>
            </w:r>
            <w:r w:rsidR="00FE4088">
              <w:rPr>
                <w:noProof/>
                <w:webHidden/>
              </w:rPr>
            </w:r>
            <w:r w:rsidR="00FE4088">
              <w:rPr>
                <w:noProof/>
                <w:webHidden/>
              </w:rPr>
              <w:fldChar w:fldCharType="separate"/>
            </w:r>
            <w:r w:rsidR="0073710A">
              <w:rPr>
                <w:noProof/>
                <w:webHidden/>
              </w:rPr>
              <w:t>96</w:t>
            </w:r>
            <w:r w:rsidR="00FE4088">
              <w:rPr>
                <w:noProof/>
                <w:webHidden/>
              </w:rPr>
              <w:fldChar w:fldCharType="end"/>
            </w:r>
          </w:hyperlink>
        </w:p>
        <w:p w14:paraId="5ADB68CD" w14:textId="7C4E88E5" w:rsidR="00FE4088" w:rsidRDefault="003B0DE2">
          <w:pPr>
            <w:pStyle w:val="TOC2"/>
            <w:tabs>
              <w:tab w:val="left" w:pos="1100"/>
            </w:tabs>
            <w:rPr>
              <w:rFonts w:asciiTheme="minorHAnsi" w:eastAsiaTheme="minorEastAsia" w:hAnsiTheme="minorHAnsi"/>
              <w:noProof/>
              <w:lang w:val="el-GR" w:eastAsia="el-GR"/>
            </w:rPr>
          </w:pPr>
          <w:hyperlink w:anchor="_Toc91752407" w:history="1">
            <w:r w:rsidR="00FE4088" w:rsidRPr="00D12D7C">
              <w:rPr>
                <w:rStyle w:val="Hyperlink"/>
                <w:noProof/>
              </w:rPr>
              <w:t>10.2.</w:t>
            </w:r>
            <w:r w:rsidR="00FE4088">
              <w:rPr>
                <w:rFonts w:asciiTheme="minorHAnsi" w:eastAsiaTheme="minorEastAsia" w:hAnsiTheme="minorHAnsi"/>
                <w:noProof/>
                <w:lang w:val="el-GR" w:eastAsia="el-GR"/>
              </w:rPr>
              <w:tab/>
            </w:r>
            <w:r w:rsidR="00FE4088" w:rsidRPr="00D12D7C">
              <w:rPr>
                <w:rStyle w:val="Hyperlink"/>
                <w:noProof/>
              </w:rPr>
              <w:t>Financial</w:t>
            </w:r>
            <w:r w:rsidR="00FE4088">
              <w:rPr>
                <w:noProof/>
                <w:webHidden/>
              </w:rPr>
              <w:tab/>
            </w:r>
            <w:r w:rsidR="00FE4088">
              <w:rPr>
                <w:noProof/>
                <w:webHidden/>
              </w:rPr>
              <w:fldChar w:fldCharType="begin"/>
            </w:r>
            <w:r w:rsidR="00FE4088">
              <w:rPr>
                <w:noProof/>
                <w:webHidden/>
              </w:rPr>
              <w:instrText xml:space="preserve"> PAGEREF _Toc91752407 \h </w:instrText>
            </w:r>
            <w:r w:rsidR="00FE4088">
              <w:rPr>
                <w:noProof/>
                <w:webHidden/>
              </w:rPr>
            </w:r>
            <w:r w:rsidR="00FE4088">
              <w:rPr>
                <w:noProof/>
                <w:webHidden/>
              </w:rPr>
              <w:fldChar w:fldCharType="separate"/>
            </w:r>
            <w:r w:rsidR="0073710A">
              <w:rPr>
                <w:noProof/>
                <w:webHidden/>
              </w:rPr>
              <w:t>97</w:t>
            </w:r>
            <w:r w:rsidR="00FE4088">
              <w:rPr>
                <w:noProof/>
                <w:webHidden/>
              </w:rPr>
              <w:fldChar w:fldCharType="end"/>
            </w:r>
          </w:hyperlink>
        </w:p>
        <w:p w14:paraId="2E50694C" w14:textId="0B638076" w:rsidR="00FE4088" w:rsidRDefault="003B0DE2">
          <w:pPr>
            <w:pStyle w:val="TOC2"/>
            <w:tabs>
              <w:tab w:val="left" w:pos="1320"/>
            </w:tabs>
            <w:rPr>
              <w:rFonts w:asciiTheme="minorHAnsi" w:eastAsiaTheme="minorEastAsia" w:hAnsiTheme="minorHAnsi"/>
              <w:noProof/>
              <w:lang w:val="el-GR" w:eastAsia="el-GR"/>
            </w:rPr>
          </w:pPr>
          <w:hyperlink w:anchor="_Toc91752408" w:history="1">
            <w:r w:rsidR="00FE4088" w:rsidRPr="00D12D7C">
              <w:rPr>
                <w:rStyle w:val="Hyperlink"/>
                <w:noProof/>
              </w:rPr>
              <w:t>10.2.1.</w:t>
            </w:r>
            <w:r w:rsidR="00FE4088">
              <w:rPr>
                <w:rFonts w:asciiTheme="minorHAnsi" w:eastAsiaTheme="minorEastAsia" w:hAnsiTheme="minorHAnsi"/>
                <w:noProof/>
                <w:lang w:val="el-GR" w:eastAsia="el-GR"/>
              </w:rPr>
              <w:tab/>
            </w:r>
            <w:r w:rsidR="00FE4088" w:rsidRPr="00D12D7C">
              <w:rPr>
                <w:rStyle w:val="Hyperlink"/>
                <w:noProof/>
              </w:rPr>
              <w:t>Implementation plan (Costs)</w:t>
            </w:r>
            <w:r w:rsidR="00FE4088">
              <w:rPr>
                <w:noProof/>
                <w:webHidden/>
              </w:rPr>
              <w:tab/>
            </w:r>
            <w:r w:rsidR="00FE4088">
              <w:rPr>
                <w:noProof/>
                <w:webHidden/>
              </w:rPr>
              <w:fldChar w:fldCharType="begin"/>
            </w:r>
            <w:r w:rsidR="00FE4088">
              <w:rPr>
                <w:noProof/>
                <w:webHidden/>
              </w:rPr>
              <w:instrText xml:space="preserve"> PAGEREF _Toc91752408 \h </w:instrText>
            </w:r>
            <w:r w:rsidR="00FE4088">
              <w:rPr>
                <w:noProof/>
                <w:webHidden/>
              </w:rPr>
            </w:r>
            <w:r w:rsidR="00FE4088">
              <w:rPr>
                <w:noProof/>
                <w:webHidden/>
              </w:rPr>
              <w:fldChar w:fldCharType="separate"/>
            </w:r>
            <w:r w:rsidR="0073710A">
              <w:rPr>
                <w:noProof/>
                <w:webHidden/>
              </w:rPr>
              <w:t>97</w:t>
            </w:r>
            <w:r w:rsidR="00FE4088">
              <w:rPr>
                <w:noProof/>
                <w:webHidden/>
              </w:rPr>
              <w:fldChar w:fldCharType="end"/>
            </w:r>
          </w:hyperlink>
        </w:p>
        <w:p w14:paraId="5DE466DE" w14:textId="5FFE483D" w:rsidR="00FE4088" w:rsidRDefault="003B0DE2">
          <w:pPr>
            <w:pStyle w:val="TOC2"/>
            <w:tabs>
              <w:tab w:val="left" w:pos="1320"/>
            </w:tabs>
            <w:rPr>
              <w:rFonts w:asciiTheme="minorHAnsi" w:eastAsiaTheme="minorEastAsia" w:hAnsiTheme="minorHAnsi"/>
              <w:noProof/>
              <w:lang w:val="el-GR" w:eastAsia="el-GR"/>
            </w:rPr>
          </w:pPr>
          <w:hyperlink w:anchor="_Toc91752409" w:history="1">
            <w:r w:rsidR="00FE4088" w:rsidRPr="00D12D7C">
              <w:rPr>
                <w:rStyle w:val="Hyperlink"/>
                <w:noProof/>
              </w:rPr>
              <w:t>10.2.2.</w:t>
            </w:r>
            <w:r w:rsidR="00FE4088">
              <w:rPr>
                <w:rFonts w:asciiTheme="minorHAnsi" w:eastAsiaTheme="minorEastAsia" w:hAnsiTheme="minorHAnsi"/>
                <w:noProof/>
                <w:lang w:val="el-GR" w:eastAsia="el-GR"/>
              </w:rPr>
              <w:tab/>
            </w:r>
            <w:r w:rsidR="00FE4088" w:rsidRPr="00D12D7C">
              <w:rPr>
                <w:rStyle w:val="Hyperlink"/>
                <w:noProof/>
              </w:rPr>
              <w:t>Management Cost</w:t>
            </w:r>
            <w:r w:rsidR="00FE4088">
              <w:rPr>
                <w:noProof/>
                <w:webHidden/>
              </w:rPr>
              <w:tab/>
            </w:r>
            <w:r w:rsidR="00FE4088">
              <w:rPr>
                <w:noProof/>
                <w:webHidden/>
              </w:rPr>
              <w:fldChar w:fldCharType="begin"/>
            </w:r>
            <w:r w:rsidR="00FE4088">
              <w:rPr>
                <w:noProof/>
                <w:webHidden/>
              </w:rPr>
              <w:instrText xml:space="preserve"> PAGEREF _Toc91752409 \h </w:instrText>
            </w:r>
            <w:r w:rsidR="00FE4088">
              <w:rPr>
                <w:noProof/>
                <w:webHidden/>
              </w:rPr>
            </w:r>
            <w:r w:rsidR="00FE4088">
              <w:rPr>
                <w:noProof/>
                <w:webHidden/>
              </w:rPr>
              <w:fldChar w:fldCharType="separate"/>
            </w:r>
            <w:r w:rsidR="0073710A">
              <w:rPr>
                <w:noProof/>
                <w:webHidden/>
              </w:rPr>
              <w:t>99</w:t>
            </w:r>
            <w:r w:rsidR="00FE4088">
              <w:rPr>
                <w:noProof/>
                <w:webHidden/>
              </w:rPr>
              <w:fldChar w:fldCharType="end"/>
            </w:r>
          </w:hyperlink>
        </w:p>
        <w:p w14:paraId="1E4B3FD2" w14:textId="0C947CBE" w:rsidR="00FE4088" w:rsidRDefault="003B0DE2">
          <w:pPr>
            <w:pStyle w:val="TOC2"/>
            <w:tabs>
              <w:tab w:val="left" w:pos="1320"/>
            </w:tabs>
            <w:rPr>
              <w:rFonts w:asciiTheme="minorHAnsi" w:eastAsiaTheme="minorEastAsia" w:hAnsiTheme="minorHAnsi"/>
              <w:noProof/>
              <w:lang w:val="el-GR" w:eastAsia="el-GR"/>
            </w:rPr>
          </w:pPr>
          <w:hyperlink w:anchor="_Toc91752410" w:history="1">
            <w:r w:rsidR="00FE4088" w:rsidRPr="00D12D7C">
              <w:rPr>
                <w:rStyle w:val="Hyperlink"/>
                <w:noProof/>
              </w:rPr>
              <w:t>10.2.3.</w:t>
            </w:r>
            <w:r w:rsidR="00FE4088">
              <w:rPr>
                <w:rFonts w:asciiTheme="minorHAnsi" w:eastAsiaTheme="minorEastAsia" w:hAnsiTheme="minorHAnsi"/>
                <w:noProof/>
                <w:lang w:val="el-GR" w:eastAsia="el-GR"/>
              </w:rPr>
              <w:tab/>
            </w:r>
            <w:r w:rsidR="00FE4088" w:rsidRPr="00D12D7C">
              <w:rPr>
                <w:rStyle w:val="Hyperlink"/>
                <w:noProof/>
              </w:rPr>
              <w:t>Non wood products (Income)</w:t>
            </w:r>
            <w:r w:rsidR="00FE4088">
              <w:rPr>
                <w:noProof/>
                <w:webHidden/>
              </w:rPr>
              <w:tab/>
            </w:r>
            <w:r w:rsidR="00FE4088">
              <w:rPr>
                <w:noProof/>
                <w:webHidden/>
              </w:rPr>
              <w:fldChar w:fldCharType="begin"/>
            </w:r>
            <w:r w:rsidR="00FE4088">
              <w:rPr>
                <w:noProof/>
                <w:webHidden/>
              </w:rPr>
              <w:instrText xml:space="preserve"> PAGEREF _Toc91752410 \h </w:instrText>
            </w:r>
            <w:r w:rsidR="00FE4088">
              <w:rPr>
                <w:noProof/>
                <w:webHidden/>
              </w:rPr>
            </w:r>
            <w:r w:rsidR="00FE4088">
              <w:rPr>
                <w:noProof/>
                <w:webHidden/>
              </w:rPr>
              <w:fldChar w:fldCharType="separate"/>
            </w:r>
            <w:r w:rsidR="0073710A">
              <w:rPr>
                <w:noProof/>
                <w:webHidden/>
              </w:rPr>
              <w:t>101</w:t>
            </w:r>
            <w:r w:rsidR="00FE4088">
              <w:rPr>
                <w:noProof/>
                <w:webHidden/>
              </w:rPr>
              <w:fldChar w:fldCharType="end"/>
            </w:r>
          </w:hyperlink>
        </w:p>
        <w:p w14:paraId="47DC27B7" w14:textId="179950E0" w:rsidR="00FE4088" w:rsidRDefault="003B0DE2">
          <w:pPr>
            <w:pStyle w:val="TOC2"/>
            <w:tabs>
              <w:tab w:val="left" w:pos="1320"/>
            </w:tabs>
            <w:rPr>
              <w:rFonts w:asciiTheme="minorHAnsi" w:eastAsiaTheme="minorEastAsia" w:hAnsiTheme="minorHAnsi"/>
              <w:noProof/>
              <w:lang w:val="el-GR" w:eastAsia="el-GR"/>
            </w:rPr>
          </w:pPr>
          <w:hyperlink w:anchor="_Toc91752411" w:history="1">
            <w:r w:rsidR="00FE4088" w:rsidRPr="00D12D7C">
              <w:rPr>
                <w:rStyle w:val="Hyperlink"/>
                <w:noProof/>
              </w:rPr>
              <w:t>10.2.4.</w:t>
            </w:r>
            <w:r w:rsidR="00FE4088">
              <w:rPr>
                <w:rFonts w:asciiTheme="minorHAnsi" w:eastAsiaTheme="minorEastAsia" w:hAnsiTheme="minorHAnsi"/>
                <w:noProof/>
                <w:lang w:val="el-GR" w:eastAsia="el-GR"/>
              </w:rPr>
              <w:tab/>
            </w:r>
            <w:r w:rsidR="00FE4088" w:rsidRPr="00D12D7C">
              <w:rPr>
                <w:rStyle w:val="Hyperlink"/>
                <w:noProof/>
              </w:rPr>
              <w:t>Services (Income)</w:t>
            </w:r>
            <w:r w:rsidR="00FE4088">
              <w:rPr>
                <w:noProof/>
                <w:webHidden/>
              </w:rPr>
              <w:tab/>
            </w:r>
            <w:r w:rsidR="00FE4088">
              <w:rPr>
                <w:noProof/>
                <w:webHidden/>
              </w:rPr>
              <w:fldChar w:fldCharType="begin"/>
            </w:r>
            <w:r w:rsidR="00FE4088">
              <w:rPr>
                <w:noProof/>
                <w:webHidden/>
              </w:rPr>
              <w:instrText xml:space="preserve"> PAGEREF _Toc91752411 \h </w:instrText>
            </w:r>
            <w:r w:rsidR="00FE4088">
              <w:rPr>
                <w:noProof/>
                <w:webHidden/>
              </w:rPr>
            </w:r>
            <w:r w:rsidR="00FE4088">
              <w:rPr>
                <w:noProof/>
                <w:webHidden/>
              </w:rPr>
              <w:fldChar w:fldCharType="separate"/>
            </w:r>
            <w:r w:rsidR="0073710A">
              <w:rPr>
                <w:noProof/>
                <w:webHidden/>
              </w:rPr>
              <w:t>102</w:t>
            </w:r>
            <w:r w:rsidR="00FE4088">
              <w:rPr>
                <w:noProof/>
                <w:webHidden/>
              </w:rPr>
              <w:fldChar w:fldCharType="end"/>
            </w:r>
          </w:hyperlink>
        </w:p>
        <w:p w14:paraId="63EC7BCF" w14:textId="436C7F5F" w:rsidR="00FE4088" w:rsidRDefault="003B0DE2">
          <w:pPr>
            <w:pStyle w:val="TOC2"/>
            <w:tabs>
              <w:tab w:val="left" w:pos="1100"/>
            </w:tabs>
            <w:rPr>
              <w:rFonts w:asciiTheme="minorHAnsi" w:eastAsiaTheme="minorEastAsia" w:hAnsiTheme="minorHAnsi"/>
              <w:noProof/>
              <w:lang w:val="el-GR" w:eastAsia="el-GR"/>
            </w:rPr>
          </w:pPr>
          <w:hyperlink w:anchor="_Toc91752412" w:history="1">
            <w:r w:rsidR="00FE4088" w:rsidRPr="00D12D7C">
              <w:rPr>
                <w:rStyle w:val="Hyperlink"/>
                <w:noProof/>
              </w:rPr>
              <w:t>10.3.</w:t>
            </w:r>
            <w:r w:rsidR="00FE4088">
              <w:rPr>
                <w:rFonts w:asciiTheme="minorHAnsi" w:eastAsiaTheme="minorEastAsia" w:hAnsiTheme="minorHAnsi"/>
                <w:noProof/>
                <w:lang w:val="el-GR" w:eastAsia="el-GR"/>
              </w:rPr>
              <w:tab/>
            </w:r>
            <w:r w:rsidR="00FE4088" w:rsidRPr="00D12D7C">
              <w:rPr>
                <w:rStyle w:val="Hyperlink"/>
                <w:noProof/>
              </w:rPr>
              <w:t>Social</w:t>
            </w:r>
            <w:r w:rsidR="00FE4088">
              <w:rPr>
                <w:noProof/>
                <w:webHidden/>
              </w:rPr>
              <w:tab/>
            </w:r>
            <w:r w:rsidR="00FE4088">
              <w:rPr>
                <w:noProof/>
                <w:webHidden/>
              </w:rPr>
              <w:fldChar w:fldCharType="begin"/>
            </w:r>
            <w:r w:rsidR="00FE4088">
              <w:rPr>
                <w:noProof/>
                <w:webHidden/>
              </w:rPr>
              <w:instrText xml:space="preserve"> PAGEREF _Toc91752412 \h </w:instrText>
            </w:r>
            <w:r w:rsidR="00FE4088">
              <w:rPr>
                <w:noProof/>
                <w:webHidden/>
              </w:rPr>
            </w:r>
            <w:r w:rsidR="00FE4088">
              <w:rPr>
                <w:noProof/>
                <w:webHidden/>
              </w:rPr>
              <w:fldChar w:fldCharType="separate"/>
            </w:r>
            <w:r w:rsidR="0073710A">
              <w:rPr>
                <w:noProof/>
                <w:webHidden/>
              </w:rPr>
              <w:t>103</w:t>
            </w:r>
            <w:r w:rsidR="00FE4088">
              <w:rPr>
                <w:noProof/>
                <w:webHidden/>
              </w:rPr>
              <w:fldChar w:fldCharType="end"/>
            </w:r>
          </w:hyperlink>
        </w:p>
        <w:p w14:paraId="0256965C" w14:textId="451F383F" w:rsidR="00FE4088" w:rsidRDefault="003B0DE2">
          <w:pPr>
            <w:pStyle w:val="TOC2"/>
            <w:tabs>
              <w:tab w:val="left" w:pos="1320"/>
            </w:tabs>
            <w:rPr>
              <w:rFonts w:asciiTheme="minorHAnsi" w:eastAsiaTheme="minorEastAsia" w:hAnsiTheme="minorHAnsi"/>
              <w:noProof/>
              <w:lang w:val="el-GR" w:eastAsia="el-GR"/>
            </w:rPr>
          </w:pPr>
          <w:hyperlink w:anchor="_Toc91752413" w:history="1">
            <w:r w:rsidR="00FE4088" w:rsidRPr="00D12D7C">
              <w:rPr>
                <w:rStyle w:val="Hyperlink"/>
                <w:noProof/>
              </w:rPr>
              <w:t>10.3.1.</w:t>
            </w:r>
            <w:r w:rsidR="00FE4088">
              <w:rPr>
                <w:rFonts w:asciiTheme="minorHAnsi" w:eastAsiaTheme="minorEastAsia" w:hAnsiTheme="minorHAnsi"/>
                <w:noProof/>
                <w:lang w:val="el-GR" w:eastAsia="el-GR"/>
              </w:rPr>
              <w:tab/>
            </w:r>
            <w:r w:rsidR="00FE4088" w:rsidRPr="00D12D7C">
              <w:rPr>
                <w:rStyle w:val="Hyperlink"/>
                <w:noProof/>
              </w:rPr>
              <w:t>Employment</w:t>
            </w:r>
            <w:r w:rsidR="00FE4088">
              <w:rPr>
                <w:noProof/>
                <w:webHidden/>
              </w:rPr>
              <w:tab/>
            </w:r>
            <w:r w:rsidR="00FE4088">
              <w:rPr>
                <w:noProof/>
                <w:webHidden/>
              </w:rPr>
              <w:fldChar w:fldCharType="begin"/>
            </w:r>
            <w:r w:rsidR="00FE4088">
              <w:rPr>
                <w:noProof/>
                <w:webHidden/>
              </w:rPr>
              <w:instrText xml:space="preserve"> PAGEREF _Toc91752413 \h </w:instrText>
            </w:r>
            <w:r w:rsidR="00FE4088">
              <w:rPr>
                <w:noProof/>
                <w:webHidden/>
              </w:rPr>
            </w:r>
            <w:r w:rsidR="00FE4088">
              <w:rPr>
                <w:noProof/>
                <w:webHidden/>
              </w:rPr>
              <w:fldChar w:fldCharType="separate"/>
            </w:r>
            <w:r w:rsidR="0073710A">
              <w:rPr>
                <w:noProof/>
                <w:webHidden/>
              </w:rPr>
              <w:t>104</w:t>
            </w:r>
            <w:r w:rsidR="00FE4088">
              <w:rPr>
                <w:noProof/>
                <w:webHidden/>
              </w:rPr>
              <w:fldChar w:fldCharType="end"/>
            </w:r>
          </w:hyperlink>
        </w:p>
        <w:p w14:paraId="4ED2F8F3" w14:textId="59A89BCB" w:rsidR="00FE4088" w:rsidRDefault="003B0DE2">
          <w:pPr>
            <w:pStyle w:val="TOC2"/>
            <w:tabs>
              <w:tab w:val="left" w:pos="1320"/>
            </w:tabs>
            <w:rPr>
              <w:rFonts w:asciiTheme="minorHAnsi" w:eastAsiaTheme="minorEastAsia" w:hAnsiTheme="minorHAnsi"/>
              <w:noProof/>
              <w:lang w:val="el-GR" w:eastAsia="el-GR"/>
            </w:rPr>
          </w:pPr>
          <w:hyperlink w:anchor="_Toc91752414" w:history="1">
            <w:r w:rsidR="00FE4088" w:rsidRPr="00D12D7C">
              <w:rPr>
                <w:rStyle w:val="Hyperlink"/>
                <w:noProof/>
              </w:rPr>
              <w:t>10.3.2.</w:t>
            </w:r>
            <w:r w:rsidR="00FE4088">
              <w:rPr>
                <w:rFonts w:asciiTheme="minorHAnsi" w:eastAsiaTheme="minorEastAsia" w:hAnsiTheme="minorHAnsi"/>
                <w:noProof/>
                <w:lang w:val="el-GR" w:eastAsia="el-GR"/>
              </w:rPr>
              <w:tab/>
            </w:r>
            <w:r w:rsidR="00FE4088" w:rsidRPr="00D12D7C">
              <w:rPr>
                <w:rStyle w:val="Hyperlink"/>
                <w:noProof/>
              </w:rPr>
              <w:t>Recreation</w:t>
            </w:r>
            <w:r w:rsidR="00FE4088">
              <w:rPr>
                <w:noProof/>
                <w:webHidden/>
              </w:rPr>
              <w:tab/>
            </w:r>
            <w:r w:rsidR="00FE4088">
              <w:rPr>
                <w:noProof/>
                <w:webHidden/>
              </w:rPr>
              <w:fldChar w:fldCharType="begin"/>
            </w:r>
            <w:r w:rsidR="00FE4088">
              <w:rPr>
                <w:noProof/>
                <w:webHidden/>
              </w:rPr>
              <w:instrText xml:space="preserve"> PAGEREF _Toc91752414 \h </w:instrText>
            </w:r>
            <w:r w:rsidR="00FE4088">
              <w:rPr>
                <w:noProof/>
                <w:webHidden/>
              </w:rPr>
            </w:r>
            <w:r w:rsidR="00FE4088">
              <w:rPr>
                <w:noProof/>
                <w:webHidden/>
              </w:rPr>
              <w:fldChar w:fldCharType="separate"/>
            </w:r>
            <w:r w:rsidR="0073710A">
              <w:rPr>
                <w:noProof/>
                <w:webHidden/>
              </w:rPr>
              <w:t>105</w:t>
            </w:r>
            <w:r w:rsidR="00FE4088">
              <w:rPr>
                <w:noProof/>
                <w:webHidden/>
              </w:rPr>
              <w:fldChar w:fldCharType="end"/>
            </w:r>
          </w:hyperlink>
        </w:p>
        <w:p w14:paraId="0EA55E98" w14:textId="6F289F47" w:rsidR="00FE4088" w:rsidRDefault="003B0DE2">
          <w:pPr>
            <w:pStyle w:val="TOC2"/>
            <w:tabs>
              <w:tab w:val="left" w:pos="1100"/>
            </w:tabs>
            <w:rPr>
              <w:rFonts w:asciiTheme="minorHAnsi" w:eastAsiaTheme="minorEastAsia" w:hAnsiTheme="minorHAnsi"/>
              <w:noProof/>
              <w:lang w:val="el-GR" w:eastAsia="el-GR"/>
            </w:rPr>
          </w:pPr>
          <w:hyperlink w:anchor="_Toc91752415" w:history="1">
            <w:r w:rsidR="00FE4088" w:rsidRPr="00D12D7C">
              <w:rPr>
                <w:rStyle w:val="Hyperlink"/>
                <w:noProof/>
              </w:rPr>
              <w:t>10.4.</w:t>
            </w:r>
            <w:r w:rsidR="00FE4088">
              <w:rPr>
                <w:rFonts w:asciiTheme="minorHAnsi" w:eastAsiaTheme="minorEastAsia" w:hAnsiTheme="minorHAnsi"/>
                <w:noProof/>
                <w:lang w:val="el-GR" w:eastAsia="el-GR"/>
              </w:rPr>
              <w:tab/>
            </w:r>
            <w:r w:rsidR="00FE4088" w:rsidRPr="00D12D7C">
              <w:rPr>
                <w:rStyle w:val="Hyperlink"/>
                <w:noProof/>
              </w:rPr>
              <w:t>Environmental</w:t>
            </w:r>
            <w:r w:rsidR="00FE4088">
              <w:rPr>
                <w:noProof/>
                <w:webHidden/>
              </w:rPr>
              <w:tab/>
            </w:r>
            <w:r w:rsidR="00FE4088">
              <w:rPr>
                <w:noProof/>
                <w:webHidden/>
              </w:rPr>
              <w:fldChar w:fldCharType="begin"/>
            </w:r>
            <w:r w:rsidR="00FE4088">
              <w:rPr>
                <w:noProof/>
                <w:webHidden/>
              </w:rPr>
              <w:instrText xml:space="preserve"> PAGEREF _Toc91752415 \h </w:instrText>
            </w:r>
            <w:r w:rsidR="00FE4088">
              <w:rPr>
                <w:noProof/>
                <w:webHidden/>
              </w:rPr>
            </w:r>
            <w:r w:rsidR="00FE4088">
              <w:rPr>
                <w:noProof/>
                <w:webHidden/>
              </w:rPr>
              <w:fldChar w:fldCharType="separate"/>
            </w:r>
            <w:r w:rsidR="0073710A">
              <w:rPr>
                <w:noProof/>
                <w:webHidden/>
              </w:rPr>
              <w:t>105</w:t>
            </w:r>
            <w:r w:rsidR="00FE4088">
              <w:rPr>
                <w:noProof/>
                <w:webHidden/>
              </w:rPr>
              <w:fldChar w:fldCharType="end"/>
            </w:r>
          </w:hyperlink>
        </w:p>
        <w:p w14:paraId="792AAF4D" w14:textId="56B6BF40" w:rsidR="00FE4088" w:rsidRDefault="003B0DE2">
          <w:pPr>
            <w:pStyle w:val="TOC2"/>
            <w:tabs>
              <w:tab w:val="left" w:pos="1320"/>
            </w:tabs>
            <w:rPr>
              <w:rFonts w:asciiTheme="minorHAnsi" w:eastAsiaTheme="minorEastAsia" w:hAnsiTheme="minorHAnsi"/>
              <w:noProof/>
              <w:lang w:val="el-GR" w:eastAsia="el-GR"/>
            </w:rPr>
          </w:pPr>
          <w:hyperlink w:anchor="_Toc91752416" w:history="1">
            <w:r w:rsidR="00FE4088" w:rsidRPr="00D12D7C">
              <w:rPr>
                <w:rStyle w:val="Hyperlink"/>
                <w:noProof/>
              </w:rPr>
              <w:t>10.4.1.</w:t>
            </w:r>
            <w:r w:rsidR="00FE4088">
              <w:rPr>
                <w:rFonts w:asciiTheme="minorHAnsi" w:eastAsiaTheme="minorEastAsia" w:hAnsiTheme="minorHAnsi"/>
                <w:noProof/>
                <w:lang w:val="el-GR" w:eastAsia="el-GR"/>
              </w:rPr>
              <w:tab/>
            </w:r>
            <w:r w:rsidR="00FE4088" w:rsidRPr="00D12D7C">
              <w:rPr>
                <w:rStyle w:val="Hyperlink"/>
                <w:noProof/>
              </w:rPr>
              <w:t>Increase biodiversity</w:t>
            </w:r>
            <w:r w:rsidR="00FE4088">
              <w:rPr>
                <w:noProof/>
                <w:webHidden/>
              </w:rPr>
              <w:tab/>
            </w:r>
            <w:r w:rsidR="00FE4088">
              <w:rPr>
                <w:noProof/>
                <w:webHidden/>
              </w:rPr>
              <w:fldChar w:fldCharType="begin"/>
            </w:r>
            <w:r w:rsidR="00FE4088">
              <w:rPr>
                <w:noProof/>
                <w:webHidden/>
              </w:rPr>
              <w:instrText xml:space="preserve"> PAGEREF _Toc91752416 \h </w:instrText>
            </w:r>
            <w:r w:rsidR="00FE4088">
              <w:rPr>
                <w:noProof/>
                <w:webHidden/>
              </w:rPr>
            </w:r>
            <w:r w:rsidR="00FE4088">
              <w:rPr>
                <w:noProof/>
                <w:webHidden/>
              </w:rPr>
              <w:fldChar w:fldCharType="separate"/>
            </w:r>
            <w:r w:rsidR="0073710A">
              <w:rPr>
                <w:noProof/>
                <w:webHidden/>
              </w:rPr>
              <w:t>105</w:t>
            </w:r>
            <w:r w:rsidR="00FE4088">
              <w:rPr>
                <w:noProof/>
                <w:webHidden/>
              </w:rPr>
              <w:fldChar w:fldCharType="end"/>
            </w:r>
          </w:hyperlink>
        </w:p>
        <w:p w14:paraId="7594251D" w14:textId="4925E066" w:rsidR="00FE4088" w:rsidRDefault="003B0DE2">
          <w:pPr>
            <w:pStyle w:val="TOC2"/>
            <w:tabs>
              <w:tab w:val="left" w:pos="1320"/>
            </w:tabs>
            <w:rPr>
              <w:rFonts w:asciiTheme="minorHAnsi" w:eastAsiaTheme="minorEastAsia" w:hAnsiTheme="minorHAnsi"/>
              <w:noProof/>
              <w:lang w:val="el-GR" w:eastAsia="el-GR"/>
            </w:rPr>
          </w:pPr>
          <w:hyperlink w:anchor="_Toc91752417" w:history="1">
            <w:r w:rsidR="00FE4088" w:rsidRPr="00D12D7C">
              <w:rPr>
                <w:rStyle w:val="Hyperlink"/>
                <w:noProof/>
              </w:rPr>
              <w:t>10.4.2.</w:t>
            </w:r>
            <w:r w:rsidR="00FE4088">
              <w:rPr>
                <w:rFonts w:asciiTheme="minorHAnsi" w:eastAsiaTheme="minorEastAsia" w:hAnsiTheme="minorHAnsi"/>
                <w:noProof/>
                <w:lang w:val="el-GR" w:eastAsia="el-GR"/>
              </w:rPr>
              <w:tab/>
            </w:r>
            <w:r w:rsidR="00FE4088" w:rsidRPr="00D12D7C">
              <w:rPr>
                <w:rStyle w:val="Hyperlink"/>
                <w:noProof/>
              </w:rPr>
              <w:t>Erosion</w:t>
            </w:r>
            <w:r w:rsidR="00FE4088">
              <w:rPr>
                <w:noProof/>
                <w:webHidden/>
              </w:rPr>
              <w:tab/>
            </w:r>
            <w:r w:rsidR="00FE4088">
              <w:rPr>
                <w:noProof/>
                <w:webHidden/>
              </w:rPr>
              <w:fldChar w:fldCharType="begin"/>
            </w:r>
            <w:r w:rsidR="00FE4088">
              <w:rPr>
                <w:noProof/>
                <w:webHidden/>
              </w:rPr>
              <w:instrText xml:space="preserve"> PAGEREF _Toc91752417 \h </w:instrText>
            </w:r>
            <w:r w:rsidR="00FE4088">
              <w:rPr>
                <w:noProof/>
                <w:webHidden/>
              </w:rPr>
            </w:r>
            <w:r w:rsidR="00FE4088">
              <w:rPr>
                <w:noProof/>
                <w:webHidden/>
              </w:rPr>
              <w:fldChar w:fldCharType="separate"/>
            </w:r>
            <w:r w:rsidR="0073710A">
              <w:rPr>
                <w:noProof/>
                <w:webHidden/>
              </w:rPr>
              <w:t>107</w:t>
            </w:r>
            <w:r w:rsidR="00FE4088">
              <w:rPr>
                <w:noProof/>
                <w:webHidden/>
              </w:rPr>
              <w:fldChar w:fldCharType="end"/>
            </w:r>
          </w:hyperlink>
        </w:p>
        <w:p w14:paraId="4F60CB63" w14:textId="248DD404" w:rsidR="00FE4088" w:rsidRDefault="003B0DE2">
          <w:pPr>
            <w:pStyle w:val="TOC2"/>
            <w:tabs>
              <w:tab w:val="left" w:pos="1320"/>
            </w:tabs>
            <w:rPr>
              <w:rFonts w:asciiTheme="minorHAnsi" w:eastAsiaTheme="minorEastAsia" w:hAnsiTheme="minorHAnsi"/>
              <w:noProof/>
              <w:lang w:val="el-GR" w:eastAsia="el-GR"/>
            </w:rPr>
          </w:pPr>
          <w:hyperlink w:anchor="_Toc91752418" w:history="1">
            <w:r w:rsidR="00FE4088" w:rsidRPr="00D12D7C">
              <w:rPr>
                <w:rStyle w:val="Hyperlink"/>
                <w:noProof/>
              </w:rPr>
              <w:t>10.4.3.</w:t>
            </w:r>
            <w:r w:rsidR="00FE4088">
              <w:rPr>
                <w:rFonts w:asciiTheme="minorHAnsi" w:eastAsiaTheme="minorEastAsia" w:hAnsiTheme="minorHAnsi"/>
                <w:noProof/>
                <w:lang w:val="el-GR" w:eastAsia="el-GR"/>
              </w:rPr>
              <w:tab/>
            </w:r>
            <w:r w:rsidR="00FE4088" w:rsidRPr="00D12D7C">
              <w:rPr>
                <w:rStyle w:val="Hyperlink"/>
                <w:noProof/>
              </w:rPr>
              <w:t>Protective function</w:t>
            </w:r>
            <w:r w:rsidR="00FE4088">
              <w:rPr>
                <w:noProof/>
                <w:webHidden/>
              </w:rPr>
              <w:tab/>
            </w:r>
            <w:r w:rsidR="00FE4088">
              <w:rPr>
                <w:noProof/>
                <w:webHidden/>
              </w:rPr>
              <w:fldChar w:fldCharType="begin"/>
            </w:r>
            <w:r w:rsidR="00FE4088">
              <w:rPr>
                <w:noProof/>
                <w:webHidden/>
              </w:rPr>
              <w:instrText xml:space="preserve"> PAGEREF _Toc91752418 \h </w:instrText>
            </w:r>
            <w:r w:rsidR="00FE4088">
              <w:rPr>
                <w:noProof/>
                <w:webHidden/>
              </w:rPr>
            </w:r>
            <w:r w:rsidR="00FE4088">
              <w:rPr>
                <w:noProof/>
                <w:webHidden/>
              </w:rPr>
              <w:fldChar w:fldCharType="separate"/>
            </w:r>
            <w:r w:rsidR="0073710A">
              <w:rPr>
                <w:noProof/>
                <w:webHidden/>
              </w:rPr>
              <w:t>108</w:t>
            </w:r>
            <w:r w:rsidR="00FE4088">
              <w:rPr>
                <w:noProof/>
                <w:webHidden/>
              </w:rPr>
              <w:fldChar w:fldCharType="end"/>
            </w:r>
          </w:hyperlink>
        </w:p>
        <w:p w14:paraId="4F676690" w14:textId="7E6B9DC6" w:rsidR="00FE4088" w:rsidRDefault="003B0DE2">
          <w:pPr>
            <w:pStyle w:val="TOC1"/>
            <w:tabs>
              <w:tab w:val="left" w:pos="567"/>
            </w:tabs>
            <w:rPr>
              <w:rFonts w:asciiTheme="minorHAnsi" w:eastAsiaTheme="minorEastAsia" w:hAnsiTheme="minorHAnsi"/>
              <w:noProof/>
              <w:lang w:val="el-GR" w:eastAsia="el-GR"/>
            </w:rPr>
          </w:pPr>
          <w:hyperlink w:anchor="_Toc91752419" w:history="1">
            <w:r w:rsidR="00FE4088" w:rsidRPr="00D12D7C">
              <w:rPr>
                <w:rStyle w:val="Hyperlink"/>
                <w:noProof/>
              </w:rPr>
              <w:t>11.</w:t>
            </w:r>
            <w:r w:rsidR="00FE4088">
              <w:rPr>
                <w:rFonts w:asciiTheme="minorHAnsi" w:eastAsiaTheme="minorEastAsia" w:hAnsiTheme="minorHAnsi"/>
                <w:noProof/>
                <w:lang w:val="el-GR" w:eastAsia="el-GR"/>
              </w:rPr>
              <w:tab/>
            </w:r>
            <w:r w:rsidR="00FE4088" w:rsidRPr="00D12D7C">
              <w:rPr>
                <w:rStyle w:val="Hyperlink"/>
                <w:noProof/>
              </w:rPr>
              <w:t>Increasing Carbon Sequestration Strategies</w:t>
            </w:r>
            <w:r w:rsidR="00FE4088">
              <w:rPr>
                <w:noProof/>
                <w:webHidden/>
              </w:rPr>
              <w:tab/>
            </w:r>
            <w:r w:rsidR="00FE4088">
              <w:rPr>
                <w:noProof/>
                <w:webHidden/>
              </w:rPr>
              <w:fldChar w:fldCharType="begin"/>
            </w:r>
            <w:r w:rsidR="00FE4088">
              <w:rPr>
                <w:noProof/>
                <w:webHidden/>
              </w:rPr>
              <w:instrText xml:space="preserve"> PAGEREF _Toc91752419 \h </w:instrText>
            </w:r>
            <w:r w:rsidR="00FE4088">
              <w:rPr>
                <w:noProof/>
                <w:webHidden/>
              </w:rPr>
            </w:r>
            <w:r w:rsidR="00FE4088">
              <w:rPr>
                <w:noProof/>
                <w:webHidden/>
              </w:rPr>
              <w:fldChar w:fldCharType="separate"/>
            </w:r>
            <w:r w:rsidR="0073710A">
              <w:rPr>
                <w:noProof/>
                <w:webHidden/>
              </w:rPr>
              <w:t>109</w:t>
            </w:r>
            <w:r w:rsidR="00FE4088">
              <w:rPr>
                <w:noProof/>
                <w:webHidden/>
              </w:rPr>
              <w:fldChar w:fldCharType="end"/>
            </w:r>
          </w:hyperlink>
        </w:p>
        <w:p w14:paraId="4CD674BC" w14:textId="27E366B4" w:rsidR="00FE4088" w:rsidRDefault="003B0DE2">
          <w:pPr>
            <w:pStyle w:val="TOC2"/>
            <w:tabs>
              <w:tab w:val="left" w:pos="1100"/>
            </w:tabs>
            <w:rPr>
              <w:rFonts w:asciiTheme="minorHAnsi" w:eastAsiaTheme="minorEastAsia" w:hAnsiTheme="minorHAnsi"/>
              <w:noProof/>
              <w:lang w:val="el-GR" w:eastAsia="el-GR"/>
            </w:rPr>
          </w:pPr>
          <w:hyperlink w:anchor="_Toc91752420" w:history="1">
            <w:r w:rsidR="00FE4088" w:rsidRPr="00D12D7C">
              <w:rPr>
                <w:rStyle w:val="Hyperlink"/>
                <w:noProof/>
              </w:rPr>
              <w:t>11.1.</w:t>
            </w:r>
            <w:r w:rsidR="00FE4088">
              <w:rPr>
                <w:rFonts w:asciiTheme="minorHAnsi" w:eastAsiaTheme="minorEastAsia" w:hAnsiTheme="minorHAnsi"/>
                <w:noProof/>
                <w:lang w:val="el-GR" w:eastAsia="el-GR"/>
              </w:rPr>
              <w:tab/>
            </w:r>
            <w:r w:rsidR="00FE4088" w:rsidRPr="00D12D7C">
              <w:rPr>
                <w:rStyle w:val="Hyperlink"/>
                <w:noProof/>
              </w:rPr>
              <w:t>Sustainable raw wood and non-wood materials and products for a sustainable climate-neutrality</w:t>
            </w:r>
            <w:r w:rsidR="00FE4088">
              <w:rPr>
                <w:noProof/>
                <w:webHidden/>
              </w:rPr>
              <w:tab/>
            </w:r>
            <w:r w:rsidR="00FE4088">
              <w:rPr>
                <w:noProof/>
                <w:webHidden/>
              </w:rPr>
              <w:fldChar w:fldCharType="begin"/>
            </w:r>
            <w:r w:rsidR="00FE4088">
              <w:rPr>
                <w:noProof/>
                <w:webHidden/>
              </w:rPr>
              <w:instrText xml:space="preserve"> PAGEREF _Toc91752420 \h </w:instrText>
            </w:r>
            <w:r w:rsidR="00FE4088">
              <w:rPr>
                <w:noProof/>
                <w:webHidden/>
              </w:rPr>
            </w:r>
            <w:r w:rsidR="00FE4088">
              <w:rPr>
                <w:noProof/>
                <w:webHidden/>
              </w:rPr>
              <w:fldChar w:fldCharType="separate"/>
            </w:r>
            <w:r w:rsidR="0073710A">
              <w:rPr>
                <w:noProof/>
                <w:webHidden/>
              </w:rPr>
              <w:t>110</w:t>
            </w:r>
            <w:r w:rsidR="00FE4088">
              <w:rPr>
                <w:noProof/>
                <w:webHidden/>
              </w:rPr>
              <w:fldChar w:fldCharType="end"/>
            </w:r>
          </w:hyperlink>
        </w:p>
        <w:p w14:paraId="5A4922A4" w14:textId="2CF2718D" w:rsidR="00FE4088" w:rsidRDefault="003B0DE2">
          <w:pPr>
            <w:pStyle w:val="TOC2"/>
            <w:tabs>
              <w:tab w:val="left" w:pos="1100"/>
            </w:tabs>
            <w:rPr>
              <w:rFonts w:asciiTheme="minorHAnsi" w:eastAsiaTheme="minorEastAsia" w:hAnsiTheme="minorHAnsi"/>
              <w:noProof/>
              <w:lang w:val="el-GR" w:eastAsia="el-GR"/>
            </w:rPr>
          </w:pPr>
          <w:hyperlink w:anchor="_Toc91752421" w:history="1">
            <w:r w:rsidR="00FE4088" w:rsidRPr="00D12D7C">
              <w:rPr>
                <w:rStyle w:val="Hyperlink"/>
                <w:noProof/>
              </w:rPr>
              <w:t>11.2.</w:t>
            </w:r>
            <w:r w:rsidR="00FE4088">
              <w:rPr>
                <w:rFonts w:asciiTheme="minorHAnsi" w:eastAsiaTheme="minorEastAsia" w:hAnsiTheme="minorHAnsi"/>
                <w:noProof/>
                <w:lang w:val="el-GR" w:eastAsia="el-GR"/>
              </w:rPr>
              <w:tab/>
            </w:r>
            <w:r w:rsidR="00FE4088" w:rsidRPr="00D12D7C">
              <w:rPr>
                <w:rStyle w:val="Hyperlink"/>
                <w:noProof/>
              </w:rPr>
              <w:t>Skills development and empowerment for a sustainable forest-based bioeconomy</w:t>
            </w:r>
            <w:r w:rsidR="00FE4088">
              <w:rPr>
                <w:noProof/>
                <w:webHidden/>
              </w:rPr>
              <w:tab/>
            </w:r>
            <w:r w:rsidR="00FE4088">
              <w:rPr>
                <w:noProof/>
                <w:webHidden/>
              </w:rPr>
              <w:fldChar w:fldCharType="begin"/>
            </w:r>
            <w:r w:rsidR="00FE4088">
              <w:rPr>
                <w:noProof/>
                <w:webHidden/>
              </w:rPr>
              <w:instrText xml:space="preserve"> PAGEREF _Toc91752421 \h </w:instrText>
            </w:r>
            <w:r w:rsidR="00FE4088">
              <w:rPr>
                <w:noProof/>
                <w:webHidden/>
              </w:rPr>
            </w:r>
            <w:r w:rsidR="00FE4088">
              <w:rPr>
                <w:noProof/>
                <w:webHidden/>
              </w:rPr>
              <w:fldChar w:fldCharType="separate"/>
            </w:r>
            <w:r w:rsidR="0073710A">
              <w:rPr>
                <w:noProof/>
                <w:webHidden/>
              </w:rPr>
              <w:t>111</w:t>
            </w:r>
            <w:r w:rsidR="00FE4088">
              <w:rPr>
                <w:noProof/>
                <w:webHidden/>
              </w:rPr>
              <w:fldChar w:fldCharType="end"/>
            </w:r>
          </w:hyperlink>
        </w:p>
        <w:p w14:paraId="42C2DF52" w14:textId="17E445D3" w:rsidR="00FE4088" w:rsidRDefault="003B0DE2">
          <w:pPr>
            <w:pStyle w:val="TOC2"/>
            <w:tabs>
              <w:tab w:val="left" w:pos="1100"/>
            </w:tabs>
            <w:rPr>
              <w:rFonts w:asciiTheme="minorHAnsi" w:eastAsiaTheme="minorEastAsia" w:hAnsiTheme="minorHAnsi"/>
              <w:noProof/>
              <w:lang w:val="el-GR" w:eastAsia="el-GR"/>
            </w:rPr>
          </w:pPr>
          <w:hyperlink w:anchor="_Toc91752422" w:history="1">
            <w:r w:rsidR="00FE4088" w:rsidRPr="00D12D7C">
              <w:rPr>
                <w:rStyle w:val="Hyperlink"/>
                <w:noProof/>
              </w:rPr>
              <w:t>11.3.</w:t>
            </w:r>
            <w:r w:rsidR="00FE4088">
              <w:rPr>
                <w:rFonts w:asciiTheme="minorHAnsi" w:eastAsiaTheme="minorEastAsia" w:hAnsiTheme="minorHAnsi"/>
                <w:noProof/>
                <w:lang w:val="el-GR" w:eastAsia="el-GR"/>
              </w:rPr>
              <w:tab/>
            </w:r>
            <w:r w:rsidR="00FE4088" w:rsidRPr="00D12D7C">
              <w:rPr>
                <w:rStyle w:val="Hyperlink"/>
                <w:noProof/>
              </w:rPr>
              <w:t>Protecting, restoring and enlarging EU’s forests to combat climate change</w:t>
            </w:r>
            <w:r w:rsidR="00FE4088">
              <w:rPr>
                <w:noProof/>
                <w:webHidden/>
              </w:rPr>
              <w:tab/>
            </w:r>
            <w:r w:rsidR="00FE4088">
              <w:rPr>
                <w:noProof/>
                <w:webHidden/>
              </w:rPr>
              <w:fldChar w:fldCharType="begin"/>
            </w:r>
            <w:r w:rsidR="00FE4088">
              <w:rPr>
                <w:noProof/>
                <w:webHidden/>
              </w:rPr>
              <w:instrText xml:space="preserve"> PAGEREF _Toc91752422 \h </w:instrText>
            </w:r>
            <w:r w:rsidR="00FE4088">
              <w:rPr>
                <w:noProof/>
                <w:webHidden/>
              </w:rPr>
            </w:r>
            <w:r w:rsidR="00FE4088">
              <w:rPr>
                <w:noProof/>
                <w:webHidden/>
              </w:rPr>
              <w:fldChar w:fldCharType="separate"/>
            </w:r>
            <w:r w:rsidR="0073710A">
              <w:rPr>
                <w:noProof/>
                <w:webHidden/>
              </w:rPr>
              <w:t>112</w:t>
            </w:r>
            <w:r w:rsidR="00FE4088">
              <w:rPr>
                <w:noProof/>
                <w:webHidden/>
              </w:rPr>
              <w:fldChar w:fldCharType="end"/>
            </w:r>
          </w:hyperlink>
        </w:p>
        <w:p w14:paraId="48FE1C4A" w14:textId="53F869D9" w:rsidR="00FE4088" w:rsidRDefault="003B0DE2">
          <w:pPr>
            <w:pStyle w:val="TOC2"/>
            <w:tabs>
              <w:tab w:val="left" w:pos="1100"/>
            </w:tabs>
            <w:rPr>
              <w:rFonts w:asciiTheme="minorHAnsi" w:eastAsiaTheme="minorEastAsia" w:hAnsiTheme="minorHAnsi"/>
              <w:noProof/>
              <w:lang w:val="el-GR" w:eastAsia="el-GR"/>
            </w:rPr>
          </w:pPr>
          <w:hyperlink w:anchor="_Toc91752423" w:history="1">
            <w:r w:rsidR="00FE4088" w:rsidRPr="00D12D7C">
              <w:rPr>
                <w:rStyle w:val="Hyperlink"/>
                <w:noProof/>
              </w:rPr>
              <w:t>11.4.</w:t>
            </w:r>
            <w:r w:rsidR="00FE4088">
              <w:rPr>
                <w:rFonts w:asciiTheme="minorHAnsi" w:eastAsiaTheme="minorEastAsia" w:hAnsiTheme="minorHAnsi"/>
                <w:noProof/>
                <w:lang w:val="el-GR" w:eastAsia="el-GR"/>
              </w:rPr>
              <w:tab/>
            </w:r>
            <w:r w:rsidR="00FE4088" w:rsidRPr="00D12D7C">
              <w:rPr>
                <w:rStyle w:val="Hyperlink"/>
                <w:noProof/>
              </w:rPr>
              <w:t>Afforestation and reforestation of biodiverse forests</w:t>
            </w:r>
            <w:r w:rsidR="00FE4088">
              <w:rPr>
                <w:noProof/>
                <w:webHidden/>
              </w:rPr>
              <w:tab/>
            </w:r>
            <w:r w:rsidR="00FE4088">
              <w:rPr>
                <w:noProof/>
                <w:webHidden/>
              </w:rPr>
              <w:fldChar w:fldCharType="begin"/>
            </w:r>
            <w:r w:rsidR="00FE4088">
              <w:rPr>
                <w:noProof/>
                <w:webHidden/>
              </w:rPr>
              <w:instrText xml:space="preserve"> PAGEREF _Toc91752423 \h </w:instrText>
            </w:r>
            <w:r w:rsidR="00FE4088">
              <w:rPr>
                <w:noProof/>
                <w:webHidden/>
              </w:rPr>
            </w:r>
            <w:r w:rsidR="00FE4088">
              <w:rPr>
                <w:noProof/>
                <w:webHidden/>
              </w:rPr>
              <w:fldChar w:fldCharType="separate"/>
            </w:r>
            <w:r w:rsidR="0073710A">
              <w:rPr>
                <w:noProof/>
                <w:webHidden/>
              </w:rPr>
              <w:t>113</w:t>
            </w:r>
            <w:r w:rsidR="00FE4088">
              <w:rPr>
                <w:noProof/>
                <w:webHidden/>
              </w:rPr>
              <w:fldChar w:fldCharType="end"/>
            </w:r>
          </w:hyperlink>
        </w:p>
        <w:p w14:paraId="57901202" w14:textId="6147AD9A" w:rsidR="00FE4088" w:rsidRDefault="003B0DE2">
          <w:pPr>
            <w:pStyle w:val="TOC2"/>
            <w:tabs>
              <w:tab w:val="left" w:pos="1320"/>
            </w:tabs>
            <w:rPr>
              <w:rFonts w:asciiTheme="minorHAnsi" w:eastAsiaTheme="minorEastAsia" w:hAnsiTheme="minorHAnsi"/>
              <w:noProof/>
              <w:lang w:val="el-GR" w:eastAsia="el-GR"/>
            </w:rPr>
          </w:pPr>
          <w:hyperlink w:anchor="_Toc91752424" w:history="1">
            <w:r w:rsidR="00FE4088" w:rsidRPr="00D12D7C">
              <w:rPr>
                <w:rStyle w:val="Hyperlink"/>
                <w:noProof/>
              </w:rPr>
              <w:t>11.4.1.</w:t>
            </w:r>
            <w:r w:rsidR="00FE4088">
              <w:rPr>
                <w:rFonts w:asciiTheme="minorHAnsi" w:eastAsiaTheme="minorEastAsia" w:hAnsiTheme="minorHAnsi"/>
                <w:noProof/>
                <w:lang w:val="el-GR" w:eastAsia="el-GR"/>
              </w:rPr>
              <w:tab/>
            </w:r>
            <w:r w:rsidR="00FE4088" w:rsidRPr="00D12D7C">
              <w:rPr>
                <w:rStyle w:val="Hyperlink"/>
                <w:noProof/>
              </w:rPr>
              <w:t>Site Selection</w:t>
            </w:r>
            <w:r w:rsidR="00FE4088">
              <w:rPr>
                <w:noProof/>
                <w:webHidden/>
              </w:rPr>
              <w:tab/>
            </w:r>
            <w:r w:rsidR="00FE4088">
              <w:rPr>
                <w:noProof/>
                <w:webHidden/>
              </w:rPr>
              <w:fldChar w:fldCharType="begin"/>
            </w:r>
            <w:r w:rsidR="00FE4088">
              <w:rPr>
                <w:noProof/>
                <w:webHidden/>
              </w:rPr>
              <w:instrText xml:space="preserve"> PAGEREF _Toc91752424 \h </w:instrText>
            </w:r>
            <w:r w:rsidR="00FE4088">
              <w:rPr>
                <w:noProof/>
                <w:webHidden/>
              </w:rPr>
            </w:r>
            <w:r w:rsidR="00FE4088">
              <w:rPr>
                <w:noProof/>
                <w:webHidden/>
              </w:rPr>
              <w:fldChar w:fldCharType="separate"/>
            </w:r>
            <w:r w:rsidR="0073710A">
              <w:rPr>
                <w:noProof/>
                <w:webHidden/>
              </w:rPr>
              <w:t>113</w:t>
            </w:r>
            <w:r w:rsidR="00FE4088">
              <w:rPr>
                <w:noProof/>
                <w:webHidden/>
              </w:rPr>
              <w:fldChar w:fldCharType="end"/>
            </w:r>
          </w:hyperlink>
        </w:p>
        <w:p w14:paraId="4D0FA95F" w14:textId="2F70B023" w:rsidR="00FE4088" w:rsidRDefault="003B0DE2">
          <w:pPr>
            <w:pStyle w:val="TOC2"/>
            <w:tabs>
              <w:tab w:val="left" w:pos="1320"/>
            </w:tabs>
            <w:rPr>
              <w:rFonts w:asciiTheme="minorHAnsi" w:eastAsiaTheme="minorEastAsia" w:hAnsiTheme="minorHAnsi"/>
              <w:noProof/>
              <w:lang w:val="el-GR" w:eastAsia="el-GR"/>
            </w:rPr>
          </w:pPr>
          <w:hyperlink w:anchor="_Toc91752425" w:history="1">
            <w:r w:rsidR="00FE4088" w:rsidRPr="00D12D7C">
              <w:rPr>
                <w:rStyle w:val="Hyperlink"/>
                <w:noProof/>
              </w:rPr>
              <w:t>11.4.2.</w:t>
            </w:r>
            <w:r w:rsidR="00FE4088">
              <w:rPr>
                <w:rFonts w:asciiTheme="minorHAnsi" w:eastAsiaTheme="minorEastAsia" w:hAnsiTheme="minorHAnsi"/>
                <w:noProof/>
                <w:lang w:val="el-GR" w:eastAsia="el-GR"/>
              </w:rPr>
              <w:tab/>
            </w:r>
            <w:r w:rsidR="00FE4088" w:rsidRPr="00D12D7C">
              <w:rPr>
                <w:rStyle w:val="Hyperlink"/>
                <w:noProof/>
              </w:rPr>
              <w:t>Species Selection and Site Management</w:t>
            </w:r>
            <w:r w:rsidR="00FE4088">
              <w:rPr>
                <w:noProof/>
                <w:webHidden/>
              </w:rPr>
              <w:tab/>
            </w:r>
            <w:r w:rsidR="00FE4088">
              <w:rPr>
                <w:noProof/>
                <w:webHidden/>
              </w:rPr>
              <w:fldChar w:fldCharType="begin"/>
            </w:r>
            <w:r w:rsidR="00FE4088">
              <w:rPr>
                <w:noProof/>
                <w:webHidden/>
              </w:rPr>
              <w:instrText xml:space="preserve"> PAGEREF _Toc91752425 \h </w:instrText>
            </w:r>
            <w:r w:rsidR="00FE4088">
              <w:rPr>
                <w:noProof/>
                <w:webHidden/>
              </w:rPr>
            </w:r>
            <w:r w:rsidR="00FE4088">
              <w:rPr>
                <w:noProof/>
                <w:webHidden/>
              </w:rPr>
              <w:fldChar w:fldCharType="separate"/>
            </w:r>
            <w:r w:rsidR="0073710A">
              <w:rPr>
                <w:noProof/>
                <w:webHidden/>
              </w:rPr>
              <w:t>114</w:t>
            </w:r>
            <w:r w:rsidR="00FE4088">
              <w:rPr>
                <w:noProof/>
                <w:webHidden/>
              </w:rPr>
              <w:fldChar w:fldCharType="end"/>
            </w:r>
          </w:hyperlink>
        </w:p>
        <w:p w14:paraId="6CE188C3" w14:textId="5DC0EE85" w:rsidR="00FE4088" w:rsidRDefault="003B0DE2">
          <w:pPr>
            <w:pStyle w:val="TOC2"/>
            <w:tabs>
              <w:tab w:val="left" w:pos="1320"/>
            </w:tabs>
            <w:rPr>
              <w:rFonts w:asciiTheme="minorHAnsi" w:eastAsiaTheme="minorEastAsia" w:hAnsiTheme="minorHAnsi"/>
              <w:noProof/>
              <w:lang w:val="el-GR" w:eastAsia="el-GR"/>
            </w:rPr>
          </w:pPr>
          <w:hyperlink w:anchor="_Toc91752426" w:history="1">
            <w:r w:rsidR="00FE4088" w:rsidRPr="00D12D7C">
              <w:rPr>
                <w:rStyle w:val="Hyperlink"/>
                <w:noProof/>
              </w:rPr>
              <w:t>11.4.3.</w:t>
            </w:r>
            <w:r w:rsidR="00FE4088">
              <w:rPr>
                <w:rFonts w:asciiTheme="minorHAnsi" w:eastAsiaTheme="minorEastAsia" w:hAnsiTheme="minorHAnsi"/>
                <w:noProof/>
                <w:lang w:val="el-GR" w:eastAsia="el-GR"/>
              </w:rPr>
              <w:tab/>
            </w:r>
            <w:r w:rsidR="00FE4088" w:rsidRPr="00D12D7C">
              <w:rPr>
                <w:rStyle w:val="Hyperlink"/>
                <w:noProof/>
              </w:rPr>
              <w:t>Long-Term Management of Carbon in Trees</w:t>
            </w:r>
            <w:r w:rsidR="00FE4088">
              <w:rPr>
                <w:noProof/>
                <w:webHidden/>
              </w:rPr>
              <w:tab/>
            </w:r>
            <w:r w:rsidR="00FE4088">
              <w:rPr>
                <w:noProof/>
                <w:webHidden/>
              </w:rPr>
              <w:fldChar w:fldCharType="begin"/>
            </w:r>
            <w:r w:rsidR="00FE4088">
              <w:rPr>
                <w:noProof/>
                <w:webHidden/>
              </w:rPr>
              <w:instrText xml:space="preserve"> PAGEREF _Toc91752426 \h </w:instrText>
            </w:r>
            <w:r w:rsidR="00FE4088">
              <w:rPr>
                <w:noProof/>
                <w:webHidden/>
              </w:rPr>
            </w:r>
            <w:r w:rsidR="00FE4088">
              <w:rPr>
                <w:noProof/>
                <w:webHidden/>
              </w:rPr>
              <w:fldChar w:fldCharType="separate"/>
            </w:r>
            <w:r w:rsidR="0073710A">
              <w:rPr>
                <w:noProof/>
                <w:webHidden/>
              </w:rPr>
              <w:t>116</w:t>
            </w:r>
            <w:r w:rsidR="00FE4088">
              <w:rPr>
                <w:noProof/>
                <w:webHidden/>
              </w:rPr>
              <w:fldChar w:fldCharType="end"/>
            </w:r>
          </w:hyperlink>
        </w:p>
        <w:p w14:paraId="23488638" w14:textId="753AAF67" w:rsidR="00FE4088" w:rsidRDefault="003B0DE2">
          <w:pPr>
            <w:pStyle w:val="TOC2"/>
            <w:tabs>
              <w:tab w:val="left" w:pos="1100"/>
            </w:tabs>
            <w:rPr>
              <w:rFonts w:asciiTheme="minorHAnsi" w:eastAsiaTheme="minorEastAsia" w:hAnsiTheme="minorHAnsi"/>
              <w:noProof/>
              <w:lang w:val="el-GR" w:eastAsia="el-GR"/>
            </w:rPr>
          </w:pPr>
          <w:hyperlink w:anchor="_Toc91752427" w:history="1">
            <w:r w:rsidR="00FE4088" w:rsidRPr="00D12D7C">
              <w:rPr>
                <w:rStyle w:val="Hyperlink"/>
                <w:noProof/>
              </w:rPr>
              <w:t>11.5.</w:t>
            </w:r>
            <w:r w:rsidR="00FE4088">
              <w:rPr>
                <w:rFonts w:asciiTheme="minorHAnsi" w:eastAsiaTheme="minorEastAsia" w:hAnsiTheme="minorHAnsi"/>
                <w:noProof/>
                <w:lang w:val="el-GR" w:eastAsia="el-GR"/>
              </w:rPr>
              <w:tab/>
            </w:r>
            <w:r w:rsidR="00FE4088" w:rsidRPr="00D12D7C">
              <w:rPr>
                <w:rStyle w:val="Hyperlink"/>
                <w:noProof/>
              </w:rPr>
              <w:t>Forest management</w:t>
            </w:r>
            <w:r w:rsidR="00FE4088">
              <w:rPr>
                <w:noProof/>
                <w:webHidden/>
              </w:rPr>
              <w:tab/>
            </w:r>
            <w:r w:rsidR="00FE4088">
              <w:rPr>
                <w:noProof/>
                <w:webHidden/>
              </w:rPr>
              <w:fldChar w:fldCharType="begin"/>
            </w:r>
            <w:r w:rsidR="00FE4088">
              <w:rPr>
                <w:noProof/>
                <w:webHidden/>
              </w:rPr>
              <w:instrText xml:space="preserve"> PAGEREF _Toc91752427 \h </w:instrText>
            </w:r>
            <w:r w:rsidR="00FE4088">
              <w:rPr>
                <w:noProof/>
                <w:webHidden/>
              </w:rPr>
            </w:r>
            <w:r w:rsidR="00FE4088">
              <w:rPr>
                <w:noProof/>
                <w:webHidden/>
              </w:rPr>
              <w:fldChar w:fldCharType="separate"/>
            </w:r>
            <w:r w:rsidR="0073710A">
              <w:rPr>
                <w:noProof/>
                <w:webHidden/>
              </w:rPr>
              <w:t>118</w:t>
            </w:r>
            <w:r w:rsidR="00FE4088">
              <w:rPr>
                <w:noProof/>
                <w:webHidden/>
              </w:rPr>
              <w:fldChar w:fldCharType="end"/>
            </w:r>
          </w:hyperlink>
        </w:p>
        <w:p w14:paraId="3051E30B" w14:textId="1ADAAF4A" w:rsidR="00FE4088" w:rsidRDefault="003B0DE2">
          <w:pPr>
            <w:pStyle w:val="TOC2"/>
            <w:tabs>
              <w:tab w:val="left" w:pos="1100"/>
            </w:tabs>
            <w:rPr>
              <w:rFonts w:asciiTheme="minorHAnsi" w:eastAsiaTheme="minorEastAsia" w:hAnsiTheme="minorHAnsi"/>
              <w:noProof/>
              <w:lang w:val="el-GR" w:eastAsia="el-GR"/>
            </w:rPr>
          </w:pPr>
          <w:hyperlink w:anchor="_Toc91752428" w:history="1">
            <w:r w:rsidR="00FE4088" w:rsidRPr="00D12D7C">
              <w:rPr>
                <w:rStyle w:val="Hyperlink"/>
                <w:noProof/>
              </w:rPr>
              <w:t>11.6.</w:t>
            </w:r>
            <w:r w:rsidR="00FE4088">
              <w:rPr>
                <w:rFonts w:asciiTheme="minorHAnsi" w:eastAsiaTheme="minorEastAsia" w:hAnsiTheme="minorHAnsi"/>
                <w:noProof/>
                <w:lang w:val="el-GR" w:eastAsia="el-GR"/>
              </w:rPr>
              <w:tab/>
            </w:r>
            <w:r w:rsidR="00FE4088" w:rsidRPr="00D12D7C">
              <w:rPr>
                <w:rStyle w:val="Hyperlink"/>
                <w:noProof/>
              </w:rPr>
              <w:t>Forest monitoring, reporting and data collection</w:t>
            </w:r>
            <w:r w:rsidR="00FE4088">
              <w:rPr>
                <w:noProof/>
                <w:webHidden/>
              </w:rPr>
              <w:tab/>
            </w:r>
            <w:r w:rsidR="00FE4088">
              <w:rPr>
                <w:noProof/>
                <w:webHidden/>
              </w:rPr>
              <w:fldChar w:fldCharType="begin"/>
            </w:r>
            <w:r w:rsidR="00FE4088">
              <w:rPr>
                <w:noProof/>
                <w:webHidden/>
              </w:rPr>
              <w:instrText xml:space="preserve"> PAGEREF _Toc91752428 \h </w:instrText>
            </w:r>
            <w:r w:rsidR="00FE4088">
              <w:rPr>
                <w:noProof/>
                <w:webHidden/>
              </w:rPr>
            </w:r>
            <w:r w:rsidR="00FE4088">
              <w:rPr>
                <w:noProof/>
                <w:webHidden/>
              </w:rPr>
              <w:fldChar w:fldCharType="separate"/>
            </w:r>
            <w:r w:rsidR="0073710A">
              <w:rPr>
                <w:noProof/>
                <w:webHidden/>
              </w:rPr>
              <w:t>118</w:t>
            </w:r>
            <w:r w:rsidR="00FE4088">
              <w:rPr>
                <w:noProof/>
                <w:webHidden/>
              </w:rPr>
              <w:fldChar w:fldCharType="end"/>
            </w:r>
          </w:hyperlink>
        </w:p>
        <w:p w14:paraId="507FE886" w14:textId="1636B1DD" w:rsidR="00FE4088" w:rsidRDefault="003B0DE2">
          <w:pPr>
            <w:pStyle w:val="TOC1"/>
            <w:tabs>
              <w:tab w:val="left" w:pos="567"/>
            </w:tabs>
            <w:rPr>
              <w:rFonts w:asciiTheme="minorHAnsi" w:eastAsiaTheme="minorEastAsia" w:hAnsiTheme="minorHAnsi"/>
              <w:noProof/>
              <w:lang w:val="el-GR" w:eastAsia="el-GR"/>
            </w:rPr>
          </w:pPr>
          <w:hyperlink w:anchor="_Toc91752429" w:history="1">
            <w:r w:rsidR="00FE4088" w:rsidRPr="00D12D7C">
              <w:rPr>
                <w:rStyle w:val="Hyperlink"/>
                <w:noProof/>
              </w:rPr>
              <w:t>12.</w:t>
            </w:r>
            <w:r w:rsidR="00FE4088">
              <w:rPr>
                <w:rFonts w:asciiTheme="minorHAnsi" w:eastAsiaTheme="minorEastAsia" w:hAnsiTheme="minorHAnsi"/>
                <w:noProof/>
                <w:lang w:val="el-GR" w:eastAsia="el-GR"/>
              </w:rPr>
              <w:tab/>
            </w:r>
            <w:r w:rsidR="00FE4088" w:rsidRPr="00D12D7C">
              <w:rPr>
                <w:rStyle w:val="Hyperlink"/>
                <w:noProof/>
              </w:rPr>
              <w:t>Carbon Trade Markets</w:t>
            </w:r>
            <w:r w:rsidR="00FE4088">
              <w:rPr>
                <w:noProof/>
                <w:webHidden/>
              </w:rPr>
              <w:tab/>
            </w:r>
            <w:r w:rsidR="00FE4088">
              <w:rPr>
                <w:noProof/>
                <w:webHidden/>
              </w:rPr>
              <w:fldChar w:fldCharType="begin"/>
            </w:r>
            <w:r w:rsidR="00FE4088">
              <w:rPr>
                <w:noProof/>
                <w:webHidden/>
              </w:rPr>
              <w:instrText xml:space="preserve"> PAGEREF _Toc91752429 \h </w:instrText>
            </w:r>
            <w:r w:rsidR="00FE4088">
              <w:rPr>
                <w:noProof/>
                <w:webHidden/>
              </w:rPr>
            </w:r>
            <w:r w:rsidR="00FE4088">
              <w:rPr>
                <w:noProof/>
                <w:webHidden/>
              </w:rPr>
              <w:fldChar w:fldCharType="separate"/>
            </w:r>
            <w:r w:rsidR="0073710A">
              <w:rPr>
                <w:noProof/>
                <w:webHidden/>
              </w:rPr>
              <w:t>121</w:t>
            </w:r>
            <w:r w:rsidR="00FE4088">
              <w:rPr>
                <w:noProof/>
                <w:webHidden/>
              </w:rPr>
              <w:fldChar w:fldCharType="end"/>
            </w:r>
          </w:hyperlink>
        </w:p>
        <w:p w14:paraId="56083A1D" w14:textId="278A1AFD" w:rsidR="00FE4088" w:rsidRDefault="003B0DE2">
          <w:pPr>
            <w:pStyle w:val="TOC2"/>
            <w:tabs>
              <w:tab w:val="left" w:pos="1100"/>
            </w:tabs>
            <w:rPr>
              <w:rFonts w:asciiTheme="minorHAnsi" w:eastAsiaTheme="minorEastAsia" w:hAnsiTheme="minorHAnsi"/>
              <w:noProof/>
              <w:lang w:val="el-GR" w:eastAsia="el-GR"/>
            </w:rPr>
          </w:pPr>
          <w:hyperlink w:anchor="_Toc91752430" w:history="1">
            <w:r w:rsidR="00FE4088" w:rsidRPr="00D12D7C">
              <w:rPr>
                <w:rStyle w:val="Hyperlink"/>
                <w:noProof/>
              </w:rPr>
              <w:t>12.1.</w:t>
            </w:r>
            <w:r w:rsidR="00FE4088">
              <w:rPr>
                <w:rFonts w:asciiTheme="minorHAnsi" w:eastAsiaTheme="minorEastAsia" w:hAnsiTheme="minorHAnsi"/>
                <w:noProof/>
                <w:lang w:val="el-GR" w:eastAsia="el-GR"/>
              </w:rPr>
              <w:tab/>
            </w:r>
            <w:r w:rsidR="00FE4088" w:rsidRPr="00D12D7C">
              <w:rPr>
                <w:rStyle w:val="Hyperlink"/>
                <w:noProof/>
              </w:rPr>
              <w:t>Compliance Carbon Markets</w:t>
            </w:r>
            <w:r w:rsidR="00FE4088">
              <w:rPr>
                <w:noProof/>
                <w:webHidden/>
              </w:rPr>
              <w:tab/>
            </w:r>
            <w:r w:rsidR="00FE4088">
              <w:rPr>
                <w:noProof/>
                <w:webHidden/>
              </w:rPr>
              <w:fldChar w:fldCharType="begin"/>
            </w:r>
            <w:r w:rsidR="00FE4088">
              <w:rPr>
                <w:noProof/>
                <w:webHidden/>
              </w:rPr>
              <w:instrText xml:space="preserve"> PAGEREF _Toc91752430 \h </w:instrText>
            </w:r>
            <w:r w:rsidR="00FE4088">
              <w:rPr>
                <w:noProof/>
                <w:webHidden/>
              </w:rPr>
            </w:r>
            <w:r w:rsidR="00FE4088">
              <w:rPr>
                <w:noProof/>
                <w:webHidden/>
              </w:rPr>
              <w:fldChar w:fldCharType="separate"/>
            </w:r>
            <w:r w:rsidR="0073710A">
              <w:rPr>
                <w:noProof/>
                <w:webHidden/>
              </w:rPr>
              <w:t>122</w:t>
            </w:r>
            <w:r w:rsidR="00FE4088">
              <w:rPr>
                <w:noProof/>
                <w:webHidden/>
              </w:rPr>
              <w:fldChar w:fldCharType="end"/>
            </w:r>
          </w:hyperlink>
        </w:p>
        <w:p w14:paraId="14AA57C9" w14:textId="6A63CCFB" w:rsidR="00FE4088" w:rsidRDefault="003B0DE2">
          <w:pPr>
            <w:pStyle w:val="TOC2"/>
            <w:tabs>
              <w:tab w:val="left" w:pos="1320"/>
            </w:tabs>
            <w:rPr>
              <w:rFonts w:asciiTheme="minorHAnsi" w:eastAsiaTheme="minorEastAsia" w:hAnsiTheme="minorHAnsi"/>
              <w:noProof/>
              <w:lang w:val="el-GR" w:eastAsia="el-GR"/>
            </w:rPr>
          </w:pPr>
          <w:hyperlink w:anchor="_Toc91752431" w:history="1">
            <w:r w:rsidR="00FE4088" w:rsidRPr="00D12D7C">
              <w:rPr>
                <w:rStyle w:val="Hyperlink"/>
                <w:noProof/>
              </w:rPr>
              <w:t>12.1.1.</w:t>
            </w:r>
            <w:r w:rsidR="00FE4088">
              <w:rPr>
                <w:rFonts w:asciiTheme="minorHAnsi" w:eastAsiaTheme="minorEastAsia" w:hAnsiTheme="minorHAnsi"/>
                <w:noProof/>
                <w:lang w:val="el-GR" w:eastAsia="el-GR"/>
              </w:rPr>
              <w:tab/>
            </w:r>
            <w:r w:rsidR="00FE4088" w:rsidRPr="00D12D7C">
              <w:rPr>
                <w:rStyle w:val="Hyperlink"/>
                <w:noProof/>
              </w:rPr>
              <w:t>History of Emission Trade Markets</w:t>
            </w:r>
            <w:r w:rsidR="00FE4088">
              <w:rPr>
                <w:noProof/>
                <w:webHidden/>
              </w:rPr>
              <w:tab/>
            </w:r>
            <w:r w:rsidR="00FE4088">
              <w:rPr>
                <w:noProof/>
                <w:webHidden/>
              </w:rPr>
              <w:fldChar w:fldCharType="begin"/>
            </w:r>
            <w:r w:rsidR="00FE4088">
              <w:rPr>
                <w:noProof/>
                <w:webHidden/>
              </w:rPr>
              <w:instrText xml:space="preserve"> PAGEREF _Toc91752431 \h </w:instrText>
            </w:r>
            <w:r w:rsidR="00FE4088">
              <w:rPr>
                <w:noProof/>
                <w:webHidden/>
              </w:rPr>
            </w:r>
            <w:r w:rsidR="00FE4088">
              <w:rPr>
                <w:noProof/>
                <w:webHidden/>
              </w:rPr>
              <w:fldChar w:fldCharType="separate"/>
            </w:r>
            <w:r w:rsidR="0073710A">
              <w:rPr>
                <w:noProof/>
                <w:webHidden/>
              </w:rPr>
              <w:t>123</w:t>
            </w:r>
            <w:r w:rsidR="00FE4088">
              <w:rPr>
                <w:noProof/>
                <w:webHidden/>
              </w:rPr>
              <w:fldChar w:fldCharType="end"/>
            </w:r>
          </w:hyperlink>
        </w:p>
        <w:p w14:paraId="65F6670D" w14:textId="6A2B57FB" w:rsidR="00FE4088" w:rsidRDefault="003B0DE2">
          <w:pPr>
            <w:pStyle w:val="TOC2"/>
            <w:tabs>
              <w:tab w:val="left" w:pos="1320"/>
            </w:tabs>
            <w:rPr>
              <w:rFonts w:asciiTheme="minorHAnsi" w:eastAsiaTheme="minorEastAsia" w:hAnsiTheme="minorHAnsi"/>
              <w:noProof/>
              <w:lang w:val="el-GR" w:eastAsia="el-GR"/>
            </w:rPr>
          </w:pPr>
          <w:hyperlink w:anchor="_Toc91752432" w:history="1">
            <w:r w:rsidR="00FE4088" w:rsidRPr="00D12D7C">
              <w:rPr>
                <w:rStyle w:val="Hyperlink"/>
                <w:noProof/>
              </w:rPr>
              <w:t>12.1.2.</w:t>
            </w:r>
            <w:r w:rsidR="00FE4088">
              <w:rPr>
                <w:rFonts w:asciiTheme="minorHAnsi" w:eastAsiaTheme="minorEastAsia" w:hAnsiTheme="minorHAnsi"/>
                <w:noProof/>
                <w:lang w:val="el-GR" w:eastAsia="el-GR"/>
              </w:rPr>
              <w:tab/>
            </w:r>
            <w:r w:rsidR="00FE4088" w:rsidRPr="00D12D7C">
              <w:rPr>
                <w:rStyle w:val="Hyperlink"/>
                <w:noProof/>
              </w:rPr>
              <w:t>Current compliance Emission’s Trade systems</w:t>
            </w:r>
            <w:r w:rsidR="00FE4088">
              <w:rPr>
                <w:noProof/>
                <w:webHidden/>
              </w:rPr>
              <w:tab/>
            </w:r>
            <w:r w:rsidR="00FE4088">
              <w:rPr>
                <w:noProof/>
                <w:webHidden/>
              </w:rPr>
              <w:fldChar w:fldCharType="begin"/>
            </w:r>
            <w:r w:rsidR="00FE4088">
              <w:rPr>
                <w:noProof/>
                <w:webHidden/>
              </w:rPr>
              <w:instrText xml:space="preserve"> PAGEREF _Toc91752432 \h </w:instrText>
            </w:r>
            <w:r w:rsidR="00FE4088">
              <w:rPr>
                <w:noProof/>
                <w:webHidden/>
              </w:rPr>
            </w:r>
            <w:r w:rsidR="00FE4088">
              <w:rPr>
                <w:noProof/>
                <w:webHidden/>
              </w:rPr>
              <w:fldChar w:fldCharType="separate"/>
            </w:r>
            <w:r w:rsidR="0073710A">
              <w:rPr>
                <w:noProof/>
                <w:webHidden/>
              </w:rPr>
              <w:t>124</w:t>
            </w:r>
            <w:r w:rsidR="00FE4088">
              <w:rPr>
                <w:noProof/>
                <w:webHidden/>
              </w:rPr>
              <w:fldChar w:fldCharType="end"/>
            </w:r>
          </w:hyperlink>
        </w:p>
        <w:p w14:paraId="38DC3DEE" w14:textId="3F0179D5" w:rsidR="00FE4088" w:rsidRDefault="003B0DE2">
          <w:pPr>
            <w:pStyle w:val="TOC2"/>
            <w:tabs>
              <w:tab w:val="left" w:pos="1100"/>
            </w:tabs>
            <w:rPr>
              <w:rFonts w:asciiTheme="minorHAnsi" w:eastAsiaTheme="minorEastAsia" w:hAnsiTheme="minorHAnsi"/>
              <w:noProof/>
              <w:lang w:val="el-GR" w:eastAsia="el-GR"/>
            </w:rPr>
          </w:pPr>
          <w:hyperlink w:anchor="_Toc91752433" w:history="1">
            <w:r w:rsidR="00FE4088" w:rsidRPr="00D12D7C">
              <w:rPr>
                <w:rStyle w:val="Hyperlink"/>
                <w:noProof/>
                <w:lang w:eastAsia="el-GR"/>
              </w:rPr>
              <w:t>12.2.</w:t>
            </w:r>
            <w:r w:rsidR="00FE4088">
              <w:rPr>
                <w:rFonts w:asciiTheme="minorHAnsi" w:eastAsiaTheme="minorEastAsia" w:hAnsiTheme="minorHAnsi"/>
                <w:noProof/>
                <w:lang w:val="el-GR" w:eastAsia="el-GR"/>
              </w:rPr>
              <w:tab/>
            </w:r>
            <w:r w:rsidR="00FE4088" w:rsidRPr="00D12D7C">
              <w:rPr>
                <w:rStyle w:val="Hyperlink"/>
                <w:noProof/>
                <w:lang w:eastAsia="el-GR"/>
              </w:rPr>
              <w:t>Carbon Offsets</w:t>
            </w:r>
            <w:r w:rsidR="00FE4088">
              <w:rPr>
                <w:noProof/>
                <w:webHidden/>
              </w:rPr>
              <w:tab/>
            </w:r>
            <w:r w:rsidR="00FE4088">
              <w:rPr>
                <w:noProof/>
                <w:webHidden/>
              </w:rPr>
              <w:fldChar w:fldCharType="begin"/>
            </w:r>
            <w:r w:rsidR="00FE4088">
              <w:rPr>
                <w:noProof/>
                <w:webHidden/>
              </w:rPr>
              <w:instrText xml:space="preserve"> PAGEREF _Toc91752433 \h </w:instrText>
            </w:r>
            <w:r w:rsidR="00FE4088">
              <w:rPr>
                <w:noProof/>
                <w:webHidden/>
              </w:rPr>
            </w:r>
            <w:r w:rsidR="00FE4088">
              <w:rPr>
                <w:noProof/>
                <w:webHidden/>
              </w:rPr>
              <w:fldChar w:fldCharType="separate"/>
            </w:r>
            <w:r w:rsidR="0073710A">
              <w:rPr>
                <w:noProof/>
                <w:webHidden/>
              </w:rPr>
              <w:t>125</w:t>
            </w:r>
            <w:r w:rsidR="00FE4088">
              <w:rPr>
                <w:noProof/>
                <w:webHidden/>
              </w:rPr>
              <w:fldChar w:fldCharType="end"/>
            </w:r>
          </w:hyperlink>
        </w:p>
        <w:p w14:paraId="7440B5FD" w14:textId="76F6B249" w:rsidR="00FE4088" w:rsidRDefault="003B0DE2">
          <w:pPr>
            <w:pStyle w:val="TOC2"/>
            <w:tabs>
              <w:tab w:val="left" w:pos="1320"/>
            </w:tabs>
            <w:rPr>
              <w:rFonts w:asciiTheme="minorHAnsi" w:eastAsiaTheme="minorEastAsia" w:hAnsiTheme="minorHAnsi"/>
              <w:noProof/>
              <w:lang w:val="el-GR" w:eastAsia="el-GR"/>
            </w:rPr>
          </w:pPr>
          <w:hyperlink w:anchor="_Toc91752434" w:history="1">
            <w:r w:rsidR="00FE4088" w:rsidRPr="00D12D7C">
              <w:rPr>
                <w:rStyle w:val="Hyperlink"/>
                <w:noProof/>
              </w:rPr>
              <w:t>12.2.1.</w:t>
            </w:r>
            <w:r w:rsidR="00FE4088">
              <w:rPr>
                <w:rFonts w:asciiTheme="minorHAnsi" w:eastAsiaTheme="minorEastAsia" w:hAnsiTheme="minorHAnsi"/>
                <w:noProof/>
                <w:lang w:val="el-GR" w:eastAsia="el-GR"/>
              </w:rPr>
              <w:tab/>
            </w:r>
            <w:r w:rsidR="00FE4088" w:rsidRPr="00D12D7C">
              <w:rPr>
                <w:rStyle w:val="Hyperlink"/>
                <w:noProof/>
              </w:rPr>
              <w:t>Clean Development Mechanism (CDM)</w:t>
            </w:r>
            <w:r w:rsidR="00FE4088">
              <w:rPr>
                <w:noProof/>
                <w:webHidden/>
              </w:rPr>
              <w:tab/>
            </w:r>
            <w:r w:rsidR="00FE4088">
              <w:rPr>
                <w:noProof/>
                <w:webHidden/>
              </w:rPr>
              <w:fldChar w:fldCharType="begin"/>
            </w:r>
            <w:r w:rsidR="00FE4088">
              <w:rPr>
                <w:noProof/>
                <w:webHidden/>
              </w:rPr>
              <w:instrText xml:space="preserve"> PAGEREF _Toc91752434 \h </w:instrText>
            </w:r>
            <w:r w:rsidR="00FE4088">
              <w:rPr>
                <w:noProof/>
                <w:webHidden/>
              </w:rPr>
            </w:r>
            <w:r w:rsidR="00FE4088">
              <w:rPr>
                <w:noProof/>
                <w:webHidden/>
              </w:rPr>
              <w:fldChar w:fldCharType="separate"/>
            </w:r>
            <w:r w:rsidR="0073710A">
              <w:rPr>
                <w:noProof/>
                <w:webHidden/>
              </w:rPr>
              <w:t>126</w:t>
            </w:r>
            <w:r w:rsidR="00FE4088">
              <w:rPr>
                <w:noProof/>
                <w:webHidden/>
              </w:rPr>
              <w:fldChar w:fldCharType="end"/>
            </w:r>
          </w:hyperlink>
        </w:p>
        <w:p w14:paraId="7192A5A4" w14:textId="574040D5" w:rsidR="00FE4088" w:rsidRDefault="003B0DE2">
          <w:pPr>
            <w:pStyle w:val="TOC2"/>
            <w:tabs>
              <w:tab w:val="left" w:pos="1320"/>
            </w:tabs>
            <w:rPr>
              <w:rFonts w:asciiTheme="minorHAnsi" w:eastAsiaTheme="minorEastAsia" w:hAnsiTheme="minorHAnsi"/>
              <w:noProof/>
              <w:lang w:val="el-GR" w:eastAsia="el-GR"/>
            </w:rPr>
          </w:pPr>
          <w:hyperlink w:anchor="_Toc91752435" w:history="1">
            <w:r w:rsidR="00FE4088" w:rsidRPr="00D12D7C">
              <w:rPr>
                <w:rStyle w:val="Hyperlink"/>
                <w:noProof/>
              </w:rPr>
              <w:t>12.2.2.</w:t>
            </w:r>
            <w:r w:rsidR="00FE4088">
              <w:rPr>
                <w:rFonts w:asciiTheme="minorHAnsi" w:eastAsiaTheme="minorEastAsia" w:hAnsiTheme="minorHAnsi"/>
                <w:noProof/>
                <w:lang w:val="el-GR" w:eastAsia="el-GR"/>
              </w:rPr>
              <w:tab/>
            </w:r>
            <w:r w:rsidR="00FE4088" w:rsidRPr="00D12D7C">
              <w:rPr>
                <w:rStyle w:val="Hyperlink"/>
                <w:noProof/>
              </w:rPr>
              <w:t>Joint Implementation (JI)</w:t>
            </w:r>
            <w:r w:rsidR="00FE4088">
              <w:rPr>
                <w:noProof/>
                <w:webHidden/>
              </w:rPr>
              <w:tab/>
            </w:r>
            <w:r w:rsidR="00FE4088">
              <w:rPr>
                <w:noProof/>
                <w:webHidden/>
              </w:rPr>
              <w:fldChar w:fldCharType="begin"/>
            </w:r>
            <w:r w:rsidR="00FE4088">
              <w:rPr>
                <w:noProof/>
                <w:webHidden/>
              </w:rPr>
              <w:instrText xml:space="preserve"> PAGEREF _Toc91752435 \h </w:instrText>
            </w:r>
            <w:r w:rsidR="00FE4088">
              <w:rPr>
                <w:noProof/>
                <w:webHidden/>
              </w:rPr>
            </w:r>
            <w:r w:rsidR="00FE4088">
              <w:rPr>
                <w:noProof/>
                <w:webHidden/>
              </w:rPr>
              <w:fldChar w:fldCharType="separate"/>
            </w:r>
            <w:r w:rsidR="0073710A">
              <w:rPr>
                <w:noProof/>
                <w:webHidden/>
              </w:rPr>
              <w:t>126</w:t>
            </w:r>
            <w:r w:rsidR="00FE4088">
              <w:rPr>
                <w:noProof/>
                <w:webHidden/>
              </w:rPr>
              <w:fldChar w:fldCharType="end"/>
            </w:r>
          </w:hyperlink>
        </w:p>
        <w:p w14:paraId="21E972CD" w14:textId="528DACE4" w:rsidR="00FE4088" w:rsidRDefault="003B0DE2">
          <w:pPr>
            <w:pStyle w:val="TOC2"/>
            <w:tabs>
              <w:tab w:val="left" w:pos="1100"/>
            </w:tabs>
            <w:rPr>
              <w:rFonts w:asciiTheme="minorHAnsi" w:eastAsiaTheme="minorEastAsia" w:hAnsiTheme="minorHAnsi"/>
              <w:noProof/>
              <w:lang w:val="el-GR" w:eastAsia="el-GR"/>
            </w:rPr>
          </w:pPr>
          <w:hyperlink w:anchor="_Toc91752436" w:history="1">
            <w:r w:rsidR="00FE4088" w:rsidRPr="00D12D7C">
              <w:rPr>
                <w:rStyle w:val="Hyperlink"/>
                <w:noProof/>
              </w:rPr>
              <w:t>12.3.</w:t>
            </w:r>
            <w:r w:rsidR="00FE4088">
              <w:rPr>
                <w:rFonts w:asciiTheme="minorHAnsi" w:eastAsiaTheme="minorEastAsia" w:hAnsiTheme="minorHAnsi"/>
                <w:noProof/>
                <w:lang w:val="el-GR" w:eastAsia="el-GR"/>
              </w:rPr>
              <w:tab/>
            </w:r>
            <w:r w:rsidR="00FE4088" w:rsidRPr="00D12D7C">
              <w:rPr>
                <w:rStyle w:val="Hyperlink"/>
                <w:noProof/>
              </w:rPr>
              <w:t>Voluntary Carbon Markets</w:t>
            </w:r>
            <w:r w:rsidR="00FE4088">
              <w:rPr>
                <w:noProof/>
                <w:webHidden/>
              </w:rPr>
              <w:tab/>
            </w:r>
            <w:r w:rsidR="00FE4088">
              <w:rPr>
                <w:noProof/>
                <w:webHidden/>
              </w:rPr>
              <w:fldChar w:fldCharType="begin"/>
            </w:r>
            <w:r w:rsidR="00FE4088">
              <w:rPr>
                <w:noProof/>
                <w:webHidden/>
              </w:rPr>
              <w:instrText xml:space="preserve"> PAGEREF _Toc91752436 \h </w:instrText>
            </w:r>
            <w:r w:rsidR="00FE4088">
              <w:rPr>
                <w:noProof/>
                <w:webHidden/>
              </w:rPr>
            </w:r>
            <w:r w:rsidR="00FE4088">
              <w:rPr>
                <w:noProof/>
                <w:webHidden/>
              </w:rPr>
              <w:fldChar w:fldCharType="separate"/>
            </w:r>
            <w:r w:rsidR="0073710A">
              <w:rPr>
                <w:noProof/>
                <w:webHidden/>
              </w:rPr>
              <w:t>128</w:t>
            </w:r>
            <w:r w:rsidR="00FE4088">
              <w:rPr>
                <w:noProof/>
                <w:webHidden/>
              </w:rPr>
              <w:fldChar w:fldCharType="end"/>
            </w:r>
          </w:hyperlink>
        </w:p>
        <w:p w14:paraId="13E5DD72" w14:textId="34B45EA7" w:rsidR="00FE4088" w:rsidRDefault="003B0DE2">
          <w:pPr>
            <w:pStyle w:val="TOC2"/>
            <w:tabs>
              <w:tab w:val="left" w:pos="1320"/>
            </w:tabs>
            <w:rPr>
              <w:rFonts w:asciiTheme="minorHAnsi" w:eastAsiaTheme="minorEastAsia" w:hAnsiTheme="minorHAnsi"/>
              <w:noProof/>
              <w:lang w:val="el-GR" w:eastAsia="el-GR"/>
            </w:rPr>
          </w:pPr>
          <w:hyperlink w:anchor="_Toc91752437" w:history="1">
            <w:r w:rsidR="00FE4088" w:rsidRPr="00D12D7C">
              <w:rPr>
                <w:rStyle w:val="Hyperlink"/>
                <w:noProof/>
              </w:rPr>
              <w:t>12.3.1.</w:t>
            </w:r>
            <w:r w:rsidR="00FE4088">
              <w:rPr>
                <w:rFonts w:asciiTheme="minorHAnsi" w:eastAsiaTheme="minorEastAsia" w:hAnsiTheme="minorHAnsi"/>
                <w:noProof/>
                <w:lang w:val="el-GR" w:eastAsia="el-GR"/>
              </w:rPr>
              <w:tab/>
            </w:r>
            <w:r w:rsidR="00FE4088" w:rsidRPr="00D12D7C">
              <w:rPr>
                <w:rStyle w:val="Hyperlink"/>
                <w:noProof/>
              </w:rPr>
              <w:t>What is a Carbon Voluntary Market?</w:t>
            </w:r>
            <w:r w:rsidR="00FE4088">
              <w:rPr>
                <w:noProof/>
                <w:webHidden/>
              </w:rPr>
              <w:tab/>
            </w:r>
            <w:r w:rsidR="00FE4088">
              <w:rPr>
                <w:noProof/>
                <w:webHidden/>
              </w:rPr>
              <w:fldChar w:fldCharType="begin"/>
            </w:r>
            <w:r w:rsidR="00FE4088">
              <w:rPr>
                <w:noProof/>
                <w:webHidden/>
              </w:rPr>
              <w:instrText xml:space="preserve"> PAGEREF _Toc91752437 \h </w:instrText>
            </w:r>
            <w:r w:rsidR="00FE4088">
              <w:rPr>
                <w:noProof/>
                <w:webHidden/>
              </w:rPr>
            </w:r>
            <w:r w:rsidR="00FE4088">
              <w:rPr>
                <w:noProof/>
                <w:webHidden/>
              </w:rPr>
              <w:fldChar w:fldCharType="separate"/>
            </w:r>
            <w:r w:rsidR="0073710A">
              <w:rPr>
                <w:noProof/>
                <w:webHidden/>
              </w:rPr>
              <w:t>128</w:t>
            </w:r>
            <w:r w:rsidR="00FE4088">
              <w:rPr>
                <w:noProof/>
                <w:webHidden/>
              </w:rPr>
              <w:fldChar w:fldCharType="end"/>
            </w:r>
          </w:hyperlink>
        </w:p>
        <w:p w14:paraId="746D1004" w14:textId="44AAB4F3" w:rsidR="00FE4088" w:rsidRDefault="003B0DE2">
          <w:pPr>
            <w:pStyle w:val="TOC2"/>
            <w:tabs>
              <w:tab w:val="left" w:pos="1320"/>
            </w:tabs>
            <w:rPr>
              <w:rFonts w:asciiTheme="minorHAnsi" w:eastAsiaTheme="minorEastAsia" w:hAnsiTheme="minorHAnsi"/>
              <w:noProof/>
              <w:lang w:val="el-GR" w:eastAsia="el-GR"/>
            </w:rPr>
          </w:pPr>
          <w:hyperlink w:anchor="_Toc91752438" w:history="1">
            <w:r w:rsidR="00FE4088" w:rsidRPr="00D12D7C">
              <w:rPr>
                <w:rStyle w:val="Hyperlink"/>
                <w:noProof/>
              </w:rPr>
              <w:t>12.3.2.</w:t>
            </w:r>
            <w:r w:rsidR="00FE4088">
              <w:rPr>
                <w:rFonts w:asciiTheme="minorHAnsi" w:eastAsiaTheme="minorEastAsia" w:hAnsiTheme="minorHAnsi"/>
                <w:noProof/>
                <w:lang w:val="el-GR" w:eastAsia="el-GR"/>
              </w:rPr>
              <w:tab/>
            </w:r>
            <w:r w:rsidR="00FE4088" w:rsidRPr="00D12D7C">
              <w:rPr>
                <w:rStyle w:val="Hyperlink"/>
                <w:noProof/>
              </w:rPr>
              <w:t>Project developers, wholesalers, brokers, and retailers in voluntary markets</w:t>
            </w:r>
            <w:r w:rsidR="00FE4088">
              <w:rPr>
                <w:noProof/>
                <w:webHidden/>
              </w:rPr>
              <w:tab/>
            </w:r>
            <w:r w:rsidR="00FE4088">
              <w:rPr>
                <w:noProof/>
                <w:webHidden/>
              </w:rPr>
              <w:fldChar w:fldCharType="begin"/>
            </w:r>
            <w:r w:rsidR="00FE4088">
              <w:rPr>
                <w:noProof/>
                <w:webHidden/>
              </w:rPr>
              <w:instrText xml:space="preserve"> PAGEREF _Toc91752438 \h </w:instrText>
            </w:r>
            <w:r w:rsidR="00FE4088">
              <w:rPr>
                <w:noProof/>
                <w:webHidden/>
              </w:rPr>
            </w:r>
            <w:r w:rsidR="00FE4088">
              <w:rPr>
                <w:noProof/>
                <w:webHidden/>
              </w:rPr>
              <w:fldChar w:fldCharType="separate"/>
            </w:r>
            <w:r w:rsidR="0073710A">
              <w:rPr>
                <w:noProof/>
                <w:webHidden/>
              </w:rPr>
              <w:t>130</w:t>
            </w:r>
            <w:r w:rsidR="00FE4088">
              <w:rPr>
                <w:noProof/>
                <w:webHidden/>
              </w:rPr>
              <w:fldChar w:fldCharType="end"/>
            </w:r>
          </w:hyperlink>
        </w:p>
        <w:p w14:paraId="170C4CBC" w14:textId="093F5578" w:rsidR="00FE4088" w:rsidRDefault="003B0DE2">
          <w:pPr>
            <w:pStyle w:val="TOC2"/>
            <w:tabs>
              <w:tab w:val="left" w:pos="1320"/>
            </w:tabs>
            <w:rPr>
              <w:rFonts w:asciiTheme="minorHAnsi" w:eastAsiaTheme="minorEastAsia" w:hAnsiTheme="minorHAnsi"/>
              <w:noProof/>
              <w:lang w:val="el-GR" w:eastAsia="el-GR"/>
            </w:rPr>
          </w:pPr>
          <w:hyperlink w:anchor="_Toc91752439" w:history="1">
            <w:r w:rsidR="00FE4088" w:rsidRPr="00D12D7C">
              <w:rPr>
                <w:rStyle w:val="Hyperlink"/>
                <w:noProof/>
              </w:rPr>
              <w:t>12.3.3.</w:t>
            </w:r>
            <w:r w:rsidR="00FE4088">
              <w:rPr>
                <w:rFonts w:asciiTheme="minorHAnsi" w:eastAsiaTheme="minorEastAsia" w:hAnsiTheme="minorHAnsi"/>
                <w:noProof/>
                <w:lang w:val="el-GR" w:eastAsia="el-GR"/>
              </w:rPr>
              <w:tab/>
            </w:r>
            <w:r w:rsidR="00FE4088" w:rsidRPr="00D12D7C">
              <w:rPr>
                <w:rStyle w:val="Hyperlink"/>
                <w:noProof/>
              </w:rPr>
              <w:t>Problems of voluntary markets</w:t>
            </w:r>
            <w:r w:rsidR="00FE4088">
              <w:rPr>
                <w:noProof/>
                <w:webHidden/>
              </w:rPr>
              <w:tab/>
            </w:r>
            <w:r w:rsidR="00FE4088">
              <w:rPr>
                <w:noProof/>
                <w:webHidden/>
              </w:rPr>
              <w:fldChar w:fldCharType="begin"/>
            </w:r>
            <w:r w:rsidR="00FE4088">
              <w:rPr>
                <w:noProof/>
                <w:webHidden/>
              </w:rPr>
              <w:instrText xml:space="preserve"> PAGEREF _Toc91752439 \h </w:instrText>
            </w:r>
            <w:r w:rsidR="00FE4088">
              <w:rPr>
                <w:noProof/>
                <w:webHidden/>
              </w:rPr>
            </w:r>
            <w:r w:rsidR="00FE4088">
              <w:rPr>
                <w:noProof/>
                <w:webHidden/>
              </w:rPr>
              <w:fldChar w:fldCharType="separate"/>
            </w:r>
            <w:r w:rsidR="0073710A">
              <w:rPr>
                <w:noProof/>
                <w:webHidden/>
              </w:rPr>
              <w:t>130</w:t>
            </w:r>
            <w:r w:rsidR="00FE4088">
              <w:rPr>
                <w:noProof/>
                <w:webHidden/>
              </w:rPr>
              <w:fldChar w:fldCharType="end"/>
            </w:r>
          </w:hyperlink>
        </w:p>
        <w:p w14:paraId="4DE895B3" w14:textId="7505790D" w:rsidR="00FE4088" w:rsidRDefault="003B0DE2">
          <w:pPr>
            <w:pStyle w:val="TOC1"/>
            <w:tabs>
              <w:tab w:val="left" w:pos="567"/>
            </w:tabs>
            <w:rPr>
              <w:rFonts w:asciiTheme="minorHAnsi" w:eastAsiaTheme="minorEastAsia" w:hAnsiTheme="minorHAnsi"/>
              <w:noProof/>
              <w:lang w:val="el-GR" w:eastAsia="el-GR"/>
            </w:rPr>
          </w:pPr>
          <w:hyperlink w:anchor="_Toc91752440" w:history="1">
            <w:r w:rsidR="00FE4088" w:rsidRPr="00D12D7C">
              <w:rPr>
                <w:rStyle w:val="Hyperlink"/>
                <w:noProof/>
              </w:rPr>
              <w:t>13.</w:t>
            </w:r>
            <w:r w:rsidR="00FE4088">
              <w:rPr>
                <w:rFonts w:asciiTheme="minorHAnsi" w:eastAsiaTheme="minorEastAsia" w:hAnsiTheme="minorHAnsi"/>
                <w:noProof/>
                <w:lang w:val="el-GR" w:eastAsia="el-GR"/>
              </w:rPr>
              <w:tab/>
            </w:r>
            <w:r w:rsidR="00FE4088" w:rsidRPr="00D12D7C">
              <w:rPr>
                <w:rStyle w:val="Hyperlink"/>
                <w:noProof/>
              </w:rPr>
              <w:t>EU commitment: Emissions Trading Scheme, effort sharing and LULUCF</w:t>
            </w:r>
            <w:r w:rsidR="00FE4088">
              <w:rPr>
                <w:noProof/>
                <w:webHidden/>
              </w:rPr>
              <w:tab/>
            </w:r>
            <w:r w:rsidR="00FE4088">
              <w:rPr>
                <w:noProof/>
                <w:webHidden/>
              </w:rPr>
              <w:fldChar w:fldCharType="begin"/>
            </w:r>
            <w:r w:rsidR="00FE4088">
              <w:rPr>
                <w:noProof/>
                <w:webHidden/>
              </w:rPr>
              <w:instrText xml:space="preserve"> PAGEREF _Toc91752440 \h </w:instrText>
            </w:r>
            <w:r w:rsidR="00FE4088">
              <w:rPr>
                <w:noProof/>
                <w:webHidden/>
              </w:rPr>
            </w:r>
            <w:r w:rsidR="00FE4088">
              <w:rPr>
                <w:noProof/>
                <w:webHidden/>
              </w:rPr>
              <w:fldChar w:fldCharType="separate"/>
            </w:r>
            <w:r w:rsidR="0073710A">
              <w:rPr>
                <w:noProof/>
                <w:webHidden/>
              </w:rPr>
              <w:t>132</w:t>
            </w:r>
            <w:r w:rsidR="00FE4088">
              <w:rPr>
                <w:noProof/>
                <w:webHidden/>
              </w:rPr>
              <w:fldChar w:fldCharType="end"/>
            </w:r>
          </w:hyperlink>
        </w:p>
        <w:p w14:paraId="6EC3BFDA" w14:textId="56E3E69B" w:rsidR="00FE4088" w:rsidRDefault="003B0DE2">
          <w:pPr>
            <w:pStyle w:val="TOC2"/>
            <w:tabs>
              <w:tab w:val="left" w:pos="1100"/>
            </w:tabs>
            <w:rPr>
              <w:rFonts w:asciiTheme="minorHAnsi" w:eastAsiaTheme="minorEastAsia" w:hAnsiTheme="minorHAnsi"/>
              <w:noProof/>
              <w:lang w:val="el-GR" w:eastAsia="el-GR"/>
            </w:rPr>
          </w:pPr>
          <w:hyperlink w:anchor="_Toc91752441" w:history="1">
            <w:r w:rsidR="00FE4088" w:rsidRPr="00D12D7C">
              <w:rPr>
                <w:rStyle w:val="Hyperlink"/>
                <w:noProof/>
              </w:rPr>
              <w:t>13.1.</w:t>
            </w:r>
            <w:r w:rsidR="00FE4088">
              <w:rPr>
                <w:rFonts w:asciiTheme="minorHAnsi" w:eastAsiaTheme="minorEastAsia" w:hAnsiTheme="minorHAnsi"/>
                <w:noProof/>
                <w:lang w:val="el-GR" w:eastAsia="el-GR"/>
              </w:rPr>
              <w:tab/>
            </w:r>
            <w:r w:rsidR="00FE4088" w:rsidRPr="00D12D7C">
              <w:rPr>
                <w:rStyle w:val="Hyperlink"/>
                <w:noProof/>
                <w:lang w:val="de-DE"/>
              </w:rPr>
              <w:t>EU Emission Trading System (EU ETS)</w:t>
            </w:r>
            <w:r w:rsidR="00FE4088">
              <w:rPr>
                <w:noProof/>
                <w:webHidden/>
              </w:rPr>
              <w:tab/>
            </w:r>
            <w:r w:rsidR="00FE4088">
              <w:rPr>
                <w:noProof/>
                <w:webHidden/>
              </w:rPr>
              <w:fldChar w:fldCharType="begin"/>
            </w:r>
            <w:r w:rsidR="00FE4088">
              <w:rPr>
                <w:noProof/>
                <w:webHidden/>
              </w:rPr>
              <w:instrText xml:space="preserve"> PAGEREF _Toc91752441 \h </w:instrText>
            </w:r>
            <w:r w:rsidR="00FE4088">
              <w:rPr>
                <w:noProof/>
                <w:webHidden/>
              </w:rPr>
            </w:r>
            <w:r w:rsidR="00FE4088">
              <w:rPr>
                <w:noProof/>
                <w:webHidden/>
              </w:rPr>
              <w:fldChar w:fldCharType="separate"/>
            </w:r>
            <w:r w:rsidR="0073710A">
              <w:rPr>
                <w:noProof/>
                <w:webHidden/>
              </w:rPr>
              <w:t>132</w:t>
            </w:r>
            <w:r w:rsidR="00FE4088">
              <w:rPr>
                <w:noProof/>
                <w:webHidden/>
              </w:rPr>
              <w:fldChar w:fldCharType="end"/>
            </w:r>
          </w:hyperlink>
        </w:p>
        <w:p w14:paraId="66A40781" w14:textId="68FCB9C8" w:rsidR="00FE4088" w:rsidRDefault="003B0DE2">
          <w:pPr>
            <w:pStyle w:val="TOC2"/>
            <w:tabs>
              <w:tab w:val="left" w:pos="1100"/>
            </w:tabs>
            <w:rPr>
              <w:rFonts w:asciiTheme="minorHAnsi" w:eastAsiaTheme="minorEastAsia" w:hAnsiTheme="minorHAnsi"/>
              <w:noProof/>
              <w:lang w:val="el-GR" w:eastAsia="el-GR"/>
            </w:rPr>
          </w:pPr>
          <w:hyperlink w:anchor="_Toc91752442" w:history="1">
            <w:r w:rsidR="00FE4088" w:rsidRPr="00D12D7C">
              <w:rPr>
                <w:rStyle w:val="Hyperlink"/>
                <w:noProof/>
              </w:rPr>
              <w:t>13.2.</w:t>
            </w:r>
            <w:r w:rsidR="00FE4088">
              <w:rPr>
                <w:rFonts w:asciiTheme="minorHAnsi" w:eastAsiaTheme="minorEastAsia" w:hAnsiTheme="minorHAnsi"/>
                <w:noProof/>
                <w:lang w:val="el-GR" w:eastAsia="el-GR"/>
              </w:rPr>
              <w:tab/>
            </w:r>
            <w:r w:rsidR="00FE4088" w:rsidRPr="00D12D7C">
              <w:rPr>
                <w:rStyle w:val="Hyperlink"/>
                <w:noProof/>
              </w:rPr>
              <w:t>Effort sharing</w:t>
            </w:r>
            <w:r w:rsidR="00FE4088">
              <w:rPr>
                <w:noProof/>
                <w:webHidden/>
              </w:rPr>
              <w:tab/>
            </w:r>
            <w:r w:rsidR="00FE4088">
              <w:rPr>
                <w:noProof/>
                <w:webHidden/>
              </w:rPr>
              <w:fldChar w:fldCharType="begin"/>
            </w:r>
            <w:r w:rsidR="00FE4088">
              <w:rPr>
                <w:noProof/>
                <w:webHidden/>
              </w:rPr>
              <w:instrText xml:space="preserve"> PAGEREF _Toc91752442 \h </w:instrText>
            </w:r>
            <w:r w:rsidR="00FE4088">
              <w:rPr>
                <w:noProof/>
                <w:webHidden/>
              </w:rPr>
            </w:r>
            <w:r w:rsidR="00FE4088">
              <w:rPr>
                <w:noProof/>
                <w:webHidden/>
              </w:rPr>
              <w:fldChar w:fldCharType="separate"/>
            </w:r>
            <w:r w:rsidR="0073710A">
              <w:rPr>
                <w:noProof/>
                <w:webHidden/>
              </w:rPr>
              <w:t>140</w:t>
            </w:r>
            <w:r w:rsidR="00FE4088">
              <w:rPr>
                <w:noProof/>
                <w:webHidden/>
              </w:rPr>
              <w:fldChar w:fldCharType="end"/>
            </w:r>
          </w:hyperlink>
        </w:p>
        <w:p w14:paraId="3DC0BCB3" w14:textId="60D09BF1" w:rsidR="00FE4088" w:rsidRDefault="003B0DE2">
          <w:pPr>
            <w:pStyle w:val="TOC2"/>
            <w:tabs>
              <w:tab w:val="left" w:pos="1100"/>
            </w:tabs>
            <w:rPr>
              <w:rFonts w:asciiTheme="minorHAnsi" w:eastAsiaTheme="minorEastAsia" w:hAnsiTheme="minorHAnsi"/>
              <w:noProof/>
              <w:lang w:val="el-GR" w:eastAsia="el-GR"/>
            </w:rPr>
          </w:pPr>
          <w:hyperlink w:anchor="_Toc91752443" w:history="1">
            <w:r w:rsidR="00FE4088" w:rsidRPr="00D12D7C">
              <w:rPr>
                <w:rStyle w:val="Hyperlink"/>
                <w:noProof/>
              </w:rPr>
              <w:t>13.3.</w:t>
            </w:r>
            <w:r w:rsidR="00FE4088">
              <w:rPr>
                <w:rFonts w:asciiTheme="minorHAnsi" w:eastAsiaTheme="minorEastAsia" w:hAnsiTheme="minorHAnsi"/>
                <w:noProof/>
                <w:lang w:val="el-GR" w:eastAsia="el-GR"/>
              </w:rPr>
              <w:tab/>
            </w:r>
            <w:r w:rsidR="00FE4088" w:rsidRPr="00D12D7C">
              <w:rPr>
                <w:rStyle w:val="Hyperlink"/>
                <w:noProof/>
              </w:rPr>
              <w:t>LULUCF and United Nations Framework Convention on Climate Change (UNFCCC)</w:t>
            </w:r>
            <w:r w:rsidR="00FE4088">
              <w:rPr>
                <w:noProof/>
                <w:webHidden/>
              </w:rPr>
              <w:tab/>
            </w:r>
            <w:r w:rsidR="00FE4088">
              <w:rPr>
                <w:noProof/>
                <w:webHidden/>
              </w:rPr>
              <w:fldChar w:fldCharType="begin"/>
            </w:r>
            <w:r w:rsidR="00FE4088">
              <w:rPr>
                <w:noProof/>
                <w:webHidden/>
              </w:rPr>
              <w:instrText xml:space="preserve"> PAGEREF _Toc91752443 \h </w:instrText>
            </w:r>
            <w:r w:rsidR="00FE4088">
              <w:rPr>
                <w:noProof/>
                <w:webHidden/>
              </w:rPr>
            </w:r>
            <w:r w:rsidR="00FE4088">
              <w:rPr>
                <w:noProof/>
                <w:webHidden/>
              </w:rPr>
              <w:fldChar w:fldCharType="separate"/>
            </w:r>
            <w:r w:rsidR="0073710A">
              <w:rPr>
                <w:noProof/>
                <w:webHidden/>
              </w:rPr>
              <w:t>144</w:t>
            </w:r>
            <w:r w:rsidR="00FE4088">
              <w:rPr>
                <w:noProof/>
                <w:webHidden/>
              </w:rPr>
              <w:fldChar w:fldCharType="end"/>
            </w:r>
          </w:hyperlink>
        </w:p>
        <w:p w14:paraId="2613FAE4" w14:textId="6DD36476" w:rsidR="00FE4088" w:rsidRDefault="003B0DE2">
          <w:pPr>
            <w:pStyle w:val="TOC2"/>
            <w:tabs>
              <w:tab w:val="left" w:pos="1320"/>
            </w:tabs>
            <w:rPr>
              <w:rFonts w:asciiTheme="minorHAnsi" w:eastAsiaTheme="minorEastAsia" w:hAnsiTheme="minorHAnsi"/>
              <w:noProof/>
              <w:lang w:val="el-GR" w:eastAsia="el-GR"/>
            </w:rPr>
          </w:pPr>
          <w:hyperlink w:anchor="_Toc91752444" w:history="1">
            <w:r w:rsidR="00FE4088" w:rsidRPr="00D12D7C">
              <w:rPr>
                <w:rStyle w:val="Hyperlink"/>
                <w:noProof/>
              </w:rPr>
              <w:t>13.3.1.</w:t>
            </w:r>
            <w:r w:rsidR="00FE4088">
              <w:rPr>
                <w:rFonts w:asciiTheme="minorHAnsi" w:eastAsiaTheme="minorEastAsia" w:hAnsiTheme="minorHAnsi"/>
                <w:noProof/>
                <w:lang w:val="el-GR" w:eastAsia="el-GR"/>
              </w:rPr>
              <w:tab/>
            </w:r>
            <w:r w:rsidR="00FE4088" w:rsidRPr="00D12D7C">
              <w:rPr>
                <w:rStyle w:val="Hyperlink"/>
                <w:noProof/>
              </w:rPr>
              <w:t>Reporting of the LULUCF sector</w:t>
            </w:r>
            <w:r w:rsidR="00FE4088">
              <w:rPr>
                <w:noProof/>
                <w:webHidden/>
              </w:rPr>
              <w:tab/>
            </w:r>
            <w:r w:rsidR="00FE4088">
              <w:rPr>
                <w:noProof/>
                <w:webHidden/>
              </w:rPr>
              <w:fldChar w:fldCharType="begin"/>
            </w:r>
            <w:r w:rsidR="00FE4088">
              <w:rPr>
                <w:noProof/>
                <w:webHidden/>
              </w:rPr>
              <w:instrText xml:space="preserve"> PAGEREF _Toc91752444 \h </w:instrText>
            </w:r>
            <w:r w:rsidR="00FE4088">
              <w:rPr>
                <w:noProof/>
                <w:webHidden/>
              </w:rPr>
            </w:r>
            <w:r w:rsidR="00FE4088">
              <w:rPr>
                <w:noProof/>
                <w:webHidden/>
              </w:rPr>
              <w:fldChar w:fldCharType="separate"/>
            </w:r>
            <w:r w:rsidR="0073710A">
              <w:rPr>
                <w:noProof/>
                <w:webHidden/>
              </w:rPr>
              <w:t>145</w:t>
            </w:r>
            <w:r w:rsidR="00FE4088">
              <w:rPr>
                <w:noProof/>
                <w:webHidden/>
              </w:rPr>
              <w:fldChar w:fldCharType="end"/>
            </w:r>
          </w:hyperlink>
        </w:p>
        <w:p w14:paraId="678CCAD4" w14:textId="67C0C088" w:rsidR="00FE4088" w:rsidRDefault="003B0DE2">
          <w:pPr>
            <w:pStyle w:val="TOC2"/>
            <w:tabs>
              <w:tab w:val="left" w:pos="1100"/>
            </w:tabs>
            <w:rPr>
              <w:rFonts w:asciiTheme="minorHAnsi" w:eastAsiaTheme="minorEastAsia" w:hAnsiTheme="minorHAnsi"/>
              <w:noProof/>
              <w:lang w:val="el-GR" w:eastAsia="el-GR"/>
            </w:rPr>
          </w:pPr>
          <w:hyperlink w:anchor="_Toc91752445" w:history="1">
            <w:r w:rsidR="00FE4088" w:rsidRPr="00D12D7C">
              <w:rPr>
                <w:rStyle w:val="Hyperlink"/>
                <w:noProof/>
              </w:rPr>
              <w:t>13.4.</w:t>
            </w:r>
            <w:r w:rsidR="00FE4088">
              <w:rPr>
                <w:rFonts w:asciiTheme="minorHAnsi" w:eastAsiaTheme="minorEastAsia" w:hAnsiTheme="minorHAnsi"/>
                <w:noProof/>
                <w:lang w:val="el-GR" w:eastAsia="el-GR"/>
              </w:rPr>
              <w:tab/>
            </w:r>
            <w:r w:rsidR="00FE4088" w:rsidRPr="00D12D7C">
              <w:rPr>
                <w:rStyle w:val="Hyperlink"/>
                <w:noProof/>
              </w:rPr>
              <w:t>LULUCF and the Paris Agreement</w:t>
            </w:r>
            <w:r w:rsidR="00FE4088">
              <w:rPr>
                <w:noProof/>
                <w:webHidden/>
              </w:rPr>
              <w:tab/>
            </w:r>
            <w:r w:rsidR="00FE4088">
              <w:rPr>
                <w:noProof/>
                <w:webHidden/>
              </w:rPr>
              <w:fldChar w:fldCharType="begin"/>
            </w:r>
            <w:r w:rsidR="00FE4088">
              <w:rPr>
                <w:noProof/>
                <w:webHidden/>
              </w:rPr>
              <w:instrText xml:space="preserve"> PAGEREF _Toc91752445 \h </w:instrText>
            </w:r>
            <w:r w:rsidR="00FE4088">
              <w:rPr>
                <w:noProof/>
                <w:webHidden/>
              </w:rPr>
            </w:r>
            <w:r w:rsidR="00FE4088">
              <w:rPr>
                <w:noProof/>
                <w:webHidden/>
              </w:rPr>
              <w:fldChar w:fldCharType="separate"/>
            </w:r>
            <w:r w:rsidR="0073710A">
              <w:rPr>
                <w:noProof/>
                <w:webHidden/>
              </w:rPr>
              <w:t>148</w:t>
            </w:r>
            <w:r w:rsidR="00FE4088">
              <w:rPr>
                <w:noProof/>
                <w:webHidden/>
              </w:rPr>
              <w:fldChar w:fldCharType="end"/>
            </w:r>
          </w:hyperlink>
        </w:p>
        <w:p w14:paraId="1F4E043B" w14:textId="699F8A72" w:rsidR="00FE4088" w:rsidRDefault="003B0DE2">
          <w:pPr>
            <w:pStyle w:val="TOC2"/>
            <w:tabs>
              <w:tab w:val="left" w:pos="1100"/>
            </w:tabs>
            <w:rPr>
              <w:rFonts w:asciiTheme="minorHAnsi" w:eastAsiaTheme="minorEastAsia" w:hAnsiTheme="minorHAnsi"/>
              <w:noProof/>
              <w:lang w:val="el-GR" w:eastAsia="el-GR"/>
            </w:rPr>
          </w:pPr>
          <w:hyperlink w:anchor="_Toc91752446" w:history="1">
            <w:r w:rsidR="00FE4088" w:rsidRPr="00D12D7C">
              <w:rPr>
                <w:rStyle w:val="Hyperlink"/>
                <w:noProof/>
              </w:rPr>
              <w:t>13.5.</w:t>
            </w:r>
            <w:r w:rsidR="00FE4088">
              <w:rPr>
                <w:rFonts w:asciiTheme="minorHAnsi" w:eastAsiaTheme="minorEastAsia" w:hAnsiTheme="minorHAnsi"/>
                <w:noProof/>
                <w:lang w:val="el-GR" w:eastAsia="el-GR"/>
              </w:rPr>
              <w:tab/>
            </w:r>
            <w:r w:rsidR="00FE4088" w:rsidRPr="00D12D7C">
              <w:rPr>
                <w:rStyle w:val="Hyperlink"/>
                <w:noProof/>
              </w:rPr>
              <w:t>LULUCF and CO</w:t>
            </w:r>
            <w:r w:rsidR="00FE4088" w:rsidRPr="00D12D7C">
              <w:rPr>
                <w:rStyle w:val="Hyperlink"/>
                <w:noProof/>
                <w:vertAlign w:val="subscript"/>
              </w:rPr>
              <w:t>2</w:t>
            </w:r>
            <w:r w:rsidR="00FE4088" w:rsidRPr="00D12D7C">
              <w:rPr>
                <w:rStyle w:val="Hyperlink"/>
                <w:noProof/>
              </w:rPr>
              <w:t xml:space="preserve"> Emissions in the European Union</w:t>
            </w:r>
            <w:r w:rsidR="00FE4088">
              <w:rPr>
                <w:noProof/>
                <w:webHidden/>
              </w:rPr>
              <w:tab/>
            </w:r>
            <w:r w:rsidR="00FE4088">
              <w:rPr>
                <w:noProof/>
                <w:webHidden/>
              </w:rPr>
              <w:fldChar w:fldCharType="begin"/>
            </w:r>
            <w:r w:rsidR="00FE4088">
              <w:rPr>
                <w:noProof/>
                <w:webHidden/>
              </w:rPr>
              <w:instrText xml:space="preserve"> PAGEREF _Toc91752446 \h </w:instrText>
            </w:r>
            <w:r w:rsidR="00FE4088">
              <w:rPr>
                <w:noProof/>
                <w:webHidden/>
              </w:rPr>
            </w:r>
            <w:r w:rsidR="00FE4088">
              <w:rPr>
                <w:noProof/>
                <w:webHidden/>
              </w:rPr>
              <w:fldChar w:fldCharType="separate"/>
            </w:r>
            <w:r w:rsidR="0073710A">
              <w:rPr>
                <w:noProof/>
                <w:webHidden/>
              </w:rPr>
              <w:t>149</w:t>
            </w:r>
            <w:r w:rsidR="00FE4088">
              <w:rPr>
                <w:noProof/>
                <w:webHidden/>
              </w:rPr>
              <w:fldChar w:fldCharType="end"/>
            </w:r>
          </w:hyperlink>
        </w:p>
        <w:p w14:paraId="0F04FD6A" w14:textId="140B96FC" w:rsidR="00FE4088" w:rsidRDefault="003B0DE2">
          <w:pPr>
            <w:pStyle w:val="TOC1"/>
            <w:tabs>
              <w:tab w:val="left" w:pos="567"/>
            </w:tabs>
            <w:rPr>
              <w:rFonts w:asciiTheme="minorHAnsi" w:eastAsiaTheme="minorEastAsia" w:hAnsiTheme="minorHAnsi"/>
              <w:noProof/>
              <w:lang w:val="el-GR" w:eastAsia="el-GR"/>
            </w:rPr>
          </w:pPr>
          <w:hyperlink w:anchor="_Toc91752447" w:history="1">
            <w:r w:rsidR="00FE4088" w:rsidRPr="00D12D7C">
              <w:rPr>
                <w:rStyle w:val="Hyperlink"/>
                <w:noProof/>
              </w:rPr>
              <w:t>14.</w:t>
            </w:r>
            <w:r w:rsidR="00FE4088">
              <w:rPr>
                <w:rFonts w:asciiTheme="minorHAnsi" w:eastAsiaTheme="minorEastAsia" w:hAnsiTheme="minorHAnsi"/>
                <w:noProof/>
                <w:lang w:val="el-GR" w:eastAsia="el-GR"/>
              </w:rPr>
              <w:tab/>
            </w:r>
            <w:r w:rsidR="00FE4088" w:rsidRPr="00D12D7C">
              <w:rPr>
                <w:rStyle w:val="Hyperlink"/>
                <w:noProof/>
              </w:rPr>
              <w:t>International and national carbon accounting standards in the LULUCF sector</w:t>
            </w:r>
            <w:r w:rsidR="00FE4088">
              <w:rPr>
                <w:noProof/>
                <w:webHidden/>
              </w:rPr>
              <w:tab/>
            </w:r>
            <w:r w:rsidR="00FE4088">
              <w:rPr>
                <w:noProof/>
                <w:webHidden/>
              </w:rPr>
              <w:fldChar w:fldCharType="begin"/>
            </w:r>
            <w:r w:rsidR="00FE4088">
              <w:rPr>
                <w:noProof/>
                <w:webHidden/>
              </w:rPr>
              <w:instrText xml:space="preserve"> PAGEREF _Toc91752447 \h </w:instrText>
            </w:r>
            <w:r w:rsidR="00FE4088">
              <w:rPr>
                <w:noProof/>
                <w:webHidden/>
              </w:rPr>
            </w:r>
            <w:r w:rsidR="00FE4088">
              <w:rPr>
                <w:noProof/>
                <w:webHidden/>
              </w:rPr>
              <w:fldChar w:fldCharType="separate"/>
            </w:r>
            <w:r w:rsidR="0073710A">
              <w:rPr>
                <w:noProof/>
                <w:webHidden/>
              </w:rPr>
              <w:t>154</w:t>
            </w:r>
            <w:r w:rsidR="00FE4088">
              <w:rPr>
                <w:noProof/>
                <w:webHidden/>
              </w:rPr>
              <w:fldChar w:fldCharType="end"/>
            </w:r>
          </w:hyperlink>
        </w:p>
        <w:p w14:paraId="4D7A84E7" w14:textId="323F322F" w:rsidR="00FE4088" w:rsidRDefault="003B0DE2">
          <w:pPr>
            <w:pStyle w:val="TOC2"/>
            <w:tabs>
              <w:tab w:val="left" w:pos="1100"/>
            </w:tabs>
            <w:rPr>
              <w:rFonts w:asciiTheme="minorHAnsi" w:eastAsiaTheme="minorEastAsia" w:hAnsiTheme="minorHAnsi"/>
              <w:noProof/>
              <w:lang w:val="el-GR" w:eastAsia="el-GR"/>
            </w:rPr>
          </w:pPr>
          <w:hyperlink w:anchor="_Toc91752448" w:history="1">
            <w:r w:rsidR="00FE4088" w:rsidRPr="00D12D7C">
              <w:rPr>
                <w:rStyle w:val="Hyperlink"/>
                <w:noProof/>
              </w:rPr>
              <w:t>14.1.</w:t>
            </w:r>
            <w:r w:rsidR="00FE4088">
              <w:rPr>
                <w:rFonts w:asciiTheme="minorHAnsi" w:eastAsiaTheme="minorEastAsia" w:hAnsiTheme="minorHAnsi"/>
                <w:noProof/>
                <w:lang w:val="el-GR" w:eastAsia="el-GR"/>
              </w:rPr>
              <w:tab/>
            </w:r>
            <w:r w:rsidR="00FE4088" w:rsidRPr="00D12D7C">
              <w:rPr>
                <w:rStyle w:val="Hyperlink"/>
                <w:noProof/>
              </w:rPr>
              <w:t>Carbon accounting under UNFCCC</w:t>
            </w:r>
            <w:r w:rsidR="00FE4088">
              <w:rPr>
                <w:noProof/>
                <w:webHidden/>
              </w:rPr>
              <w:tab/>
            </w:r>
            <w:r w:rsidR="00FE4088">
              <w:rPr>
                <w:noProof/>
                <w:webHidden/>
              </w:rPr>
              <w:fldChar w:fldCharType="begin"/>
            </w:r>
            <w:r w:rsidR="00FE4088">
              <w:rPr>
                <w:noProof/>
                <w:webHidden/>
              </w:rPr>
              <w:instrText xml:space="preserve"> PAGEREF _Toc91752448 \h </w:instrText>
            </w:r>
            <w:r w:rsidR="00FE4088">
              <w:rPr>
                <w:noProof/>
                <w:webHidden/>
              </w:rPr>
            </w:r>
            <w:r w:rsidR="00FE4088">
              <w:rPr>
                <w:noProof/>
                <w:webHidden/>
              </w:rPr>
              <w:fldChar w:fldCharType="separate"/>
            </w:r>
            <w:r w:rsidR="0073710A">
              <w:rPr>
                <w:noProof/>
                <w:webHidden/>
              </w:rPr>
              <w:t>154</w:t>
            </w:r>
            <w:r w:rsidR="00FE4088">
              <w:rPr>
                <w:noProof/>
                <w:webHidden/>
              </w:rPr>
              <w:fldChar w:fldCharType="end"/>
            </w:r>
          </w:hyperlink>
        </w:p>
        <w:p w14:paraId="70497100" w14:textId="4E096158" w:rsidR="00FE4088" w:rsidRDefault="003B0DE2">
          <w:pPr>
            <w:pStyle w:val="TOC2"/>
            <w:tabs>
              <w:tab w:val="left" w:pos="1100"/>
            </w:tabs>
            <w:rPr>
              <w:rFonts w:asciiTheme="minorHAnsi" w:eastAsiaTheme="minorEastAsia" w:hAnsiTheme="minorHAnsi"/>
              <w:noProof/>
              <w:lang w:val="el-GR" w:eastAsia="el-GR"/>
            </w:rPr>
          </w:pPr>
          <w:hyperlink w:anchor="_Toc91752449" w:history="1">
            <w:r w:rsidR="00FE4088" w:rsidRPr="00D12D7C">
              <w:rPr>
                <w:rStyle w:val="Hyperlink"/>
                <w:noProof/>
              </w:rPr>
              <w:t>14.2.</w:t>
            </w:r>
            <w:r w:rsidR="00FE4088">
              <w:rPr>
                <w:rFonts w:asciiTheme="minorHAnsi" w:eastAsiaTheme="minorEastAsia" w:hAnsiTheme="minorHAnsi"/>
                <w:noProof/>
                <w:lang w:val="el-GR" w:eastAsia="el-GR"/>
              </w:rPr>
              <w:tab/>
            </w:r>
            <w:r w:rsidR="00FE4088" w:rsidRPr="00D12D7C">
              <w:rPr>
                <w:rStyle w:val="Hyperlink"/>
                <w:noProof/>
              </w:rPr>
              <w:t>EU carbon accounting</w:t>
            </w:r>
            <w:r w:rsidR="00FE4088">
              <w:rPr>
                <w:noProof/>
                <w:webHidden/>
              </w:rPr>
              <w:tab/>
            </w:r>
            <w:r w:rsidR="00FE4088">
              <w:rPr>
                <w:noProof/>
                <w:webHidden/>
              </w:rPr>
              <w:fldChar w:fldCharType="begin"/>
            </w:r>
            <w:r w:rsidR="00FE4088">
              <w:rPr>
                <w:noProof/>
                <w:webHidden/>
              </w:rPr>
              <w:instrText xml:space="preserve"> PAGEREF _Toc91752449 \h </w:instrText>
            </w:r>
            <w:r w:rsidR="00FE4088">
              <w:rPr>
                <w:noProof/>
                <w:webHidden/>
              </w:rPr>
            </w:r>
            <w:r w:rsidR="00FE4088">
              <w:rPr>
                <w:noProof/>
                <w:webHidden/>
              </w:rPr>
              <w:fldChar w:fldCharType="separate"/>
            </w:r>
            <w:r w:rsidR="0073710A">
              <w:rPr>
                <w:noProof/>
                <w:webHidden/>
              </w:rPr>
              <w:t>157</w:t>
            </w:r>
            <w:r w:rsidR="00FE4088">
              <w:rPr>
                <w:noProof/>
                <w:webHidden/>
              </w:rPr>
              <w:fldChar w:fldCharType="end"/>
            </w:r>
          </w:hyperlink>
        </w:p>
        <w:p w14:paraId="4C80FA18" w14:textId="63025895" w:rsidR="00FE4088" w:rsidRDefault="003B0DE2">
          <w:pPr>
            <w:pStyle w:val="TOC2"/>
            <w:tabs>
              <w:tab w:val="left" w:pos="1100"/>
            </w:tabs>
            <w:rPr>
              <w:rFonts w:asciiTheme="minorHAnsi" w:eastAsiaTheme="minorEastAsia" w:hAnsiTheme="minorHAnsi"/>
              <w:noProof/>
              <w:lang w:val="el-GR" w:eastAsia="el-GR"/>
            </w:rPr>
          </w:pPr>
          <w:hyperlink w:anchor="_Toc91752450" w:history="1">
            <w:r w:rsidR="00FE4088" w:rsidRPr="00D12D7C">
              <w:rPr>
                <w:rStyle w:val="Hyperlink"/>
                <w:noProof/>
                <w:lang w:eastAsia="el-GR"/>
              </w:rPr>
              <w:t>14.3.</w:t>
            </w:r>
            <w:r w:rsidR="00FE4088">
              <w:rPr>
                <w:rFonts w:asciiTheme="minorHAnsi" w:eastAsiaTheme="minorEastAsia" w:hAnsiTheme="minorHAnsi"/>
                <w:noProof/>
                <w:lang w:val="el-GR" w:eastAsia="el-GR"/>
              </w:rPr>
              <w:tab/>
            </w:r>
            <w:r w:rsidR="00FE4088" w:rsidRPr="00D12D7C">
              <w:rPr>
                <w:rStyle w:val="Hyperlink"/>
                <w:noProof/>
                <w:lang w:eastAsia="el-GR"/>
              </w:rPr>
              <w:t>Accounting emissions under the CDM</w:t>
            </w:r>
            <w:r w:rsidR="00FE4088">
              <w:rPr>
                <w:noProof/>
                <w:webHidden/>
              </w:rPr>
              <w:tab/>
            </w:r>
            <w:r w:rsidR="00FE4088">
              <w:rPr>
                <w:noProof/>
                <w:webHidden/>
              </w:rPr>
              <w:fldChar w:fldCharType="begin"/>
            </w:r>
            <w:r w:rsidR="00FE4088">
              <w:rPr>
                <w:noProof/>
                <w:webHidden/>
              </w:rPr>
              <w:instrText xml:space="preserve"> PAGEREF _Toc91752450 \h </w:instrText>
            </w:r>
            <w:r w:rsidR="00FE4088">
              <w:rPr>
                <w:noProof/>
                <w:webHidden/>
              </w:rPr>
            </w:r>
            <w:r w:rsidR="00FE4088">
              <w:rPr>
                <w:noProof/>
                <w:webHidden/>
              </w:rPr>
              <w:fldChar w:fldCharType="separate"/>
            </w:r>
            <w:r w:rsidR="0073710A">
              <w:rPr>
                <w:noProof/>
                <w:webHidden/>
              </w:rPr>
              <w:t>160</w:t>
            </w:r>
            <w:r w:rsidR="00FE4088">
              <w:rPr>
                <w:noProof/>
                <w:webHidden/>
              </w:rPr>
              <w:fldChar w:fldCharType="end"/>
            </w:r>
          </w:hyperlink>
        </w:p>
        <w:p w14:paraId="0B07568B" w14:textId="53F718E8" w:rsidR="00FE4088" w:rsidRDefault="003B0DE2">
          <w:pPr>
            <w:pStyle w:val="TOC2"/>
            <w:tabs>
              <w:tab w:val="left" w:pos="1100"/>
            </w:tabs>
            <w:rPr>
              <w:rFonts w:asciiTheme="minorHAnsi" w:eastAsiaTheme="minorEastAsia" w:hAnsiTheme="minorHAnsi"/>
              <w:noProof/>
              <w:lang w:val="el-GR" w:eastAsia="el-GR"/>
            </w:rPr>
          </w:pPr>
          <w:hyperlink w:anchor="_Toc91752451" w:history="1">
            <w:r w:rsidR="00FE4088" w:rsidRPr="00D12D7C">
              <w:rPr>
                <w:rStyle w:val="Hyperlink"/>
                <w:noProof/>
                <w:lang w:eastAsia="el-GR"/>
              </w:rPr>
              <w:t>14.4.</w:t>
            </w:r>
            <w:r w:rsidR="00FE4088">
              <w:rPr>
                <w:rFonts w:asciiTheme="minorHAnsi" w:eastAsiaTheme="minorEastAsia" w:hAnsiTheme="minorHAnsi"/>
                <w:noProof/>
                <w:lang w:val="el-GR" w:eastAsia="el-GR"/>
              </w:rPr>
              <w:tab/>
            </w:r>
            <w:r w:rsidR="00FE4088" w:rsidRPr="00D12D7C">
              <w:rPr>
                <w:rStyle w:val="Hyperlink"/>
                <w:noProof/>
                <w:lang w:eastAsia="el-GR"/>
              </w:rPr>
              <w:t>Voluntary Markets Accounting Standards</w:t>
            </w:r>
            <w:r w:rsidR="00FE4088">
              <w:rPr>
                <w:noProof/>
                <w:webHidden/>
              </w:rPr>
              <w:tab/>
            </w:r>
            <w:r w:rsidR="00FE4088">
              <w:rPr>
                <w:noProof/>
                <w:webHidden/>
              </w:rPr>
              <w:fldChar w:fldCharType="begin"/>
            </w:r>
            <w:r w:rsidR="00FE4088">
              <w:rPr>
                <w:noProof/>
                <w:webHidden/>
              </w:rPr>
              <w:instrText xml:space="preserve"> PAGEREF _Toc91752451 \h </w:instrText>
            </w:r>
            <w:r w:rsidR="00FE4088">
              <w:rPr>
                <w:noProof/>
                <w:webHidden/>
              </w:rPr>
            </w:r>
            <w:r w:rsidR="00FE4088">
              <w:rPr>
                <w:noProof/>
                <w:webHidden/>
              </w:rPr>
              <w:fldChar w:fldCharType="separate"/>
            </w:r>
            <w:r w:rsidR="0073710A">
              <w:rPr>
                <w:noProof/>
                <w:webHidden/>
              </w:rPr>
              <w:t>162</w:t>
            </w:r>
            <w:r w:rsidR="00FE4088">
              <w:rPr>
                <w:noProof/>
                <w:webHidden/>
              </w:rPr>
              <w:fldChar w:fldCharType="end"/>
            </w:r>
          </w:hyperlink>
        </w:p>
        <w:p w14:paraId="338FD495" w14:textId="4E0D3AA0" w:rsidR="00FE4088" w:rsidRDefault="003B0DE2">
          <w:pPr>
            <w:pStyle w:val="TOC2"/>
            <w:tabs>
              <w:tab w:val="left" w:pos="1320"/>
            </w:tabs>
            <w:rPr>
              <w:rFonts w:asciiTheme="minorHAnsi" w:eastAsiaTheme="minorEastAsia" w:hAnsiTheme="minorHAnsi"/>
              <w:noProof/>
              <w:lang w:val="el-GR" w:eastAsia="el-GR"/>
            </w:rPr>
          </w:pPr>
          <w:hyperlink w:anchor="_Toc91752452" w:history="1">
            <w:r w:rsidR="00FE4088" w:rsidRPr="00D12D7C">
              <w:rPr>
                <w:rStyle w:val="Hyperlink"/>
                <w:noProof/>
              </w:rPr>
              <w:t>14.4.1.</w:t>
            </w:r>
            <w:r w:rsidR="00FE4088">
              <w:rPr>
                <w:rFonts w:asciiTheme="minorHAnsi" w:eastAsiaTheme="minorEastAsia" w:hAnsiTheme="minorHAnsi"/>
                <w:noProof/>
                <w:lang w:val="el-GR" w:eastAsia="el-GR"/>
              </w:rPr>
              <w:tab/>
            </w:r>
            <w:r w:rsidR="00FE4088" w:rsidRPr="00D12D7C">
              <w:rPr>
                <w:rStyle w:val="Hyperlink"/>
                <w:noProof/>
              </w:rPr>
              <w:t>ACR</w:t>
            </w:r>
            <w:r w:rsidR="00FE4088">
              <w:rPr>
                <w:noProof/>
                <w:webHidden/>
              </w:rPr>
              <w:tab/>
            </w:r>
            <w:r w:rsidR="00FE4088">
              <w:rPr>
                <w:noProof/>
                <w:webHidden/>
              </w:rPr>
              <w:fldChar w:fldCharType="begin"/>
            </w:r>
            <w:r w:rsidR="00FE4088">
              <w:rPr>
                <w:noProof/>
                <w:webHidden/>
              </w:rPr>
              <w:instrText xml:space="preserve"> PAGEREF _Toc91752452 \h </w:instrText>
            </w:r>
            <w:r w:rsidR="00FE4088">
              <w:rPr>
                <w:noProof/>
                <w:webHidden/>
              </w:rPr>
            </w:r>
            <w:r w:rsidR="00FE4088">
              <w:rPr>
                <w:noProof/>
                <w:webHidden/>
              </w:rPr>
              <w:fldChar w:fldCharType="separate"/>
            </w:r>
            <w:r w:rsidR="0073710A">
              <w:rPr>
                <w:noProof/>
                <w:webHidden/>
              </w:rPr>
              <w:t>162</w:t>
            </w:r>
            <w:r w:rsidR="00FE4088">
              <w:rPr>
                <w:noProof/>
                <w:webHidden/>
              </w:rPr>
              <w:fldChar w:fldCharType="end"/>
            </w:r>
          </w:hyperlink>
        </w:p>
        <w:p w14:paraId="2FDB39E9" w14:textId="3F755949" w:rsidR="00FE4088" w:rsidRDefault="003B0DE2">
          <w:pPr>
            <w:pStyle w:val="TOC2"/>
            <w:tabs>
              <w:tab w:val="left" w:pos="1320"/>
            </w:tabs>
            <w:rPr>
              <w:rFonts w:asciiTheme="minorHAnsi" w:eastAsiaTheme="minorEastAsia" w:hAnsiTheme="minorHAnsi"/>
              <w:noProof/>
              <w:lang w:val="el-GR" w:eastAsia="el-GR"/>
            </w:rPr>
          </w:pPr>
          <w:hyperlink w:anchor="_Toc91752453" w:history="1">
            <w:r w:rsidR="00FE4088" w:rsidRPr="00D12D7C">
              <w:rPr>
                <w:rStyle w:val="Hyperlink"/>
                <w:noProof/>
              </w:rPr>
              <w:t>14.4.2.</w:t>
            </w:r>
            <w:r w:rsidR="00FE4088">
              <w:rPr>
                <w:rFonts w:asciiTheme="minorHAnsi" w:eastAsiaTheme="minorEastAsia" w:hAnsiTheme="minorHAnsi"/>
                <w:noProof/>
                <w:lang w:val="el-GR" w:eastAsia="el-GR"/>
              </w:rPr>
              <w:tab/>
            </w:r>
            <w:r w:rsidR="00FE4088" w:rsidRPr="00D12D7C">
              <w:rPr>
                <w:rStyle w:val="Hyperlink"/>
                <w:noProof/>
              </w:rPr>
              <w:t>Plan Vivo</w:t>
            </w:r>
            <w:r w:rsidR="00FE4088">
              <w:rPr>
                <w:noProof/>
                <w:webHidden/>
              </w:rPr>
              <w:tab/>
            </w:r>
            <w:r w:rsidR="00FE4088">
              <w:rPr>
                <w:noProof/>
                <w:webHidden/>
              </w:rPr>
              <w:fldChar w:fldCharType="begin"/>
            </w:r>
            <w:r w:rsidR="00FE4088">
              <w:rPr>
                <w:noProof/>
                <w:webHidden/>
              </w:rPr>
              <w:instrText xml:space="preserve"> PAGEREF _Toc91752453 \h </w:instrText>
            </w:r>
            <w:r w:rsidR="00FE4088">
              <w:rPr>
                <w:noProof/>
                <w:webHidden/>
              </w:rPr>
            </w:r>
            <w:r w:rsidR="00FE4088">
              <w:rPr>
                <w:noProof/>
                <w:webHidden/>
              </w:rPr>
              <w:fldChar w:fldCharType="separate"/>
            </w:r>
            <w:r w:rsidR="0073710A">
              <w:rPr>
                <w:noProof/>
                <w:webHidden/>
              </w:rPr>
              <w:t>164</w:t>
            </w:r>
            <w:r w:rsidR="00FE4088">
              <w:rPr>
                <w:noProof/>
                <w:webHidden/>
              </w:rPr>
              <w:fldChar w:fldCharType="end"/>
            </w:r>
          </w:hyperlink>
        </w:p>
        <w:p w14:paraId="08497B10" w14:textId="55AFF3D2" w:rsidR="00FE4088" w:rsidRDefault="003B0DE2">
          <w:pPr>
            <w:pStyle w:val="TOC2"/>
            <w:tabs>
              <w:tab w:val="left" w:pos="1320"/>
            </w:tabs>
            <w:rPr>
              <w:rFonts w:asciiTheme="minorHAnsi" w:eastAsiaTheme="minorEastAsia" w:hAnsiTheme="minorHAnsi"/>
              <w:noProof/>
              <w:lang w:val="el-GR" w:eastAsia="el-GR"/>
            </w:rPr>
          </w:pPr>
          <w:hyperlink w:anchor="_Toc91752454" w:history="1">
            <w:r w:rsidR="00FE4088" w:rsidRPr="00D12D7C">
              <w:rPr>
                <w:rStyle w:val="Hyperlink"/>
                <w:noProof/>
              </w:rPr>
              <w:t>14.4.3.</w:t>
            </w:r>
            <w:r w:rsidR="00FE4088">
              <w:rPr>
                <w:rFonts w:asciiTheme="minorHAnsi" w:eastAsiaTheme="minorEastAsia" w:hAnsiTheme="minorHAnsi"/>
                <w:noProof/>
                <w:lang w:val="el-GR" w:eastAsia="el-GR"/>
              </w:rPr>
              <w:tab/>
            </w:r>
            <w:r w:rsidR="00FE4088" w:rsidRPr="00D12D7C">
              <w:rPr>
                <w:rStyle w:val="Hyperlink"/>
                <w:noProof/>
              </w:rPr>
              <w:t>VERRA (old VCR) Standard</w:t>
            </w:r>
            <w:r w:rsidR="00FE4088">
              <w:rPr>
                <w:noProof/>
                <w:webHidden/>
              </w:rPr>
              <w:tab/>
            </w:r>
            <w:r w:rsidR="00FE4088">
              <w:rPr>
                <w:noProof/>
                <w:webHidden/>
              </w:rPr>
              <w:fldChar w:fldCharType="begin"/>
            </w:r>
            <w:r w:rsidR="00FE4088">
              <w:rPr>
                <w:noProof/>
                <w:webHidden/>
              </w:rPr>
              <w:instrText xml:space="preserve"> PAGEREF _Toc91752454 \h </w:instrText>
            </w:r>
            <w:r w:rsidR="00FE4088">
              <w:rPr>
                <w:noProof/>
                <w:webHidden/>
              </w:rPr>
            </w:r>
            <w:r w:rsidR="00FE4088">
              <w:rPr>
                <w:noProof/>
                <w:webHidden/>
              </w:rPr>
              <w:fldChar w:fldCharType="separate"/>
            </w:r>
            <w:r w:rsidR="0073710A">
              <w:rPr>
                <w:noProof/>
                <w:webHidden/>
              </w:rPr>
              <w:t>165</w:t>
            </w:r>
            <w:r w:rsidR="00FE4088">
              <w:rPr>
                <w:noProof/>
                <w:webHidden/>
              </w:rPr>
              <w:fldChar w:fldCharType="end"/>
            </w:r>
          </w:hyperlink>
        </w:p>
        <w:p w14:paraId="0602B902" w14:textId="09181656" w:rsidR="00FE4088" w:rsidRDefault="003B0DE2">
          <w:pPr>
            <w:pStyle w:val="TOC2"/>
            <w:tabs>
              <w:tab w:val="left" w:pos="1320"/>
            </w:tabs>
            <w:rPr>
              <w:rFonts w:asciiTheme="minorHAnsi" w:eastAsiaTheme="minorEastAsia" w:hAnsiTheme="minorHAnsi"/>
              <w:noProof/>
              <w:lang w:val="el-GR" w:eastAsia="el-GR"/>
            </w:rPr>
          </w:pPr>
          <w:hyperlink w:anchor="_Toc91752455" w:history="1">
            <w:r w:rsidR="00FE4088" w:rsidRPr="00D12D7C">
              <w:rPr>
                <w:rStyle w:val="Hyperlink"/>
                <w:noProof/>
              </w:rPr>
              <w:t>14.4.4.</w:t>
            </w:r>
            <w:r w:rsidR="00FE4088">
              <w:rPr>
                <w:rFonts w:asciiTheme="minorHAnsi" w:eastAsiaTheme="minorEastAsia" w:hAnsiTheme="minorHAnsi"/>
                <w:noProof/>
                <w:lang w:val="el-GR" w:eastAsia="el-GR"/>
              </w:rPr>
              <w:tab/>
            </w:r>
            <w:r w:rsidR="00FE4088" w:rsidRPr="00D12D7C">
              <w:rPr>
                <w:rStyle w:val="Hyperlink"/>
                <w:noProof/>
              </w:rPr>
              <w:t>Gold Standard</w:t>
            </w:r>
            <w:r w:rsidR="00FE4088">
              <w:rPr>
                <w:noProof/>
                <w:webHidden/>
              </w:rPr>
              <w:tab/>
            </w:r>
            <w:r w:rsidR="00FE4088">
              <w:rPr>
                <w:noProof/>
                <w:webHidden/>
              </w:rPr>
              <w:fldChar w:fldCharType="begin"/>
            </w:r>
            <w:r w:rsidR="00FE4088">
              <w:rPr>
                <w:noProof/>
                <w:webHidden/>
              </w:rPr>
              <w:instrText xml:space="preserve"> PAGEREF _Toc91752455 \h </w:instrText>
            </w:r>
            <w:r w:rsidR="00FE4088">
              <w:rPr>
                <w:noProof/>
                <w:webHidden/>
              </w:rPr>
            </w:r>
            <w:r w:rsidR="00FE4088">
              <w:rPr>
                <w:noProof/>
                <w:webHidden/>
              </w:rPr>
              <w:fldChar w:fldCharType="separate"/>
            </w:r>
            <w:r w:rsidR="0073710A">
              <w:rPr>
                <w:noProof/>
                <w:webHidden/>
              </w:rPr>
              <w:t>166</w:t>
            </w:r>
            <w:r w:rsidR="00FE4088">
              <w:rPr>
                <w:noProof/>
                <w:webHidden/>
              </w:rPr>
              <w:fldChar w:fldCharType="end"/>
            </w:r>
          </w:hyperlink>
        </w:p>
        <w:p w14:paraId="31802AF0" w14:textId="162FA4E6" w:rsidR="00FE4088" w:rsidRDefault="003B0DE2">
          <w:pPr>
            <w:pStyle w:val="TOC2"/>
            <w:tabs>
              <w:tab w:val="left" w:pos="1320"/>
            </w:tabs>
            <w:rPr>
              <w:rFonts w:asciiTheme="minorHAnsi" w:eastAsiaTheme="minorEastAsia" w:hAnsiTheme="minorHAnsi"/>
              <w:noProof/>
              <w:lang w:val="el-GR" w:eastAsia="el-GR"/>
            </w:rPr>
          </w:pPr>
          <w:hyperlink w:anchor="_Toc91752456" w:history="1">
            <w:r w:rsidR="00FE4088" w:rsidRPr="00D12D7C">
              <w:rPr>
                <w:rStyle w:val="Hyperlink"/>
                <w:noProof/>
              </w:rPr>
              <w:t>14.4.5.</w:t>
            </w:r>
            <w:r w:rsidR="00FE4088">
              <w:rPr>
                <w:rFonts w:asciiTheme="minorHAnsi" w:eastAsiaTheme="minorEastAsia" w:hAnsiTheme="minorHAnsi"/>
                <w:noProof/>
                <w:lang w:val="el-GR" w:eastAsia="el-GR"/>
              </w:rPr>
              <w:tab/>
            </w:r>
            <w:r w:rsidR="00FE4088" w:rsidRPr="00D12D7C">
              <w:rPr>
                <w:rStyle w:val="Hyperlink"/>
                <w:noProof/>
              </w:rPr>
              <w:t>Emissions Reduction Fund</w:t>
            </w:r>
            <w:r w:rsidR="00FE4088">
              <w:rPr>
                <w:noProof/>
                <w:webHidden/>
              </w:rPr>
              <w:tab/>
            </w:r>
            <w:r w:rsidR="00FE4088">
              <w:rPr>
                <w:noProof/>
                <w:webHidden/>
              </w:rPr>
              <w:fldChar w:fldCharType="begin"/>
            </w:r>
            <w:r w:rsidR="00FE4088">
              <w:rPr>
                <w:noProof/>
                <w:webHidden/>
              </w:rPr>
              <w:instrText xml:space="preserve"> PAGEREF _Toc91752456 \h </w:instrText>
            </w:r>
            <w:r w:rsidR="00FE4088">
              <w:rPr>
                <w:noProof/>
                <w:webHidden/>
              </w:rPr>
            </w:r>
            <w:r w:rsidR="00FE4088">
              <w:rPr>
                <w:noProof/>
                <w:webHidden/>
              </w:rPr>
              <w:fldChar w:fldCharType="separate"/>
            </w:r>
            <w:r w:rsidR="0073710A">
              <w:rPr>
                <w:noProof/>
                <w:webHidden/>
              </w:rPr>
              <w:t>166</w:t>
            </w:r>
            <w:r w:rsidR="00FE4088">
              <w:rPr>
                <w:noProof/>
                <w:webHidden/>
              </w:rPr>
              <w:fldChar w:fldCharType="end"/>
            </w:r>
          </w:hyperlink>
        </w:p>
        <w:p w14:paraId="1CFC0F48" w14:textId="6EF7689C" w:rsidR="00FE4088" w:rsidRDefault="003B0DE2">
          <w:pPr>
            <w:pStyle w:val="TOC2"/>
            <w:tabs>
              <w:tab w:val="left" w:pos="1320"/>
            </w:tabs>
            <w:rPr>
              <w:rFonts w:asciiTheme="minorHAnsi" w:eastAsiaTheme="minorEastAsia" w:hAnsiTheme="minorHAnsi"/>
              <w:noProof/>
              <w:lang w:val="el-GR" w:eastAsia="el-GR"/>
            </w:rPr>
          </w:pPr>
          <w:hyperlink w:anchor="_Toc91752457" w:history="1">
            <w:r w:rsidR="00FE4088" w:rsidRPr="00D12D7C">
              <w:rPr>
                <w:rStyle w:val="Hyperlink"/>
                <w:noProof/>
              </w:rPr>
              <w:t>14.4.6.</w:t>
            </w:r>
            <w:r w:rsidR="00FE4088">
              <w:rPr>
                <w:rFonts w:asciiTheme="minorHAnsi" w:eastAsiaTheme="minorEastAsia" w:hAnsiTheme="minorHAnsi"/>
                <w:noProof/>
                <w:lang w:val="el-GR" w:eastAsia="el-GR"/>
              </w:rPr>
              <w:tab/>
            </w:r>
            <w:r w:rsidR="00FE4088" w:rsidRPr="00D12D7C">
              <w:rPr>
                <w:rStyle w:val="Hyperlink"/>
                <w:noProof/>
              </w:rPr>
              <w:t>Climate Action Reserve (Reserve)</w:t>
            </w:r>
            <w:r w:rsidR="00FE4088">
              <w:rPr>
                <w:noProof/>
                <w:webHidden/>
              </w:rPr>
              <w:tab/>
            </w:r>
            <w:r w:rsidR="00FE4088">
              <w:rPr>
                <w:noProof/>
                <w:webHidden/>
              </w:rPr>
              <w:fldChar w:fldCharType="begin"/>
            </w:r>
            <w:r w:rsidR="00FE4088">
              <w:rPr>
                <w:noProof/>
                <w:webHidden/>
              </w:rPr>
              <w:instrText xml:space="preserve"> PAGEREF _Toc91752457 \h </w:instrText>
            </w:r>
            <w:r w:rsidR="00FE4088">
              <w:rPr>
                <w:noProof/>
                <w:webHidden/>
              </w:rPr>
            </w:r>
            <w:r w:rsidR="00FE4088">
              <w:rPr>
                <w:noProof/>
                <w:webHidden/>
              </w:rPr>
              <w:fldChar w:fldCharType="separate"/>
            </w:r>
            <w:r w:rsidR="0073710A">
              <w:rPr>
                <w:noProof/>
                <w:webHidden/>
              </w:rPr>
              <w:t>168</w:t>
            </w:r>
            <w:r w:rsidR="00FE4088">
              <w:rPr>
                <w:noProof/>
                <w:webHidden/>
              </w:rPr>
              <w:fldChar w:fldCharType="end"/>
            </w:r>
          </w:hyperlink>
        </w:p>
        <w:p w14:paraId="0CE30BAF" w14:textId="3CCDB536" w:rsidR="00FE4088" w:rsidRDefault="003B0DE2">
          <w:pPr>
            <w:pStyle w:val="TOC2"/>
            <w:tabs>
              <w:tab w:val="left" w:pos="1320"/>
            </w:tabs>
            <w:rPr>
              <w:rFonts w:asciiTheme="minorHAnsi" w:eastAsiaTheme="minorEastAsia" w:hAnsiTheme="minorHAnsi"/>
              <w:noProof/>
              <w:lang w:val="el-GR" w:eastAsia="el-GR"/>
            </w:rPr>
          </w:pPr>
          <w:hyperlink w:anchor="_Toc91752458" w:history="1">
            <w:r w:rsidR="00FE4088" w:rsidRPr="00D12D7C">
              <w:rPr>
                <w:rStyle w:val="Hyperlink"/>
                <w:noProof/>
              </w:rPr>
              <w:t>14.4.7.</w:t>
            </w:r>
            <w:r w:rsidR="00FE4088">
              <w:rPr>
                <w:rFonts w:asciiTheme="minorHAnsi" w:eastAsiaTheme="minorEastAsia" w:hAnsiTheme="minorHAnsi"/>
                <w:noProof/>
                <w:lang w:val="el-GR" w:eastAsia="el-GR"/>
              </w:rPr>
              <w:tab/>
            </w:r>
            <w:r w:rsidR="00FE4088" w:rsidRPr="00D12D7C">
              <w:rPr>
                <w:rStyle w:val="Hyperlink"/>
                <w:noProof/>
              </w:rPr>
              <w:t>Greenhouse gas protocol</w:t>
            </w:r>
            <w:r w:rsidR="00FE4088">
              <w:rPr>
                <w:noProof/>
                <w:webHidden/>
              </w:rPr>
              <w:tab/>
            </w:r>
            <w:r w:rsidR="00FE4088">
              <w:rPr>
                <w:noProof/>
                <w:webHidden/>
              </w:rPr>
              <w:fldChar w:fldCharType="begin"/>
            </w:r>
            <w:r w:rsidR="00FE4088">
              <w:rPr>
                <w:noProof/>
                <w:webHidden/>
              </w:rPr>
              <w:instrText xml:space="preserve"> PAGEREF _Toc91752458 \h </w:instrText>
            </w:r>
            <w:r w:rsidR="00FE4088">
              <w:rPr>
                <w:noProof/>
                <w:webHidden/>
              </w:rPr>
            </w:r>
            <w:r w:rsidR="00FE4088">
              <w:rPr>
                <w:noProof/>
                <w:webHidden/>
              </w:rPr>
              <w:fldChar w:fldCharType="separate"/>
            </w:r>
            <w:r w:rsidR="0073710A">
              <w:rPr>
                <w:noProof/>
                <w:webHidden/>
              </w:rPr>
              <w:t>170</w:t>
            </w:r>
            <w:r w:rsidR="00FE4088">
              <w:rPr>
                <w:noProof/>
                <w:webHidden/>
              </w:rPr>
              <w:fldChar w:fldCharType="end"/>
            </w:r>
          </w:hyperlink>
        </w:p>
        <w:p w14:paraId="7D43F9D5" w14:textId="320C020D" w:rsidR="00FE4088" w:rsidRDefault="003B0DE2">
          <w:pPr>
            <w:pStyle w:val="TOC2"/>
            <w:tabs>
              <w:tab w:val="left" w:pos="1320"/>
            </w:tabs>
            <w:rPr>
              <w:rFonts w:asciiTheme="minorHAnsi" w:eastAsiaTheme="minorEastAsia" w:hAnsiTheme="minorHAnsi"/>
              <w:noProof/>
              <w:lang w:val="el-GR" w:eastAsia="el-GR"/>
            </w:rPr>
          </w:pPr>
          <w:hyperlink w:anchor="_Toc91752459" w:history="1">
            <w:r w:rsidR="00FE4088" w:rsidRPr="00D12D7C">
              <w:rPr>
                <w:rStyle w:val="Hyperlink"/>
                <w:noProof/>
              </w:rPr>
              <w:t>14.4.8.</w:t>
            </w:r>
            <w:r w:rsidR="00FE4088">
              <w:rPr>
                <w:rFonts w:asciiTheme="minorHAnsi" w:eastAsiaTheme="minorEastAsia" w:hAnsiTheme="minorHAnsi"/>
                <w:noProof/>
                <w:lang w:val="el-GR" w:eastAsia="el-GR"/>
              </w:rPr>
              <w:tab/>
            </w:r>
            <w:r w:rsidR="00FE4088" w:rsidRPr="00D12D7C">
              <w:rPr>
                <w:rStyle w:val="Hyperlink"/>
                <w:noProof/>
              </w:rPr>
              <w:t>The Panda standard</w:t>
            </w:r>
            <w:r w:rsidR="00FE4088">
              <w:rPr>
                <w:noProof/>
                <w:webHidden/>
              </w:rPr>
              <w:tab/>
            </w:r>
            <w:r w:rsidR="00FE4088">
              <w:rPr>
                <w:noProof/>
                <w:webHidden/>
              </w:rPr>
              <w:fldChar w:fldCharType="begin"/>
            </w:r>
            <w:r w:rsidR="00FE4088">
              <w:rPr>
                <w:noProof/>
                <w:webHidden/>
              </w:rPr>
              <w:instrText xml:space="preserve"> PAGEREF _Toc91752459 \h </w:instrText>
            </w:r>
            <w:r w:rsidR="00FE4088">
              <w:rPr>
                <w:noProof/>
                <w:webHidden/>
              </w:rPr>
            </w:r>
            <w:r w:rsidR="00FE4088">
              <w:rPr>
                <w:noProof/>
                <w:webHidden/>
              </w:rPr>
              <w:fldChar w:fldCharType="separate"/>
            </w:r>
            <w:r w:rsidR="0073710A">
              <w:rPr>
                <w:noProof/>
                <w:webHidden/>
              </w:rPr>
              <w:t>172</w:t>
            </w:r>
            <w:r w:rsidR="00FE4088">
              <w:rPr>
                <w:noProof/>
                <w:webHidden/>
              </w:rPr>
              <w:fldChar w:fldCharType="end"/>
            </w:r>
          </w:hyperlink>
        </w:p>
        <w:p w14:paraId="33D4689A" w14:textId="478FC10C" w:rsidR="00FE4088" w:rsidRDefault="003B0DE2">
          <w:pPr>
            <w:pStyle w:val="TOC2"/>
            <w:tabs>
              <w:tab w:val="left" w:pos="1320"/>
            </w:tabs>
            <w:rPr>
              <w:rFonts w:asciiTheme="minorHAnsi" w:eastAsiaTheme="minorEastAsia" w:hAnsiTheme="minorHAnsi"/>
              <w:noProof/>
              <w:lang w:val="el-GR" w:eastAsia="el-GR"/>
            </w:rPr>
          </w:pPr>
          <w:hyperlink w:anchor="_Toc91752460" w:history="1">
            <w:r w:rsidR="00FE4088" w:rsidRPr="00D12D7C">
              <w:rPr>
                <w:rStyle w:val="Hyperlink"/>
                <w:noProof/>
              </w:rPr>
              <w:t>14.4.9.</w:t>
            </w:r>
            <w:r w:rsidR="00FE4088">
              <w:rPr>
                <w:rFonts w:asciiTheme="minorHAnsi" w:eastAsiaTheme="minorEastAsia" w:hAnsiTheme="minorHAnsi"/>
                <w:noProof/>
                <w:lang w:val="el-GR" w:eastAsia="el-GR"/>
              </w:rPr>
              <w:tab/>
            </w:r>
            <w:r w:rsidR="00FE4088" w:rsidRPr="00D12D7C">
              <w:rPr>
                <w:rStyle w:val="Hyperlink"/>
                <w:noProof/>
              </w:rPr>
              <w:t>ISO 14064-1:2006 Greenhouse gases -- Part 1: Specification with guidance at the organization level for quantification and reporting of greenhouse gas emissions and removals</w:t>
            </w:r>
            <w:r w:rsidR="00FE4088">
              <w:rPr>
                <w:noProof/>
                <w:webHidden/>
              </w:rPr>
              <w:tab/>
            </w:r>
            <w:r w:rsidR="00FE4088">
              <w:rPr>
                <w:noProof/>
                <w:webHidden/>
              </w:rPr>
              <w:fldChar w:fldCharType="begin"/>
            </w:r>
            <w:r w:rsidR="00FE4088">
              <w:rPr>
                <w:noProof/>
                <w:webHidden/>
              </w:rPr>
              <w:instrText xml:space="preserve"> PAGEREF _Toc91752460 \h </w:instrText>
            </w:r>
            <w:r w:rsidR="00FE4088">
              <w:rPr>
                <w:noProof/>
                <w:webHidden/>
              </w:rPr>
            </w:r>
            <w:r w:rsidR="00FE4088">
              <w:rPr>
                <w:noProof/>
                <w:webHidden/>
              </w:rPr>
              <w:fldChar w:fldCharType="separate"/>
            </w:r>
            <w:r w:rsidR="0073710A">
              <w:rPr>
                <w:noProof/>
                <w:webHidden/>
              </w:rPr>
              <w:t>173</w:t>
            </w:r>
            <w:r w:rsidR="00FE4088">
              <w:rPr>
                <w:noProof/>
                <w:webHidden/>
              </w:rPr>
              <w:fldChar w:fldCharType="end"/>
            </w:r>
          </w:hyperlink>
        </w:p>
        <w:p w14:paraId="76BD981C" w14:textId="6B77B7EE" w:rsidR="00FE4088" w:rsidRDefault="003B0DE2">
          <w:pPr>
            <w:pStyle w:val="TOC2"/>
            <w:tabs>
              <w:tab w:val="left" w:pos="1320"/>
            </w:tabs>
            <w:rPr>
              <w:rFonts w:asciiTheme="minorHAnsi" w:eastAsiaTheme="minorEastAsia" w:hAnsiTheme="minorHAnsi"/>
              <w:noProof/>
              <w:lang w:val="el-GR" w:eastAsia="el-GR"/>
            </w:rPr>
          </w:pPr>
          <w:hyperlink w:anchor="_Toc91752461" w:history="1">
            <w:r w:rsidR="00FE4088" w:rsidRPr="00D12D7C">
              <w:rPr>
                <w:rStyle w:val="Hyperlink"/>
                <w:noProof/>
              </w:rPr>
              <w:t>14.4.10.</w:t>
            </w:r>
            <w:r w:rsidR="00FE4088">
              <w:rPr>
                <w:rFonts w:asciiTheme="minorHAnsi" w:eastAsiaTheme="minorEastAsia" w:hAnsiTheme="minorHAnsi"/>
                <w:noProof/>
                <w:lang w:val="el-GR" w:eastAsia="el-GR"/>
              </w:rPr>
              <w:tab/>
            </w:r>
            <w:r w:rsidR="00FE4088" w:rsidRPr="00D12D7C">
              <w:rPr>
                <w:rStyle w:val="Hyperlink"/>
                <w:noProof/>
              </w:rPr>
              <w:t>WWF report on forest carbon accounting standards</w:t>
            </w:r>
            <w:r w:rsidR="00FE4088">
              <w:rPr>
                <w:noProof/>
                <w:webHidden/>
              </w:rPr>
              <w:tab/>
            </w:r>
            <w:r w:rsidR="00FE4088">
              <w:rPr>
                <w:noProof/>
                <w:webHidden/>
              </w:rPr>
              <w:fldChar w:fldCharType="begin"/>
            </w:r>
            <w:r w:rsidR="00FE4088">
              <w:rPr>
                <w:noProof/>
                <w:webHidden/>
              </w:rPr>
              <w:instrText xml:space="preserve"> PAGEREF _Toc91752461 \h </w:instrText>
            </w:r>
            <w:r w:rsidR="00FE4088">
              <w:rPr>
                <w:noProof/>
                <w:webHidden/>
              </w:rPr>
            </w:r>
            <w:r w:rsidR="00FE4088">
              <w:rPr>
                <w:noProof/>
                <w:webHidden/>
              </w:rPr>
              <w:fldChar w:fldCharType="separate"/>
            </w:r>
            <w:r w:rsidR="0073710A">
              <w:rPr>
                <w:noProof/>
                <w:webHidden/>
              </w:rPr>
              <w:t>174</w:t>
            </w:r>
            <w:r w:rsidR="00FE4088">
              <w:rPr>
                <w:noProof/>
                <w:webHidden/>
              </w:rPr>
              <w:fldChar w:fldCharType="end"/>
            </w:r>
          </w:hyperlink>
        </w:p>
        <w:p w14:paraId="628164E7" w14:textId="009FC2B7" w:rsidR="00FE4088" w:rsidRDefault="003B0DE2">
          <w:pPr>
            <w:pStyle w:val="TOC1"/>
            <w:tabs>
              <w:tab w:val="left" w:pos="567"/>
            </w:tabs>
            <w:rPr>
              <w:rFonts w:asciiTheme="minorHAnsi" w:eastAsiaTheme="minorEastAsia" w:hAnsiTheme="minorHAnsi"/>
              <w:noProof/>
              <w:lang w:val="el-GR" w:eastAsia="el-GR"/>
            </w:rPr>
          </w:pPr>
          <w:hyperlink w:anchor="_Toc91752462" w:history="1">
            <w:r w:rsidR="00FE4088" w:rsidRPr="00D12D7C">
              <w:rPr>
                <w:rStyle w:val="Hyperlink"/>
                <w:noProof/>
              </w:rPr>
              <w:t>15.</w:t>
            </w:r>
            <w:r w:rsidR="00FE4088">
              <w:rPr>
                <w:rFonts w:asciiTheme="minorHAnsi" w:eastAsiaTheme="minorEastAsia" w:hAnsiTheme="minorHAnsi"/>
                <w:noProof/>
                <w:lang w:val="el-GR" w:eastAsia="el-GR"/>
              </w:rPr>
              <w:tab/>
            </w:r>
            <w:r w:rsidR="00FE4088" w:rsidRPr="00D12D7C">
              <w:rPr>
                <w:rStyle w:val="Hyperlink"/>
                <w:noProof/>
              </w:rPr>
              <w:t>Carbon offset and absorption projects: public and private initiatives</w:t>
            </w:r>
            <w:r w:rsidR="00FE4088">
              <w:rPr>
                <w:noProof/>
                <w:webHidden/>
              </w:rPr>
              <w:tab/>
            </w:r>
            <w:r w:rsidR="00FE4088">
              <w:rPr>
                <w:noProof/>
                <w:webHidden/>
              </w:rPr>
              <w:fldChar w:fldCharType="begin"/>
            </w:r>
            <w:r w:rsidR="00FE4088">
              <w:rPr>
                <w:noProof/>
                <w:webHidden/>
              </w:rPr>
              <w:instrText xml:space="preserve"> PAGEREF _Toc91752462 \h </w:instrText>
            </w:r>
            <w:r w:rsidR="00FE4088">
              <w:rPr>
                <w:noProof/>
                <w:webHidden/>
              </w:rPr>
            </w:r>
            <w:r w:rsidR="00FE4088">
              <w:rPr>
                <w:noProof/>
                <w:webHidden/>
              </w:rPr>
              <w:fldChar w:fldCharType="separate"/>
            </w:r>
            <w:r w:rsidR="0073710A">
              <w:rPr>
                <w:noProof/>
                <w:webHidden/>
              </w:rPr>
              <w:t>176</w:t>
            </w:r>
            <w:r w:rsidR="00FE4088">
              <w:rPr>
                <w:noProof/>
                <w:webHidden/>
              </w:rPr>
              <w:fldChar w:fldCharType="end"/>
            </w:r>
          </w:hyperlink>
        </w:p>
        <w:p w14:paraId="1908E024" w14:textId="1CEB07F4" w:rsidR="00FE4088" w:rsidRDefault="003B0DE2">
          <w:pPr>
            <w:pStyle w:val="TOC2"/>
            <w:tabs>
              <w:tab w:val="left" w:pos="1100"/>
            </w:tabs>
            <w:rPr>
              <w:rFonts w:asciiTheme="minorHAnsi" w:eastAsiaTheme="minorEastAsia" w:hAnsiTheme="minorHAnsi"/>
              <w:noProof/>
              <w:lang w:val="el-GR" w:eastAsia="el-GR"/>
            </w:rPr>
          </w:pPr>
          <w:hyperlink w:anchor="_Toc91752463" w:history="1">
            <w:r w:rsidR="00FE4088" w:rsidRPr="00D12D7C">
              <w:rPr>
                <w:rStyle w:val="Hyperlink"/>
                <w:noProof/>
              </w:rPr>
              <w:t>15.1.</w:t>
            </w:r>
            <w:r w:rsidR="00FE4088">
              <w:rPr>
                <w:rFonts w:asciiTheme="minorHAnsi" w:eastAsiaTheme="minorEastAsia" w:hAnsiTheme="minorHAnsi"/>
                <w:noProof/>
                <w:lang w:val="el-GR" w:eastAsia="el-GR"/>
              </w:rPr>
              <w:tab/>
            </w:r>
            <w:r w:rsidR="00FE4088" w:rsidRPr="00D12D7C">
              <w:rPr>
                <w:rStyle w:val="Hyperlink"/>
                <w:noProof/>
              </w:rPr>
              <w:t>Public initiatives</w:t>
            </w:r>
            <w:r w:rsidR="00FE4088">
              <w:rPr>
                <w:noProof/>
                <w:webHidden/>
              </w:rPr>
              <w:tab/>
            </w:r>
            <w:r w:rsidR="00FE4088">
              <w:rPr>
                <w:noProof/>
                <w:webHidden/>
              </w:rPr>
              <w:fldChar w:fldCharType="begin"/>
            </w:r>
            <w:r w:rsidR="00FE4088">
              <w:rPr>
                <w:noProof/>
                <w:webHidden/>
              </w:rPr>
              <w:instrText xml:space="preserve"> PAGEREF _Toc91752463 \h </w:instrText>
            </w:r>
            <w:r w:rsidR="00FE4088">
              <w:rPr>
                <w:noProof/>
                <w:webHidden/>
              </w:rPr>
            </w:r>
            <w:r w:rsidR="00FE4088">
              <w:rPr>
                <w:noProof/>
                <w:webHidden/>
              </w:rPr>
              <w:fldChar w:fldCharType="separate"/>
            </w:r>
            <w:r w:rsidR="0073710A">
              <w:rPr>
                <w:noProof/>
                <w:webHidden/>
              </w:rPr>
              <w:t>176</w:t>
            </w:r>
            <w:r w:rsidR="00FE4088">
              <w:rPr>
                <w:noProof/>
                <w:webHidden/>
              </w:rPr>
              <w:fldChar w:fldCharType="end"/>
            </w:r>
          </w:hyperlink>
        </w:p>
        <w:p w14:paraId="048B7FFA" w14:textId="3F258399" w:rsidR="00FE4088" w:rsidRDefault="003B0DE2">
          <w:pPr>
            <w:pStyle w:val="TOC2"/>
            <w:tabs>
              <w:tab w:val="left" w:pos="1100"/>
            </w:tabs>
            <w:rPr>
              <w:rFonts w:asciiTheme="minorHAnsi" w:eastAsiaTheme="minorEastAsia" w:hAnsiTheme="minorHAnsi"/>
              <w:noProof/>
              <w:lang w:val="el-GR" w:eastAsia="el-GR"/>
            </w:rPr>
          </w:pPr>
          <w:hyperlink w:anchor="_Toc91752464" w:history="1">
            <w:r w:rsidR="00FE4088" w:rsidRPr="00D12D7C">
              <w:rPr>
                <w:rStyle w:val="Hyperlink"/>
                <w:noProof/>
              </w:rPr>
              <w:t>15.2.</w:t>
            </w:r>
            <w:r w:rsidR="00FE4088">
              <w:rPr>
                <w:rFonts w:asciiTheme="minorHAnsi" w:eastAsiaTheme="minorEastAsia" w:hAnsiTheme="minorHAnsi"/>
                <w:noProof/>
                <w:lang w:val="el-GR" w:eastAsia="el-GR"/>
              </w:rPr>
              <w:tab/>
            </w:r>
            <w:r w:rsidR="00FE4088" w:rsidRPr="00D12D7C">
              <w:rPr>
                <w:rStyle w:val="Hyperlink"/>
                <w:noProof/>
              </w:rPr>
              <w:t>CDM Projects</w:t>
            </w:r>
            <w:r w:rsidR="00FE4088">
              <w:rPr>
                <w:noProof/>
                <w:webHidden/>
              </w:rPr>
              <w:tab/>
            </w:r>
            <w:r w:rsidR="00FE4088">
              <w:rPr>
                <w:noProof/>
                <w:webHidden/>
              </w:rPr>
              <w:fldChar w:fldCharType="begin"/>
            </w:r>
            <w:r w:rsidR="00FE4088">
              <w:rPr>
                <w:noProof/>
                <w:webHidden/>
              </w:rPr>
              <w:instrText xml:space="preserve"> PAGEREF _Toc91752464 \h </w:instrText>
            </w:r>
            <w:r w:rsidR="00FE4088">
              <w:rPr>
                <w:noProof/>
                <w:webHidden/>
              </w:rPr>
            </w:r>
            <w:r w:rsidR="00FE4088">
              <w:rPr>
                <w:noProof/>
                <w:webHidden/>
              </w:rPr>
              <w:fldChar w:fldCharType="separate"/>
            </w:r>
            <w:r w:rsidR="0073710A">
              <w:rPr>
                <w:noProof/>
                <w:webHidden/>
              </w:rPr>
              <w:t>178</w:t>
            </w:r>
            <w:r w:rsidR="00FE4088">
              <w:rPr>
                <w:noProof/>
                <w:webHidden/>
              </w:rPr>
              <w:fldChar w:fldCharType="end"/>
            </w:r>
          </w:hyperlink>
        </w:p>
        <w:p w14:paraId="76B94474" w14:textId="4B18D82A" w:rsidR="00FE4088" w:rsidRDefault="003B0DE2">
          <w:pPr>
            <w:pStyle w:val="TOC2"/>
            <w:tabs>
              <w:tab w:val="left" w:pos="1100"/>
            </w:tabs>
            <w:rPr>
              <w:rFonts w:asciiTheme="minorHAnsi" w:eastAsiaTheme="minorEastAsia" w:hAnsiTheme="minorHAnsi"/>
              <w:noProof/>
              <w:lang w:val="el-GR" w:eastAsia="el-GR"/>
            </w:rPr>
          </w:pPr>
          <w:hyperlink w:anchor="_Toc91752465" w:history="1">
            <w:r w:rsidR="00FE4088" w:rsidRPr="00D12D7C">
              <w:rPr>
                <w:rStyle w:val="Hyperlink"/>
                <w:noProof/>
              </w:rPr>
              <w:t>15.3.</w:t>
            </w:r>
            <w:r w:rsidR="00FE4088">
              <w:rPr>
                <w:rFonts w:asciiTheme="minorHAnsi" w:eastAsiaTheme="minorEastAsia" w:hAnsiTheme="minorHAnsi"/>
                <w:noProof/>
                <w:lang w:val="el-GR" w:eastAsia="el-GR"/>
              </w:rPr>
              <w:tab/>
            </w:r>
            <w:r w:rsidR="00FE4088" w:rsidRPr="00D12D7C">
              <w:rPr>
                <w:rStyle w:val="Hyperlink"/>
                <w:noProof/>
              </w:rPr>
              <w:t>Private initiatives - Voluntary Carbon Offset Projects</w:t>
            </w:r>
            <w:r w:rsidR="00FE4088">
              <w:rPr>
                <w:noProof/>
                <w:webHidden/>
              </w:rPr>
              <w:tab/>
            </w:r>
            <w:r w:rsidR="00FE4088">
              <w:rPr>
                <w:noProof/>
                <w:webHidden/>
              </w:rPr>
              <w:fldChar w:fldCharType="begin"/>
            </w:r>
            <w:r w:rsidR="00FE4088">
              <w:rPr>
                <w:noProof/>
                <w:webHidden/>
              </w:rPr>
              <w:instrText xml:space="preserve"> PAGEREF _Toc91752465 \h </w:instrText>
            </w:r>
            <w:r w:rsidR="00FE4088">
              <w:rPr>
                <w:noProof/>
                <w:webHidden/>
              </w:rPr>
            </w:r>
            <w:r w:rsidR="00FE4088">
              <w:rPr>
                <w:noProof/>
                <w:webHidden/>
              </w:rPr>
              <w:fldChar w:fldCharType="separate"/>
            </w:r>
            <w:r w:rsidR="0073710A">
              <w:rPr>
                <w:noProof/>
                <w:webHidden/>
              </w:rPr>
              <w:t>183</w:t>
            </w:r>
            <w:r w:rsidR="00FE4088">
              <w:rPr>
                <w:noProof/>
                <w:webHidden/>
              </w:rPr>
              <w:fldChar w:fldCharType="end"/>
            </w:r>
          </w:hyperlink>
        </w:p>
        <w:p w14:paraId="3C83FD8B" w14:textId="3D012AD3" w:rsidR="00FE4088" w:rsidRDefault="003B0DE2">
          <w:pPr>
            <w:pStyle w:val="TOC1"/>
            <w:tabs>
              <w:tab w:val="left" w:pos="567"/>
            </w:tabs>
            <w:rPr>
              <w:rFonts w:asciiTheme="minorHAnsi" w:eastAsiaTheme="minorEastAsia" w:hAnsiTheme="minorHAnsi"/>
              <w:noProof/>
              <w:lang w:val="el-GR" w:eastAsia="el-GR"/>
            </w:rPr>
          </w:pPr>
          <w:hyperlink w:anchor="_Toc91752466" w:history="1">
            <w:r w:rsidR="00FE4088" w:rsidRPr="00D12D7C">
              <w:rPr>
                <w:rStyle w:val="Hyperlink"/>
                <w:noProof/>
              </w:rPr>
              <w:t>16.</w:t>
            </w:r>
            <w:r w:rsidR="00FE4088">
              <w:rPr>
                <w:rFonts w:asciiTheme="minorHAnsi" w:eastAsiaTheme="minorEastAsia" w:hAnsiTheme="minorHAnsi"/>
                <w:noProof/>
                <w:lang w:val="el-GR" w:eastAsia="el-GR"/>
              </w:rPr>
              <w:tab/>
            </w:r>
            <w:r w:rsidR="00FE4088" w:rsidRPr="00D12D7C">
              <w:rPr>
                <w:rStyle w:val="Hyperlink"/>
                <w:noProof/>
              </w:rPr>
              <w:t>New methodologies and research not included in current standards</w:t>
            </w:r>
            <w:r w:rsidR="00FE4088">
              <w:rPr>
                <w:noProof/>
                <w:webHidden/>
              </w:rPr>
              <w:tab/>
            </w:r>
            <w:r w:rsidR="00FE4088">
              <w:rPr>
                <w:noProof/>
                <w:webHidden/>
              </w:rPr>
              <w:fldChar w:fldCharType="begin"/>
            </w:r>
            <w:r w:rsidR="00FE4088">
              <w:rPr>
                <w:noProof/>
                <w:webHidden/>
              </w:rPr>
              <w:instrText xml:space="preserve"> PAGEREF _Toc91752466 \h </w:instrText>
            </w:r>
            <w:r w:rsidR="00FE4088">
              <w:rPr>
                <w:noProof/>
                <w:webHidden/>
              </w:rPr>
            </w:r>
            <w:r w:rsidR="00FE4088">
              <w:rPr>
                <w:noProof/>
                <w:webHidden/>
              </w:rPr>
              <w:fldChar w:fldCharType="separate"/>
            </w:r>
            <w:r w:rsidR="0073710A">
              <w:rPr>
                <w:noProof/>
                <w:webHidden/>
              </w:rPr>
              <w:t>190</w:t>
            </w:r>
            <w:r w:rsidR="00FE4088">
              <w:rPr>
                <w:noProof/>
                <w:webHidden/>
              </w:rPr>
              <w:fldChar w:fldCharType="end"/>
            </w:r>
          </w:hyperlink>
        </w:p>
        <w:p w14:paraId="2EA28A73" w14:textId="2CFA7A53" w:rsidR="00FE4088" w:rsidRDefault="003B0DE2">
          <w:pPr>
            <w:pStyle w:val="TOC2"/>
            <w:tabs>
              <w:tab w:val="left" w:pos="1100"/>
            </w:tabs>
            <w:rPr>
              <w:rFonts w:asciiTheme="minorHAnsi" w:eastAsiaTheme="minorEastAsia" w:hAnsiTheme="minorHAnsi"/>
              <w:noProof/>
              <w:lang w:val="el-GR" w:eastAsia="el-GR"/>
            </w:rPr>
          </w:pPr>
          <w:hyperlink w:anchor="_Toc91752467" w:history="1">
            <w:r w:rsidR="00FE4088" w:rsidRPr="00D12D7C">
              <w:rPr>
                <w:rStyle w:val="Hyperlink"/>
                <w:noProof/>
              </w:rPr>
              <w:t>16.1.</w:t>
            </w:r>
            <w:r w:rsidR="00FE4088">
              <w:rPr>
                <w:rFonts w:asciiTheme="minorHAnsi" w:eastAsiaTheme="minorEastAsia" w:hAnsiTheme="minorHAnsi"/>
                <w:noProof/>
                <w:lang w:val="el-GR" w:eastAsia="el-GR"/>
              </w:rPr>
              <w:tab/>
            </w:r>
            <w:r w:rsidR="00FE4088" w:rsidRPr="00D12D7C">
              <w:rPr>
                <w:rStyle w:val="Hyperlink"/>
                <w:noProof/>
              </w:rPr>
              <w:t>Carbon Offsetting and Reduction Scheme for International Aviation – CORSIA</w:t>
            </w:r>
            <w:r w:rsidR="00FE4088">
              <w:rPr>
                <w:noProof/>
                <w:webHidden/>
              </w:rPr>
              <w:tab/>
            </w:r>
            <w:r w:rsidR="00FE4088">
              <w:rPr>
                <w:noProof/>
                <w:webHidden/>
              </w:rPr>
              <w:fldChar w:fldCharType="begin"/>
            </w:r>
            <w:r w:rsidR="00FE4088">
              <w:rPr>
                <w:noProof/>
                <w:webHidden/>
              </w:rPr>
              <w:instrText xml:space="preserve"> PAGEREF _Toc91752467 \h </w:instrText>
            </w:r>
            <w:r w:rsidR="00FE4088">
              <w:rPr>
                <w:noProof/>
                <w:webHidden/>
              </w:rPr>
            </w:r>
            <w:r w:rsidR="00FE4088">
              <w:rPr>
                <w:noProof/>
                <w:webHidden/>
              </w:rPr>
              <w:fldChar w:fldCharType="separate"/>
            </w:r>
            <w:r w:rsidR="0073710A">
              <w:rPr>
                <w:noProof/>
                <w:webHidden/>
              </w:rPr>
              <w:t>190</w:t>
            </w:r>
            <w:r w:rsidR="00FE4088">
              <w:rPr>
                <w:noProof/>
                <w:webHidden/>
              </w:rPr>
              <w:fldChar w:fldCharType="end"/>
            </w:r>
          </w:hyperlink>
        </w:p>
        <w:p w14:paraId="2CA62629" w14:textId="7584417F" w:rsidR="00FE4088" w:rsidRDefault="003B0DE2">
          <w:pPr>
            <w:pStyle w:val="TOC1"/>
            <w:tabs>
              <w:tab w:val="left" w:pos="567"/>
            </w:tabs>
            <w:rPr>
              <w:rFonts w:asciiTheme="minorHAnsi" w:eastAsiaTheme="minorEastAsia" w:hAnsiTheme="minorHAnsi"/>
              <w:noProof/>
              <w:lang w:val="el-GR" w:eastAsia="el-GR"/>
            </w:rPr>
          </w:pPr>
          <w:hyperlink w:anchor="_Toc91752468" w:history="1">
            <w:r w:rsidR="00FE4088" w:rsidRPr="00D12D7C">
              <w:rPr>
                <w:rStyle w:val="Hyperlink"/>
                <w:noProof/>
              </w:rPr>
              <w:t>17.</w:t>
            </w:r>
            <w:r w:rsidR="00FE4088">
              <w:rPr>
                <w:rFonts w:asciiTheme="minorHAnsi" w:eastAsiaTheme="minorEastAsia" w:hAnsiTheme="minorHAnsi"/>
                <w:noProof/>
                <w:lang w:val="el-GR" w:eastAsia="el-GR"/>
              </w:rPr>
              <w:tab/>
            </w:r>
            <w:r w:rsidR="00FE4088" w:rsidRPr="00D12D7C">
              <w:rPr>
                <w:rStyle w:val="Hyperlink"/>
                <w:noProof/>
              </w:rPr>
              <w:t>Result-Based Climate Financing</w:t>
            </w:r>
            <w:r w:rsidR="00FE4088">
              <w:rPr>
                <w:noProof/>
                <w:webHidden/>
              </w:rPr>
              <w:tab/>
            </w:r>
            <w:r w:rsidR="00FE4088">
              <w:rPr>
                <w:noProof/>
                <w:webHidden/>
              </w:rPr>
              <w:fldChar w:fldCharType="begin"/>
            </w:r>
            <w:r w:rsidR="00FE4088">
              <w:rPr>
                <w:noProof/>
                <w:webHidden/>
              </w:rPr>
              <w:instrText xml:space="preserve"> PAGEREF _Toc91752468 \h </w:instrText>
            </w:r>
            <w:r w:rsidR="00FE4088">
              <w:rPr>
                <w:noProof/>
                <w:webHidden/>
              </w:rPr>
            </w:r>
            <w:r w:rsidR="00FE4088">
              <w:rPr>
                <w:noProof/>
                <w:webHidden/>
              </w:rPr>
              <w:fldChar w:fldCharType="separate"/>
            </w:r>
            <w:r w:rsidR="0073710A">
              <w:rPr>
                <w:noProof/>
                <w:webHidden/>
              </w:rPr>
              <w:t>192</w:t>
            </w:r>
            <w:r w:rsidR="00FE4088">
              <w:rPr>
                <w:noProof/>
                <w:webHidden/>
              </w:rPr>
              <w:fldChar w:fldCharType="end"/>
            </w:r>
          </w:hyperlink>
        </w:p>
        <w:p w14:paraId="7D12B833" w14:textId="1D3F9DAF" w:rsidR="00FE4088" w:rsidRDefault="003B0DE2">
          <w:pPr>
            <w:pStyle w:val="TOC2"/>
            <w:tabs>
              <w:tab w:val="left" w:pos="1100"/>
            </w:tabs>
            <w:rPr>
              <w:rFonts w:asciiTheme="minorHAnsi" w:eastAsiaTheme="minorEastAsia" w:hAnsiTheme="minorHAnsi"/>
              <w:noProof/>
              <w:lang w:val="el-GR" w:eastAsia="el-GR"/>
            </w:rPr>
          </w:pPr>
          <w:hyperlink w:anchor="_Toc91752469" w:history="1">
            <w:r w:rsidR="00FE4088" w:rsidRPr="00D12D7C">
              <w:rPr>
                <w:rStyle w:val="Hyperlink"/>
                <w:noProof/>
                <w:lang w:eastAsia="el-GR"/>
              </w:rPr>
              <w:t>17.1.</w:t>
            </w:r>
            <w:r w:rsidR="00FE4088">
              <w:rPr>
                <w:rFonts w:asciiTheme="minorHAnsi" w:eastAsiaTheme="minorEastAsia" w:hAnsiTheme="minorHAnsi"/>
                <w:noProof/>
                <w:lang w:val="el-GR" w:eastAsia="el-GR"/>
              </w:rPr>
              <w:tab/>
            </w:r>
            <w:r w:rsidR="00FE4088" w:rsidRPr="00D12D7C">
              <w:rPr>
                <w:rStyle w:val="Hyperlink"/>
                <w:noProof/>
                <w:lang w:eastAsia="el-GR"/>
              </w:rPr>
              <w:t>UN REDD Program</w:t>
            </w:r>
            <w:r w:rsidR="00FE4088">
              <w:rPr>
                <w:noProof/>
                <w:webHidden/>
              </w:rPr>
              <w:tab/>
            </w:r>
            <w:r w:rsidR="00FE4088">
              <w:rPr>
                <w:noProof/>
                <w:webHidden/>
              </w:rPr>
              <w:fldChar w:fldCharType="begin"/>
            </w:r>
            <w:r w:rsidR="00FE4088">
              <w:rPr>
                <w:noProof/>
                <w:webHidden/>
              </w:rPr>
              <w:instrText xml:space="preserve"> PAGEREF _Toc91752469 \h </w:instrText>
            </w:r>
            <w:r w:rsidR="00FE4088">
              <w:rPr>
                <w:noProof/>
                <w:webHidden/>
              </w:rPr>
            </w:r>
            <w:r w:rsidR="00FE4088">
              <w:rPr>
                <w:noProof/>
                <w:webHidden/>
              </w:rPr>
              <w:fldChar w:fldCharType="separate"/>
            </w:r>
            <w:r w:rsidR="0073710A">
              <w:rPr>
                <w:noProof/>
                <w:webHidden/>
              </w:rPr>
              <w:t>193</w:t>
            </w:r>
            <w:r w:rsidR="00FE4088">
              <w:rPr>
                <w:noProof/>
                <w:webHidden/>
              </w:rPr>
              <w:fldChar w:fldCharType="end"/>
            </w:r>
          </w:hyperlink>
        </w:p>
        <w:p w14:paraId="52317D67" w14:textId="537DBCE4" w:rsidR="00FE4088" w:rsidRDefault="003B0DE2">
          <w:pPr>
            <w:pStyle w:val="TOC2"/>
            <w:tabs>
              <w:tab w:val="left" w:pos="1100"/>
            </w:tabs>
            <w:rPr>
              <w:rFonts w:asciiTheme="minorHAnsi" w:eastAsiaTheme="minorEastAsia" w:hAnsiTheme="minorHAnsi"/>
              <w:noProof/>
              <w:lang w:val="el-GR" w:eastAsia="el-GR"/>
            </w:rPr>
          </w:pPr>
          <w:hyperlink w:anchor="_Toc91752470" w:history="1">
            <w:r w:rsidR="00FE4088" w:rsidRPr="00D12D7C">
              <w:rPr>
                <w:rStyle w:val="Hyperlink"/>
                <w:noProof/>
              </w:rPr>
              <w:t>17.2.</w:t>
            </w:r>
            <w:r w:rsidR="00FE4088">
              <w:rPr>
                <w:rFonts w:asciiTheme="minorHAnsi" w:eastAsiaTheme="minorEastAsia" w:hAnsiTheme="minorHAnsi"/>
                <w:noProof/>
                <w:lang w:val="el-GR" w:eastAsia="el-GR"/>
              </w:rPr>
              <w:tab/>
            </w:r>
            <w:r w:rsidR="00FE4088" w:rsidRPr="00D12D7C">
              <w:rPr>
                <w:rStyle w:val="Hyperlink"/>
                <w:noProof/>
              </w:rPr>
              <w:t>Activities out of the box</w:t>
            </w:r>
            <w:r w:rsidR="00FE4088">
              <w:rPr>
                <w:noProof/>
                <w:webHidden/>
              </w:rPr>
              <w:tab/>
            </w:r>
            <w:r w:rsidR="00FE4088">
              <w:rPr>
                <w:noProof/>
                <w:webHidden/>
              </w:rPr>
              <w:fldChar w:fldCharType="begin"/>
            </w:r>
            <w:r w:rsidR="00FE4088">
              <w:rPr>
                <w:noProof/>
                <w:webHidden/>
              </w:rPr>
              <w:instrText xml:space="preserve"> PAGEREF _Toc91752470 \h </w:instrText>
            </w:r>
            <w:r w:rsidR="00FE4088">
              <w:rPr>
                <w:noProof/>
                <w:webHidden/>
              </w:rPr>
            </w:r>
            <w:r w:rsidR="00FE4088">
              <w:rPr>
                <w:noProof/>
                <w:webHidden/>
              </w:rPr>
              <w:fldChar w:fldCharType="separate"/>
            </w:r>
            <w:r w:rsidR="0073710A">
              <w:rPr>
                <w:noProof/>
                <w:webHidden/>
              </w:rPr>
              <w:t>194</w:t>
            </w:r>
            <w:r w:rsidR="00FE4088">
              <w:rPr>
                <w:noProof/>
                <w:webHidden/>
              </w:rPr>
              <w:fldChar w:fldCharType="end"/>
            </w:r>
          </w:hyperlink>
        </w:p>
        <w:p w14:paraId="4FA4C271" w14:textId="1A660CA9" w:rsidR="00FE4088" w:rsidRDefault="003B0DE2">
          <w:pPr>
            <w:pStyle w:val="TOC1"/>
            <w:tabs>
              <w:tab w:val="left" w:pos="567"/>
            </w:tabs>
            <w:rPr>
              <w:rFonts w:asciiTheme="minorHAnsi" w:eastAsiaTheme="minorEastAsia" w:hAnsiTheme="minorHAnsi"/>
              <w:noProof/>
              <w:lang w:val="el-GR" w:eastAsia="el-GR"/>
            </w:rPr>
          </w:pPr>
          <w:hyperlink w:anchor="_Toc91752471" w:history="1">
            <w:r w:rsidR="00FE4088" w:rsidRPr="00D12D7C">
              <w:rPr>
                <w:rStyle w:val="Hyperlink"/>
                <w:noProof/>
              </w:rPr>
              <w:t>18.</w:t>
            </w:r>
            <w:r w:rsidR="00FE4088">
              <w:rPr>
                <w:rFonts w:asciiTheme="minorHAnsi" w:eastAsiaTheme="minorEastAsia" w:hAnsiTheme="minorHAnsi"/>
                <w:noProof/>
                <w:lang w:val="el-GR" w:eastAsia="el-GR"/>
              </w:rPr>
              <w:tab/>
            </w:r>
            <w:r w:rsidR="00FE4088" w:rsidRPr="00D12D7C">
              <w:rPr>
                <w:rStyle w:val="Hyperlink"/>
                <w:noProof/>
              </w:rPr>
              <w:t>Implementation of sustainable management for MLs</w:t>
            </w:r>
            <w:r w:rsidR="00FE4088">
              <w:rPr>
                <w:noProof/>
                <w:webHidden/>
              </w:rPr>
              <w:tab/>
            </w:r>
            <w:r w:rsidR="00FE4088">
              <w:rPr>
                <w:noProof/>
                <w:webHidden/>
              </w:rPr>
              <w:fldChar w:fldCharType="begin"/>
            </w:r>
            <w:r w:rsidR="00FE4088">
              <w:rPr>
                <w:noProof/>
                <w:webHidden/>
              </w:rPr>
              <w:instrText xml:space="preserve"> PAGEREF _Toc91752471 \h </w:instrText>
            </w:r>
            <w:r w:rsidR="00FE4088">
              <w:rPr>
                <w:noProof/>
                <w:webHidden/>
              </w:rPr>
            </w:r>
            <w:r w:rsidR="00FE4088">
              <w:rPr>
                <w:noProof/>
                <w:webHidden/>
              </w:rPr>
              <w:fldChar w:fldCharType="separate"/>
            </w:r>
            <w:r w:rsidR="0073710A">
              <w:rPr>
                <w:noProof/>
                <w:webHidden/>
              </w:rPr>
              <w:t>196</w:t>
            </w:r>
            <w:r w:rsidR="00FE4088">
              <w:rPr>
                <w:noProof/>
                <w:webHidden/>
              </w:rPr>
              <w:fldChar w:fldCharType="end"/>
            </w:r>
          </w:hyperlink>
        </w:p>
        <w:p w14:paraId="7EC443B6" w14:textId="21EF15E9" w:rsidR="00FE4088" w:rsidRDefault="003B0DE2">
          <w:pPr>
            <w:pStyle w:val="TOC2"/>
            <w:tabs>
              <w:tab w:val="left" w:pos="1100"/>
            </w:tabs>
            <w:rPr>
              <w:rFonts w:asciiTheme="minorHAnsi" w:eastAsiaTheme="minorEastAsia" w:hAnsiTheme="minorHAnsi"/>
              <w:noProof/>
              <w:lang w:val="el-GR" w:eastAsia="el-GR"/>
            </w:rPr>
          </w:pPr>
          <w:hyperlink w:anchor="_Toc91752472" w:history="1">
            <w:r w:rsidR="00FE4088" w:rsidRPr="00D12D7C">
              <w:rPr>
                <w:rStyle w:val="Hyperlink"/>
                <w:noProof/>
              </w:rPr>
              <w:t>18.1.</w:t>
            </w:r>
            <w:r w:rsidR="00FE4088">
              <w:rPr>
                <w:rFonts w:asciiTheme="minorHAnsi" w:eastAsiaTheme="minorEastAsia" w:hAnsiTheme="minorHAnsi"/>
                <w:noProof/>
                <w:lang w:val="el-GR" w:eastAsia="el-GR"/>
              </w:rPr>
              <w:tab/>
            </w:r>
            <w:r w:rsidR="00FE4088" w:rsidRPr="00D12D7C">
              <w:rPr>
                <w:rStyle w:val="Hyperlink"/>
                <w:noProof/>
              </w:rPr>
              <w:t>Carbon offset Projects</w:t>
            </w:r>
            <w:r w:rsidR="00FE4088">
              <w:rPr>
                <w:noProof/>
                <w:webHidden/>
              </w:rPr>
              <w:tab/>
            </w:r>
            <w:r w:rsidR="00FE4088">
              <w:rPr>
                <w:noProof/>
                <w:webHidden/>
              </w:rPr>
              <w:fldChar w:fldCharType="begin"/>
            </w:r>
            <w:r w:rsidR="00FE4088">
              <w:rPr>
                <w:noProof/>
                <w:webHidden/>
              </w:rPr>
              <w:instrText xml:space="preserve"> PAGEREF _Toc91752472 \h </w:instrText>
            </w:r>
            <w:r w:rsidR="00FE4088">
              <w:rPr>
                <w:noProof/>
                <w:webHidden/>
              </w:rPr>
            </w:r>
            <w:r w:rsidR="00FE4088">
              <w:rPr>
                <w:noProof/>
                <w:webHidden/>
              </w:rPr>
              <w:fldChar w:fldCharType="separate"/>
            </w:r>
            <w:r w:rsidR="0073710A">
              <w:rPr>
                <w:noProof/>
                <w:webHidden/>
              </w:rPr>
              <w:t>196</w:t>
            </w:r>
            <w:r w:rsidR="00FE4088">
              <w:rPr>
                <w:noProof/>
                <w:webHidden/>
              </w:rPr>
              <w:fldChar w:fldCharType="end"/>
            </w:r>
          </w:hyperlink>
        </w:p>
        <w:p w14:paraId="4A669514" w14:textId="6104432C" w:rsidR="00FE4088" w:rsidRDefault="003B0DE2">
          <w:pPr>
            <w:pStyle w:val="TOC2"/>
            <w:tabs>
              <w:tab w:val="left" w:pos="1100"/>
            </w:tabs>
            <w:rPr>
              <w:rFonts w:asciiTheme="minorHAnsi" w:eastAsiaTheme="minorEastAsia" w:hAnsiTheme="minorHAnsi"/>
              <w:noProof/>
              <w:lang w:val="el-GR" w:eastAsia="el-GR"/>
            </w:rPr>
          </w:pPr>
          <w:hyperlink w:anchor="_Toc91752473" w:history="1">
            <w:r w:rsidR="00FE4088" w:rsidRPr="00D12D7C">
              <w:rPr>
                <w:rStyle w:val="Hyperlink"/>
                <w:noProof/>
              </w:rPr>
              <w:t>18.2.</w:t>
            </w:r>
            <w:r w:rsidR="00FE4088">
              <w:rPr>
                <w:rFonts w:asciiTheme="minorHAnsi" w:eastAsiaTheme="minorEastAsia" w:hAnsiTheme="minorHAnsi"/>
                <w:noProof/>
                <w:lang w:val="el-GR" w:eastAsia="el-GR"/>
              </w:rPr>
              <w:tab/>
            </w:r>
            <w:r w:rsidR="00FE4088" w:rsidRPr="00D12D7C">
              <w:rPr>
                <w:rStyle w:val="Hyperlink"/>
                <w:noProof/>
              </w:rPr>
              <w:t>Implementation of offset Project</w:t>
            </w:r>
            <w:r w:rsidR="00FE4088">
              <w:rPr>
                <w:noProof/>
                <w:webHidden/>
              </w:rPr>
              <w:tab/>
            </w:r>
            <w:r w:rsidR="00FE4088">
              <w:rPr>
                <w:noProof/>
                <w:webHidden/>
              </w:rPr>
              <w:fldChar w:fldCharType="begin"/>
            </w:r>
            <w:r w:rsidR="00FE4088">
              <w:rPr>
                <w:noProof/>
                <w:webHidden/>
              </w:rPr>
              <w:instrText xml:space="preserve"> PAGEREF _Toc91752473 \h </w:instrText>
            </w:r>
            <w:r w:rsidR="00FE4088">
              <w:rPr>
                <w:noProof/>
                <w:webHidden/>
              </w:rPr>
            </w:r>
            <w:r w:rsidR="00FE4088">
              <w:rPr>
                <w:noProof/>
                <w:webHidden/>
              </w:rPr>
              <w:fldChar w:fldCharType="separate"/>
            </w:r>
            <w:r w:rsidR="0073710A">
              <w:rPr>
                <w:noProof/>
                <w:webHidden/>
              </w:rPr>
              <w:t>198</w:t>
            </w:r>
            <w:r w:rsidR="00FE4088">
              <w:rPr>
                <w:noProof/>
                <w:webHidden/>
              </w:rPr>
              <w:fldChar w:fldCharType="end"/>
            </w:r>
          </w:hyperlink>
        </w:p>
        <w:p w14:paraId="5C71F2C3" w14:textId="235092A3" w:rsidR="00FE4088" w:rsidRDefault="003B0DE2">
          <w:pPr>
            <w:pStyle w:val="TOC2"/>
            <w:tabs>
              <w:tab w:val="left" w:pos="1100"/>
            </w:tabs>
            <w:rPr>
              <w:rFonts w:asciiTheme="minorHAnsi" w:eastAsiaTheme="minorEastAsia" w:hAnsiTheme="minorHAnsi"/>
              <w:noProof/>
              <w:lang w:val="el-GR" w:eastAsia="el-GR"/>
            </w:rPr>
          </w:pPr>
          <w:hyperlink w:anchor="_Toc91752474" w:history="1">
            <w:r w:rsidR="00FE4088" w:rsidRPr="00D12D7C">
              <w:rPr>
                <w:rStyle w:val="Hyperlink"/>
                <w:noProof/>
              </w:rPr>
              <w:t>18.3.</w:t>
            </w:r>
            <w:r w:rsidR="00FE4088">
              <w:rPr>
                <w:rFonts w:asciiTheme="minorHAnsi" w:eastAsiaTheme="minorEastAsia" w:hAnsiTheme="minorHAnsi"/>
                <w:noProof/>
                <w:lang w:val="el-GR" w:eastAsia="el-GR"/>
              </w:rPr>
              <w:tab/>
            </w:r>
            <w:r w:rsidR="00FE4088" w:rsidRPr="00D12D7C">
              <w:rPr>
                <w:rStyle w:val="Hyperlink"/>
                <w:noProof/>
              </w:rPr>
              <w:t>Carbon offset Programs</w:t>
            </w:r>
            <w:r w:rsidR="00FE4088">
              <w:rPr>
                <w:noProof/>
                <w:webHidden/>
              </w:rPr>
              <w:tab/>
            </w:r>
            <w:r w:rsidR="00FE4088">
              <w:rPr>
                <w:noProof/>
                <w:webHidden/>
              </w:rPr>
              <w:fldChar w:fldCharType="begin"/>
            </w:r>
            <w:r w:rsidR="00FE4088">
              <w:rPr>
                <w:noProof/>
                <w:webHidden/>
              </w:rPr>
              <w:instrText xml:space="preserve"> PAGEREF _Toc91752474 \h </w:instrText>
            </w:r>
            <w:r w:rsidR="00FE4088">
              <w:rPr>
                <w:noProof/>
                <w:webHidden/>
              </w:rPr>
            </w:r>
            <w:r w:rsidR="00FE4088">
              <w:rPr>
                <w:noProof/>
                <w:webHidden/>
              </w:rPr>
              <w:fldChar w:fldCharType="separate"/>
            </w:r>
            <w:r w:rsidR="0073710A">
              <w:rPr>
                <w:noProof/>
                <w:webHidden/>
              </w:rPr>
              <w:t>200</w:t>
            </w:r>
            <w:r w:rsidR="00FE4088">
              <w:rPr>
                <w:noProof/>
                <w:webHidden/>
              </w:rPr>
              <w:fldChar w:fldCharType="end"/>
            </w:r>
          </w:hyperlink>
        </w:p>
        <w:p w14:paraId="1A7AFC28" w14:textId="1FF78863" w:rsidR="00FE4088" w:rsidRDefault="003B0DE2">
          <w:pPr>
            <w:pStyle w:val="TOC2"/>
            <w:tabs>
              <w:tab w:val="left" w:pos="1320"/>
            </w:tabs>
            <w:rPr>
              <w:rFonts w:asciiTheme="minorHAnsi" w:eastAsiaTheme="minorEastAsia" w:hAnsiTheme="minorHAnsi"/>
              <w:noProof/>
              <w:lang w:val="el-GR" w:eastAsia="el-GR"/>
            </w:rPr>
          </w:pPr>
          <w:hyperlink w:anchor="_Toc91752475" w:history="1">
            <w:r w:rsidR="00FE4088" w:rsidRPr="00D12D7C">
              <w:rPr>
                <w:rStyle w:val="Hyperlink"/>
                <w:noProof/>
              </w:rPr>
              <w:t>18.3.1.</w:t>
            </w:r>
            <w:r w:rsidR="00FE4088">
              <w:rPr>
                <w:rFonts w:asciiTheme="minorHAnsi" w:eastAsiaTheme="minorEastAsia" w:hAnsiTheme="minorHAnsi"/>
                <w:noProof/>
                <w:lang w:val="el-GR" w:eastAsia="el-GR"/>
              </w:rPr>
              <w:tab/>
            </w:r>
            <w:r w:rsidR="00FE4088" w:rsidRPr="00D12D7C">
              <w:rPr>
                <w:rStyle w:val="Hyperlink"/>
                <w:noProof/>
              </w:rPr>
              <w:t>The Gold Standard</w:t>
            </w:r>
            <w:r w:rsidR="00FE4088">
              <w:rPr>
                <w:noProof/>
                <w:webHidden/>
              </w:rPr>
              <w:tab/>
            </w:r>
            <w:r w:rsidR="00FE4088">
              <w:rPr>
                <w:noProof/>
                <w:webHidden/>
              </w:rPr>
              <w:fldChar w:fldCharType="begin"/>
            </w:r>
            <w:r w:rsidR="00FE4088">
              <w:rPr>
                <w:noProof/>
                <w:webHidden/>
              </w:rPr>
              <w:instrText xml:space="preserve"> PAGEREF _Toc91752475 \h </w:instrText>
            </w:r>
            <w:r w:rsidR="00FE4088">
              <w:rPr>
                <w:noProof/>
                <w:webHidden/>
              </w:rPr>
            </w:r>
            <w:r w:rsidR="00FE4088">
              <w:rPr>
                <w:noProof/>
                <w:webHidden/>
              </w:rPr>
              <w:fldChar w:fldCharType="separate"/>
            </w:r>
            <w:r w:rsidR="0073710A">
              <w:rPr>
                <w:noProof/>
                <w:webHidden/>
              </w:rPr>
              <w:t>201</w:t>
            </w:r>
            <w:r w:rsidR="00FE4088">
              <w:rPr>
                <w:noProof/>
                <w:webHidden/>
              </w:rPr>
              <w:fldChar w:fldCharType="end"/>
            </w:r>
          </w:hyperlink>
        </w:p>
        <w:p w14:paraId="7B2851C9" w14:textId="5D63F4A2" w:rsidR="00FE4088" w:rsidRDefault="003B0DE2">
          <w:pPr>
            <w:pStyle w:val="TOC2"/>
            <w:tabs>
              <w:tab w:val="left" w:pos="1320"/>
            </w:tabs>
            <w:rPr>
              <w:rFonts w:asciiTheme="minorHAnsi" w:eastAsiaTheme="minorEastAsia" w:hAnsiTheme="minorHAnsi"/>
              <w:noProof/>
              <w:lang w:val="el-GR" w:eastAsia="el-GR"/>
            </w:rPr>
          </w:pPr>
          <w:hyperlink w:anchor="_Toc91752476" w:history="1">
            <w:r w:rsidR="00FE4088" w:rsidRPr="00D12D7C">
              <w:rPr>
                <w:rStyle w:val="Hyperlink"/>
                <w:noProof/>
              </w:rPr>
              <w:t>18.3.2.</w:t>
            </w:r>
            <w:r w:rsidR="00FE4088">
              <w:rPr>
                <w:rFonts w:asciiTheme="minorHAnsi" w:eastAsiaTheme="minorEastAsia" w:hAnsiTheme="minorHAnsi"/>
                <w:noProof/>
                <w:lang w:val="el-GR" w:eastAsia="el-GR"/>
              </w:rPr>
              <w:tab/>
            </w:r>
            <w:r w:rsidR="00FE4088" w:rsidRPr="00D12D7C">
              <w:rPr>
                <w:rStyle w:val="Hyperlink"/>
                <w:noProof/>
              </w:rPr>
              <w:t>Plan Vivo</w:t>
            </w:r>
            <w:r w:rsidR="00FE4088">
              <w:rPr>
                <w:noProof/>
                <w:webHidden/>
              </w:rPr>
              <w:tab/>
            </w:r>
            <w:r w:rsidR="00FE4088">
              <w:rPr>
                <w:noProof/>
                <w:webHidden/>
              </w:rPr>
              <w:fldChar w:fldCharType="begin"/>
            </w:r>
            <w:r w:rsidR="00FE4088">
              <w:rPr>
                <w:noProof/>
                <w:webHidden/>
              </w:rPr>
              <w:instrText xml:space="preserve"> PAGEREF _Toc91752476 \h </w:instrText>
            </w:r>
            <w:r w:rsidR="00FE4088">
              <w:rPr>
                <w:noProof/>
                <w:webHidden/>
              </w:rPr>
            </w:r>
            <w:r w:rsidR="00FE4088">
              <w:rPr>
                <w:noProof/>
                <w:webHidden/>
              </w:rPr>
              <w:fldChar w:fldCharType="separate"/>
            </w:r>
            <w:r w:rsidR="0073710A">
              <w:rPr>
                <w:noProof/>
                <w:webHidden/>
              </w:rPr>
              <w:t>205</w:t>
            </w:r>
            <w:r w:rsidR="00FE4088">
              <w:rPr>
                <w:noProof/>
                <w:webHidden/>
              </w:rPr>
              <w:fldChar w:fldCharType="end"/>
            </w:r>
          </w:hyperlink>
        </w:p>
        <w:p w14:paraId="54D68241" w14:textId="25DD0225" w:rsidR="00FE4088" w:rsidRDefault="003B0DE2">
          <w:pPr>
            <w:pStyle w:val="TOC2"/>
            <w:tabs>
              <w:tab w:val="left" w:pos="1320"/>
            </w:tabs>
            <w:rPr>
              <w:rFonts w:asciiTheme="minorHAnsi" w:eastAsiaTheme="minorEastAsia" w:hAnsiTheme="minorHAnsi"/>
              <w:noProof/>
              <w:lang w:val="el-GR" w:eastAsia="el-GR"/>
            </w:rPr>
          </w:pPr>
          <w:hyperlink w:anchor="_Toc91752477" w:history="1">
            <w:r w:rsidR="00FE4088" w:rsidRPr="00D12D7C">
              <w:rPr>
                <w:rStyle w:val="Hyperlink"/>
                <w:noProof/>
              </w:rPr>
              <w:t>18.3.3.</w:t>
            </w:r>
            <w:r w:rsidR="00FE4088">
              <w:rPr>
                <w:rFonts w:asciiTheme="minorHAnsi" w:eastAsiaTheme="minorEastAsia" w:hAnsiTheme="minorHAnsi"/>
                <w:noProof/>
                <w:lang w:val="el-GR" w:eastAsia="el-GR"/>
              </w:rPr>
              <w:tab/>
            </w:r>
            <w:r w:rsidR="00FE4088" w:rsidRPr="00D12D7C">
              <w:rPr>
                <w:rStyle w:val="Hyperlink"/>
                <w:noProof/>
              </w:rPr>
              <w:t>The Verified Carbon Standard</w:t>
            </w:r>
            <w:r w:rsidR="00FE4088">
              <w:rPr>
                <w:noProof/>
                <w:webHidden/>
              </w:rPr>
              <w:tab/>
            </w:r>
            <w:r w:rsidR="00FE4088">
              <w:rPr>
                <w:noProof/>
                <w:webHidden/>
              </w:rPr>
              <w:fldChar w:fldCharType="begin"/>
            </w:r>
            <w:r w:rsidR="00FE4088">
              <w:rPr>
                <w:noProof/>
                <w:webHidden/>
              </w:rPr>
              <w:instrText xml:space="preserve"> PAGEREF _Toc91752477 \h </w:instrText>
            </w:r>
            <w:r w:rsidR="00FE4088">
              <w:rPr>
                <w:noProof/>
                <w:webHidden/>
              </w:rPr>
            </w:r>
            <w:r w:rsidR="00FE4088">
              <w:rPr>
                <w:noProof/>
                <w:webHidden/>
              </w:rPr>
              <w:fldChar w:fldCharType="separate"/>
            </w:r>
            <w:r w:rsidR="0073710A">
              <w:rPr>
                <w:noProof/>
                <w:webHidden/>
              </w:rPr>
              <w:t>208</w:t>
            </w:r>
            <w:r w:rsidR="00FE4088">
              <w:rPr>
                <w:noProof/>
                <w:webHidden/>
              </w:rPr>
              <w:fldChar w:fldCharType="end"/>
            </w:r>
          </w:hyperlink>
        </w:p>
        <w:p w14:paraId="444FE9BB" w14:textId="0DC22A79" w:rsidR="00FE4088" w:rsidRDefault="003B0DE2">
          <w:pPr>
            <w:pStyle w:val="TOC1"/>
            <w:tabs>
              <w:tab w:val="left" w:pos="567"/>
            </w:tabs>
            <w:rPr>
              <w:rFonts w:asciiTheme="minorHAnsi" w:eastAsiaTheme="minorEastAsia" w:hAnsiTheme="minorHAnsi"/>
              <w:noProof/>
              <w:lang w:val="el-GR" w:eastAsia="el-GR"/>
            </w:rPr>
          </w:pPr>
          <w:hyperlink w:anchor="_Toc91752478" w:history="1">
            <w:r w:rsidR="00FE4088" w:rsidRPr="00D12D7C">
              <w:rPr>
                <w:rStyle w:val="Hyperlink"/>
                <w:noProof/>
              </w:rPr>
              <w:t>19.</w:t>
            </w:r>
            <w:r w:rsidR="00FE4088">
              <w:rPr>
                <w:rFonts w:asciiTheme="minorHAnsi" w:eastAsiaTheme="minorEastAsia" w:hAnsiTheme="minorHAnsi"/>
                <w:noProof/>
                <w:lang w:val="el-GR" w:eastAsia="el-GR"/>
              </w:rPr>
              <w:tab/>
            </w:r>
            <w:r w:rsidR="00FE4088" w:rsidRPr="00D12D7C">
              <w:rPr>
                <w:rStyle w:val="Hyperlink"/>
                <w:noProof/>
              </w:rPr>
              <w:t>Future of voluntary carbon markets</w:t>
            </w:r>
            <w:r w:rsidR="00FE4088">
              <w:rPr>
                <w:noProof/>
                <w:webHidden/>
              </w:rPr>
              <w:tab/>
            </w:r>
            <w:r w:rsidR="00FE4088">
              <w:rPr>
                <w:noProof/>
                <w:webHidden/>
              </w:rPr>
              <w:fldChar w:fldCharType="begin"/>
            </w:r>
            <w:r w:rsidR="00FE4088">
              <w:rPr>
                <w:noProof/>
                <w:webHidden/>
              </w:rPr>
              <w:instrText xml:space="preserve"> PAGEREF _Toc91752478 \h </w:instrText>
            </w:r>
            <w:r w:rsidR="00FE4088">
              <w:rPr>
                <w:noProof/>
                <w:webHidden/>
              </w:rPr>
            </w:r>
            <w:r w:rsidR="00FE4088">
              <w:rPr>
                <w:noProof/>
                <w:webHidden/>
              </w:rPr>
              <w:fldChar w:fldCharType="separate"/>
            </w:r>
            <w:r w:rsidR="0073710A">
              <w:rPr>
                <w:noProof/>
                <w:webHidden/>
              </w:rPr>
              <w:t>210</w:t>
            </w:r>
            <w:r w:rsidR="00FE4088">
              <w:rPr>
                <w:noProof/>
                <w:webHidden/>
              </w:rPr>
              <w:fldChar w:fldCharType="end"/>
            </w:r>
          </w:hyperlink>
        </w:p>
        <w:p w14:paraId="48C676E9" w14:textId="0369E5C3" w:rsidR="00FE4088" w:rsidRDefault="003B0DE2">
          <w:pPr>
            <w:pStyle w:val="TOC1"/>
            <w:rPr>
              <w:rFonts w:asciiTheme="minorHAnsi" w:eastAsiaTheme="minorEastAsia" w:hAnsiTheme="minorHAnsi"/>
              <w:noProof/>
              <w:lang w:val="el-GR" w:eastAsia="el-GR"/>
            </w:rPr>
          </w:pPr>
          <w:hyperlink w:anchor="_Toc91752479" w:history="1">
            <w:r w:rsidR="00FE4088" w:rsidRPr="00D12D7C">
              <w:rPr>
                <w:rStyle w:val="Hyperlink"/>
                <w:rFonts w:cs="Arial"/>
                <w:noProof/>
                <w:lang w:val="en-GB"/>
              </w:rPr>
              <w:t>References</w:t>
            </w:r>
            <w:r w:rsidR="00FE4088">
              <w:rPr>
                <w:noProof/>
                <w:webHidden/>
              </w:rPr>
              <w:tab/>
            </w:r>
            <w:r w:rsidR="00FE4088">
              <w:rPr>
                <w:noProof/>
                <w:webHidden/>
              </w:rPr>
              <w:fldChar w:fldCharType="begin"/>
            </w:r>
            <w:r w:rsidR="00FE4088">
              <w:rPr>
                <w:noProof/>
                <w:webHidden/>
              </w:rPr>
              <w:instrText xml:space="preserve"> PAGEREF _Toc91752479 \h </w:instrText>
            </w:r>
            <w:r w:rsidR="00FE4088">
              <w:rPr>
                <w:noProof/>
                <w:webHidden/>
              </w:rPr>
            </w:r>
            <w:r w:rsidR="00FE4088">
              <w:rPr>
                <w:noProof/>
                <w:webHidden/>
              </w:rPr>
              <w:fldChar w:fldCharType="separate"/>
            </w:r>
            <w:r w:rsidR="0073710A">
              <w:rPr>
                <w:noProof/>
                <w:webHidden/>
              </w:rPr>
              <w:t>212</w:t>
            </w:r>
            <w:r w:rsidR="00FE4088">
              <w:rPr>
                <w:noProof/>
                <w:webHidden/>
              </w:rPr>
              <w:fldChar w:fldCharType="end"/>
            </w:r>
          </w:hyperlink>
        </w:p>
        <w:p w14:paraId="00CCA988" w14:textId="68FC04D2" w:rsidR="00FE4088" w:rsidRDefault="003B0DE2">
          <w:pPr>
            <w:pStyle w:val="TOC1"/>
            <w:rPr>
              <w:rFonts w:asciiTheme="minorHAnsi" w:eastAsiaTheme="minorEastAsia" w:hAnsiTheme="minorHAnsi"/>
              <w:noProof/>
              <w:lang w:val="el-GR" w:eastAsia="el-GR"/>
            </w:rPr>
          </w:pPr>
          <w:hyperlink w:anchor="_Toc91752480" w:history="1">
            <w:r w:rsidR="00FE4088" w:rsidRPr="00D12D7C">
              <w:rPr>
                <w:rStyle w:val="Hyperlink"/>
                <w:rFonts w:cs="Arial"/>
                <w:noProof/>
                <w:lang w:val="en-GB"/>
              </w:rPr>
              <w:t>Annex I: List of figures</w:t>
            </w:r>
            <w:r w:rsidR="00FE4088">
              <w:rPr>
                <w:noProof/>
                <w:webHidden/>
              </w:rPr>
              <w:tab/>
            </w:r>
            <w:r w:rsidR="00FE4088">
              <w:rPr>
                <w:noProof/>
                <w:webHidden/>
              </w:rPr>
              <w:fldChar w:fldCharType="begin"/>
            </w:r>
            <w:r w:rsidR="00FE4088">
              <w:rPr>
                <w:noProof/>
                <w:webHidden/>
              </w:rPr>
              <w:instrText xml:space="preserve"> PAGEREF _Toc91752480 \h </w:instrText>
            </w:r>
            <w:r w:rsidR="00FE4088">
              <w:rPr>
                <w:noProof/>
                <w:webHidden/>
              </w:rPr>
            </w:r>
            <w:r w:rsidR="00FE4088">
              <w:rPr>
                <w:noProof/>
                <w:webHidden/>
              </w:rPr>
              <w:fldChar w:fldCharType="separate"/>
            </w:r>
            <w:r w:rsidR="0073710A">
              <w:rPr>
                <w:noProof/>
                <w:webHidden/>
              </w:rPr>
              <w:t>229</w:t>
            </w:r>
            <w:r w:rsidR="00FE4088">
              <w:rPr>
                <w:noProof/>
                <w:webHidden/>
              </w:rPr>
              <w:fldChar w:fldCharType="end"/>
            </w:r>
          </w:hyperlink>
        </w:p>
        <w:p w14:paraId="46907490" w14:textId="0A77CBA4" w:rsidR="00FE4088" w:rsidRDefault="003B0DE2">
          <w:pPr>
            <w:pStyle w:val="TOC1"/>
            <w:rPr>
              <w:rFonts w:asciiTheme="minorHAnsi" w:eastAsiaTheme="minorEastAsia" w:hAnsiTheme="minorHAnsi"/>
              <w:noProof/>
              <w:lang w:val="el-GR" w:eastAsia="el-GR"/>
            </w:rPr>
          </w:pPr>
          <w:hyperlink w:anchor="_Toc91752481" w:history="1">
            <w:r w:rsidR="00FE4088" w:rsidRPr="00D12D7C">
              <w:rPr>
                <w:rStyle w:val="Hyperlink"/>
                <w:rFonts w:cs="Arial"/>
                <w:noProof/>
              </w:rPr>
              <w:t>Annex II: List of Tables</w:t>
            </w:r>
            <w:r w:rsidR="00FE4088">
              <w:rPr>
                <w:noProof/>
                <w:webHidden/>
              </w:rPr>
              <w:tab/>
            </w:r>
            <w:r w:rsidR="00FE4088">
              <w:rPr>
                <w:noProof/>
                <w:webHidden/>
              </w:rPr>
              <w:fldChar w:fldCharType="begin"/>
            </w:r>
            <w:r w:rsidR="00FE4088">
              <w:rPr>
                <w:noProof/>
                <w:webHidden/>
              </w:rPr>
              <w:instrText xml:space="preserve"> PAGEREF _Toc91752481 \h </w:instrText>
            </w:r>
            <w:r w:rsidR="00FE4088">
              <w:rPr>
                <w:noProof/>
                <w:webHidden/>
              </w:rPr>
            </w:r>
            <w:r w:rsidR="00FE4088">
              <w:rPr>
                <w:noProof/>
                <w:webHidden/>
              </w:rPr>
              <w:fldChar w:fldCharType="separate"/>
            </w:r>
            <w:r w:rsidR="0073710A">
              <w:rPr>
                <w:noProof/>
                <w:webHidden/>
              </w:rPr>
              <w:t>233</w:t>
            </w:r>
            <w:r w:rsidR="00FE4088">
              <w:rPr>
                <w:noProof/>
                <w:webHidden/>
              </w:rPr>
              <w:fldChar w:fldCharType="end"/>
            </w:r>
          </w:hyperlink>
        </w:p>
        <w:p w14:paraId="2ED48DF5" w14:textId="2066FDDC" w:rsidR="00FE4088" w:rsidRDefault="003B0DE2">
          <w:pPr>
            <w:pStyle w:val="TOC1"/>
            <w:rPr>
              <w:rFonts w:asciiTheme="minorHAnsi" w:eastAsiaTheme="minorEastAsia" w:hAnsiTheme="minorHAnsi"/>
              <w:noProof/>
              <w:lang w:val="el-GR" w:eastAsia="el-GR"/>
            </w:rPr>
          </w:pPr>
          <w:hyperlink w:anchor="_Toc91752482" w:history="1">
            <w:r w:rsidR="00FE4088" w:rsidRPr="00D12D7C">
              <w:rPr>
                <w:rStyle w:val="Hyperlink"/>
                <w:rFonts w:eastAsia="Times New Roman" w:cs="Arial"/>
                <w:noProof/>
                <w:lang w:val="en-GB"/>
              </w:rPr>
              <w:t xml:space="preserve">Annex III </w:t>
            </w:r>
            <w:r w:rsidR="00FE4088" w:rsidRPr="00D12D7C">
              <w:rPr>
                <w:rStyle w:val="Hyperlink"/>
                <w:rFonts w:cs="Arial"/>
                <w:noProof/>
              </w:rPr>
              <w:t>The ENDS Carbon Offset Providers Directory</w:t>
            </w:r>
            <w:r w:rsidR="00FE4088">
              <w:rPr>
                <w:noProof/>
                <w:webHidden/>
              </w:rPr>
              <w:tab/>
            </w:r>
            <w:r w:rsidR="00FE4088">
              <w:rPr>
                <w:noProof/>
                <w:webHidden/>
              </w:rPr>
              <w:fldChar w:fldCharType="begin"/>
            </w:r>
            <w:r w:rsidR="00FE4088">
              <w:rPr>
                <w:noProof/>
                <w:webHidden/>
              </w:rPr>
              <w:instrText xml:space="preserve"> PAGEREF _Toc91752482 \h </w:instrText>
            </w:r>
            <w:r w:rsidR="00FE4088">
              <w:rPr>
                <w:noProof/>
                <w:webHidden/>
              </w:rPr>
            </w:r>
            <w:r w:rsidR="00FE4088">
              <w:rPr>
                <w:noProof/>
                <w:webHidden/>
              </w:rPr>
              <w:fldChar w:fldCharType="separate"/>
            </w:r>
            <w:r w:rsidR="0073710A">
              <w:rPr>
                <w:noProof/>
                <w:webHidden/>
              </w:rPr>
              <w:t>236</w:t>
            </w:r>
            <w:r w:rsidR="00FE4088">
              <w:rPr>
                <w:noProof/>
                <w:webHidden/>
              </w:rPr>
              <w:fldChar w:fldCharType="end"/>
            </w:r>
          </w:hyperlink>
        </w:p>
        <w:p w14:paraId="76CE153D" w14:textId="2B56C68C" w:rsidR="00976AF8" w:rsidRPr="00EE5690" w:rsidRDefault="00121AB0" w:rsidP="00EE5690">
          <w:pPr>
            <w:jc w:val="left"/>
            <w:rPr>
              <w:rFonts w:cs="Arial"/>
            </w:rPr>
          </w:pPr>
          <w:r w:rsidRPr="00EE5690">
            <w:rPr>
              <w:rFonts w:cs="Arial"/>
            </w:rPr>
            <w:fldChar w:fldCharType="end"/>
          </w:r>
        </w:p>
      </w:sdtContent>
    </w:sdt>
    <w:p w14:paraId="634D6336" w14:textId="77777777" w:rsidR="00C6600A" w:rsidRDefault="00C6600A">
      <w:pPr>
        <w:spacing w:line="300" w:lineRule="exact"/>
        <w:jc w:val="left"/>
        <w:rPr>
          <w:rFonts w:eastAsiaTheme="majorEastAsia" w:cs="Arial"/>
          <w:b/>
          <w:bCs/>
          <w:smallCaps/>
          <w:color w:val="212745" w:themeColor="text2"/>
        </w:rPr>
      </w:pPr>
      <w:bookmarkStart w:id="5" w:name="_Toc223361310"/>
      <w:r>
        <w:rPr>
          <w:rFonts w:cs="Arial"/>
        </w:rPr>
        <w:br w:type="page"/>
      </w:r>
    </w:p>
    <w:p w14:paraId="62048715" w14:textId="39D2B3ED" w:rsidR="00DA19D9" w:rsidRPr="00EE5690" w:rsidRDefault="00DA19D9" w:rsidP="00D61275">
      <w:pPr>
        <w:pStyle w:val="MAIL0"/>
      </w:pPr>
      <w:bookmarkStart w:id="6" w:name="_Toc91752374"/>
      <w:r w:rsidRPr="00EE5690">
        <w:lastRenderedPageBreak/>
        <w:t>Executive Summary</w:t>
      </w:r>
      <w:bookmarkEnd w:id="6"/>
    </w:p>
    <w:bookmarkEnd w:id="5"/>
    <w:p w14:paraId="328AAE1D" w14:textId="27EBEB4D" w:rsidR="00331804" w:rsidRPr="00EE5690" w:rsidRDefault="00013C6E" w:rsidP="002928A6">
      <w:pPr>
        <w:rPr>
          <w:rFonts w:cs="Arial"/>
          <w:lang w:val="en-GB"/>
        </w:rPr>
      </w:pPr>
      <w:r w:rsidRPr="00EE5690">
        <w:rPr>
          <w:rFonts w:cs="Arial"/>
          <w:lang w:val="en-GB"/>
        </w:rPr>
        <w:t xml:space="preserve">This </w:t>
      </w:r>
      <w:r w:rsidR="006E597E">
        <w:rPr>
          <w:rFonts w:cs="Arial"/>
          <w:lang w:val="en-GB"/>
        </w:rPr>
        <w:t>d</w:t>
      </w:r>
      <w:r w:rsidR="002928A6">
        <w:rPr>
          <w:rFonts w:cs="Arial"/>
          <w:lang w:val="en-GB"/>
        </w:rPr>
        <w:t>ocument</w:t>
      </w:r>
      <w:r w:rsidRPr="00EE5690">
        <w:rPr>
          <w:rFonts w:cs="Arial"/>
          <w:lang w:val="en-GB"/>
        </w:rPr>
        <w:t xml:space="preserve"> is a</w:t>
      </w:r>
      <w:r w:rsidR="00331804" w:rsidRPr="00EE5690">
        <w:rPr>
          <w:rFonts w:cs="Arial"/>
        </w:rPr>
        <w:t xml:space="preserve"> </w:t>
      </w:r>
      <w:r w:rsidR="007C23FB" w:rsidRPr="00EE5690">
        <w:rPr>
          <w:rFonts w:cs="Arial"/>
        </w:rPr>
        <w:t>guide</w:t>
      </w:r>
      <w:r w:rsidR="00331804" w:rsidRPr="00EE5690">
        <w:rPr>
          <w:rFonts w:cs="Arial"/>
          <w:lang w:val="en-GB"/>
        </w:rPr>
        <w:t xml:space="preserve"> to the financial, social, </w:t>
      </w:r>
      <w:proofErr w:type="gramStart"/>
      <w:r w:rsidR="00331804" w:rsidRPr="00EE5690">
        <w:rPr>
          <w:rFonts w:cs="Arial"/>
          <w:lang w:val="en-GB"/>
        </w:rPr>
        <w:t>environmental</w:t>
      </w:r>
      <w:proofErr w:type="gramEnd"/>
      <w:r w:rsidR="00331804" w:rsidRPr="00EE5690">
        <w:rPr>
          <w:rFonts w:cs="Arial"/>
          <w:lang w:val="en-GB"/>
        </w:rPr>
        <w:t xml:space="preserve"> and technical aspects of M</w:t>
      </w:r>
      <w:r w:rsidR="007C23FB" w:rsidRPr="00EE5690">
        <w:rPr>
          <w:rFonts w:cs="Arial"/>
          <w:lang w:val="en-GB"/>
        </w:rPr>
        <w:t xml:space="preserve">arginal </w:t>
      </w:r>
      <w:r w:rsidR="00331804" w:rsidRPr="00EE5690">
        <w:rPr>
          <w:rFonts w:cs="Arial"/>
          <w:lang w:val="en-GB"/>
        </w:rPr>
        <w:t>L</w:t>
      </w:r>
      <w:r w:rsidR="007C23FB" w:rsidRPr="00EE5690">
        <w:rPr>
          <w:rFonts w:cs="Arial"/>
          <w:lang w:val="en-GB"/>
        </w:rPr>
        <w:t>and</w:t>
      </w:r>
      <w:r w:rsidR="006E597E">
        <w:rPr>
          <w:rFonts w:cs="Arial"/>
          <w:lang w:val="en-GB"/>
        </w:rPr>
        <w:t>s</w:t>
      </w:r>
      <w:r w:rsidR="00331804" w:rsidRPr="00EE5690">
        <w:rPr>
          <w:rFonts w:cs="Arial"/>
          <w:lang w:val="en-GB"/>
        </w:rPr>
        <w:t xml:space="preserve"> </w:t>
      </w:r>
      <w:r w:rsidR="00AB59F3" w:rsidRPr="00EE5690">
        <w:rPr>
          <w:rFonts w:cs="Arial"/>
          <w:lang w:val="en-GB"/>
        </w:rPr>
        <w:t>(ML</w:t>
      </w:r>
      <w:r w:rsidR="006E597E">
        <w:rPr>
          <w:rFonts w:cs="Arial"/>
          <w:lang w:val="en-GB"/>
        </w:rPr>
        <w:t>s</w:t>
      </w:r>
      <w:r w:rsidR="00AB59F3" w:rsidRPr="00EE5690">
        <w:rPr>
          <w:rFonts w:cs="Arial"/>
          <w:lang w:val="en-GB"/>
        </w:rPr>
        <w:t xml:space="preserve">) </w:t>
      </w:r>
      <w:r w:rsidR="00331804" w:rsidRPr="00EE5690">
        <w:rPr>
          <w:rFonts w:cs="Arial"/>
          <w:lang w:val="en-GB"/>
        </w:rPr>
        <w:t xml:space="preserve">sustainable development. Its purpose is to identify and analyse the indicators and aspects of sustainable development of </w:t>
      </w:r>
      <w:r w:rsidR="00AB59F3" w:rsidRPr="00EE5690">
        <w:rPr>
          <w:rFonts w:cs="Arial"/>
          <w:lang w:val="en-GB"/>
        </w:rPr>
        <w:t>ML</w:t>
      </w:r>
      <w:r w:rsidR="006E597E">
        <w:rPr>
          <w:rFonts w:cs="Arial"/>
          <w:lang w:val="en-GB"/>
        </w:rPr>
        <w:t>s</w:t>
      </w:r>
      <w:r w:rsidR="00331804" w:rsidRPr="00EE5690">
        <w:rPr>
          <w:rFonts w:cs="Arial"/>
          <w:lang w:val="en-GB"/>
        </w:rPr>
        <w:t xml:space="preserve"> and to suggest development strategies to increase the carbon sequestration capacity in marginal lands.</w:t>
      </w:r>
      <w:r w:rsidR="007C23FB" w:rsidRPr="00EE5690">
        <w:rPr>
          <w:rFonts w:cs="Arial"/>
          <w:lang w:val="en-GB"/>
        </w:rPr>
        <w:t xml:space="preserve"> </w:t>
      </w:r>
      <w:r w:rsidR="002928A6">
        <w:rPr>
          <w:rFonts w:cs="Arial"/>
          <w:lang w:val="en-GB"/>
        </w:rPr>
        <w:t xml:space="preserve">The </w:t>
      </w:r>
      <w:r w:rsidR="009D61A5">
        <w:rPr>
          <w:rFonts w:cs="Arial"/>
          <w:lang w:val="en-GB"/>
        </w:rPr>
        <w:t>s</w:t>
      </w:r>
      <w:r w:rsidR="002928A6">
        <w:rPr>
          <w:rFonts w:cs="Arial"/>
          <w:lang w:val="en-GB"/>
        </w:rPr>
        <w:t xml:space="preserve">econd half of the document </w:t>
      </w:r>
      <w:r w:rsidR="009D61A5">
        <w:rPr>
          <w:rFonts w:cs="Arial"/>
          <w:lang w:val="en-GB"/>
        </w:rPr>
        <w:t>(Chapter 1</w:t>
      </w:r>
      <w:r w:rsidR="006E597E">
        <w:rPr>
          <w:rFonts w:cs="Arial"/>
          <w:lang w:val="en-GB"/>
        </w:rPr>
        <w:t>2</w:t>
      </w:r>
      <w:r w:rsidR="009D61A5">
        <w:rPr>
          <w:rFonts w:cs="Arial"/>
          <w:lang w:val="en-GB"/>
        </w:rPr>
        <w:t xml:space="preserve"> onwards) </w:t>
      </w:r>
      <w:r w:rsidR="002928A6">
        <w:rPr>
          <w:rFonts w:cs="Arial"/>
          <w:lang w:val="en-GB"/>
        </w:rPr>
        <w:t xml:space="preserve">describes the </w:t>
      </w:r>
      <w:r w:rsidR="009D61A5">
        <w:rPr>
          <w:rFonts w:cs="Arial"/>
          <w:lang w:val="en-GB"/>
        </w:rPr>
        <w:t>p</w:t>
      </w:r>
      <w:r w:rsidR="002928A6" w:rsidRPr="002928A6">
        <w:rPr>
          <w:rFonts w:cs="Arial"/>
          <w:lang w:val="en-GB"/>
        </w:rPr>
        <w:t xml:space="preserve">otentialities of emerging stock exchange markets for carbon transaction and proposed policies </w:t>
      </w:r>
      <w:r w:rsidR="007C23FB" w:rsidRPr="00EE5690">
        <w:rPr>
          <w:rFonts w:cs="Arial"/>
          <w:lang w:val="en-GB"/>
        </w:rPr>
        <w:t>There is plethora of definitions about sustainable development</w:t>
      </w:r>
      <w:r w:rsidR="0023462F" w:rsidRPr="00EE5690">
        <w:rPr>
          <w:rFonts w:cs="Arial"/>
          <w:lang w:val="en-GB"/>
        </w:rPr>
        <w:t xml:space="preserve"> as well as definitions related to forest and carbon sequestration. Furthermore, criteria and indicators for forest sustainable management are listed</w:t>
      </w:r>
      <w:r w:rsidR="00A3253B" w:rsidRPr="00EE5690">
        <w:rPr>
          <w:rFonts w:cs="Arial"/>
          <w:lang w:val="en-GB"/>
        </w:rPr>
        <w:t xml:space="preserve">. European guidelines </w:t>
      </w:r>
      <w:r w:rsidR="009D61A5">
        <w:rPr>
          <w:rFonts w:cs="Arial"/>
          <w:lang w:val="en-GB"/>
        </w:rPr>
        <w:t xml:space="preserve">for </w:t>
      </w:r>
      <w:r w:rsidR="00A3253B" w:rsidRPr="00EE5690">
        <w:rPr>
          <w:rFonts w:cs="Arial"/>
          <w:lang w:val="en-GB"/>
        </w:rPr>
        <w:t>afforestation and reforestation</w:t>
      </w:r>
      <w:r w:rsidR="009D61A5">
        <w:rPr>
          <w:rFonts w:cs="Arial"/>
          <w:lang w:val="en-GB"/>
        </w:rPr>
        <w:t xml:space="preserve"> and European and international </w:t>
      </w:r>
      <w:r w:rsidR="00A3253B" w:rsidRPr="00EE5690">
        <w:rPr>
          <w:rFonts w:cs="Arial"/>
          <w:lang w:val="en-GB"/>
        </w:rPr>
        <w:t xml:space="preserve">programmes </w:t>
      </w:r>
      <w:r w:rsidR="009D61A5">
        <w:rPr>
          <w:rFonts w:cs="Arial"/>
          <w:lang w:val="en-GB"/>
        </w:rPr>
        <w:t xml:space="preserve">for Carbon Emission trading </w:t>
      </w:r>
      <w:r w:rsidR="009D61A5" w:rsidRPr="00EE5690">
        <w:rPr>
          <w:rFonts w:cs="Arial"/>
          <w:lang w:val="en-GB"/>
        </w:rPr>
        <w:t>are described</w:t>
      </w:r>
      <w:r w:rsidR="00A3253B" w:rsidRPr="00EE5690">
        <w:rPr>
          <w:rFonts w:cs="Arial"/>
          <w:lang w:val="en-GB"/>
        </w:rPr>
        <w:t>.</w:t>
      </w:r>
    </w:p>
    <w:p w14:paraId="4B337DBA" w14:textId="1EB80EF0" w:rsidR="00AB59F3" w:rsidRPr="00EE5690" w:rsidRDefault="00AB59F3" w:rsidP="002928A6">
      <w:pPr>
        <w:rPr>
          <w:rFonts w:cs="Arial"/>
          <w:lang w:val="en-GB"/>
        </w:rPr>
      </w:pPr>
      <w:r w:rsidRPr="00EE5690">
        <w:rPr>
          <w:rFonts w:cs="Arial"/>
          <w:lang w:val="en-GB"/>
        </w:rPr>
        <w:t>In order develop a methodology for assessing sustainable development of MLs as carbon sink</w:t>
      </w:r>
      <w:r w:rsidR="00407037" w:rsidRPr="00EE5690">
        <w:rPr>
          <w:rFonts w:cs="Arial"/>
          <w:lang w:val="en-GB"/>
        </w:rPr>
        <w:t>,</w:t>
      </w:r>
      <w:r w:rsidRPr="00EE5690">
        <w:rPr>
          <w:rFonts w:cs="Arial"/>
          <w:lang w:val="en-GB"/>
        </w:rPr>
        <w:t xml:space="preserve"> </w:t>
      </w:r>
      <w:r w:rsidR="00407037" w:rsidRPr="00EE5690">
        <w:rPr>
          <w:rFonts w:cs="Arial"/>
          <w:lang w:val="en-GB"/>
        </w:rPr>
        <w:t xml:space="preserve">the selection of </w:t>
      </w:r>
      <w:r w:rsidR="006E597E">
        <w:rPr>
          <w:rFonts w:cs="Arial"/>
          <w:lang w:val="en-GB"/>
        </w:rPr>
        <w:t xml:space="preserve">a </w:t>
      </w:r>
      <w:r w:rsidR="009D61A5">
        <w:rPr>
          <w:rFonts w:cs="Arial"/>
          <w:lang w:val="en-GB"/>
        </w:rPr>
        <w:t>suitable</w:t>
      </w:r>
      <w:r w:rsidR="00407037" w:rsidRPr="00EE5690">
        <w:rPr>
          <w:rFonts w:cs="Arial"/>
          <w:lang w:val="en-GB"/>
        </w:rPr>
        <w:t xml:space="preserve"> area </w:t>
      </w:r>
      <w:r w:rsidR="009D61A5">
        <w:rPr>
          <w:rFonts w:cs="Arial"/>
          <w:lang w:val="en-GB"/>
        </w:rPr>
        <w:t>for</w:t>
      </w:r>
      <w:r w:rsidR="00407037" w:rsidRPr="00EE5690">
        <w:rPr>
          <w:rFonts w:cs="Arial"/>
          <w:lang w:val="en-GB"/>
        </w:rPr>
        <w:t xml:space="preserve"> a carbon sequestration project is required. This area should be </w:t>
      </w:r>
      <w:proofErr w:type="gramStart"/>
      <w:r w:rsidR="00407037" w:rsidRPr="00EE5690">
        <w:rPr>
          <w:rFonts w:cs="Arial"/>
          <w:lang w:val="en-GB"/>
        </w:rPr>
        <w:t>refined</w:t>
      </w:r>
      <w:proofErr w:type="gramEnd"/>
      <w:r w:rsidR="00407037" w:rsidRPr="00EE5690">
        <w:rPr>
          <w:rFonts w:cs="Arial"/>
          <w:lang w:val="en-GB"/>
        </w:rPr>
        <w:t xml:space="preserve"> and the eligibility of the area should be assessed.</w:t>
      </w:r>
      <w:r w:rsidR="00E549E3" w:rsidRPr="00EE5690">
        <w:rPr>
          <w:rFonts w:cs="Arial"/>
          <w:lang w:val="en-GB"/>
        </w:rPr>
        <w:t xml:space="preserve"> Following the eligibility assessment, a final sustainability analysis should</w:t>
      </w:r>
      <w:r w:rsidR="009D61A5">
        <w:rPr>
          <w:rFonts w:cs="Arial"/>
          <w:lang w:val="en-GB"/>
        </w:rPr>
        <w:t xml:space="preserve"> </w:t>
      </w:r>
      <w:r w:rsidR="00E549E3" w:rsidRPr="00EE5690">
        <w:rPr>
          <w:rFonts w:cs="Arial"/>
          <w:lang w:val="en-GB"/>
        </w:rPr>
        <w:t xml:space="preserve">be conducted to determine </w:t>
      </w:r>
      <w:r w:rsidR="006E597E" w:rsidRPr="00EE5690">
        <w:rPr>
          <w:rFonts w:cs="Arial"/>
          <w:lang w:val="en-GB"/>
        </w:rPr>
        <w:t>whether</w:t>
      </w:r>
      <w:r w:rsidR="00E549E3" w:rsidRPr="00EE5690">
        <w:rPr>
          <w:rFonts w:cs="Arial"/>
          <w:lang w:val="en-GB"/>
        </w:rPr>
        <w:t xml:space="preserve"> the chosen location can be used to undertake a carbon sequestration project and create a long-term management strategy. The technological, financial, social, and environmental aspects of the project's implementation </w:t>
      </w:r>
      <w:r w:rsidR="009D61A5">
        <w:rPr>
          <w:rFonts w:cs="Arial"/>
          <w:lang w:val="en-GB"/>
        </w:rPr>
        <w:t>must</w:t>
      </w:r>
      <w:r w:rsidR="00E549E3" w:rsidRPr="00EE5690">
        <w:rPr>
          <w:rFonts w:cs="Arial"/>
          <w:lang w:val="en-GB"/>
        </w:rPr>
        <w:t xml:space="preserve"> be considered in the final assessment and management plan. The technological component encompasses all parts of the sustainability assessment and management plan, giving insight and tools to aid in the design and implementation of a sustainable management plan.</w:t>
      </w:r>
    </w:p>
    <w:p w14:paraId="44BAE21B" w14:textId="77777777" w:rsidR="00EE6BC6" w:rsidRPr="00EE5690" w:rsidRDefault="00E549E3" w:rsidP="002928A6">
      <w:pPr>
        <w:rPr>
          <w:rFonts w:cs="Arial"/>
          <w:lang w:val="en-GB"/>
        </w:rPr>
      </w:pPr>
      <w:r w:rsidRPr="00EE5690">
        <w:rPr>
          <w:rFonts w:cs="Arial"/>
          <w:lang w:val="en-GB"/>
        </w:rPr>
        <w:t xml:space="preserve">An Economical afforestation model is developed in this task based on specific factors indicating a European average </w:t>
      </w:r>
      <w:r w:rsidR="00EE6BC6" w:rsidRPr="00EE5690">
        <w:rPr>
          <w:rFonts w:cs="Arial"/>
          <w:lang w:val="en-GB"/>
        </w:rPr>
        <w:t>price</w:t>
      </w:r>
      <w:r w:rsidRPr="00EE5690">
        <w:rPr>
          <w:rFonts w:cs="Arial"/>
          <w:lang w:val="en-GB"/>
        </w:rPr>
        <w:t xml:space="preserve"> of 11,000 euros for planting one thousand trees in one hectare. </w:t>
      </w:r>
    </w:p>
    <w:p w14:paraId="2F8F914A" w14:textId="3820FCC2" w:rsidR="00EE6BC6" w:rsidRPr="00EE5690" w:rsidRDefault="00EE6BC6" w:rsidP="002928A6">
      <w:pPr>
        <w:rPr>
          <w:rFonts w:cs="Arial"/>
          <w:lang w:val="en-GB"/>
        </w:rPr>
      </w:pPr>
      <w:r w:rsidRPr="00EE5690">
        <w:rPr>
          <w:rFonts w:cs="Arial"/>
          <w:lang w:val="en-GB"/>
        </w:rPr>
        <w:t xml:space="preserve">Moreover, </w:t>
      </w:r>
      <w:r w:rsidR="00192B69" w:rsidRPr="00EE5690">
        <w:rPr>
          <w:rFonts w:cs="Arial"/>
          <w:lang w:val="en-GB"/>
        </w:rPr>
        <w:t>a temporal analysis of the sustainability variables</w:t>
      </w:r>
      <w:r w:rsidRPr="00EE5690">
        <w:rPr>
          <w:rFonts w:cs="Arial"/>
          <w:lang w:val="en-GB"/>
        </w:rPr>
        <w:t xml:space="preserve"> </w:t>
      </w:r>
      <w:r w:rsidR="00192B69" w:rsidRPr="00EE5690">
        <w:rPr>
          <w:rFonts w:cs="Arial"/>
          <w:lang w:val="en-GB"/>
        </w:rPr>
        <w:t>using Eurostat as the database reference to reflect those key variables</w:t>
      </w:r>
      <w:r w:rsidR="009D61A5">
        <w:rPr>
          <w:rFonts w:cs="Arial"/>
          <w:lang w:val="en-GB"/>
        </w:rPr>
        <w:t xml:space="preserve"> was undertaken</w:t>
      </w:r>
      <w:r w:rsidR="00192B69" w:rsidRPr="00EE5690">
        <w:rPr>
          <w:rFonts w:cs="Arial"/>
          <w:lang w:val="en-GB"/>
        </w:rPr>
        <w:t xml:space="preserve">. Once related each variable with a dataset we evaluated the evolution of each variable/indicator over time for </w:t>
      </w:r>
      <w:r w:rsidRPr="00EE5690">
        <w:rPr>
          <w:rFonts w:cs="Arial"/>
          <w:lang w:val="en-GB"/>
        </w:rPr>
        <w:t>four</w:t>
      </w:r>
      <w:r w:rsidR="00192B69" w:rsidRPr="00EE5690">
        <w:rPr>
          <w:rFonts w:cs="Arial"/>
          <w:lang w:val="en-GB"/>
        </w:rPr>
        <w:t xml:space="preserve"> European regions: Northern Europe, central- Eastern Europe, southern </w:t>
      </w:r>
      <w:proofErr w:type="gramStart"/>
      <w:r w:rsidR="00192B69" w:rsidRPr="00EE5690">
        <w:rPr>
          <w:rFonts w:cs="Arial"/>
          <w:lang w:val="en-GB"/>
        </w:rPr>
        <w:t>Europe</w:t>
      </w:r>
      <w:proofErr w:type="gramEnd"/>
      <w:r w:rsidR="00192B69" w:rsidRPr="00EE5690">
        <w:rPr>
          <w:rFonts w:cs="Arial"/>
          <w:lang w:val="en-GB"/>
        </w:rPr>
        <w:t xml:space="preserve"> and Western Europe</w:t>
      </w:r>
      <w:r w:rsidRPr="00EE5690">
        <w:rPr>
          <w:rFonts w:cs="Arial"/>
          <w:lang w:val="en-GB"/>
        </w:rPr>
        <w:t>.</w:t>
      </w:r>
    </w:p>
    <w:p w14:paraId="0E33F18A" w14:textId="7BE84932" w:rsidR="002928A6" w:rsidRDefault="00480BEC" w:rsidP="002928A6">
      <w:pPr>
        <w:rPr>
          <w:rFonts w:cs="Arial"/>
          <w:lang w:val="en-GB"/>
        </w:rPr>
      </w:pPr>
      <w:r w:rsidRPr="00EE5690">
        <w:rPr>
          <w:rFonts w:cs="Arial"/>
          <w:lang w:val="en-GB"/>
        </w:rPr>
        <w:t>Concerning the strategies for increasing carbon sequestration</w:t>
      </w:r>
      <w:r w:rsidR="004E3052" w:rsidRPr="00EE5690">
        <w:rPr>
          <w:rFonts w:cs="Arial"/>
          <w:lang w:val="en-GB"/>
        </w:rPr>
        <w:t xml:space="preserve">, the forest plantation should </w:t>
      </w:r>
      <w:r w:rsidR="0036286D" w:rsidRPr="00EE5690">
        <w:rPr>
          <w:rFonts w:cs="Arial"/>
          <w:lang w:val="en-GB"/>
        </w:rPr>
        <w:t>occur</w:t>
      </w:r>
      <w:r w:rsidR="004E3052" w:rsidRPr="00EE5690">
        <w:rPr>
          <w:rFonts w:cs="Arial"/>
          <w:lang w:val="en-GB"/>
        </w:rPr>
        <w:t xml:space="preserve"> in the correct area. The land cover, the geomorphology and the soil properties are some of the factors that should be considered. The species selection is </w:t>
      </w:r>
      <w:r w:rsidR="004E3052" w:rsidRPr="00EE5690">
        <w:rPr>
          <w:rFonts w:cs="Arial"/>
          <w:lang w:val="en-GB"/>
        </w:rPr>
        <w:lastRenderedPageBreak/>
        <w:t xml:space="preserve">also a critical strategy to </w:t>
      </w:r>
      <w:r w:rsidR="0036286D" w:rsidRPr="00EE5690">
        <w:rPr>
          <w:rFonts w:cs="Arial"/>
          <w:lang w:val="en-GB"/>
        </w:rPr>
        <w:t>consider</w:t>
      </w:r>
      <w:r w:rsidR="00235C4F" w:rsidRPr="00EE5690">
        <w:rPr>
          <w:rFonts w:cs="Arial"/>
          <w:lang w:val="en-GB"/>
        </w:rPr>
        <w:t xml:space="preserve"> as well as the long-term management and the monitoring of the afforested area.</w:t>
      </w:r>
    </w:p>
    <w:p w14:paraId="79C5F32D" w14:textId="77777777" w:rsidR="002928A6" w:rsidRPr="00DB35D4" w:rsidRDefault="002928A6" w:rsidP="002928A6">
      <w:pPr>
        <w:rPr>
          <w:rStyle w:val="tlid-translation"/>
          <w:rFonts w:cs="Arial"/>
        </w:rPr>
      </w:pPr>
      <w:r w:rsidRPr="00DB35D4">
        <w:rPr>
          <w:rStyle w:val="tlid-translation"/>
          <w:rFonts w:cs="Arial"/>
        </w:rPr>
        <w:t>Giving a price on the effects from the use of fossil fuels releasing CO</w:t>
      </w:r>
      <w:r w:rsidRPr="00DB35D4">
        <w:rPr>
          <w:rStyle w:val="tlid-translation"/>
          <w:rFonts w:cs="Arial"/>
          <w:vertAlign w:val="subscript"/>
        </w:rPr>
        <w:t>2</w:t>
      </w:r>
      <w:r w:rsidRPr="00DB35D4">
        <w:rPr>
          <w:rStyle w:val="tlid-translation"/>
          <w:rFonts w:cs="Arial"/>
        </w:rPr>
        <w:t xml:space="preserve"> and other greenhouse gases (GHG) into the atmosphere was one of the most important actions of the United Nations (UN) joint action to tackle the problem of global warming. International conventions, notably the Kyoto Protocol and the Paris Agreement, have established the foundations for the principle of recording both GHG emissions from large industrial installations and many polluting human activities </w:t>
      </w:r>
      <w:proofErr w:type="gramStart"/>
      <w:r w:rsidRPr="00DB35D4">
        <w:rPr>
          <w:rStyle w:val="tlid-translation"/>
          <w:rFonts w:cs="Arial"/>
        </w:rPr>
        <w:t>in order to</w:t>
      </w:r>
      <w:proofErr w:type="gramEnd"/>
      <w:r w:rsidRPr="00DB35D4">
        <w:rPr>
          <w:rStyle w:val="tlid-translation"/>
          <w:rFonts w:cs="Arial"/>
        </w:rPr>
        <w:t xml:space="preserve"> be offset by their absorption from the natural environment processes and mainly from forests.</w:t>
      </w:r>
    </w:p>
    <w:p w14:paraId="3A0F0075" w14:textId="77777777" w:rsidR="002928A6" w:rsidRPr="00DB35D4" w:rsidRDefault="002928A6" w:rsidP="002928A6">
      <w:pPr>
        <w:rPr>
          <w:rStyle w:val="tlid-translation"/>
          <w:rFonts w:cs="Arial"/>
        </w:rPr>
      </w:pPr>
      <w:r w:rsidRPr="00DB35D4">
        <w:rPr>
          <w:rStyle w:val="tlid-translation"/>
          <w:rFonts w:cs="Arial"/>
        </w:rPr>
        <w:t>Experts have set the goal of reducing the planet's temperature by 1.5</w:t>
      </w:r>
      <w:r w:rsidRPr="00DB35D4">
        <w:rPr>
          <w:rStyle w:val="tlid-translation"/>
          <w:rFonts w:cs="Arial"/>
          <w:vertAlign w:val="superscript"/>
        </w:rPr>
        <w:t>o</w:t>
      </w:r>
      <w:r w:rsidRPr="00DB35D4">
        <w:rPr>
          <w:rStyle w:val="tlid-translation"/>
          <w:rFonts w:cs="Arial"/>
        </w:rPr>
        <w:t>C compared to a past reference year, and most parts of the UN have accepted their responsibility. The first steps to tackle Climate Change were carbon pricing. Climate Change cannot be mitigated unless the economic consequences of offsetting the negative impact of fossil fuels is not calculated. Thus, any process that produces CO</w:t>
      </w:r>
      <w:r w:rsidRPr="00DB35D4">
        <w:rPr>
          <w:rStyle w:val="tlid-translation"/>
          <w:rFonts w:cs="Arial"/>
          <w:vertAlign w:val="subscript"/>
        </w:rPr>
        <w:t>2</w:t>
      </w:r>
      <w:r w:rsidRPr="00DB35D4">
        <w:rPr>
          <w:rStyle w:val="tlid-translation"/>
          <w:rFonts w:cs="Arial"/>
        </w:rPr>
        <w:t xml:space="preserve"> emissions must record what amount (in absolute values) of CO</w:t>
      </w:r>
      <w:r w:rsidRPr="00DB35D4">
        <w:rPr>
          <w:rStyle w:val="tlid-translation"/>
          <w:rFonts w:cs="Arial"/>
          <w:vertAlign w:val="subscript"/>
        </w:rPr>
        <w:t>2</w:t>
      </w:r>
      <w:r w:rsidRPr="00DB35D4">
        <w:rPr>
          <w:rStyle w:val="tlid-translation"/>
          <w:rFonts w:cs="Arial"/>
        </w:rPr>
        <w:t xml:space="preserve"> or other GHG generates </w:t>
      </w:r>
      <w:proofErr w:type="gramStart"/>
      <w:r w:rsidRPr="00DB35D4">
        <w:rPr>
          <w:rStyle w:val="tlid-translation"/>
          <w:rFonts w:cs="Arial"/>
        </w:rPr>
        <w:t>in order to</w:t>
      </w:r>
      <w:proofErr w:type="gramEnd"/>
      <w:r w:rsidRPr="00DB35D4">
        <w:rPr>
          <w:rStyle w:val="tlid-translation"/>
          <w:rFonts w:cs="Arial"/>
        </w:rPr>
        <w:t xml:space="preserve"> be sequestrated by Offset Projects. One such action is tree planting but not so simplistic as it seems. Carbon markets were created to trade CO</w:t>
      </w:r>
      <w:r w:rsidRPr="00DB35D4">
        <w:rPr>
          <w:rStyle w:val="tlid-translation"/>
          <w:rFonts w:cs="Arial"/>
          <w:vertAlign w:val="subscript"/>
        </w:rPr>
        <w:t>2</w:t>
      </w:r>
      <w:r w:rsidRPr="00DB35D4">
        <w:rPr>
          <w:rStyle w:val="tlid-translation"/>
          <w:rFonts w:cs="Arial"/>
        </w:rPr>
        <w:t xml:space="preserve"> emissions or in other words allowances to produce CO</w:t>
      </w:r>
      <w:r w:rsidRPr="00DB35D4">
        <w:rPr>
          <w:rStyle w:val="tlid-translation"/>
          <w:rFonts w:cs="Arial"/>
          <w:vertAlign w:val="subscript"/>
        </w:rPr>
        <w:t>2</w:t>
      </w:r>
      <w:r w:rsidRPr="00DB35D4">
        <w:rPr>
          <w:rStyle w:val="tlid-translation"/>
          <w:rFonts w:cs="Arial"/>
        </w:rPr>
        <w:t xml:space="preserve"> emissions equal to those sequestrated from the atmosphere by other procedures. These procedures (Carbon Offset Projects) can therefore permit emissions and can be investment or ecological actions such as tree planting. Reforestation that mitigates CO</w:t>
      </w:r>
      <w:r w:rsidRPr="00DB35D4">
        <w:rPr>
          <w:rStyle w:val="tlid-translation"/>
          <w:rFonts w:cs="Arial"/>
          <w:vertAlign w:val="subscript"/>
        </w:rPr>
        <w:t>2</w:t>
      </w:r>
      <w:r w:rsidRPr="00DB35D4">
        <w:rPr>
          <w:rStyle w:val="tlid-translation"/>
          <w:rFonts w:cs="Arial"/>
        </w:rPr>
        <w:t xml:space="preserve"> emissions can be applied to Marginal Lands.</w:t>
      </w:r>
    </w:p>
    <w:p w14:paraId="6C914CC3" w14:textId="7478E6AC" w:rsidR="002928A6" w:rsidRPr="00DB35D4" w:rsidRDefault="009D61A5" w:rsidP="002928A6">
      <w:pPr>
        <w:pStyle w:val="mail"/>
        <w:rPr>
          <w:rStyle w:val="tlid-translation"/>
        </w:rPr>
      </w:pPr>
      <w:r>
        <w:rPr>
          <w:rStyle w:val="tlid-translation"/>
        </w:rPr>
        <w:t xml:space="preserve">The latter part of this document (MAIL Task </w:t>
      </w:r>
      <w:r w:rsidR="002928A6" w:rsidRPr="00DB35D4">
        <w:rPr>
          <w:rStyle w:val="tlid-translation"/>
        </w:rPr>
        <w:t>5.3</w:t>
      </w:r>
      <w:r w:rsidR="000B25A0">
        <w:rPr>
          <w:rStyle w:val="tlid-translation"/>
        </w:rPr>
        <w:t xml:space="preserve"> Chapter 12 onwards</w:t>
      </w:r>
      <w:r>
        <w:rPr>
          <w:rStyle w:val="tlid-translation"/>
        </w:rPr>
        <w:t xml:space="preserve">) </w:t>
      </w:r>
      <w:r w:rsidR="002928A6" w:rsidRPr="00DB35D4">
        <w:rPr>
          <w:rStyle w:val="tlid-translation"/>
        </w:rPr>
        <w:t xml:space="preserve">deals with existing carbon markets. The carbon markets are divided into two categories. The compliance or obligatory and the voluntary markets. The compliance markets began after the Kyoto Protocol and the first to be created with the most significant emission rate covered is the European Trade System (ETS). The operation of markets is based on cap-and-trade concept. Each industry or polluting entity has a cap for a certain </w:t>
      </w:r>
      <w:proofErr w:type="gramStart"/>
      <w:r w:rsidR="002928A6" w:rsidRPr="00DB35D4">
        <w:rPr>
          <w:rStyle w:val="tlid-translation"/>
        </w:rPr>
        <w:t>amount</w:t>
      </w:r>
      <w:proofErr w:type="gramEnd"/>
      <w:r w:rsidR="002928A6" w:rsidRPr="00DB35D4">
        <w:rPr>
          <w:rStyle w:val="tlid-translation"/>
        </w:rPr>
        <w:t xml:space="preserve"> of emissions and if it exceeds this cap, they must purchase the respective allowances from someone else who has not exceeded their allowances. In case of non-compliance, the state imposes fines. The operating conditions of the markets vary from country to country, as well as the cost of a metric unit which is a ton of equivalent CO</w:t>
      </w:r>
      <w:r w:rsidR="002928A6" w:rsidRPr="00DB35D4">
        <w:rPr>
          <w:rStyle w:val="tlid-translation"/>
          <w:vertAlign w:val="subscript"/>
        </w:rPr>
        <w:t>2</w:t>
      </w:r>
      <w:r w:rsidR="002928A6" w:rsidRPr="00DB35D4">
        <w:rPr>
          <w:rStyle w:val="tlid-translation"/>
        </w:rPr>
        <w:t xml:space="preserve"> (tCO</w:t>
      </w:r>
      <w:r w:rsidR="002928A6" w:rsidRPr="00DB35D4">
        <w:rPr>
          <w:rStyle w:val="tlid-translation"/>
          <w:vertAlign w:val="subscript"/>
        </w:rPr>
        <w:t>2</w:t>
      </w:r>
      <w:r w:rsidR="002928A6" w:rsidRPr="00DB35D4">
        <w:rPr>
          <w:rStyle w:val="tlid-translation"/>
        </w:rPr>
        <w:t>e). The prices for 1 tCO</w:t>
      </w:r>
      <w:r w:rsidR="002928A6" w:rsidRPr="00DB35D4">
        <w:rPr>
          <w:rStyle w:val="tlid-translation"/>
          <w:vertAlign w:val="subscript"/>
        </w:rPr>
        <w:t>2</w:t>
      </w:r>
      <w:r w:rsidR="002928A6" w:rsidRPr="00DB35D4">
        <w:rPr>
          <w:rStyle w:val="tlid-translation"/>
        </w:rPr>
        <w:t>e is varying among the separate public entities who are running the markets. The average price for 1 tCO</w:t>
      </w:r>
      <w:r w:rsidR="002928A6" w:rsidRPr="00DB35D4">
        <w:rPr>
          <w:rStyle w:val="tlid-translation"/>
          <w:vertAlign w:val="subscript"/>
        </w:rPr>
        <w:t>2</w:t>
      </w:r>
      <w:r w:rsidR="002928A6" w:rsidRPr="00DB35D4">
        <w:rPr>
          <w:rStyle w:val="tlid-translation"/>
        </w:rPr>
        <w:t>e is currently about 14.51€/tCO</w:t>
      </w:r>
      <w:r w:rsidR="002928A6" w:rsidRPr="00DB35D4">
        <w:rPr>
          <w:rStyle w:val="tlid-translation"/>
          <w:vertAlign w:val="subscript"/>
        </w:rPr>
        <w:t>2</w:t>
      </w:r>
      <w:r w:rsidR="002928A6" w:rsidRPr="00DB35D4">
        <w:rPr>
          <w:rStyle w:val="tlid-translation"/>
        </w:rPr>
        <w:t>e and at the last update of September 2021 the price was 64,32€/tCO</w:t>
      </w:r>
      <w:r w:rsidR="002928A6" w:rsidRPr="00DB35D4">
        <w:rPr>
          <w:rStyle w:val="tlid-translation"/>
          <w:vertAlign w:val="subscript"/>
        </w:rPr>
        <w:t>2</w:t>
      </w:r>
      <w:r w:rsidR="002928A6" w:rsidRPr="00DB35D4">
        <w:rPr>
          <w:rStyle w:val="tlid-translation"/>
        </w:rPr>
        <w:t xml:space="preserve">e (ICAP,2021). Specialists from all around </w:t>
      </w:r>
      <w:r w:rsidR="002928A6" w:rsidRPr="00DB35D4">
        <w:rPr>
          <w:rStyle w:val="tlid-translation"/>
        </w:rPr>
        <w:lastRenderedPageBreak/>
        <w:t>the world have calculated that the price of 40$/tCO</w:t>
      </w:r>
      <w:r w:rsidR="002928A6" w:rsidRPr="00DB35D4">
        <w:rPr>
          <w:rStyle w:val="tlid-translation"/>
          <w:vertAlign w:val="subscript"/>
        </w:rPr>
        <w:t>2</w:t>
      </w:r>
      <w:r w:rsidR="002928A6" w:rsidRPr="00DB35D4">
        <w:rPr>
          <w:rStyle w:val="tlid-translation"/>
        </w:rPr>
        <w:t>e is the minimum to achieve the Paris Agreement reduction of the temperature by 1.5</w:t>
      </w:r>
      <w:r w:rsidR="002928A6" w:rsidRPr="00DB35D4">
        <w:rPr>
          <w:rStyle w:val="tlid-translation"/>
          <w:vertAlign w:val="superscript"/>
        </w:rPr>
        <w:t>o</w:t>
      </w:r>
      <w:r w:rsidR="002928A6" w:rsidRPr="00DB35D4">
        <w:rPr>
          <w:rStyle w:val="tlid-translation"/>
        </w:rPr>
        <w:t>C. It is described below the concept of Carbon Offset Projects as well as the Kyoto Protocol mechanisms that were created to apply carbon trade to other regions. Countries not belonging to the European Union could not participate in ETS, therefore other CO</w:t>
      </w:r>
      <w:r w:rsidR="002928A6" w:rsidRPr="00DB35D4">
        <w:rPr>
          <w:rStyle w:val="tlid-translation"/>
          <w:vertAlign w:val="subscript"/>
        </w:rPr>
        <w:t>2</w:t>
      </w:r>
      <w:r w:rsidR="002928A6" w:rsidRPr="00DB35D4">
        <w:rPr>
          <w:rStyle w:val="tlid-translation"/>
        </w:rPr>
        <w:t xml:space="preserve"> trading mechanisms had to be created. One of them and very effective was the Clean Development Mechanism (CDM). It operated under the Kyoto Protocol and many of the CO</w:t>
      </w:r>
      <w:r w:rsidR="002928A6" w:rsidRPr="00DB35D4">
        <w:rPr>
          <w:rStyle w:val="tlid-translation"/>
          <w:vertAlign w:val="subscript"/>
        </w:rPr>
        <w:t>2</w:t>
      </w:r>
      <w:r w:rsidR="002928A6" w:rsidRPr="00DB35D4">
        <w:rPr>
          <w:rStyle w:val="tlid-translation"/>
        </w:rPr>
        <w:t xml:space="preserve"> absorption programs involved forestation of Marginal Lands. The Joint Implementation (JI) Mechanism it has also similar characteristics but involving countries from the former Soviet Union.</w:t>
      </w:r>
    </w:p>
    <w:p w14:paraId="2F13F728" w14:textId="36941FBE" w:rsidR="002928A6" w:rsidRPr="00DB35D4" w:rsidRDefault="002928A6" w:rsidP="002928A6">
      <w:pPr>
        <w:rPr>
          <w:rStyle w:val="tlid-translation"/>
          <w:rFonts w:cs="Arial"/>
        </w:rPr>
      </w:pPr>
      <w:r w:rsidRPr="00DB35D4">
        <w:rPr>
          <w:rStyle w:val="tlid-translation"/>
          <w:rFonts w:cs="Arial"/>
        </w:rPr>
        <w:t xml:space="preserve">Apart from compliance markets, there are also the voluntary markets which involve companies that were not obliged </w:t>
      </w:r>
      <w:r w:rsidR="009D61A5" w:rsidRPr="00DB35D4">
        <w:rPr>
          <w:rStyle w:val="tlid-translation"/>
          <w:rFonts w:cs="Arial"/>
        </w:rPr>
        <w:t>to but</w:t>
      </w:r>
      <w:r w:rsidRPr="00DB35D4">
        <w:rPr>
          <w:rStyle w:val="tlid-translation"/>
          <w:rFonts w:cs="Arial"/>
        </w:rPr>
        <w:t xml:space="preserve"> invest in Offset Projects to mitigate their CO</w:t>
      </w:r>
      <w:r w:rsidRPr="00DB35D4">
        <w:rPr>
          <w:rStyle w:val="tlid-translation"/>
          <w:rFonts w:cs="Arial"/>
          <w:vertAlign w:val="subscript"/>
        </w:rPr>
        <w:t>2</w:t>
      </w:r>
      <w:r w:rsidRPr="00DB35D4">
        <w:rPr>
          <w:rStyle w:val="tlid-translation"/>
          <w:rFonts w:cs="Arial"/>
        </w:rPr>
        <w:t xml:space="preserve"> emissions. Usually, the obtain a certificate of environment friendly company. The voluntary markets are numerous, and many financial organizations publish annual reports on them giving their CO</w:t>
      </w:r>
      <w:r w:rsidRPr="00DB35D4">
        <w:rPr>
          <w:rStyle w:val="tlid-translation"/>
          <w:rFonts w:cs="Arial"/>
          <w:vertAlign w:val="subscript"/>
        </w:rPr>
        <w:t>2</w:t>
      </w:r>
      <w:r w:rsidRPr="00DB35D4">
        <w:rPr>
          <w:rStyle w:val="tlid-translation"/>
          <w:rFonts w:cs="Arial"/>
        </w:rPr>
        <w:t xml:space="preserve"> trade volume and tCO</w:t>
      </w:r>
      <w:r w:rsidRPr="00DB35D4">
        <w:rPr>
          <w:rStyle w:val="tlid-translation"/>
          <w:rFonts w:cs="Arial"/>
          <w:vertAlign w:val="subscript"/>
        </w:rPr>
        <w:t>2</w:t>
      </w:r>
      <w:r w:rsidRPr="00DB35D4">
        <w:rPr>
          <w:rStyle w:val="tlid-translation"/>
          <w:rFonts w:cs="Arial"/>
        </w:rPr>
        <w:t xml:space="preserve">e price. This report is dedicated to the description of the European Trade System (ETS) and the future mechanism of EU which is the Effort Sharing mechanism and its connection with LULUCF. </w:t>
      </w:r>
      <w:r w:rsidRPr="00DB35D4">
        <w:rPr>
          <w:rFonts w:cs="Arial"/>
        </w:rPr>
        <w:t>It</w:t>
      </w:r>
      <w:r w:rsidRPr="00DB35D4">
        <w:rPr>
          <w:rStyle w:val="tlid-translation"/>
          <w:rFonts w:cs="Arial"/>
        </w:rPr>
        <w:t xml:space="preserve"> is also dedicated to accounting standards of CO</w:t>
      </w:r>
      <w:r w:rsidRPr="00DB35D4">
        <w:rPr>
          <w:rStyle w:val="tlid-translation"/>
          <w:rFonts w:cs="Arial"/>
          <w:vertAlign w:val="subscript"/>
        </w:rPr>
        <w:t>2</w:t>
      </w:r>
      <w:r w:rsidRPr="00DB35D4">
        <w:rPr>
          <w:rStyle w:val="tlid-translation"/>
          <w:rFonts w:cs="Arial"/>
        </w:rPr>
        <w:t xml:space="preserve"> emissions and allowances and is devoted to public offset projects that are operating in Germany, Spain, Greece and Poland and private offset projects (mostly applying voluntary accounting standards). This report gives other actions that cannot be categorized as compliance or voluntary markets but can be combined with Carbon Offset Projects. Carbon Offsetting and Reduction Scheme for International Aviation - CORSIA is one such major initiative that will begin its operation </w:t>
      </w:r>
      <w:proofErr w:type="gramStart"/>
      <w:r w:rsidRPr="00DB35D4">
        <w:rPr>
          <w:rStyle w:val="tlid-translation"/>
          <w:rFonts w:cs="Arial"/>
        </w:rPr>
        <w:t>in the near future</w:t>
      </w:r>
      <w:proofErr w:type="gramEnd"/>
      <w:r w:rsidRPr="00DB35D4">
        <w:rPr>
          <w:rStyle w:val="tlid-translation"/>
          <w:rFonts w:cs="Arial"/>
        </w:rPr>
        <w:t xml:space="preserve"> and will cover emissions from the international aviation sector. These actions are not directly referred to the Marginal </w:t>
      </w:r>
      <w:proofErr w:type="gramStart"/>
      <w:r w:rsidRPr="00DB35D4">
        <w:rPr>
          <w:rStyle w:val="tlid-translation"/>
          <w:rFonts w:cs="Arial"/>
        </w:rPr>
        <w:t>Lands</w:t>
      </w:r>
      <w:proofErr w:type="gramEnd"/>
      <w:r w:rsidRPr="00DB35D4">
        <w:rPr>
          <w:rStyle w:val="tlid-translation"/>
          <w:rFonts w:cs="Arial"/>
        </w:rPr>
        <w:t xml:space="preserve"> but they can be related to them and moreover these private initiatives show the current trend. The process of a project's integration into the voluntary carbon market is described as well as the role of stakeholders in the project from the development to implementation, and the steps and stages that the project must go through to enter the carbon market.</w:t>
      </w:r>
    </w:p>
    <w:p w14:paraId="0D0AC5C6" w14:textId="2BFD9685" w:rsidR="002928A6" w:rsidRDefault="002928A6" w:rsidP="002928A6">
      <w:pPr>
        <w:jc w:val="left"/>
        <w:rPr>
          <w:rStyle w:val="tlid-translation"/>
          <w:rFonts w:cs="Arial"/>
        </w:rPr>
      </w:pPr>
    </w:p>
    <w:p w14:paraId="689BB034" w14:textId="30DF9959" w:rsidR="00C07B3F" w:rsidRPr="00EE5690" w:rsidRDefault="00C07B3F" w:rsidP="002928A6">
      <w:pPr>
        <w:jc w:val="left"/>
        <w:rPr>
          <w:rFonts w:eastAsiaTheme="majorEastAsia" w:cs="Arial"/>
          <w:b/>
          <w:bCs/>
          <w:smallCaps/>
          <w:color w:val="212745" w:themeColor="text2"/>
          <w:lang w:val="en-GB"/>
        </w:rPr>
      </w:pPr>
      <w:r w:rsidRPr="00EE5690">
        <w:rPr>
          <w:rFonts w:cs="Arial"/>
          <w:lang w:val="en-GB"/>
        </w:rPr>
        <w:br w:type="page"/>
      </w:r>
    </w:p>
    <w:p w14:paraId="5AFDB5D8" w14:textId="269621CE" w:rsidR="009B3BE6" w:rsidRPr="00EE5690" w:rsidRDefault="0021505B" w:rsidP="005D4B20">
      <w:pPr>
        <w:pStyle w:val="MAIL1"/>
      </w:pPr>
      <w:bookmarkStart w:id="7" w:name="_Toc91752375"/>
      <w:r w:rsidRPr="00EE5690">
        <w:lastRenderedPageBreak/>
        <w:t>Introduction</w:t>
      </w:r>
      <w:bookmarkEnd w:id="7"/>
    </w:p>
    <w:p w14:paraId="7AABC5E8" w14:textId="55CA06BF" w:rsidR="00A37ACC" w:rsidRPr="00EE5690" w:rsidRDefault="00A37ACC" w:rsidP="0093275A">
      <w:pPr>
        <w:rPr>
          <w:rFonts w:cs="Arial"/>
          <w:lang w:val="en-GB"/>
        </w:rPr>
      </w:pPr>
      <w:r w:rsidRPr="00EE5690">
        <w:rPr>
          <w:rFonts w:cs="Arial"/>
          <w:lang w:val="en-GB"/>
        </w:rPr>
        <w:t xml:space="preserve">One of the goals of the </w:t>
      </w:r>
      <w:r w:rsidRPr="00EE5690">
        <w:rPr>
          <w:rStyle w:val="IntenseEmphasis"/>
          <w:rFonts w:cs="Arial"/>
        </w:rPr>
        <w:t>MAIL</w:t>
      </w:r>
      <w:r w:rsidRPr="00EE5690">
        <w:rPr>
          <w:rFonts w:cs="Arial"/>
          <w:lang w:val="en-GB"/>
        </w:rPr>
        <w:t xml:space="preserve"> project is the use of marginal lands as potential carbon sinks. </w:t>
      </w:r>
      <w:proofErr w:type="gramStart"/>
      <w:r w:rsidRPr="00EE5690">
        <w:rPr>
          <w:rFonts w:cs="Arial"/>
          <w:lang w:val="en-GB"/>
        </w:rPr>
        <w:t>In order to</w:t>
      </w:r>
      <w:proofErr w:type="gramEnd"/>
      <w:r w:rsidRPr="00EE5690">
        <w:rPr>
          <w:rFonts w:cs="Arial"/>
          <w:lang w:val="en-GB"/>
        </w:rPr>
        <w:t xml:space="preserve"> achieve this </w:t>
      </w:r>
      <w:r w:rsidR="005F4472" w:rsidRPr="00EE5690">
        <w:rPr>
          <w:rFonts w:cs="Arial"/>
          <w:lang w:val="en-GB"/>
        </w:rPr>
        <w:t>objective</w:t>
      </w:r>
      <w:r w:rsidRPr="00EE5690">
        <w:rPr>
          <w:rFonts w:cs="Arial"/>
          <w:lang w:val="en-GB"/>
        </w:rPr>
        <w:t xml:space="preserve"> </w:t>
      </w:r>
      <w:r w:rsidRPr="00EE5690">
        <w:rPr>
          <w:rStyle w:val="IntenseEmphasis"/>
          <w:rFonts w:cs="Arial"/>
        </w:rPr>
        <w:t>MAIL</w:t>
      </w:r>
      <w:r w:rsidRPr="00EE5690">
        <w:rPr>
          <w:rFonts w:cs="Arial"/>
          <w:lang w:val="en-GB"/>
        </w:rPr>
        <w:t xml:space="preserve"> is going to identify the potential marginal lands in a European level and provide </w:t>
      </w:r>
      <w:r w:rsidR="0045635F" w:rsidRPr="00EE5690">
        <w:rPr>
          <w:rFonts w:cs="Arial"/>
          <w:lang w:val="en-GB"/>
        </w:rPr>
        <w:t>a guide on how marginal lands can be exploited as carbon sinks. The main goal of this deliverable is to provide guides through dedicated workflows that will help assess the sustainability of marginal lands when used as carbon sinks, considering the financial, technological, environmental, and social aspects. D5.2 build</w:t>
      </w:r>
      <w:r w:rsidR="009C660A" w:rsidRPr="00EE5690">
        <w:rPr>
          <w:rFonts w:cs="Arial"/>
          <w:lang w:val="en-GB"/>
        </w:rPr>
        <w:t>s</w:t>
      </w:r>
      <w:r w:rsidR="0045635F" w:rsidRPr="00EE5690">
        <w:rPr>
          <w:rFonts w:cs="Arial"/>
          <w:lang w:val="en-GB"/>
        </w:rPr>
        <w:t xml:space="preserve"> upon the work performed in Work package 2, 3, 4 and 5. More spec</w:t>
      </w:r>
      <w:r w:rsidR="009C660A" w:rsidRPr="00EE5690">
        <w:rPr>
          <w:rFonts w:cs="Arial"/>
          <w:lang w:val="en-GB"/>
        </w:rPr>
        <w:t>ifically the outputs of task 2.3 “Methodology development of m/</w:t>
      </w:r>
      <w:proofErr w:type="spellStart"/>
      <w:r w:rsidR="009C660A" w:rsidRPr="00EE5690">
        <w:rPr>
          <w:rFonts w:cs="Arial"/>
          <w:lang w:val="en-GB"/>
        </w:rPr>
        <w:t>sm</w:t>
      </w:r>
      <w:proofErr w:type="spellEnd"/>
      <w:r w:rsidR="009C660A" w:rsidRPr="00EE5690">
        <w:rPr>
          <w:rFonts w:cs="Arial"/>
          <w:lang w:val="en-GB"/>
        </w:rPr>
        <w:t xml:space="preserve"> MLs detection”, 2.5 “Existing models (IPCC, etc.) customization – evaluation – validation, considering, local aspects”, 2.6 “Estimation of biomass volume at low productivity m/</w:t>
      </w:r>
      <w:proofErr w:type="spellStart"/>
      <w:r w:rsidR="009C660A" w:rsidRPr="00EE5690">
        <w:rPr>
          <w:rFonts w:cs="Arial"/>
          <w:lang w:val="en-GB"/>
        </w:rPr>
        <w:t>sm</w:t>
      </w:r>
      <w:proofErr w:type="spellEnd"/>
      <w:r w:rsidR="009C660A" w:rsidRPr="00EE5690">
        <w:rPr>
          <w:rFonts w:cs="Arial"/>
          <w:lang w:val="en-GB"/>
        </w:rPr>
        <w:t xml:space="preserve"> MLs”, 2.7 m/</w:t>
      </w:r>
      <w:proofErr w:type="spellStart"/>
      <w:r w:rsidR="009C660A" w:rsidRPr="00EE5690">
        <w:rPr>
          <w:rFonts w:cs="Arial"/>
          <w:lang w:val="en-GB"/>
        </w:rPr>
        <w:t>sm</w:t>
      </w:r>
      <w:proofErr w:type="spellEnd"/>
      <w:r w:rsidR="009C660A" w:rsidRPr="00EE5690">
        <w:rPr>
          <w:rFonts w:cs="Arial"/>
          <w:lang w:val="en-GB"/>
        </w:rPr>
        <w:t xml:space="preserve"> MLs classification in Carbon sequestration capacity groups”, 3.4 “Accompanying Software systems”, 4.2 “Pilot case study 2: Quantification of carbon sequestration capacity in m/</w:t>
      </w:r>
      <w:proofErr w:type="spellStart"/>
      <w:r w:rsidR="009C660A" w:rsidRPr="00EE5690">
        <w:rPr>
          <w:rFonts w:cs="Arial"/>
          <w:lang w:val="en-GB"/>
        </w:rPr>
        <w:t>sm</w:t>
      </w:r>
      <w:proofErr w:type="spellEnd"/>
      <w:r w:rsidR="009C660A" w:rsidRPr="00EE5690">
        <w:rPr>
          <w:rFonts w:cs="Arial"/>
          <w:lang w:val="en-GB"/>
        </w:rPr>
        <w:t xml:space="preserve"> MLs”, 4.3 “Pilot case study 3:  Estimation of carbon stock in forest products”, 4.4 “Pilot case 4: Change detection and mapping in forest </w:t>
      </w:r>
      <w:r w:rsidR="00CF3023" w:rsidRPr="00EE5690">
        <w:rPr>
          <w:rFonts w:cs="Arial"/>
          <w:lang w:val="en-GB"/>
        </w:rPr>
        <w:t xml:space="preserve">MLs”, 5.1 “Best practices MLs monitoring using remote sensing techniques” and 5.3 “Potentialities of emerging stock exchange markets for carbon transactions and proposed polices” will be used in the proposed workflows. </w:t>
      </w:r>
    </w:p>
    <w:p w14:paraId="5698D6E5" w14:textId="39B24877" w:rsidR="00CF3023" w:rsidRPr="00EE5690" w:rsidRDefault="00CF3023" w:rsidP="0093275A">
      <w:pPr>
        <w:rPr>
          <w:rFonts w:cs="Arial"/>
          <w:lang w:val="en-GB"/>
        </w:rPr>
      </w:pPr>
      <w:r w:rsidRPr="00EE5690">
        <w:rPr>
          <w:rFonts w:cs="Arial"/>
          <w:lang w:val="en-GB"/>
        </w:rPr>
        <w:t xml:space="preserve">Since the primary goal is the use of MLs as carbon sinks the most efficient way of achieving this is by transforming MLs to forests. As a result, the </w:t>
      </w:r>
      <w:r w:rsidR="0036286D" w:rsidRPr="00EE5690">
        <w:rPr>
          <w:rFonts w:cs="Arial"/>
          <w:lang w:val="en-GB"/>
        </w:rPr>
        <w:t>focus</w:t>
      </w:r>
      <w:r w:rsidRPr="00EE5690">
        <w:rPr>
          <w:rFonts w:cs="Arial"/>
          <w:lang w:val="en-GB"/>
        </w:rPr>
        <w:t xml:space="preserve"> of the sustainability/feasibility study will be the sustainable forest management of exploiting forests as carbon sinks.</w:t>
      </w:r>
    </w:p>
    <w:p w14:paraId="20819D74" w14:textId="4E08A539" w:rsidR="00CF3023" w:rsidRDefault="00CF3023" w:rsidP="0093275A">
      <w:pPr>
        <w:rPr>
          <w:rFonts w:cs="Arial"/>
          <w:lang w:val="en-GB"/>
        </w:rPr>
      </w:pPr>
      <w:proofErr w:type="gramStart"/>
      <w:r w:rsidRPr="00EE5690">
        <w:rPr>
          <w:rFonts w:cs="Arial"/>
          <w:lang w:val="en-GB"/>
        </w:rPr>
        <w:t xml:space="preserve">In order </w:t>
      </w:r>
      <w:r w:rsidR="00117A43" w:rsidRPr="00EE5690">
        <w:rPr>
          <w:rFonts w:cs="Arial"/>
          <w:lang w:val="en-GB"/>
        </w:rPr>
        <w:t>to</w:t>
      </w:r>
      <w:proofErr w:type="gramEnd"/>
      <w:r w:rsidR="00117A43" w:rsidRPr="00EE5690">
        <w:rPr>
          <w:rFonts w:cs="Arial"/>
          <w:lang w:val="en-GB"/>
        </w:rPr>
        <w:t xml:space="preserve"> </w:t>
      </w:r>
      <w:r w:rsidRPr="00EE5690">
        <w:rPr>
          <w:rFonts w:cs="Arial"/>
          <w:lang w:val="en-GB"/>
        </w:rPr>
        <w:t xml:space="preserve">assess the sustainability of MLs as carbon sinks the </w:t>
      </w:r>
      <w:r w:rsidR="00117A43" w:rsidRPr="00EE5690">
        <w:rPr>
          <w:rFonts w:cs="Arial"/>
          <w:lang w:val="en-GB"/>
        </w:rPr>
        <w:t xml:space="preserve">technological, financial, environmental and social aspects were examined for the creation of the workflows and the preparation of the different guides. These aspects were examined in a spatial/temporal context </w:t>
      </w:r>
      <w:proofErr w:type="gramStart"/>
      <w:r w:rsidR="00117A43" w:rsidRPr="00EE5690">
        <w:rPr>
          <w:rFonts w:cs="Arial"/>
          <w:lang w:val="en-GB"/>
        </w:rPr>
        <w:t>in order to</w:t>
      </w:r>
      <w:proofErr w:type="gramEnd"/>
      <w:r w:rsidR="00117A43" w:rsidRPr="00EE5690">
        <w:rPr>
          <w:rFonts w:cs="Arial"/>
          <w:lang w:val="en-GB"/>
        </w:rPr>
        <w:t xml:space="preserve"> provide short- and long-term options in local, regional, and national level. </w:t>
      </w:r>
    </w:p>
    <w:p w14:paraId="5F347AB9" w14:textId="77777777" w:rsidR="000E676C" w:rsidRPr="00DB35D4" w:rsidRDefault="000E676C" w:rsidP="000E676C">
      <w:pPr>
        <w:pStyle w:val="mail"/>
        <w:rPr>
          <w:rStyle w:val="tlid-translation"/>
        </w:rPr>
      </w:pPr>
      <w:r w:rsidRPr="00DB35D4">
        <w:rPr>
          <w:rStyle w:val="tlid-translation"/>
          <w:b/>
        </w:rPr>
        <w:t>Carbon pricing</w:t>
      </w:r>
      <w:r w:rsidRPr="00DB35D4">
        <w:rPr>
          <w:rStyle w:val="tlid-translation"/>
        </w:rPr>
        <w:t xml:space="preserve"> is a tool designed to assess the disastrous consequences from the use of fossil fuels that produce other than CO</w:t>
      </w:r>
      <w:r w:rsidRPr="00DB35D4">
        <w:rPr>
          <w:rStyle w:val="tlid-translation"/>
          <w:vertAlign w:val="subscript"/>
        </w:rPr>
        <w:t>2</w:t>
      </w:r>
      <w:r w:rsidRPr="00DB35D4">
        <w:rPr>
          <w:rStyle w:val="tlid-translation"/>
        </w:rPr>
        <w:t xml:space="preserve"> more greenhouse gases. Carbon pricing estimates the (negative) results of the emissions that we pay as a global community to repair damages that come from the use of fossil fuels, for example, the costs of health care from heat waves and droughts, land loss from floods, rising levels of pollution of the sea, etc. All these negative effects of using fossil fuels are linked to the causes of </w:t>
      </w:r>
      <w:r w:rsidRPr="00DB35D4">
        <w:rPr>
          <w:rStyle w:val="tlid-translation"/>
        </w:rPr>
        <w:lastRenderedPageBreak/>
        <w:t>emissions through a price, usually in the form of carbon dioxide (CO</w:t>
      </w:r>
      <w:r w:rsidRPr="00DB35D4">
        <w:rPr>
          <w:rStyle w:val="tlid-translation"/>
          <w:vertAlign w:val="subscript"/>
        </w:rPr>
        <w:t>2</w:t>
      </w:r>
      <w:r w:rsidRPr="00DB35D4">
        <w:rPr>
          <w:rStyle w:val="tlid-translation"/>
        </w:rPr>
        <w:t xml:space="preserve">) gas. A carbon price aims to shift the responsibility for the damage back to those who cause it and can mitigate it. Instead, </w:t>
      </w:r>
      <w:proofErr w:type="gramStart"/>
      <w:r w:rsidRPr="00DB35D4">
        <w:rPr>
          <w:rStyle w:val="tlid-translation"/>
        </w:rPr>
        <w:t>than</w:t>
      </w:r>
      <w:proofErr w:type="gramEnd"/>
      <w:r w:rsidRPr="00DB35D4">
        <w:rPr>
          <w:rStyle w:val="tlid-translation"/>
        </w:rPr>
        <w:t xml:space="preserve"> mandating who and how to cut emissions, a carbon price sends an economic signal to polluters, allowing them to choose whether to stop polluting, reduce emissions, or continue polluting and pay the price. As a result, the overall environmental aim is met in the most flexible and cost-effective manner possible for society. The carbon price also encourages clean technology and market innovation, resulting in the development of new, low-carbon economic growth engines.</w:t>
      </w:r>
    </w:p>
    <w:p w14:paraId="7B54E2F2" w14:textId="77777777" w:rsidR="000E676C" w:rsidRPr="00DB35D4" w:rsidRDefault="000E676C" w:rsidP="000E676C">
      <w:pPr>
        <w:pStyle w:val="mail"/>
        <w:rPr>
          <w:rStyle w:val="tlid-translation"/>
        </w:rPr>
      </w:pPr>
      <w:r w:rsidRPr="00DB35D4">
        <w:rPr>
          <w:rStyle w:val="tlid-translation"/>
        </w:rPr>
        <w:t xml:space="preserve">Carbon pricing can take many forms and refers to specific initiatives that clearly determine the magnitude and impact of greenhouse gas (GHG) emissions. A value for each GHG is usually given as a value per ton of carbon dioxide equivalent (tCO2e). Emissions trading systems (ETS) and carbon taxes are the two main types of carbon pricing. An ETS, also known as a cap-and-trade system, sets a limit on total greenhouse gas emissions and permits low-emitting companies to sell their extra allowances to higher-emitting industries. An ETS establishes a market price for greenhouse gas emissions by creating supply and demand for emission allowances. The cap ensures that the requisite emission reductions are made </w:t>
      </w:r>
      <w:proofErr w:type="gramStart"/>
      <w:r w:rsidRPr="00DB35D4">
        <w:rPr>
          <w:rStyle w:val="tlid-translation"/>
        </w:rPr>
        <w:t>in order for</w:t>
      </w:r>
      <w:proofErr w:type="gramEnd"/>
      <w:r w:rsidRPr="00DB35D4">
        <w:rPr>
          <w:rStyle w:val="tlid-translation"/>
        </w:rPr>
        <w:t xml:space="preserve"> emitters to stay within their pre-allocated carbon budget (in aggregate). A carbon tax places a direct price on carbon by imposing a tax on greenhouse gas emissions or, more typically, the carbon content of fossil fuels. It differs from an ETS in that the carbon tax's emission reduction effect is not pre-determined, but the carbon price is. The instrument chosen will be determined by the country's and economy's situation. Fuel taxes, the elimination of fossil fuel subsidies, and laws that may include a "social cost of carbon" are all indirect ways of more precisely pricing carbon. Payments for emission reductions can also be used to price greenhouse gas emissions. Emission reductions can be purchased by private entities or sovereigns to compensate for their own emissions (so-called offsets) or to fund mitigation efforts through results-based financing. Carbon pricing methods are already in use in more than 40 countries and more than 20 cities, states, and provinces, with more planning to implement them in the future. The current carbon price schemes cover roughly half of their emissions, or about 13% of annual global greenhouse gas emissions (World Bank, 2021).</w:t>
      </w:r>
    </w:p>
    <w:p w14:paraId="3CB74DE7" w14:textId="63407DF2" w:rsidR="000E676C" w:rsidRPr="000E676C" w:rsidRDefault="000E676C" w:rsidP="000E676C">
      <w:pPr>
        <w:pStyle w:val="mail"/>
      </w:pPr>
      <w:r w:rsidRPr="00DB35D4">
        <w:rPr>
          <w:rStyle w:val="tlid-translation"/>
        </w:rPr>
        <w:t xml:space="preserve">The escalation of greenhouse gas emission reductions while reducing mitigation costs is vital to solving the problem of climate change but without reducing growth indices, </w:t>
      </w:r>
      <w:r w:rsidRPr="00DB35D4">
        <w:rPr>
          <w:rStyle w:val="tlid-translation"/>
        </w:rPr>
        <w:lastRenderedPageBreak/>
        <w:t>especially for developing countries. Given the size and urgency of the climate challenge, all necessary measures must be taken immediately, and carbon pricing is one of them.</w:t>
      </w:r>
    </w:p>
    <w:p w14:paraId="30BE1B24" w14:textId="33F358F0" w:rsidR="00CF3023" w:rsidRPr="00EE5690" w:rsidRDefault="00117A43" w:rsidP="0093275A">
      <w:pPr>
        <w:rPr>
          <w:rFonts w:cs="Arial"/>
          <w:lang w:val="en-GB"/>
        </w:rPr>
      </w:pPr>
      <w:r w:rsidRPr="00EE5690">
        <w:rPr>
          <w:rFonts w:cs="Arial"/>
          <w:lang w:val="en-GB"/>
        </w:rPr>
        <w:t>The remaining of the document has the following structure: Chapter 2 provides the basic definitions that are being used in the deliverable, chapter 3 examines and analyses the general approach and methodology design for the sustainability assessment of using marginal lands as carbon sinks,</w:t>
      </w:r>
      <w:r w:rsidR="0014727C">
        <w:rPr>
          <w:rFonts w:cs="Arial"/>
          <w:lang w:val="en-GB"/>
        </w:rPr>
        <w:t xml:space="preserve"> chapter 4 describes the eligibility conditions,</w:t>
      </w:r>
      <w:r w:rsidRPr="00EE5690">
        <w:rPr>
          <w:rFonts w:cs="Arial"/>
          <w:lang w:val="en-GB"/>
        </w:rPr>
        <w:t xml:space="preserve"> chapter </w:t>
      </w:r>
      <w:r w:rsidR="0014727C">
        <w:rPr>
          <w:rFonts w:cs="Arial"/>
          <w:lang w:val="en-GB"/>
        </w:rPr>
        <w:t>5</w:t>
      </w:r>
      <w:r w:rsidRPr="00EE5690">
        <w:rPr>
          <w:rFonts w:cs="Arial"/>
          <w:lang w:val="en-GB"/>
        </w:rPr>
        <w:t xml:space="preserve"> presents the financial aspects, chapter </w:t>
      </w:r>
      <w:r w:rsidR="0014727C">
        <w:rPr>
          <w:rFonts w:cs="Arial"/>
          <w:lang w:val="en-GB"/>
        </w:rPr>
        <w:t>6</w:t>
      </w:r>
      <w:r w:rsidRPr="00EE5690">
        <w:rPr>
          <w:rFonts w:cs="Arial"/>
          <w:lang w:val="en-GB"/>
        </w:rPr>
        <w:t xml:space="preserve"> the social aspects, chapter </w:t>
      </w:r>
      <w:r w:rsidR="0014727C">
        <w:rPr>
          <w:rFonts w:cs="Arial"/>
          <w:lang w:val="en-GB"/>
        </w:rPr>
        <w:t>7</w:t>
      </w:r>
      <w:r w:rsidRPr="00EE5690">
        <w:rPr>
          <w:rFonts w:cs="Arial"/>
          <w:lang w:val="en-GB"/>
        </w:rPr>
        <w:t xml:space="preserve"> the </w:t>
      </w:r>
      <w:r w:rsidR="00A60586" w:rsidRPr="00EE5690">
        <w:rPr>
          <w:rFonts w:cs="Arial"/>
          <w:lang w:val="en-GB"/>
        </w:rPr>
        <w:t xml:space="preserve">environmental aspects and chapter </w:t>
      </w:r>
      <w:r w:rsidR="0014727C">
        <w:rPr>
          <w:rFonts w:cs="Arial"/>
          <w:lang w:val="en-GB"/>
        </w:rPr>
        <w:t>8</w:t>
      </w:r>
      <w:r w:rsidR="00A60586" w:rsidRPr="00EE5690">
        <w:rPr>
          <w:rFonts w:cs="Arial"/>
          <w:lang w:val="en-GB"/>
        </w:rPr>
        <w:t xml:space="preserve"> the </w:t>
      </w:r>
      <w:r w:rsidRPr="00EE5690">
        <w:rPr>
          <w:rFonts w:cs="Arial"/>
          <w:lang w:val="en-GB"/>
        </w:rPr>
        <w:t>technical/technological aspects</w:t>
      </w:r>
      <w:r w:rsidR="00A60586" w:rsidRPr="00EE5690">
        <w:rPr>
          <w:rFonts w:cs="Arial"/>
          <w:lang w:val="en-GB"/>
        </w:rPr>
        <w:t xml:space="preserve">. </w:t>
      </w:r>
      <w:r w:rsidRPr="00EE5690">
        <w:rPr>
          <w:rFonts w:cs="Arial"/>
          <w:lang w:val="en-GB"/>
        </w:rPr>
        <w:t xml:space="preserve">It must be noted that </w:t>
      </w:r>
      <w:r w:rsidR="001F5916" w:rsidRPr="00EE5690">
        <w:rPr>
          <w:rFonts w:cs="Arial"/>
          <w:lang w:val="en-GB"/>
        </w:rPr>
        <w:t xml:space="preserve">all these aspects are interconnected since the influence on another. </w:t>
      </w:r>
      <w:r w:rsidR="00A60586" w:rsidRPr="00EE5690">
        <w:rPr>
          <w:rFonts w:cs="Arial"/>
          <w:lang w:val="en-GB"/>
        </w:rPr>
        <w:t xml:space="preserve">Chapter </w:t>
      </w:r>
      <w:r w:rsidR="0014727C">
        <w:rPr>
          <w:rFonts w:cs="Arial"/>
          <w:lang w:val="en-GB"/>
        </w:rPr>
        <w:t>9</w:t>
      </w:r>
      <w:r w:rsidR="00A60586" w:rsidRPr="00EE5690">
        <w:rPr>
          <w:rFonts w:cs="Arial"/>
          <w:lang w:val="en-GB"/>
        </w:rPr>
        <w:t xml:space="preserve"> describes the feasibility analysis and the development of the economical afforestation model, chapter</w:t>
      </w:r>
      <w:r w:rsidR="0014727C">
        <w:rPr>
          <w:rFonts w:cs="Arial"/>
          <w:lang w:val="en-GB"/>
        </w:rPr>
        <w:t>10</w:t>
      </w:r>
      <w:r w:rsidR="00A60586" w:rsidRPr="00EE5690">
        <w:rPr>
          <w:rFonts w:cs="Arial"/>
          <w:lang w:val="en-GB"/>
        </w:rPr>
        <w:t xml:space="preserve"> analyses the sustainable development indicators and aspects </w:t>
      </w:r>
      <w:r w:rsidR="00013C6E" w:rsidRPr="00EE5690">
        <w:rPr>
          <w:rFonts w:cs="Arial"/>
          <w:lang w:val="en-GB"/>
        </w:rPr>
        <w:t>in marginal land and chapter 1</w:t>
      </w:r>
      <w:r w:rsidR="0014727C">
        <w:rPr>
          <w:rFonts w:cs="Arial"/>
          <w:lang w:val="en-GB"/>
        </w:rPr>
        <w:t>1</w:t>
      </w:r>
      <w:r w:rsidR="00013C6E" w:rsidRPr="00EE5690">
        <w:rPr>
          <w:rFonts w:cs="Arial"/>
          <w:lang w:val="en-GB"/>
        </w:rPr>
        <w:t xml:space="preserve"> suggests strategies for increasing carbon sequestration.</w:t>
      </w:r>
      <w:r w:rsidR="00B87E75">
        <w:rPr>
          <w:rFonts w:cs="Arial"/>
          <w:lang w:val="en-GB"/>
        </w:rPr>
        <w:t xml:space="preserve"> Chapters 1</w:t>
      </w:r>
      <w:r w:rsidR="004C682A">
        <w:rPr>
          <w:rFonts w:cs="Arial"/>
          <w:lang w:val="en-GB"/>
        </w:rPr>
        <w:t>2</w:t>
      </w:r>
      <w:r w:rsidR="00B87E75">
        <w:rPr>
          <w:rFonts w:cs="Arial"/>
          <w:lang w:val="en-GB"/>
        </w:rPr>
        <w:t xml:space="preserve"> to 18 provide an extensive overview of the current European and International carbon market landscape, including variety of mechanisms</w:t>
      </w:r>
      <w:r w:rsidR="004C682A">
        <w:rPr>
          <w:rFonts w:cs="Arial"/>
          <w:lang w:val="en-GB"/>
        </w:rPr>
        <w:t xml:space="preserve">, </w:t>
      </w:r>
      <w:r w:rsidR="00B87E75">
        <w:rPr>
          <w:rFonts w:cs="Arial"/>
          <w:lang w:val="en-GB"/>
        </w:rPr>
        <w:t>standards</w:t>
      </w:r>
      <w:r w:rsidR="004C682A">
        <w:rPr>
          <w:rFonts w:cs="Arial"/>
          <w:lang w:val="en-GB"/>
        </w:rPr>
        <w:t>, and trading schemes</w:t>
      </w:r>
      <w:r w:rsidR="00B87E75">
        <w:rPr>
          <w:rFonts w:cs="Arial"/>
          <w:lang w:val="en-GB"/>
        </w:rPr>
        <w:t xml:space="preserve"> (Chapter</w:t>
      </w:r>
      <w:r w:rsidR="004C682A">
        <w:rPr>
          <w:rFonts w:cs="Arial"/>
          <w:lang w:val="en-GB"/>
        </w:rPr>
        <w:t>s</w:t>
      </w:r>
      <w:r w:rsidR="00B87E75">
        <w:rPr>
          <w:rFonts w:cs="Arial"/>
          <w:lang w:val="en-GB"/>
        </w:rPr>
        <w:t xml:space="preserve"> </w:t>
      </w:r>
      <w:r w:rsidR="004C682A">
        <w:rPr>
          <w:rFonts w:cs="Arial"/>
          <w:lang w:val="en-GB"/>
        </w:rPr>
        <w:t>12-</w:t>
      </w:r>
      <w:r w:rsidR="00B87E75">
        <w:rPr>
          <w:rFonts w:cs="Arial"/>
          <w:lang w:val="en-GB"/>
        </w:rPr>
        <w:t>13), public and private initiatives (Chapter 14),</w:t>
      </w:r>
      <w:r w:rsidR="004C682A">
        <w:rPr>
          <w:rFonts w:cs="Arial"/>
          <w:lang w:val="en-GB"/>
        </w:rPr>
        <w:t xml:space="preserve"> as well as</w:t>
      </w:r>
      <w:r w:rsidR="00B87E75">
        <w:rPr>
          <w:rFonts w:cs="Arial"/>
          <w:lang w:val="en-GB"/>
        </w:rPr>
        <w:t xml:space="preserve"> financing and project implementation guidelines (Chapter</w:t>
      </w:r>
      <w:r w:rsidR="007C5D21">
        <w:rPr>
          <w:rFonts w:cs="Arial"/>
          <w:lang w:val="en-GB"/>
        </w:rPr>
        <w:t>s</w:t>
      </w:r>
      <w:r w:rsidR="00B87E75">
        <w:rPr>
          <w:rFonts w:cs="Arial"/>
          <w:lang w:val="en-GB"/>
        </w:rPr>
        <w:t xml:space="preserve"> 15-1</w:t>
      </w:r>
      <w:r w:rsidR="0035195A">
        <w:rPr>
          <w:rFonts w:cs="Arial"/>
          <w:lang w:val="en-GB"/>
        </w:rPr>
        <w:t>8</w:t>
      </w:r>
      <w:r w:rsidR="00B87E75">
        <w:rPr>
          <w:rFonts w:cs="Arial"/>
          <w:lang w:val="en-GB"/>
        </w:rPr>
        <w:t>).</w:t>
      </w:r>
    </w:p>
    <w:p w14:paraId="250387B8" w14:textId="170A9BAB" w:rsidR="009B3BE6" w:rsidRPr="00EE5690" w:rsidRDefault="00FC4BC5" w:rsidP="005D4B20">
      <w:pPr>
        <w:pStyle w:val="MAIL1"/>
      </w:pPr>
      <w:bookmarkStart w:id="8" w:name="_Toc91752376"/>
      <w:r w:rsidRPr="00EE5690">
        <w:t>Definitions and Terms in MLs and Carbon sequestration context</w:t>
      </w:r>
      <w:bookmarkEnd w:id="8"/>
    </w:p>
    <w:p w14:paraId="0D02AA05" w14:textId="48DA0B43" w:rsidR="00066C10" w:rsidRPr="00EE5690" w:rsidRDefault="0091728A" w:rsidP="0093275A">
      <w:pPr>
        <w:rPr>
          <w:rFonts w:cs="Arial"/>
          <w:lang w:val="en-GB"/>
        </w:rPr>
      </w:pPr>
      <w:r w:rsidRPr="00EE5690">
        <w:rPr>
          <w:rFonts w:cs="Arial"/>
          <w:lang w:val="en-GB"/>
        </w:rPr>
        <w:t>In this chapter an overview of the definitions that are going to be used during the remainder of the deliverable</w:t>
      </w:r>
      <w:r w:rsidR="009A3C63">
        <w:rPr>
          <w:rFonts w:cs="Arial"/>
          <w:lang w:val="en-GB"/>
        </w:rPr>
        <w:t xml:space="preserve"> is provided</w:t>
      </w:r>
      <w:r w:rsidRPr="00EE5690">
        <w:rPr>
          <w:rFonts w:cs="Arial"/>
          <w:lang w:val="en-GB"/>
        </w:rPr>
        <w:t xml:space="preserve">. </w:t>
      </w:r>
      <w:r w:rsidR="00D77C5D" w:rsidRPr="00EE5690">
        <w:rPr>
          <w:rFonts w:cs="Arial"/>
          <w:lang w:val="en-GB"/>
        </w:rPr>
        <w:t xml:space="preserve">The provided definitions are regarding sustainable development and sustainable forest </w:t>
      </w:r>
      <w:proofErr w:type="gramStart"/>
      <w:r w:rsidR="00D77C5D" w:rsidRPr="00EE5690">
        <w:rPr>
          <w:rFonts w:cs="Arial"/>
          <w:lang w:val="en-GB"/>
        </w:rPr>
        <w:t>management, since</w:t>
      </w:r>
      <w:proofErr w:type="gramEnd"/>
      <w:r w:rsidR="00D77C5D" w:rsidRPr="00EE5690">
        <w:rPr>
          <w:rFonts w:cs="Arial"/>
          <w:lang w:val="en-GB"/>
        </w:rPr>
        <w:t xml:space="preserve"> marginal lands are going to be used for afforestation projects. </w:t>
      </w:r>
    </w:p>
    <w:p w14:paraId="0DE950AD" w14:textId="2B68FFDC" w:rsidR="00D77C5D" w:rsidRPr="00EE5690" w:rsidRDefault="00D77C5D" w:rsidP="005D4B20">
      <w:pPr>
        <w:pStyle w:val="MAIL11"/>
      </w:pPr>
      <w:bookmarkStart w:id="9" w:name="_Toc91752377"/>
      <w:r w:rsidRPr="00EE5690">
        <w:t>Sustainable development definition</w:t>
      </w:r>
      <w:bookmarkEnd w:id="9"/>
    </w:p>
    <w:p w14:paraId="14F2AEC9" w14:textId="641248D2" w:rsidR="00E636F7" w:rsidRDefault="009B08A2" w:rsidP="0093275A">
      <w:pPr>
        <w:rPr>
          <w:rFonts w:cs="Arial"/>
          <w:lang w:val="en-GB"/>
        </w:rPr>
      </w:pPr>
      <w:r w:rsidRPr="00EE5690">
        <w:rPr>
          <w:rFonts w:cs="Arial"/>
          <w:lang w:val="en-GB"/>
        </w:rPr>
        <w:t xml:space="preserve">Tomislav K, 2018 provided an extensive review of the concept of sustainable development. The following tables provide an overview of </w:t>
      </w:r>
      <w:r w:rsidR="00E25B80" w:rsidRPr="00EE5690">
        <w:rPr>
          <w:rFonts w:cs="Arial"/>
          <w:lang w:val="en-GB"/>
        </w:rPr>
        <w:t>activities relating to sustainable development and different definitions and meanings of it.</w:t>
      </w:r>
    </w:p>
    <w:p w14:paraId="0802876E" w14:textId="5BA889D1" w:rsidR="00D77C5D" w:rsidRPr="00EE5690" w:rsidRDefault="00E636F7" w:rsidP="00E636F7">
      <w:pPr>
        <w:spacing w:line="300" w:lineRule="exact"/>
        <w:jc w:val="left"/>
        <w:rPr>
          <w:rFonts w:cs="Arial"/>
          <w:lang w:val="en-GB"/>
        </w:rPr>
      </w:pPr>
      <w:r>
        <w:rPr>
          <w:rFonts w:cs="Arial"/>
          <w:lang w:val="en-GB"/>
        </w:rPr>
        <w:br w:type="page"/>
      </w:r>
    </w:p>
    <w:p w14:paraId="2C622C81" w14:textId="5D4A3482" w:rsidR="00C07B3F" w:rsidRPr="00347108" w:rsidRDefault="00C07B3F" w:rsidP="009A3C63">
      <w:pPr>
        <w:pStyle w:val="Caption"/>
        <w:rPr>
          <w:rFonts w:cs="Arial"/>
        </w:rPr>
      </w:pPr>
      <w:bookmarkStart w:id="10" w:name="_Toc91752540"/>
      <w:r w:rsidRPr="00347108">
        <w:rPr>
          <w:rFonts w:cs="Arial"/>
        </w:rPr>
        <w:lastRenderedPageBreak/>
        <w:t xml:space="preserve">Table </w:t>
      </w:r>
      <w:r w:rsidRPr="00347108">
        <w:rPr>
          <w:rFonts w:cs="Arial"/>
        </w:rPr>
        <w:fldChar w:fldCharType="begin"/>
      </w:r>
      <w:r w:rsidRPr="00347108">
        <w:rPr>
          <w:rFonts w:cs="Arial"/>
        </w:rPr>
        <w:instrText xml:space="preserve"> SEQ Table \* ARABIC </w:instrText>
      </w:r>
      <w:r w:rsidRPr="00347108">
        <w:rPr>
          <w:rFonts w:cs="Arial"/>
        </w:rPr>
        <w:fldChar w:fldCharType="separate"/>
      </w:r>
      <w:r w:rsidR="0073710A">
        <w:rPr>
          <w:rFonts w:cs="Arial"/>
          <w:noProof/>
        </w:rPr>
        <w:t>1</w:t>
      </w:r>
      <w:r w:rsidRPr="00347108">
        <w:rPr>
          <w:rFonts w:cs="Arial"/>
        </w:rPr>
        <w:fldChar w:fldCharType="end"/>
      </w:r>
      <w:r w:rsidRPr="00347108">
        <w:rPr>
          <w:rFonts w:cs="Arial"/>
        </w:rPr>
        <w:t xml:space="preserve"> Overview of activities connected to the sustainable development concept (Source: Tomislav K., 2018)</w:t>
      </w:r>
      <w:bookmarkEnd w:id="10"/>
    </w:p>
    <w:tbl>
      <w:tblPr>
        <w:tblStyle w:val="TableGrid"/>
        <w:tblW w:w="0" w:type="auto"/>
        <w:tblLook w:val="04A0" w:firstRow="1" w:lastRow="0" w:firstColumn="1" w:lastColumn="0" w:noHBand="0" w:noVBand="1"/>
      </w:tblPr>
      <w:tblGrid>
        <w:gridCol w:w="895"/>
        <w:gridCol w:w="3150"/>
        <w:gridCol w:w="4450"/>
      </w:tblGrid>
      <w:tr w:rsidR="004778A1" w:rsidRPr="00E25B80" w14:paraId="6D8332A6" w14:textId="77777777" w:rsidTr="0022057B">
        <w:tc>
          <w:tcPr>
            <w:tcW w:w="895" w:type="dxa"/>
            <w:shd w:val="clear" w:color="auto" w:fill="D9D9D9" w:themeFill="background1" w:themeFillShade="D9"/>
          </w:tcPr>
          <w:p w14:paraId="7E6848E1" w14:textId="77777777" w:rsidR="004778A1" w:rsidRPr="00E25B80" w:rsidRDefault="004778A1" w:rsidP="0022057B">
            <w:pPr>
              <w:spacing w:line="240" w:lineRule="auto"/>
              <w:rPr>
                <w:b/>
                <w:lang w:val="en-GB"/>
              </w:rPr>
            </w:pPr>
            <w:r w:rsidRPr="00E25B80">
              <w:rPr>
                <w:b/>
              </w:rPr>
              <w:t>Year</w:t>
            </w:r>
          </w:p>
        </w:tc>
        <w:tc>
          <w:tcPr>
            <w:tcW w:w="3150" w:type="dxa"/>
            <w:shd w:val="clear" w:color="auto" w:fill="D9D9D9" w:themeFill="background1" w:themeFillShade="D9"/>
          </w:tcPr>
          <w:p w14:paraId="01C0D741" w14:textId="77777777" w:rsidR="004778A1" w:rsidRPr="00E25B80" w:rsidRDefault="004778A1" w:rsidP="0022057B">
            <w:pPr>
              <w:spacing w:line="240" w:lineRule="auto"/>
              <w:rPr>
                <w:b/>
                <w:lang w:val="en-GB"/>
              </w:rPr>
            </w:pPr>
            <w:r w:rsidRPr="00E25B80">
              <w:rPr>
                <w:b/>
              </w:rPr>
              <w:t>Activities</w:t>
            </w:r>
          </w:p>
        </w:tc>
        <w:tc>
          <w:tcPr>
            <w:tcW w:w="4450" w:type="dxa"/>
            <w:shd w:val="clear" w:color="auto" w:fill="D9D9D9" w:themeFill="background1" w:themeFillShade="D9"/>
          </w:tcPr>
          <w:p w14:paraId="5E0E814C" w14:textId="77777777" w:rsidR="004778A1" w:rsidRPr="00E25B80" w:rsidRDefault="004778A1" w:rsidP="0022057B">
            <w:pPr>
              <w:spacing w:line="240" w:lineRule="auto"/>
              <w:rPr>
                <w:b/>
                <w:lang w:val="en-GB"/>
              </w:rPr>
            </w:pPr>
            <w:r w:rsidRPr="00E25B80">
              <w:rPr>
                <w:b/>
              </w:rPr>
              <w:t>Brief Description</w:t>
            </w:r>
          </w:p>
        </w:tc>
      </w:tr>
      <w:tr w:rsidR="004778A1" w14:paraId="69551604" w14:textId="77777777" w:rsidTr="0022057B">
        <w:tc>
          <w:tcPr>
            <w:tcW w:w="895" w:type="dxa"/>
          </w:tcPr>
          <w:p w14:paraId="5D3B0CAE" w14:textId="77777777" w:rsidR="004778A1" w:rsidRDefault="004778A1" w:rsidP="0022057B">
            <w:pPr>
              <w:spacing w:line="240" w:lineRule="auto"/>
              <w:rPr>
                <w:lang w:val="en-GB"/>
              </w:rPr>
            </w:pPr>
            <w:r w:rsidRPr="00943FA2">
              <w:t>1969</w:t>
            </w:r>
          </w:p>
        </w:tc>
        <w:tc>
          <w:tcPr>
            <w:tcW w:w="3150" w:type="dxa"/>
          </w:tcPr>
          <w:p w14:paraId="3D624B26" w14:textId="77777777" w:rsidR="004778A1" w:rsidRDefault="004778A1" w:rsidP="0022057B">
            <w:pPr>
              <w:spacing w:line="240" w:lineRule="auto"/>
              <w:rPr>
                <w:lang w:val="en-GB"/>
              </w:rPr>
            </w:pPr>
            <w:r w:rsidRPr="00943FA2">
              <w:t>UN published the report Man and His Environment or U Thant Report.</w:t>
            </w:r>
          </w:p>
        </w:tc>
        <w:tc>
          <w:tcPr>
            <w:tcW w:w="4450" w:type="dxa"/>
          </w:tcPr>
          <w:p w14:paraId="7EE9C5C5" w14:textId="77777777" w:rsidR="004778A1" w:rsidRDefault="004778A1" w:rsidP="0022057B">
            <w:pPr>
              <w:spacing w:line="240" w:lineRule="auto"/>
              <w:rPr>
                <w:lang w:val="en-GB"/>
              </w:rPr>
            </w:pPr>
            <w:r>
              <w:t>Activities focused to avoid global environmental degradation. More than 2,000 scientists were involved in creation of this report.</w:t>
            </w:r>
          </w:p>
        </w:tc>
      </w:tr>
      <w:tr w:rsidR="004778A1" w14:paraId="4F191D6E" w14:textId="77777777" w:rsidTr="0022057B">
        <w:tc>
          <w:tcPr>
            <w:tcW w:w="895" w:type="dxa"/>
          </w:tcPr>
          <w:p w14:paraId="003A969C" w14:textId="77777777" w:rsidR="004778A1" w:rsidRDefault="004778A1" w:rsidP="0022057B">
            <w:pPr>
              <w:spacing w:line="240" w:lineRule="auto"/>
              <w:rPr>
                <w:lang w:val="en-GB"/>
              </w:rPr>
            </w:pPr>
            <w:r>
              <w:t>1972</w:t>
            </w:r>
          </w:p>
        </w:tc>
        <w:tc>
          <w:tcPr>
            <w:tcW w:w="3150" w:type="dxa"/>
          </w:tcPr>
          <w:p w14:paraId="62B09B83" w14:textId="77777777" w:rsidR="004778A1" w:rsidRDefault="004778A1" w:rsidP="0022057B">
            <w:pPr>
              <w:spacing w:line="240" w:lineRule="auto"/>
              <w:rPr>
                <w:lang w:val="en-GB"/>
              </w:rPr>
            </w:pPr>
            <w:r>
              <w:t>First UN and UNEP world Conference on the Human Environment, Stockholm, Sweden.</w:t>
            </w:r>
          </w:p>
        </w:tc>
        <w:tc>
          <w:tcPr>
            <w:tcW w:w="4450" w:type="dxa"/>
          </w:tcPr>
          <w:p w14:paraId="2C4ADD50" w14:textId="77777777" w:rsidR="004778A1" w:rsidRDefault="004778A1" w:rsidP="0022057B">
            <w:pPr>
              <w:spacing w:line="240" w:lineRule="auto"/>
              <w:rPr>
                <w:lang w:val="en-GB"/>
              </w:rPr>
            </w:pPr>
            <w:r>
              <w:t>Under the slogan Only One Earth, a declaration and action plan for environmental conservation was published.</w:t>
            </w:r>
          </w:p>
        </w:tc>
      </w:tr>
      <w:tr w:rsidR="004778A1" w14:paraId="0D51881D" w14:textId="77777777" w:rsidTr="0022057B">
        <w:tc>
          <w:tcPr>
            <w:tcW w:w="895" w:type="dxa"/>
          </w:tcPr>
          <w:p w14:paraId="118AD6DC" w14:textId="77777777" w:rsidR="004778A1" w:rsidRDefault="004778A1" w:rsidP="0022057B">
            <w:pPr>
              <w:spacing w:line="240" w:lineRule="auto"/>
              <w:rPr>
                <w:lang w:val="en-GB"/>
              </w:rPr>
            </w:pPr>
            <w:r>
              <w:t>1975</w:t>
            </w:r>
          </w:p>
        </w:tc>
        <w:tc>
          <w:tcPr>
            <w:tcW w:w="3150" w:type="dxa"/>
          </w:tcPr>
          <w:p w14:paraId="16617DDB" w14:textId="77777777" w:rsidR="004778A1" w:rsidRDefault="004778A1" w:rsidP="0022057B">
            <w:pPr>
              <w:spacing w:line="240" w:lineRule="auto"/>
              <w:rPr>
                <w:lang w:val="en-GB"/>
              </w:rPr>
            </w:pPr>
            <w:r>
              <w:t>UNESCO conference on education about the environment, Belgrade, Yugoslavia.</w:t>
            </w:r>
          </w:p>
        </w:tc>
        <w:tc>
          <w:tcPr>
            <w:tcW w:w="4450" w:type="dxa"/>
          </w:tcPr>
          <w:p w14:paraId="3525FC6C" w14:textId="77777777" w:rsidR="004778A1" w:rsidRDefault="004778A1" w:rsidP="0022057B">
            <w:pPr>
              <w:spacing w:line="240" w:lineRule="auto"/>
              <w:rPr>
                <w:lang w:val="en-GB"/>
              </w:rPr>
            </w:pPr>
            <w:r>
              <w:t>Setting up a global environment educational framework, a statement known as the Belgrade Charter.</w:t>
            </w:r>
          </w:p>
        </w:tc>
      </w:tr>
      <w:tr w:rsidR="004778A1" w14:paraId="4C181D5F" w14:textId="77777777" w:rsidTr="0022057B">
        <w:tc>
          <w:tcPr>
            <w:tcW w:w="895" w:type="dxa"/>
          </w:tcPr>
          <w:p w14:paraId="0BDF81F3" w14:textId="77777777" w:rsidR="004778A1" w:rsidRDefault="004778A1" w:rsidP="0022057B">
            <w:pPr>
              <w:spacing w:line="240" w:lineRule="auto"/>
              <w:rPr>
                <w:lang w:val="en-GB"/>
              </w:rPr>
            </w:pPr>
            <w:r>
              <w:t>1975</w:t>
            </w:r>
          </w:p>
        </w:tc>
        <w:tc>
          <w:tcPr>
            <w:tcW w:w="3150" w:type="dxa"/>
          </w:tcPr>
          <w:p w14:paraId="188910B6" w14:textId="77777777" w:rsidR="004778A1" w:rsidRDefault="004778A1" w:rsidP="0022057B">
            <w:pPr>
              <w:spacing w:line="240" w:lineRule="auto"/>
              <w:rPr>
                <w:lang w:val="en-GB"/>
              </w:rPr>
            </w:pPr>
            <w:r w:rsidRPr="00943FA2">
              <w:t>International Congress of the Human Environment (HESC), Kyoto, Japan.</w:t>
            </w:r>
          </w:p>
        </w:tc>
        <w:tc>
          <w:tcPr>
            <w:tcW w:w="4450" w:type="dxa"/>
          </w:tcPr>
          <w:p w14:paraId="5D52C9E4" w14:textId="77777777" w:rsidR="004778A1" w:rsidRDefault="004778A1" w:rsidP="0022057B">
            <w:pPr>
              <w:spacing w:line="240" w:lineRule="auto"/>
              <w:rPr>
                <w:lang w:val="en-GB"/>
              </w:rPr>
            </w:pPr>
            <w:r w:rsidRPr="00943FA2">
              <w:t>Emphasized the same problems as in Stockholm in 1972.</w:t>
            </w:r>
          </w:p>
        </w:tc>
      </w:tr>
      <w:tr w:rsidR="004778A1" w14:paraId="4DF54259" w14:textId="77777777" w:rsidTr="0022057B">
        <w:tc>
          <w:tcPr>
            <w:tcW w:w="895" w:type="dxa"/>
          </w:tcPr>
          <w:p w14:paraId="542BB4C8" w14:textId="77777777" w:rsidR="004778A1" w:rsidRDefault="004778A1" w:rsidP="0022057B">
            <w:pPr>
              <w:spacing w:line="240" w:lineRule="auto"/>
              <w:rPr>
                <w:lang w:val="en-GB"/>
              </w:rPr>
            </w:pPr>
            <w:r>
              <w:t>1979</w:t>
            </w:r>
          </w:p>
        </w:tc>
        <w:tc>
          <w:tcPr>
            <w:tcW w:w="3150" w:type="dxa"/>
          </w:tcPr>
          <w:p w14:paraId="2BC32C62" w14:textId="77777777" w:rsidR="004778A1" w:rsidRDefault="004778A1" w:rsidP="0022057B">
            <w:pPr>
              <w:spacing w:line="240" w:lineRule="auto"/>
              <w:rPr>
                <w:lang w:val="en-GB"/>
              </w:rPr>
            </w:pPr>
            <w:r w:rsidRPr="00943FA2">
              <w:t>The First World Climate Conference, Geneva, Switzerland.</w:t>
            </w:r>
          </w:p>
        </w:tc>
        <w:tc>
          <w:tcPr>
            <w:tcW w:w="4450" w:type="dxa"/>
          </w:tcPr>
          <w:p w14:paraId="798A6944" w14:textId="77777777" w:rsidR="004778A1" w:rsidRDefault="004778A1" w:rsidP="0022057B">
            <w:pPr>
              <w:spacing w:line="240" w:lineRule="auto"/>
              <w:rPr>
                <w:lang w:val="en-GB"/>
              </w:rPr>
            </w:pPr>
            <w:r w:rsidRPr="00943FA2">
              <w:t xml:space="preserve">Focused on the creation of the climate change research and </w:t>
            </w:r>
            <w:proofErr w:type="spellStart"/>
            <w:r w:rsidRPr="00943FA2">
              <w:t>programme</w:t>
            </w:r>
            <w:proofErr w:type="spellEnd"/>
            <w:r w:rsidRPr="00943FA2">
              <w:t xml:space="preserve"> monitoring.</w:t>
            </w:r>
          </w:p>
        </w:tc>
      </w:tr>
      <w:tr w:rsidR="004778A1" w14:paraId="30CCD634" w14:textId="77777777" w:rsidTr="0022057B">
        <w:tc>
          <w:tcPr>
            <w:tcW w:w="895" w:type="dxa"/>
          </w:tcPr>
          <w:p w14:paraId="54FF38DB" w14:textId="77777777" w:rsidR="004778A1" w:rsidRDefault="004778A1" w:rsidP="0022057B">
            <w:pPr>
              <w:spacing w:line="240" w:lineRule="auto"/>
              <w:rPr>
                <w:lang w:val="en-GB"/>
              </w:rPr>
            </w:pPr>
            <w:r>
              <w:t>1981</w:t>
            </w:r>
          </w:p>
        </w:tc>
        <w:tc>
          <w:tcPr>
            <w:tcW w:w="3150" w:type="dxa"/>
          </w:tcPr>
          <w:p w14:paraId="5E35124F" w14:textId="77777777" w:rsidR="004778A1" w:rsidRDefault="004778A1" w:rsidP="0022057B">
            <w:pPr>
              <w:spacing w:line="240" w:lineRule="auto"/>
              <w:rPr>
                <w:lang w:val="en-GB"/>
              </w:rPr>
            </w:pPr>
            <w:r w:rsidRPr="00943FA2">
              <w:t>The first UN Conference on Least Developed Countries, Paris, France.</w:t>
            </w:r>
          </w:p>
        </w:tc>
        <w:tc>
          <w:tcPr>
            <w:tcW w:w="4450" w:type="dxa"/>
          </w:tcPr>
          <w:p w14:paraId="350C37FE" w14:textId="77777777" w:rsidR="004778A1" w:rsidRDefault="004778A1" w:rsidP="0022057B">
            <w:pPr>
              <w:spacing w:line="240" w:lineRule="auto"/>
              <w:rPr>
                <w:lang w:val="en-GB"/>
              </w:rPr>
            </w:pPr>
            <w:r w:rsidRPr="00943FA2">
              <w:t>A report with guidelines and measures for helping the underdeveloped countries.</w:t>
            </w:r>
          </w:p>
        </w:tc>
      </w:tr>
      <w:tr w:rsidR="004778A1" w14:paraId="2AE29BF2" w14:textId="77777777" w:rsidTr="0022057B">
        <w:tc>
          <w:tcPr>
            <w:tcW w:w="895" w:type="dxa"/>
          </w:tcPr>
          <w:p w14:paraId="3D4254F1" w14:textId="77777777" w:rsidR="004778A1" w:rsidRDefault="004778A1" w:rsidP="0022057B">
            <w:pPr>
              <w:spacing w:line="240" w:lineRule="auto"/>
              <w:rPr>
                <w:lang w:val="en-GB"/>
              </w:rPr>
            </w:pPr>
            <w:r>
              <w:t>1984</w:t>
            </w:r>
          </w:p>
        </w:tc>
        <w:tc>
          <w:tcPr>
            <w:tcW w:w="3150" w:type="dxa"/>
          </w:tcPr>
          <w:p w14:paraId="34C18967" w14:textId="77777777" w:rsidR="004778A1" w:rsidRDefault="004778A1" w:rsidP="0022057B">
            <w:pPr>
              <w:spacing w:line="240" w:lineRule="auto"/>
              <w:rPr>
                <w:lang w:val="en-GB"/>
              </w:rPr>
            </w:pPr>
            <w:r w:rsidRPr="00943FA2">
              <w:t>Establishment of United Nations World Commission on Environment and Development (WCED).</w:t>
            </w:r>
          </w:p>
        </w:tc>
        <w:tc>
          <w:tcPr>
            <w:tcW w:w="4450" w:type="dxa"/>
          </w:tcPr>
          <w:p w14:paraId="7FC104D0" w14:textId="77777777" w:rsidR="004778A1" w:rsidRDefault="004778A1" w:rsidP="0022057B">
            <w:pPr>
              <w:spacing w:line="240" w:lineRule="auto"/>
              <w:rPr>
                <w:lang w:val="en-GB"/>
              </w:rPr>
            </w:pPr>
            <w:r w:rsidRPr="00943FA2">
              <w:t>The task of the Commission is the cooperation between developed and developing countries and the adoption of global development plans on environmental conservation.</w:t>
            </w:r>
          </w:p>
        </w:tc>
      </w:tr>
      <w:tr w:rsidR="004778A1" w14:paraId="3A15B1E5" w14:textId="77777777" w:rsidTr="0022057B">
        <w:tc>
          <w:tcPr>
            <w:tcW w:w="895" w:type="dxa"/>
          </w:tcPr>
          <w:p w14:paraId="52855A78" w14:textId="77777777" w:rsidR="004778A1" w:rsidRDefault="004778A1" w:rsidP="0022057B">
            <w:pPr>
              <w:spacing w:line="240" w:lineRule="auto"/>
              <w:rPr>
                <w:lang w:val="en-GB"/>
              </w:rPr>
            </w:pPr>
            <w:r>
              <w:t>1987</w:t>
            </w:r>
          </w:p>
        </w:tc>
        <w:tc>
          <w:tcPr>
            <w:tcW w:w="3150" w:type="dxa"/>
          </w:tcPr>
          <w:p w14:paraId="60EC9957" w14:textId="77777777" w:rsidR="004778A1" w:rsidRDefault="004778A1" w:rsidP="0022057B">
            <w:pPr>
              <w:spacing w:line="240" w:lineRule="auto"/>
              <w:rPr>
                <w:lang w:val="en-GB"/>
              </w:rPr>
            </w:pPr>
            <w:r w:rsidRPr="00590CE0">
              <w:t>WCED report Our Common Future or Brundtland report was published.</w:t>
            </w:r>
          </w:p>
        </w:tc>
        <w:tc>
          <w:tcPr>
            <w:tcW w:w="4450" w:type="dxa"/>
          </w:tcPr>
          <w:p w14:paraId="6FC38016" w14:textId="77777777" w:rsidR="004778A1" w:rsidRDefault="004778A1" w:rsidP="0022057B">
            <w:pPr>
              <w:spacing w:line="240" w:lineRule="auto"/>
              <w:rPr>
                <w:lang w:val="en-GB"/>
              </w:rPr>
            </w:pPr>
            <w:r w:rsidRPr="00590CE0">
              <w:t>A report with the fundamental principles of the concept of sustainable development.</w:t>
            </w:r>
          </w:p>
        </w:tc>
      </w:tr>
      <w:tr w:rsidR="004778A1" w14:paraId="0A0696BF" w14:textId="77777777" w:rsidTr="0022057B">
        <w:tc>
          <w:tcPr>
            <w:tcW w:w="895" w:type="dxa"/>
          </w:tcPr>
          <w:p w14:paraId="6D56793A" w14:textId="77777777" w:rsidR="004778A1" w:rsidRDefault="004778A1" w:rsidP="0022057B">
            <w:pPr>
              <w:spacing w:line="240" w:lineRule="auto"/>
              <w:rPr>
                <w:lang w:val="en-GB"/>
              </w:rPr>
            </w:pPr>
            <w:r>
              <w:t>1987</w:t>
            </w:r>
          </w:p>
        </w:tc>
        <w:tc>
          <w:tcPr>
            <w:tcW w:w="3150" w:type="dxa"/>
          </w:tcPr>
          <w:p w14:paraId="29759A83" w14:textId="77777777" w:rsidR="004778A1" w:rsidRDefault="004778A1" w:rsidP="0022057B">
            <w:pPr>
              <w:spacing w:line="240" w:lineRule="auto"/>
              <w:rPr>
                <w:lang w:val="en-GB"/>
              </w:rPr>
            </w:pPr>
            <w:r w:rsidRPr="00590CE0">
              <w:t>Montreal Protocol was published.</w:t>
            </w:r>
          </w:p>
        </w:tc>
        <w:tc>
          <w:tcPr>
            <w:tcW w:w="4450" w:type="dxa"/>
          </w:tcPr>
          <w:p w14:paraId="1FB5518F" w14:textId="77777777" w:rsidR="004778A1" w:rsidRDefault="004778A1" w:rsidP="0022057B">
            <w:pPr>
              <w:spacing w:line="240" w:lineRule="auto"/>
              <w:rPr>
                <w:lang w:val="en-GB"/>
              </w:rPr>
            </w:pPr>
            <w:r w:rsidRPr="00590CE0">
              <w:t xml:space="preserve">Contains results of the </w:t>
            </w:r>
            <w:proofErr w:type="gramStart"/>
            <w:r w:rsidRPr="00590CE0">
              <w:t>researches</w:t>
            </w:r>
            <w:proofErr w:type="gramEnd"/>
            <w:r w:rsidRPr="00590CE0">
              <w:t xml:space="preserve"> on harmful effects on the ozone layer.</w:t>
            </w:r>
          </w:p>
        </w:tc>
      </w:tr>
      <w:tr w:rsidR="004778A1" w14:paraId="0ED9D2A6" w14:textId="77777777" w:rsidTr="0022057B">
        <w:tc>
          <w:tcPr>
            <w:tcW w:w="895" w:type="dxa"/>
          </w:tcPr>
          <w:p w14:paraId="39D1CEEA" w14:textId="77777777" w:rsidR="004778A1" w:rsidRDefault="004778A1" w:rsidP="0022057B">
            <w:pPr>
              <w:spacing w:line="240" w:lineRule="auto"/>
              <w:rPr>
                <w:lang w:val="en-GB"/>
              </w:rPr>
            </w:pPr>
            <w:r>
              <w:t>1990</w:t>
            </w:r>
          </w:p>
        </w:tc>
        <w:tc>
          <w:tcPr>
            <w:tcW w:w="3150" w:type="dxa"/>
          </w:tcPr>
          <w:p w14:paraId="40FBC352" w14:textId="77777777" w:rsidR="004778A1" w:rsidRDefault="004778A1" w:rsidP="0022057B">
            <w:pPr>
              <w:spacing w:line="240" w:lineRule="auto"/>
              <w:rPr>
                <w:lang w:val="en-GB"/>
              </w:rPr>
            </w:pPr>
            <w:r w:rsidRPr="00590CE0">
              <w:t>The Second World Climate Conference, Geneva, Switzerland.</w:t>
            </w:r>
          </w:p>
        </w:tc>
        <w:tc>
          <w:tcPr>
            <w:tcW w:w="4450" w:type="dxa"/>
          </w:tcPr>
          <w:p w14:paraId="1580F23D" w14:textId="77777777" w:rsidR="004778A1" w:rsidRDefault="004778A1" w:rsidP="0022057B">
            <w:pPr>
              <w:spacing w:line="240" w:lineRule="auto"/>
              <w:rPr>
                <w:lang w:val="en-GB"/>
              </w:rPr>
            </w:pPr>
            <w:r w:rsidRPr="00590CE0">
              <w:t xml:space="preserve">Further development of the climate change research and monitoring </w:t>
            </w:r>
            <w:proofErr w:type="spellStart"/>
            <w:r w:rsidRPr="00590CE0">
              <w:t>programme</w:t>
            </w:r>
            <w:proofErr w:type="spellEnd"/>
            <w:r w:rsidRPr="00590CE0">
              <w:t xml:space="preserve"> and the creation of global Climate Change Monitoring System.</w:t>
            </w:r>
          </w:p>
        </w:tc>
      </w:tr>
      <w:tr w:rsidR="004778A1" w14:paraId="0B82F28A" w14:textId="77777777" w:rsidTr="0022057B">
        <w:tc>
          <w:tcPr>
            <w:tcW w:w="895" w:type="dxa"/>
          </w:tcPr>
          <w:p w14:paraId="5572DE87" w14:textId="77777777" w:rsidR="004778A1" w:rsidRDefault="004778A1" w:rsidP="0022057B">
            <w:pPr>
              <w:spacing w:line="240" w:lineRule="auto"/>
              <w:rPr>
                <w:lang w:val="en-GB"/>
              </w:rPr>
            </w:pPr>
            <w:r>
              <w:t>1992</w:t>
            </w:r>
          </w:p>
        </w:tc>
        <w:tc>
          <w:tcPr>
            <w:tcW w:w="3150" w:type="dxa"/>
          </w:tcPr>
          <w:p w14:paraId="32CFD209" w14:textId="77777777" w:rsidR="004778A1" w:rsidRDefault="004778A1" w:rsidP="0022057B">
            <w:pPr>
              <w:spacing w:line="240" w:lineRule="auto"/>
              <w:rPr>
                <w:lang w:val="en-GB"/>
              </w:rPr>
            </w:pPr>
            <w:r w:rsidRPr="005752D6">
              <w:t>United Nations Conference on Environment and Development (Earth Summit or Rio Conference), Rio de Janeiro, Brazil.</w:t>
            </w:r>
          </w:p>
        </w:tc>
        <w:tc>
          <w:tcPr>
            <w:tcW w:w="4450" w:type="dxa"/>
          </w:tcPr>
          <w:p w14:paraId="69B979CF" w14:textId="77777777" w:rsidR="004778A1" w:rsidRDefault="004778A1" w:rsidP="0022057B">
            <w:pPr>
              <w:spacing w:line="240" w:lineRule="auto"/>
              <w:rPr>
                <w:lang w:val="en-GB"/>
              </w:rPr>
            </w:pPr>
            <w:r w:rsidRPr="005752D6">
              <w:t>In the Rio Declaration and Agenda 21 Action Plan principles of sustainable development were established and the framework for the future tasks as well.</w:t>
            </w:r>
          </w:p>
        </w:tc>
      </w:tr>
      <w:tr w:rsidR="004778A1" w14:paraId="2969D80B" w14:textId="77777777" w:rsidTr="0022057B">
        <w:tc>
          <w:tcPr>
            <w:tcW w:w="895" w:type="dxa"/>
          </w:tcPr>
          <w:p w14:paraId="399F40AB" w14:textId="77777777" w:rsidR="004778A1" w:rsidRDefault="004778A1" w:rsidP="0022057B">
            <w:pPr>
              <w:spacing w:line="240" w:lineRule="auto"/>
              <w:rPr>
                <w:lang w:val="en-GB"/>
              </w:rPr>
            </w:pPr>
            <w:r>
              <w:t>1997</w:t>
            </w:r>
          </w:p>
        </w:tc>
        <w:tc>
          <w:tcPr>
            <w:tcW w:w="3150" w:type="dxa"/>
          </w:tcPr>
          <w:p w14:paraId="2D80C43A" w14:textId="77777777" w:rsidR="004778A1" w:rsidRDefault="004778A1" w:rsidP="0022057B">
            <w:pPr>
              <w:spacing w:line="240" w:lineRule="auto"/>
              <w:rPr>
                <w:lang w:val="en-GB"/>
              </w:rPr>
            </w:pPr>
            <w:r w:rsidRPr="00305C0F">
              <w:t>Kyoto Climate Change Conference, Kyoto, Japan.</w:t>
            </w:r>
          </w:p>
        </w:tc>
        <w:tc>
          <w:tcPr>
            <w:tcW w:w="4450" w:type="dxa"/>
          </w:tcPr>
          <w:p w14:paraId="3FF4B252" w14:textId="77777777" w:rsidR="004778A1" w:rsidRDefault="004778A1" w:rsidP="0022057B">
            <w:pPr>
              <w:spacing w:line="240" w:lineRule="auto"/>
              <w:rPr>
                <w:lang w:val="en-GB"/>
              </w:rPr>
            </w:pPr>
            <w:r w:rsidRPr="00305C0F">
              <w:t>The Kyoto Protocol was signed between countries to reduce CO2 and other greenhouse gas emissions, with commencement in 2005.</w:t>
            </w:r>
          </w:p>
        </w:tc>
      </w:tr>
      <w:tr w:rsidR="004778A1" w14:paraId="3765E66E" w14:textId="77777777" w:rsidTr="0022057B">
        <w:tc>
          <w:tcPr>
            <w:tcW w:w="895" w:type="dxa"/>
          </w:tcPr>
          <w:p w14:paraId="5C91F92F" w14:textId="77777777" w:rsidR="004778A1" w:rsidRDefault="004778A1" w:rsidP="0022057B">
            <w:pPr>
              <w:spacing w:line="240" w:lineRule="auto"/>
              <w:rPr>
                <w:lang w:val="en-GB"/>
              </w:rPr>
            </w:pPr>
            <w:r>
              <w:t>2000</w:t>
            </w:r>
          </w:p>
        </w:tc>
        <w:tc>
          <w:tcPr>
            <w:tcW w:w="3150" w:type="dxa"/>
          </w:tcPr>
          <w:p w14:paraId="67115C16" w14:textId="77777777" w:rsidR="004778A1" w:rsidRDefault="004778A1" w:rsidP="0022057B">
            <w:pPr>
              <w:spacing w:line="240" w:lineRule="auto"/>
              <w:rPr>
                <w:lang w:val="en-GB"/>
              </w:rPr>
            </w:pPr>
            <w:r w:rsidRPr="00305C0F">
              <w:t>UN published Millennium declaration.</w:t>
            </w:r>
          </w:p>
        </w:tc>
        <w:tc>
          <w:tcPr>
            <w:tcW w:w="4450" w:type="dxa"/>
          </w:tcPr>
          <w:p w14:paraId="200693EE" w14:textId="77777777" w:rsidR="004778A1" w:rsidRDefault="004778A1" w:rsidP="0022057B">
            <w:pPr>
              <w:spacing w:line="240" w:lineRule="auto"/>
              <w:rPr>
                <w:lang w:val="en-GB"/>
              </w:rPr>
            </w:pPr>
            <w:r w:rsidRPr="00305C0F">
              <w:t>Declaration containing eight Millennium Development Goals (MDGs) set by 2015.</w:t>
            </w:r>
          </w:p>
        </w:tc>
      </w:tr>
      <w:tr w:rsidR="004778A1" w14:paraId="757EB493" w14:textId="77777777" w:rsidTr="0022057B">
        <w:tc>
          <w:tcPr>
            <w:tcW w:w="895" w:type="dxa"/>
          </w:tcPr>
          <w:p w14:paraId="5B45E30D" w14:textId="77777777" w:rsidR="004778A1" w:rsidRDefault="004778A1" w:rsidP="0022057B">
            <w:pPr>
              <w:spacing w:line="240" w:lineRule="auto"/>
              <w:rPr>
                <w:lang w:val="en-GB"/>
              </w:rPr>
            </w:pPr>
            <w:r>
              <w:lastRenderedPageBreak/>
              <w:t>2002</w:t>
            </w:r>
          </w:p>
        </w:tc>
        <w:tc>
          <w:tcPr>
            <w:tcW w:w="3150" w:type="dxa"/>
          </w:tcPr>
          <w:p w14:paraId="23244271" w14:textId="77777777" w:rsidR="004778A1" w:rsidRDefault="004778A1" w:rsidP="0022057B">
            <w:pPr>
              <w:spacing w:line="240" w:lineRule="auto"/>
              <w:rPr>
                <w:lang w:val="en-GB"/>
              </w:rPr>
            </w:pPr>
            <w:r w:rsidRPr="00EC0917">
              <w:t>The World Summit on Sustainable Development, Johannesburg, South Africa.</w:t>
            </w:r>
          </w:p>
        </w:tc>
        <w:tc>
          <w:tcPr>
            <w:tcW w:w="4450" w:type="dxa"/>
          </w:tcPr>
          <w:p w14:paraId="41159EED" w14:textId="77777777" w:rsidR="004778A1" w:rsidRDefault="004778A1" w:rsidP="0022057B">
            <w:pPr>
              <w:spacing w:line="240" w:lineRule="auto"/>
              <w:rPr>
                <w:lang w:val="en-GB"/>
              </w:rPr>
            </w:pPr>
            <w:r w:rsidRPr="00EC0917">
              <w:t>Report with the results achieved during the time from the Rio Conference, which reaffirmed the previous obligations and set the guidelines for implementation of the concept in the future.</w:t>
            </w:r>
          </w:p>
        </w:tc>
      </w:tr>
      <w:tr w:rsidR="004778A1" w14:paraId="2321C8E2" w14:textId="77777777" w:rsidTr="0022057B">
        <w:tc>
          <w:tcPr>
            <w:tcW w:w="895" w:type="dxa"/>
          </w:tcPr>
          <w:p w14:paraId="18E25A60" w14:textId="77777777" w:rsidR="004778A1" w:rsidRDefault="004778A1" w:rsidP="0022057B">
            <w:pPr>
              <w:spacing w:line="240" w:lineRule="auto"/>
              <w:rPr>
                <w:lang w:val="en-GB"/>
              </w:rPr>
            </w:pPr>
            <w:r>
              <w:t>2009</w:t>
            </w:r>
          </w:p>
        </w:tc>
        <w:tc>
          <w:tcPr>
            <w:tcW w:w="3150" w:type="dxa"/>
          </w:tcPr>
          <w:p w14:paraId="3EB1C8CD" w14:textId="77777777" w:rsidR="004778A1" w:rsidRDefault="004778A1" w:rsidP="0022057B">
            <w:pPr>
              <w:spacing w:line="240" w:lineRule="auto"/>
              <w:rPr>
                <w:lang w:val="en-GB"/>
              </w:rPr>
            </w:pPr>
            <w:r w:rsidRPr="00EC0917">
              <w:t>The Third World Climate Conference, Geneva, Switzerland.</w:t>
            </w:r>
          </w:p>
        </w:tc>
        <w:tc>
          <w:tcPr>
            <w:tcW w:w="4450" w:type="dxa"/>
          </w:tcPr>
          <w:p w14:paraId="45713597" w14:textId="77777777" w:rsidR="004778A1" w:rsidRDefault="004778A1" w:rsidP="0022057B">
            <w:pPr>
              <w:spacing w:line="240" w:lineRule="auto"/>
              <w:rPr>
                <w:lang w:val="en-GB"/>
              </w:rPr>
            </w:pPr>
            <w:r>
              <w:t>Further development of the global Climate Change Monitoring System with the aim of timely anticipation of possible disasters.</w:t>
            </w:r>
          </w:p>
        </w:tc>
      </w:tr>
      <w:tr w:rsidR="004778A1" w14:paraId="6F3739F5" w14:textId="77777777" w:rsidTr="0022057B">
        <w:tc>
          <w:tcPr>
            <w:tcW w:w="895" w:type="dxa"/>
          </w:tcPr>
          <w:p w14:paraId="62245693" w14:textId="77777777" w:rsidR="004778A1" w:rsidRDefault="004778A1" w:rsidP="0022057B">
            <w:pPr>
              <w:spacing w:line="240" w:lineRule="auto"/>
              <w:rPr>
                <w:lang w:val="en-GB"/>
              </w:rPr>
            </w:pPr>
            <w:r>
              <w:t>2009</w:t>
            </w:r>
          </w:p>
        </w:tc>
        <w:tc>
          <w:tcPr>
            <w:tcW w:w="3150" w:type="dxa"/>
          </w:tcPr>
          <w:p w14:paraId="271A2264" w14:textId="77777777" w:rsidR="004778A1" w:rsidRDefault="004778A1" w:rsidP="0022057B">
            <w:pPr>
              <w:spacing w:line="240" w:lineRule="auto"/>
              <w:rPr>
                <w:lang w:val="en-GB"/>
              </w:rPr>
            </w:pPr>
            <w:r w:rsidRPr="00EC0917">
              <w:t>World Congress Summit G20, Pittsburgh, USA.</w:t>
            </w:r>
          </w:p>
        </w:tc>
        <w:tc>
          <w:tcPr>
            <w:tcW w:w="4450" w:type="dxa"/>
          </w:tcPr>
          <w:p w14:paraId="30A619C4" w14:textId="77777777" w:rsidR="004778A1" w:rsidRDefault="004778A1" w:rsidP="0022057B">
            <w:pPr>
              <w:spacing w:line="240" w:lineRule="auto"/>
              <w:rPr>
                <w:lang w:val="en-GB"/>
              </w:rPr>
            </w:pPr>
            <w:r w:rsidRPr="00EC0917">
              <w:t>G20 member states made an agreement on a moderate and sustainable economy.</w:t>
            </w:r>
          </w:p>
        </w:tc>
      </w:tr>
      <w:tr w:rsidR="004778A1" w14:paraId="67ECCFB7" w14:textId="77777777" w:rsidTr="0022057B">
        <w:tc>
          <w:tcPr>
            <w:tcW w:w="895" w:type="dxa"/>
          </w:tcPr>
          <w:p w14:paraId="34B77054" w14:textId="77777777" w:rsidR="004778A1" w:rsidRDefault="004778A1" w:rsidP="0022057B">
            <w:pPr>
              <w:spacing w:line="240" w:lineRule="auto"/>
              <w:rPr>
                <w:lang w:val="en-GB"/>
              </w:rPr>
            </w:pPr>
            <w:r>
              <w:t>2012</w:t>
            </w:r>
          </w:p>
        </w:tc>
        <w:tc>
          <w:tcPr>
            <w:tcW w:w="3150" w:type="dxa"/>
          </w:tcPr>
          <w:p w14:paraId="7C5D17F6" w14:textId="77777777" w:rsidR="004778A1" w:rsidRPr="00196D52" w:rsidRDefault="004778A1" w:rsidP="0022057B">
            <w:pPr>
              <w:spacing w:line="240" w:lineRule="auto"/>
              <w:rPr>
                <w:lang w:val="es-ES"/>
              </w:rPr>
            </w:pPr>
            <w:r w:rsidRPr="00196D52">
              <w:rPr>
                <w:lang w:val="es-ES"/>
              </w:rPr>
              <w:t xml:space="preserve">UN </w:t>
            </w:r>
            <w:proofErr w:type="spellStart"/>
            <w:r w:rsidRPr="00196D52">
              <w:rPr>
                <w:lang w:val="es-ES"/>
              </w:rPr>
              <w:t>conference</w:t>
            </w:r>
            <w:proofErr w:type="spellEnd"/>
            <w:r w:rsidRPr="00196D52">
              <w:rPr>
                <w:lang w:val="es-ES"/>
              </w:rPr>
              <w:t xml:space="preserve"> Rio +20, Rio de Janeiro, Brasil.</w:t>
            </w:r>
          </w:p>
        </w:tc>
        <w:tc>
          <w:tcPr>
            <w:tcW w:w="4450" w:type="dxa"/>
          </w:tcPr>
          <w:p w14:paraId="1A6D2338" w14:textId="77777777" w:rsidR="004778A1" w:rsidRDefault="004778A1" w:rsidP="0022057B">
            <w:pPr>
              <w:spacing w:line="240" w:lineRule="auto"/>
              <w:rPr>
                <w:lang w:val="en-GB"/>
              </w:rPr>
            </w:pPr>
            <w:r w:rsidRPr="00EC0917">
              <w:t xml:space="preserve">Twenty years from the Rio conference, report </w:t>
            </w:r>
            <w:proofErr w:type="gramStart"/>
            <w:r w:rsidRPr="00EC0917">
              <w:t>The</w:t>
            </w:r>
            <w:proofErr w:type="gramEnd"/>
            <w:r w:rsidRPr="00EC0917">
              <w:t xml:space="preserve"> future we want renewed the commitment to the goals of sustainable development and encouraged issues of the global green economy.</w:t>
            </w:r>
          </w:p>
        </w:tc>
      </w:tr>
      <w:tr w:rsidR="004778A1" w14:paraId="02A9D594" w14:textId="77777777" w:rsidTr="0022057B">
        <w:tc>
          <w:tcPr>
            <w:tcW w:w="895" w:type="dxa"/>
          </w:tcPr>
          <w:p w14:paraId="02E99E6A" w14:textId="77777777" w:rsidR="004778A1" w:rsidRDefault="004778A1" w:rsidP="0022057B">
            <w:pPr>
              <w:spacing w:line="240" w:lineRule="auto"/>
              <w:rPr>
                <w:lang w:val="en-GB"/>
              </w:rPr>
            </w:pPr>
            <w:r>
              <w:t>2015</w:t>
            </w:r>
          </w:p>
        </w:tc>
        <w:tc>
          <w:tcPr>
            <w:tcW w:w="3150" w:type="dxa"/>
          </w:tcPr>
          <w:p w14:paraId="576EF072" w14:textId="77777777" w:rsidR="004778A1" w:rsidRDefault="004778A1" w:rsidP="0022057B">
            <w:pPr>
              <w:spacing w:line="240" w:lineRule="auto"/>
              <w:rPr>
                <w:lang w:val="en-GB"/>
              </w:rPr>
            </w:pPr>
            <w:r w:rsidRPr="00EC0917">
              <w:t>UN Sustainable Development Summit 2015, New York, SAD.</w:t>
            </w:r>
          </w:p>
        </w:tc>
        <w:tc>
          <w:tcPr>
            <w:tcW w:w="4450" w:type="dxa"/>
          </w:tcPr>
          <w:p w14:paraId="560B1823" w14:textId="77777777" w:rsidR="004778A1" w:rsidRDefault="004778A1" w:rsidP="0022057B">
            <w:pPr>
              <w:spacing w:line="240" w:lineRule="auto"/>
              <w:rPr>
                <w:lang w:val="en-GB"/>
              </w:rPr>
            </w:pPr>
            <w:r w:rsidRPr="00EC0917">
              <w:t>The UN 2030 Agenda for Sustainable Development was published, setting up 17 Millennium Development Goals which should be achieved by 2030.</w:t>
            </w:r>
          </w:p>
        </w:tc>
      </w:tr>
      <w:tr w:rsidR="004778A1" w14:paraId="082B8AA7" w14:textId="77777777" w:rsidTr="0022057B">
        <w:tc>
          <w:tcPr>
            <w:tcW w:w="895" w:type="dxa"/>
          </w:tcPr>
          <w:p w14:paraId="48734098" w14:textId="77777777" w:rsidR="004778A1" w:rsidRDefault="004778A1" w:rsidP="0022057B">
            <w:pPr>
              <w:spacing w:line="240" w:lineRule="auto"/>
              <w:rPr>
                <w:lang w:val="en-GB"/>
              </w:rPr>
            </w:pPr>
            <w:r>
              <w:t>2015</w:t>
            </w:r>
          </w:p>
        </w:tc>
        <w:tc>
          <w:tcPr>
            <w:tcW w:w="3150" w:type="dxa"/>
          </w:tcPr>
          <w:p w14:paraId="0881D90C" w14:textId="77777777" w:rsidR="004778A1" w:rsidRDefault="004778A1" w:rsidP="0022057B">
            <w:pPr>
              <w:spacing w:line="240" w:lineRule="auto"/>
              <w:rPr>
                <w:lang w:val="en-GB"/>
              </w:rPr>
            </w:pPr>
            <w:r w:rsidRPr="00EC0917">
              <w:t>UN conference on climate change COP21Paris Climate change Conference, Paris, France.</w:t>
            </w:r>
          </w:p>
        </w:tc>
        <w:tc>
          <w:tcPr>
            <w:tcW w:w="4450" w:type="dxa"/>
          </w:tcPr>
          <w:p w14:paraId="787052F5" w14:textId="77777777" w:rsidR="004778A1" w:rsidRDefault="004778A1" w:rsidP="0022057B">
            <w:pPr>
              <w:spacing w:line="240" w:lineRule="auto"/>
              <w:rPr>
                <w:lang w:val="en-GB"/>
              </w:rPr>
            </w:pPr>
            <w:r w:rsidRPr="00EC0917">
              <w:t xml:space="preserve">Agreement on the reduction of greenhouse gases </w:t>
            </w:r>
            <w:proofErr w:type="gramStart"/>
            <w:r w:rsidRPr="00EC0917">
              <w:t>in order to</w:t>
            </w:r>
            <w:proofErr w:type="gramEnd"/>
            <w:r w:rsidRPr="00EC0917">
              <w:t xml:space="preserve"> reduce and limit global warming.</w:t>
            </w:r>
          </w:p>
        </w:tc>
      </w:tr>
    </w:tbl>
    <w:p w14:paraId="6D540A4A" w14:textId="2DC60FEB" w:rsidR="00F71F61" w:rsidRPr="00347108" w:rsidRDefault="00F71F61" w:rsidP="009A3C63">
      <w:pPr>
        <w:pStyle w:val="Caption"/>
        <w:rPr>
          <w:rFonts w:cs="Arial"/>
        </w:rPr>
      </w:pPr>
      <w:bookmarkStart w:id="11" w:name="_Toc91752541"/>
      <w:r w:rsidRPr="00347108">
        <w:rPr>
          <w:rFonts w:cs="Arial"/>
        </w:rPr>
        <w:t xml:space="preserve">Table </w:t>
      </w:r>
      <w:r w:rsidRPr="00347108">
        <w:rPr>
          <w:rFonts w:cs="Arial"/>
        </w:rPr>
        <w:fldChar w:fldCharType="begin"/>
      </w:r>
      <w:r w:rsidRPr="00347108">
        <w:rPr>
          <w:rFonts w:cs="Arial"/>
        </w:rPr>
        <w:instrText xml:space="preserve"> SEQ Table \* ARABIC </w:instrText>
      </w:r>
      <w:r w:rsidRPr="00347108">
        <w:rPr>
          <w:rFonts w:cs="Arial"/>
        </w:rPr>
        <w:fldChar w:fldCharType="separate"/>
      </w:r>
      <w:r w:rsidR="0073710A">
        <w:rPr>
          <w:rFonts w:cs="Arial"/>
          <w:noProof/>
        </w:rPr>
        <w:t>2</w:t>
      </w:r>
      <w:r w:rsidRPr="00347108">
        <w:rPr>
          <w:rFonts w:cs="Arial"/>
        </w:rPr>
        <w:fldChar w:fldCharType="end"/>
      </w:r>
      <w:r w:rsidRPr="00347108">
        <w:rPr>
          <w:rFonts w:cs="Arial"/>
        </w:rPr>
        <w:t xml:space="preserve"> Overview of the sustainable development meaning in the period 1987-2015 (Source: Tomislav K., 2018)</w:t>
      </w:r>
      <w:bookmarkEnd w:id="11"/>
    </w:p>
    <w:tbl>
      <w:tblPr>
        <w:tblStyle w:val="TableGrid"/>
        <w:tblW w:w="0" w:type="auto"/>
        <w:tblLook w:val="04A0" w:firstRow="1" w:lastRow="0" w:firstColumn="1" w:lastColumn="0" w:noHBand="0" w:noVBand="1"/>
      </w:tblPr>
      <w:tblGrid>
        <w:gridCol w:w="2335"/>
        <w:gridCol w:w="6160"/>
      </w:tblGrid>
      <w:tr w:rsidR="004778A1" w:rsidRPr="00E25B80" w14:paraId="1C50B84B" w14:textId="77777777" w:rsidTr="0022057B">
        <w:tc>
          <w:tcPr>
            <w:tcW w:w="2335" w:type="dxa"/>
            <w:shd w:val="clear" w:color="auto" w:fill="D9D9D9" w:themeFill="background1" w:themeFillShade="D9"/>
          </w:tcPr>
          <w:p w14:paraId="0F31A9CD" w14:textId="77777777" w:rsidR="004778A1" w:rsidRPr="00E25B80" w:rsidRDefault="004778A1" w:rsidP="0022057B">
            <w:pPr>
              <w:spacing w:line="240" w:lineRule="auto"/>
              <w:rPr>
                <w:rFonts w:cs="Arial"/>
                <w:b/>
                <w:lang w:val="en-GB"/>
              </w:rPr>
            </w:pPr>
            <w:r w:rsidRPr="00E25B80">
              <w:rPr>
                <w:rFonts w:cs="Arial"/>
                <w:b/>
              </w:rPr>
              <w:t>Author/Publication, Year</w:t>
            </w:r>
          </w:p>
        </w:tc>
        <w:tc>
          <w:tcPr>
            <w:tcW w:w="6160" w:type="dxa"/>
            <w:shd w:val="clear" w:color="auto" w:fill="D9D9D9" w:themeFill="background1" w:themeFillShade="D9"/>
          </w:tcPr>
          <w:p w14:paraId="7F4BDC55" w14:textId="77777777" w:rsidR="004778A1" w:rsidRPr="00E25B80" w:rsidRDefault="004778A1" w:rsidP="0022057B">
            <w:pPr>
              <w:spacing w:line="240" w:lineRule="auto"/>
              <w:rPr>
                <w:rFonts w:cs="Arial"/>
                <w:b/>
                <w:lang w:val="en-GB"/>
              </w:rPr>
            </w:pPr>
            <w:r w:rsidRPr="00E25B80">
              <w:rPr>
                <w:rFonts w:cs="Arial"/>
                <w:b/>
              </w:rPr>
              <w:t>Meaning and Understanding of Sustainable development</w:t>
            </w:r>
          </w:p>
        </w:tc>
      </w:tr>
      <w:tr w:rsidR="004778A1" w:rsidRPr="00E25B80" w14:paraId="3A385DF4" w14:textId="77777777" w:rsidTr="0022057B">
        <w:tc>
          <w:tcPr>
            <w:tcW w:w="2335" w:type="dxa"/>
          </w:tcPr>
          <w:p w14:paraId="5FBAE232" w14:textId="77777777" w:rsidR="004778A1" w:rsidRPr="00E25B80" w:rsidRDefault="004778A1" w:rsidP="0022057B">
            <w:pPr>
              <w:spacing w:line="240" w:lineRule="auto"/>
              <w:rPr>
                <w:rFonts w:cs="Arial"/>
                <w:lang w:val="en-GB"/>
              </w:rPr>
            </w:pPr>
            <w:r w:rsidRPr="00E25B80">
              <w:rPr>
                <w:rFonts w:cs="Arial"/>
              </w:rPr>
              <w:t>WCED, 1987</w:t>
            </w:r>
          </w:p>
        </w:tc>
        <w:tc>
          <w:tcPr>
            <w:tcW w:w="6160" w:type="dxa"/>
          </w:tcPr>
          <w:p w14:paraId="1F8486E9" w14:textId="77777777" w:rsidR="004778A1" w:rsidRPr="00E25B80" w:rsidRDefault="004778A1" w:rsidP="0022057B">
            <w:pPr>
              <w:spacing w:line="240" w:lineRule="auto"/>
              <w:rPr>
                <w:rFonts w:cs="Arial"/>
                <w:lang w:val="en-GB"/>
              </w:rPr>
            </w:pPr>
            <w:r w:rsidRPr="00E25B80">
              <w:rPr>
                <w:rFonts w:cs="Arial"/>
              </w:rPr>
              <w:t>Sustainable development is a development that meets the needs of the present without compromising the ability of future generations to meet their own needs.</w:t>
            </w:r>
          </w:p>
        </w:tc>
      </w:tr>
      <w:tr w:rsidR="004778A1" w:rsidRPr="00E25B80" w14:paraId="373E8077" w14:textId="77777777" w:rsidTr="0022057B">
        <w:tc>
          <w:tcPr>
            <w:tcW w:w="2335" w:type="dxa"/>
          </w:tcPr>
          <w:p w14:paraId="1F793428" w14:textId="77777777" w:rsidR="004778A1" w:rsidRPr="00E25B80" w:rsidRDefault="004778A1" w:rsidP="0022057B">
            <w:pPr>
              <w:spacing w:line="240" w:lineRule="auto"/>
              <w:rPr>
                <w:rFonts w:cs="Arial"/>
                <w:lang w:val="en-GB"/>
              </w:rPr>
            </w:pPr>
            <w:r w:rsidRPr="00E25B80">
              <w:rPr>
                <w:rFonts w:cs="Arial"/>
              </w:rPr>
              <w:t>Pearce et al., 1989</w:t>
            </w:r>
          </w:p>
        </w:tc>
        <w:tc>
          <w:tcPr>
            <w:tcW w:w="6160" w:type="dxa"/>
          </w:tcPr>
          <w:p w14:paraId="07D2A632" w14:textId="77777777" w:rsidR="004778A1" w:rsidRPr="00E25B80" w:rsidRDefault="004778A1" w:rsidP="0022057B">
            <w:pPr>
              <w:spacing w:line="240" w:lineRule="auto"/>
              <w:rPr>
                <w:rFonts w:cs="Arial"/>
                <w:lang w:val="en-GB"/>
              </w:rPr>
            </w:pPr>
            <w:r w:rsidRPr="00E25B80">
              <w:rPr>
                <w:rFonts w:cs="Arial"/>
              </w:rPr>
              <w:t>Sustainable development implies a conceptual socio-economic system which ensures the sustainability of goals in the form of real income achievement and improvement of educational standards, health care and the overall quality of life.</w:t>
            </w:r>
          </w:p>
        </w:tc>
      </w:tr>
      <w:tr w:rsidR="004778A1" w:rsidRPr="00E25B80" w14:paraId="46914C09" w14:textId="77777777" w:rsidTr="0022057B">
        <w:tc>
          <w:tcPr>
            <w:tcW w:w="2335" w:type="dxa"/>
          </w:tcPr>
          <w:p w14:paraId="73D326D3" w14:textId="77777777" w:rsidR="004778A1" w:rsidRPr="00E25B80" w:rsidRDefault="004778A1" w:rsidP="0022057B">
            <w:pPr>
              <w:spacing w:line="240" w:lineRule="auto"/>
              <w:rPr>
                <w:rFonts w:cs="Arial"/>
                <w:lang w:val="en-GB"/>
              </w:rPr>
            </w:pPr>
            <w:r w:rsidRPr="00E25B80">
              <w:rPr>
                <w:rFonts w:cs="Arial"/>
              </w:rPr>
              <w:t>Harwood, 1990</w:t>
            </w:r>
          </w:p>
        </w:tc>
        <w:tc>
          <w:tcPr>
            <w:tcW w:w="6160" w:type="dxa"/>
          </w:tcPr>
          <w:p w14:paraId="06856571" w14:textId="77777777" w:rsidR="004778A1" w:rsidRPr="00E25B80" w:rsidRDefault="004778A1" w:rsidP="0022057B">
            <w:pPr>
              <w:spacing w:line="240" w:lineRule="auto"/>
              <w:rPr>
                <w:rFonts w:cs="Arial"/>
                <w:lang w:val="en-GB"/>
              </w:rPr>
            </w:pPr>
            <w:r w:rsidRPr="00E25B80">
              <w:rPr>
                <w:rFonts w:cs="Arial"/>
              </w:rPr>
              <w:t>Sustainable development is unlimited developing system, where development is focused on achieving greater benefits for humans and more efficient resource use in balance with the environment required for all humans and all other species.</w:t>
            </w:r>
          </w:p>
        </w:tc>
      </w:tr>
      <w:tr w:rsidR="004778A1" w:rsidRPr="00E25B80" w14:paraId="22BB00F6" w14:textId="77777777" w:rsidTr="0022057B">
        <w:tc>
          <w:tcPr>
            <w:tcW w:w="2335" w:type="dxa"/>
          </w:tcPr>
          <w:p w14:paraId="4F1EC0A6" w14:textId="77777777" w:rsidR="004778A1" w:rsidRPr="00E25B80" w:rsidRDefault="004778A1" w:rsidP="0022057B">
            <w:pPr>
              <w:spacing w:line="240" w:lineRule="auto"/>
              <w:rPr>
                <w:rFonts w:cs="Arial"/>
                <w:lang w:val="en-GB"/>
              </w:rPr>
            </w:pPr>
            <w:r w:rsidRPr="00E25B80">
              <w:rPr>
                <w:rFonts w:cs="Arial"/>
              </w:rPr>
              <w:t>IUCN, UNDP &amp; WWF, 1991</w:t>
            </w:r>
          </w:p>
        </w:tc>
        <w:tc>
          <w:tcPr>
            <w:tcW w:w="6160" w:type="dxa"/>
          </w:tcPr>
          <w:p w14:paraId="69D16FCD" w14:textId="77777777" w:rsidR="004778A1" w:rsidRPr="00E25B80" w:rsidRDefault="004778A1" w:rsidP="0022057B">
            <w:pPr>
              <w:spacing w:line="240" w:lineRule="auto"/>
              <w:rPr>
                <w:rFonts w:cs="Arial"/>
                <w:lang w:val="en-GB"/>
              </w:rPr>
            </w:pPr>
            <w:r w:rsidRPr="00E25B80">
              <w:rPr>
                <w:rFonts w:cs="Arial"/>
              </w:rPr>
              <w:t>Sustainable development is a process of improving the quality of human life within the framework of carrying capacity of the sustainable ecosystems.</w:t>
            </w:r>
          </w:p>
        </w:tc>
      </w:tr>
      <w:tr w:rsidR="004778A1" w:rsidRPr="00E25B80" w14:paraId="08E9D123" w14:textId="77777777" w:rsidTr="0022057B">
        <w:tc>
          <w:tcPr>
            <w:tcW w:w="2335" w:type="dxa"/>
          </w:tcPr>
          <w:p w14:paraId="7B20B003" w14:textId="77777777" w:rsidR="004778A1" w:rsidRPr="00E25B80" w:rsidRDefault="004778A1" w:rsidP="0022057B">
            <w:pPr>
              <w:spacing w:line="240" w:lineRule="auto"/>
              <w:rPr>
                <w:rFonts w:cs="Arial"/>
                <w:lang w:val="en-GB"/>
              </w:rPr>
            </w:pPr>
            <w:proofErr w:type="spellStart"/>
            <w:r w:rsidRPr="00E25B80">
              <w:rPr>
                <w:rFonts w:cs="Arial"/>
              </w:rPr>
              <w:t>Lele</w:t>
            </w:r>
            <w:proofErr w:type="spellEnd"/>
            <w:r w:rsidRPr="00E25B80">
              <w:rPr>
                <w:rFonts w:cs="Arial"/>
              </w:rPr>
              <w:t>, 1991</w:t>
            </w:r>
          </w:p>
        </w:tc>
        <w:tc>
          <w:tcPr>
            <w:tcW w:w="6160" w:type="dxa"/>
          </w:tcPr>
          <w:p w14:paraId="300D4A58" w14:textId="77777777" w:rsidR="004778A1" w:rsidRPr="00E25B80" w:rsidRDefault="004778A1" w:rsidP="0022057B">
            <w:pPr>
              <w:spacing w:line="240" w:lineRule="auto"/>
              <w:rPr>
                <w:rFonts w:cs="Arial"/>
                <w:lang w:val="en-GB"/>
              </w:rPr>
            </w:pPr>
            <w:r w:rsidRPr="00E25B80">
              <w:rPr>
                <w:rFonts w:cs="Arial"/>
              </w:rPr>
              <w:t>Sustainable development is a process of targeted changes that can be repeated forever.</w:t>
            </w:r>
          </w:p>
        </w:tc>
      </w:tr>
      <w:tr w:rsidR="004778A1" w:rsidRPr="00E25B80" w14:paraId="3C760675" w14:textId="77777777" w:rsidTr="0022057B">
        <w:tc>
          <w:tcPr>
            <w:tcW w:w="2335" w:type="dxa"/>
          </w:tcPr>
          <w:p w14:paraId="0D08E3EA" w14:textId="77777777" w:rsidR="004778A1" w:rsidRPr="00E25B80" w:rsidRDefault="004778A1" w:rsidP="0022057B">
            <w:pPr>
              <w:spacing w:line="240" w:lineRule="auto"/>
              <w:rPr>
                <w:rFonts w:cs="Arial"/>
                <w:lang w:val="en-GB"/>
              </w:rPr>
            </w:pPr>
            <w:r w:rsidRPr="00E25B80">
              <w:rPr>
                <w:rFonts w:cs="Arial"/>
              </w:rPr>
              <w:t>Meadows, 1998</w:t>
            </w:r>
          </w:p>
        </w:tc>
        <w:tc>
          <w:tcPr>
            <w:tcW w:w="6160" w:type="dxa"/>
          </w:tcPr>
          <w:p w14:paraId="291C4454" w14:textId="77777777" w:rsidR="004778A1" w:rsidRPr="00E25B80" w:rsidRDefault="004778A1" w:rsidP="0022057B">
            <w:pPr>
              <w:spacing w:line="240" w:lineRule="auto"/>
              <w:rPr>
                <w:rFonts w:cs="Arial"/>
                <w:lang w:val="en-GB"/>
              </w:rPr>
            </w:pPr>
            <w:r w:rsidRPr="00E25B80">
              <w:rPr>
                <w:rFonts w:cs="Arial"/>
              </w:rPr>
              <w:t>Sustainable development is a social construction derived from the long-term evolution of a highly complex system – human population and economic development integrated into ecosystems and biochemical processes of the Earth.</w:t>
            </w:r>
          </w:p>
        </w:tc>
      </w:tr>
      <w:tr w:rsidR="004778A1" w:rsidRPr="00E25B80" w14:paraId="67F30879" w14:textId="77777777" w:rsidTr="0022057B">
        <w:tc>
          <w:tcPr>
            <w:tcW w:w="2335" w:type="dxa"/>
          </w:tcPr>
          <w:p w14:paraId="16E29C56" w14:textId="77777777" w:rsidR="004778A1" w:rsidRPr="00E25B80" w:rsidRDefault="004778A1" w:rsidP="0022057B">
            <w:pPr>
              <w:spacing w:line="240" w:lineRule="auto"/>
              <w:rPr>
                <w:rFonts w:cs="Arial"/>
                <w:lang w:val="en-GB"/>
              </w:rPr>
            </w:pPr>
            <w:r w:rsidRPr="00E25B80">
              <w:rPr>
                <w:rFonts w:cs="Arial"/>
              </w:rPr>
              <w:lastRenderedPageBreak/>
              <w:t>PAP/RAC, 1999</w:t>
            </w:r>
          </w:p>
        </w:tc>
        <w:tc>
          <w:tcPr>
            <w:tcW w:w="6160" w:type="dxa"/>
          </w:tcPr>
          <w:p w14:paraId="0E943CF4" w14:textId="77777777" w:rsidR="004778A1" w:rsidRPr="00E25B80" w:rsidRDefault="004778A1" w:rsidP="0022057B">
            <w:pPr>
              <w:spacing w:line="240" w:lineRule="auto"/>
              <w:rPr>
                <w:rFonts w:cs="Arial"/>
                <w:lang w:val="en-GB"/>
              </w:rPr>
            </w:pPr>
            <w:r w:rsidRPr="00E25B80">
              <w:rPr>
                <w:rFonts w:cs="Arial"/>
              </w:rPr>
              <w:t>Sustainable development is development given by the carrying capacity of an ecosystem.</w:t>
            </w:r>
          </w:p>
        </w:tc>
      </w:tr>
      <w:tr w:rsidR="004778A1" w:rsidRPr="00E25B80" w14:paraId="22D60795" w14:textId="77777777" w:rsidTr="0022057B">
        <w:tc>
          <w:tcPr>
            <w:tcW w:w="2335" w:type="dxa"/>
          </w:tcPr>
          <w:p w14:paraId="7198EDC2" w14:textId="77777777" w:rsidR="004778A1" w:rsidRPr="003B44E3" w:rsidRDefault="004778A1" w:rsidP="0022057B">
            <w:pPr>
              <w:spacing w:line="240" w:lineRule="auto"/>
              <w:rPr>
                <w:rFonts w:cs="Arial"/>
                <w:lang w:val="de-DE"/>
              </w:rPr>
            </w:pPr>
            <w:r w:rsidRPr="003B44E3">
              <w:rPr>
                <w:rFonts w:cs="Arial"/>
                <w:lang w:val="de-DE"/>
              </w:rPr>
              <w:t>Vander-Merwe &amp; Van-der-Merwe, 1999</w:t>
            </w:r>
          </w:p>
        </w:tc>
        <w:tc>
          <w:tcPr>
            <w:tcW w:w="6160" w:type="dxa"/>
          </w:tcPr>
          <w:p w14:paraId="12E62995" w14:textId="77777777" w:rsidR="004778A1" w:rsidRPr="00E25B80" w:rsidRDefault="004778A1" w:rsidP="0022057B">
            <w:pPr>
              <w:spacing w:line="240" w:lineRule="auto"/>
              <w:rPr>
                <w:rFonts w:cs="Arial"/>
                <w:lang w:val="en-GB"/>
              </w:rPr>
            </w:pPr>
            <w:r w:rsidRPr="00E25B80">
              <w:rPr>
                <w:rFonts w:cs="Arial"/>
              </w:rPr>
              <w:t xml:space="preserve">Sustainable development is a </w:t>
            </w:r>
            <w:proofErr w:type="spellStart"/>
            <w:r w:rsidRPr="00E25B80">
              <w:rPr>
                <w:rFonts w:cs="Arial"/>
              </w:rPr>
              <w:t>programme</w:t>
            </w:r>
            <w:proofErr w:type="spellEnd"/>
            <w:r w:rsidRPr="00E25B80">
              <w:rPr>
                <w:rFonts w:cs="Arial"/>
              </w:rPr>
              <w:t xml:space="preserve"> that changes the economic development process to ensure the basic quality of life, protecting valuable ecosystems and other communities at the same time.</w:t>
            </w:r>
          </w:p>
        </w:tc>
      </w:tr>
      <w:tr w:rsidR="004778A1" w:rsidRPr="00E25B80" w14:paraId="1045BBA0" w14:textId="77777777" w:rsidTr="0022057B">
        <w:tc>
          <w:tcPr>
            <w:tcW w:w="2335" w:type="dxa"/>
          </w:tcPr>
          <w:p w14:paraId="07ED996D" w14:textId="77777777" w:rsidR="004778A1" w:rsidRPr="00E25B80" w:rsidRDefault="004778A1" w:rsidP="0022057B">
            <w:pPr>
              <w:spacing w:line="240" w:lineRule="auto"/>
              <w:rPr>
                <w:rFonts w:cs="Arial"/>
                <w:lang w:val="en-GB"/>
              </w:rPr>
            </w:pPr>
            <w:r w:rsidRPr="00F75300">
              <w:t>Beck &amp; Wilms, 2004</w:t>
            </w:r>
          </w:p>
        </w:tc>
        <w:tc>
          <w:tcPr>
            <w:tcW w:w="6160" w:type="dxa"/>
          </w:tcPr>
          <w:p w14:paraId="4123AA36" w14:textId="77777777" w:rsidR="004778A1" w:rsidRPr="00E25B80" w:rsidRDefault="004778A1" w:rsidP="0022057B">
            <w:pPr>
              <w:spacing w:line="240" w:lineRule="auto"/>
              <w:rPr>
                <w:rFonts w:cs="Arial"/>
                <w:lang w:val="en-GB"/>
              </w:rPr>
            </w:pPr>
            <w:r w:rsidRPr="00F75300">
              <w:t>Sustainable development is a powerful global contradiction to the contemporary western culture and lifestyle.</w:t>
            </w:r>
          </w:p>
        </w:tc>
      </w:tr>
      <w:tr w:rsidR="004778A1" w:rsidRPr="00E25B80" w14:paraId="68AA4AFC" w14:textId="77777777" w:rsidTr="0022057B">
        <w:tc>
          <w:tcPr>
            <w:tcW w:w="2335" w:type="dxa"/>
          </w:tcPr>
          <w:p w14:paraId="5E3BB314" w14:textId="77777777" w:rsidR="004778A1" w:rsidRPr="00E25B80" w:rsidRDefault="004778A1" w:rsidP="0022057B">
            <w:pPr>
              <w:spacing w:line="240" w:lineRule="auto"/>
              <w:rPr>
                <w:rFonts w:cs="Arial"/>
                <w:lang w:val="en-GB"/>
              </w:rPr>
            </w:pPr>
            <w:proofErr w:type="spellStart"/>
            <w:r w:rsidRPr="00F75300">
              <w:t>Vare</w:t>
            </w:r>
            <w:proofErr w:type="spellEnd"/>
            <w:r w:rsidRPr="00F75300">
              <w:t xml:space="preserve"> &amp; Scott, 2007</w:t>
            </w:r>
          </w:p>
        </w:tc>
        <w:tc>
          <w:tcPr>
            <w:tcW w:w="6160" w:type="dxa"/>
          </w:tcPr>
          <w:p w14:paraId="3351EAD2" w14:textId="77777777" w:rsidR="004778A1" w:rsidRPr="00E25B80" w:rsidRDefault="004778A1" w:rsidP="0022057B">
            <w:pPr>
              <w:spacing w:line="240" w:lineRule="auto"/>
              <w:rPr>
                <w:rFonts w:cs="Arial"/>
                <w:lang w:val="en-GB"/>
              </w:rPr>
            </w:pPr>
            <w:r w:rsidRPr="00F75300">
              <w:t>Sustainable development is a process of changes, where resources are raised, the direction of investments is determined, the development of technology is focused and the work of different institutions is harmonized, thus the potential for achieving human needs and desires is increased as well.</w:t>
            </w:r>
          </w:p>
        </w:tc>
      </w:tr>
      <w:tr w:rsidR="004778A1" w:rsidRPr="00E25B80" w14:paraId="440F6F82" w14:textId="77777777" w:rsidTr="0022057B">
        <w:tc>
          <w:tcPr>
            <w:tcW w:w="2335" w:type="dxa"/>
          </w:tcPr>
          <w:p w14:paraId="680B9770" w14:textId="77777777" w:rsidR="004778A1" w:rsidRPr="00E25B80" w:rsidRDefault="004778A1" w:rsidP="0022057B">
            <w:pPr>
              <w:spacing w:line="240" w:lineRule="auto"/>
              <w:rPr>
                <w:rFonts w:cs="Arial"/>
                <w:lang w:val="en-GB"/>
              </w:rPr>
            </w:pPr>
            <w:r w:rsidRPr="00F75300">
              <w:t>Sterling, 2010</w:t>
            </w:r>
          </w:p>
        </w:tc>
        <w:tc>
          <w:tcPr>
            <w:tcW w:w="6160" w:type="dxa"/>
          </w:tcPr>
          <w:p w14:paraId="1FBD8120" w14:textId="77777777" w:rsidR="004778A1" w:rsidRPr="00E25B80" w:rsidRDefault="004778A1" w:rsidP="0022057B">
            <w:pPr>
              <w:spacing w:line="240" w:lineRule="auto"/>
              <w:rPr>
                <w:rFonts w:cs="Arial"/>
                <w:lang w:val="en-GB"/>
              </w:rPr>
            </w:pPr>
            <w:r w:rsidRPr="00F75300">
              <w:t>Sustainable development is a reconciliation of the economy and the environment on a new path of development that will enable the long-term sustainable development of humankind.</w:t>
            </w:r>
          </w:p>
        </w:tc>
      </w:tr>
      <w:tr w:rsidR="004778A1" w:rsidRPr="00E25B80" w14:paraId="22117CA0" w14:textId="77777777" w:rsidTr="0022057B">
        <w:tc>
          <w:tcPr>
            <w:tcW w:w="2335" w:type="dxa"/>
          </w:tcPr>
          <w:p w14:paraId="1F35A1A0" w14:textId="77777777" w:rsidR="004778A1" w:rsidRPr="00E25B80" w:rsidRDefault="004778A1" w:rsidP="0022057B">
            <w:pPr>
              <w:spacing w:line="240" w:lineRule="auto"/>
              <w:rPr>
                <w:rFonts w:cs="Arial"/>
                <w:lang w:val="en-GB"/>
              </w:rPr>
            </w:pPr>
            <w:r w:rsidRPr="00F75300">
              <w:t>Marin et al., 2012</w:t>
            </w:r>
          </w:p>
        </w:tc>
        <w:tc>
          <w:tcPr>
            <w:tcW w:w="6160" w:type="dxa"/>
          </w:tcPr>
          <w:p w14:paraId="678630F8" w14:textId="77777777" w:rsidR="004778A1" w:rsidRPr="00E25B80" w:rsidRDefault="004778A1" w:rsidP="0022057B">
            <w:pPr>
              <w:spacing w:line="240" w:lineRule="auto"/>
              <w:rPr>
                <w:rFonts w:cs="Arial"/>
                <w:lang w:val="en-GB"/>
              </w:rPr>
            </w:pPr>
            <w:r w:rsidRPr="00F75300">
              <w:t xml:space="preserve">Sustainable development gives a possibility of time unlimited interaction between society, </w:t>
            </w:r>
            <w:proofErr w:type="gramStart"/>
            <w:r w:rsidRPr="00F75300">
              <w:t>ecosystems</w:t>
            </w:r>
            <w:proofErr w:type="gramEnd"/>
            <w:r w:rsidRPr="00F75300">
              <w:t xml:space="preserve"> and other living systems without impoverishing the key resources.</w:t>
            </w:r>
          </w:p>
        </w:tc>
      </w:tr>
      <w:tr w:rsidR="004778A1" w:rsidRPr="00E25B80" w14:paraId="63A88ECA" w14:textId="77777777" w:rsidTr="0022057B">
        <w:tc>
          <w:tcPr>
            <w:tcW w:w="2335" w:type="dxa"/>
          </w:tcPr>
          <w:p w14:paraId="13E6DA7F" w14:textId="77777777" w:rsidR="004778A1" w:rsidRPr="00E25B80" w:rsidRDefault="004778A1" w:rsidP="0022057B">
            <w:pPr>
              <w:spacing w:line="240" w:lineRule="auto"/>
              <w:rPr>
                <w:rFonts w:cs="Arial"/>
                <w:lang w:val="en-GB"/>
              </w:rPr>
            </w:pPr>
            <w:r w:rsidRPr="00F75300">
              <w:t>Duran et al., 2015</w:t>
            </w:r>
          </w:p>
        </w:tc>
        <w:tc>
          <w:tcPr>
            <w:tcW w:w="6160" w:type="dxa"/>
          </w:tcPr>
          <w:p w14:paraId="1A5901D9" w14:textId="77777777" w:rsidR="004778A1" w:rsidRPr="00E25B80" w:rsidRDefault="004778A1" w:rsidP="0022057B">
            <w:pPr>
              <w:spacing w:line="240" w:lineRule="auto"/>
              <w:rPr>
                <w:rFonts w:cs="Arial"/>
                <w:lang w:val="en-GB"/>
              </w:rPr>
            </w:pPr>
            <w:r w:rsidRPr="00F75300">
              <w:t xml:space="preserve">Sustainable development is a development that protects the </w:t>
            </w:r>
            <w:proofErr w:type="gramStart"/>
            <w:r w:rsidRPr="00F75300">
              <w:t>environment, because</w:t>
            </w:r>
            <w:proofErr w:type="gramEnd"/>
            <w:r w:rsidRPr="00F75300">
              <w:t xml:space="preserve"> a sustainable environment enables sustainable development.</w:t>
            </w:r>
          </w:p>
        </w:tc>
      </w:tr>
    </w:tbl>
    <w:p w14:paraId="103175FA" w14:textId="1706E057" w:rsidR="004C4F5A" w:rsidRPr="00EE5690" w:rsidRDefault="00E25B80" w:rsidP="00BD449D">
      <w:pPr>
        <w:rPr>
          <w:rFonts w:cs="Arial"/>
          <w:i/>
          <w:u w:val="single"/>
        </w:rPr>
      </w:pPr>
      <w:r w:rsidRPr="00EE5690">
        <w:rPr>
          <w:rFonts w:cs="Arial"/>
          <w:lang w:val="en-GB"/>
        </w:rPr>
        <w:t xml:space="preserve">The most used definition of sustainable development is the one provided by the Our Common Future, 1987 report which states that </w:t>
      </w:r>
      <w:r w:rsidRPr="00EE5690">
        <w:rPr>
          <w:rFonts w:cs="Arial"/>
          <w:i/>
          <w:u w:val="single"/>
          <w:lang w:val="en-GB"/>
        </w:rPr>
        <w:t>“</w:t>
      </w:r>
      <w:r w:rsidRPr="00EE5690">
        <w:rPr>
          <w:rFonts w:cs="Arial"/>
          <w:i/>
          <w:u w:val="single"/>
        </w:rPr>
        <w:t>Sustainable development is a development that meets the needs of the present without compromising the ability of future generations to meet their own needs.</w:t>
      </w:r>
      <w:r w:rsidR="004C4F5A" w:rsidRPr="00EE5690">
        <w:rPr>
          <w:rFonts w:cs="Arial"/>
          <w:i/>
          <w:u w:val="single"/>
        </w:rPr>
        <w:t xml:space="preserve"> It contains within it two key concepts:</w:t>
      </w:r>
    </w:p>
    <w:p w14:paraId="02FE4B09" w14:textId="77777777" w:rsidR="00604C00" w:rsidRDefault="004C4F5A" w:rsidP="00BD449D">
      <w:pPr>
        <w:rPr>
          <w:rFonts w:cs="Arial"/>
          <w:i/>
          <w:u w:val="single"/>
        </w:rPr>
      </w:pPr>
      <w:r w:rsidRPr="00EE5690">
        <w:rPr>
          <w:rFonts w:cs="Arial"/>
          <w:i/>
          <w:u w:val="single"/>
        </w:rPr>
        <w:t>· The concept of 'needs'</w:t>
      </w:r>
      <w:proofErr w:type="gramStart"/>
      <w:r w:rsidRPr="00EE5690">
        <w:rPr>
          <w:rFonts w:cs="Arial"/>
          <w:i/>
          <w:u w:val="single"/>
        </w:rPr>
        <w:t>, in particular, the</w:t>
      </w:r>
      <w:proofErr w:type="gramEnd"/>
      <w:r w:rsidRPr="00EE5690">
        <w:rPr>
          <w:rFonts w:cs="Arial"/>
          <w:i/>
          <w:u w:val="single"/>
        </w:rPr>
        <w:t xml:space="preserve"> essential needs of the world's poor, to which overriding priority should be given; and </w:t>
      </w:r>
    </w:p>
    <w:p w14:paraId="0F08F25B" w14:textId="2480F9DD" w:rsidR="004C4F5A" w:rsidRPr="00EE5690" w:rsidRDefault="004C4F5A" w:rsidP="00BD449D">
      <w:pPr>
        <w:rPr>
          <w:rFonts w:cs="Arial"/>
          <w:b/>
        </w:rPr>
      </w:pPr>
      <w:r w:rsidRPr="00EE5690">
        <w:rPr>
          <w:rFonts w:cs="Arial"/>
          <w:i/>
          <w:u w:val="single"/>
        </w:rPr>
        <w:t>· The idea of limitations imposed by the state of technology and social organization on the environment's ability to meet present and future needs.”</w:t>
      </w:r>
    </w:p>
    <w:p w14:paraId="4CED6613" w14:textId="1108D6F2" w:rsidR="00E25B80" w:rsidRPr="00EE5690" w:rsidRDefault="00F71E72" w:rsidP="005D4B20">
      <w:pPr>
        <w:pStyle w:val="MAIL11"/>
      </w:pPr>
      <w:bookmarkStart w:id="12" w:name="_Toc91752378"/>
      <w:r w:rsidRPr="00EE5690">
        <w:t>Forest and carbon related sequestration definitions</w:t>
      </w:r>
      <w:bookmarkEnd w:id="12"/>
    </w:p>
    <w:p w14:paraId="1D31FD95" w14:textId="287F7506" w:rsidR="00F71E72" w:rsidRPr="00EE5690" w:rsidRDefault="00F71E72" w:rsidP="00BD449D">
      <w:pPr>
        <w:rPr>
          <w:rFonts w:cs="Arial"/>
        </w:rPr>
      </w:pPr>
      <w:r w:rsidRPr="00EE5690">
        <w:rPr>
          <w:rFonts w:cs="Arial"/>
        </w:rPr>
        <w:t>The following chapter provides definitions for terms used in afforestation, forest management and carbon sequestration.</w:t>
      </w:r>
    </w:p>
    <w:p w14:paraId="17170173" w14:textId="086D6BF2" w:rsidR="0036092F" w:rsidRPr="00EE5690" w:rsidRDefault="0036092F" w:rsidP="00BD449D">
      <w:pPr>
        <w:rPr>
          <w:rFonts w:cs="Arial"/>
          <w:lang w:val="en-GB"/>
        </w:rPr>
      </w:pPr>
      <w:r w:rsidRPr="00EE5690">
        <w:rPr>
          <w:rFonts w:cs="Arial"/>
          <w:b/>
          <w:lang w:val="en-GB"/>
        </w:rPr>
        <w:t>Afforestation</w:t>
      </w:r>
      <w:r w:rsidRPr="00EE5690">
        <w:rPr>
          <w:rFonts w:cs="Arial"/>
          <w:lang w:val="en-GB"/>
        </w:rPr>
        <w:t>: The direct human-induced conversion of land that has not been forested for a period of at least 50 years to forested land through planting, seeding and/or the human-induced promotion of natural seed sources.</w:t>
      </w:r>
      <w:r w:rsidR="0049427F" w:rsidRPr="00EE5690">
        <w:rPr>
          <w:rFonts w:cs="Arial"/>
          <w:lang w:val="en-GB"/>
        </w:rPr>
        <w:t xml:space="preserve"> (Agostini et a</w:t>
      </w:r>
      <w:r w:rsidRPr="00EE5690">
        <w:rPr>
          <w:rFonts w:cs="Arial"/>
          <w:lang w:val="en-GB"/>
        </w:rPr>
        <w:t>l, 2014)</w:t>
      </w:r>
    </w:p>
    <w:p w14:paraId="7E82B526" w14:textId="5518821F" w:rsidR="0036092F" w:rsidRPr="00EE5690" w:rsidRDefault="0036092F" w:rsidP="00BD449D">
      <w:pPr>
        <w:rPr>
          <w:rFonts w:cs="Arial"/>
          <w:lang w:val="en-GB"/>
        </w:rPr>
      </w:pPr>
      <w:r w:rsidRPr="00EE5690">
        <w:rPr>
          <w:rFonts w:cs="Arial"/>
          <w:b/>
          <w:lang w:val="en-GB"/>
        </w:rPr>
        <w:t>Biomass</w:t>
      </w:r>
      <w:r w:rsidRPr="00EE5690">
        <w:rPr>
          <w:rFonts w:cs="Arial"/>
          <w:lang w:val="en-GB"/>
        </w:rPr>
        <w:t>: Organic material both above ground and below ground, and both living and dead, e.g., trees, crops, grasses, tree litter, roots etc. Biomass includes the pool definition for above – and below –ground biomass.</w:t>
      </w:r>
      <w:r w:rsidR="0049427F" w:rsidRPr="00EE5690">
        <w:rPr>
          <w:rFonts w:cs="Arial"/>
          <w:lang w:val="en-GB"/>
        </w:rPr>
        <w:t xml:space="preserve"> (Agostini et a</w:t>
      </w:r>
      <w:r w:rsidRPr="00EE5690">
        <w:rPr>
          <w:rFonts w:cs="Arial"/>
          <w:lang w:val="en-GB"/>
        </w:rPr>
        <w:t>l, 2014)</w:t>
      </w:r>
    </w:p>
    <w:p w14:paraId="6BCED559" w14:textId="063369CA" w:rsidR="0036092F" w:rsidRPr="00EE5690" w:rsidRDefault="0036092F" w:rsidP="00BD449D">
      <w:pPr>
        <w:rPr>
          <w:rFonts w:cs="Arial"/>
          <w:lang w:val="en-GB"/>
        </w:rPr>
      </w:pPr>
      <w:r w:rsidRPr="00EE5690">
        <w:rPr>
          <w:rFonts w:cs="Arial"/>
          <w:b/>
          <w:lang w:val="en-GB"/>
        </w:rPr>
        <w:lastRenderedPageBreak/>
        <w:t>Carbon dioxide equivalent</w:t>
      </w:r>
      <w:r w:rsidRPr="00EE5690">
        <w:rPr>
          <w:rFonts w:cs="Arial"/>
          <w:lang w:val="en-GB"/>
        </w:rPr>
        <w:t>: Carbon dioxide equivalent describes how much global warming a given type and amount of greenhouse gas may cause, using the functionally equivalent amount or concentration of carbon dioxide (CO2) as the reference.</w:t>
      </w:r>
      <w:r w:rsidR="0049427F" w:rsidRPr="00EE5690">
        <w:rPr>
          <w:rFonts w:cs="Arial"/>
          <w:lang w:val="en-GB"/>
        </w:rPr>
        <w:t xml:space="preserve"> (Agostini et a</w:t>
      </w:r>
      <w:r w:rsidRPr="00EE5690">
        <w:rPr>
          <w:rFonts w:cs="Arial"/>
          <w:lang w:val="en-GB"/>
        </w:rPr>
        <w:t>l, 2014)</w:t>
      </w:r>
    </w:p>
    <w:p w14:paraId="4126F882" w14:textId="03558D83" w:rsidR="0036092F" w:rsidRPr="00EE5690" w:rsidRDefault="00EF314B" w:rsidP="00BD449D">
      <w:pPr>
        <w:rPr>
          <w:rFonts w:cs="Arial"/>
          <w:lang w:val="en-GB"/>
        </w:rPr>
      </w:pPr>
      <w:r w:rsidRPr="00EE5690">
        <w:rPr>
          <w:rFonts w:cs="Arial"/>
          <w:b/>
          <w:lang w:val="en-GB"/>
        </w:rPr>
        <w:t>Carbon pool</w:t>
      </w:r>
      <w:r w:rsidRPr="00EE5690">
        <w:rPr>
          <w:rFonts w:cs="Arial"/>
          <w:lang w:val="en-GB"/>
        </w:rPr>
        <w:t xml:space="preserve">: A component of the climate system which has the capacity to store, accumulate or release carbon. Oceans, soils, atmosphere, and forests are examples of carbon pools. </w:t>
      </w:r>
      <w:r w:rsidR="0049427F" w:rsidRPr="00EE5690">
        <w:rPr>
          <w:rFonts w:cs="Arial"/>
          <w:lang w:val="en-GB"/>
        </w:rPr>
        <w:t>(Agostini et a</w:t>
      </w:r>
      <w:r w:rsidRPr="00EE5690">
        <w:rPr>
          <w:rFonts w:cs="Arial"/>
          <w:lang w:val="en-GB"/>
        </w:rPr>
        <w:t>l, 2014)</w:t>
      </w:r>
    </w:p>
    <w:p w14:paraId="40EB845E" w14:textId="0B4F0CDB" w:rsidR="00EF314B" w:rsidRPr="00EE5690" w:rsidRDefault="00EF314B" w:rsidP="00BD449D">
      <w:pPr>
        <w:rPr>
          <w:rFonts w:cs="Arial"/>
          <w:lang w:val="en-GB"/>
        </w:rPr>
      </w:pPr>
      <w:r w:rsidRPr="00EE5690">
        <w:rPr>
          <w:rFonts w:cs="Arial"/>
          <w:b/>
        </w:rPr>
        <w:t>Carbon stock</w:t>
      </w:r>
      <w:r w:rsidRPr="00EE5690">
        <w:rPr>
          <w:rFonts w:cs="Arial"/>
        </w:rPr>
        <w:t>: The absolute quantity of carbon held within a carbon pool at a specified time.</w:t>
      </w:r>
      <w:r w:rsidRPr="00EE5690">
        <w:rPr>
          <w:rFonts w:cs="Arial"/>
          <w:lang w:val="en-GB"/>
        </w:rPr>
        <w:t xml:space="preserve"> </w:t>
      </w:r>
      <w:r w:rsidR="0049427F" w:rsidRPr="00EE5690">
        <w:rPr>
          <w:rFonts w:cs="Arial"/>
          <w:lang w:val="en-GB"/>
        </w:rPr>
        <w:t>(Agostini et a</w:t>
      </w:r>
      <w:r w:rsidRPr="00EE5690">
        <w:rPr>
          <w:rFonts w:cs="Arial"/>
          <w:lang w:val="en-GB"/>
        </w:rPr>
        <w:t>l, 2014)</w:t>
      </w:r>
    </w:p>
    <w:p w14:paraId="2AA25128" w14:textId="53610400" w:rsidR="00EF314B" w:rsidRPr="00EE5690" w:rsidRDefault="00EF314B" w:rsidP="00BD449D">
      <w:pPr>
        <w:rPr>
          <w:rFonts w:cs="Arial"/>
          <w:lang w:val="en-GB"/>
        </w:rPr>
      </w:pPr>
      <w:r w:rsidRPr="00EE5690">
        <w:rPr>
          <w:rFonts w:cs="Arial"/>
          <w:b/>
        </w:rPr>
        <w:t>Forest</w:t>
      </w:r>
      <w:r w:rsidRPr="00EE5690">
        <w:rPr>
          <w:rFonts w:cs="Arial"/>
        </w:rPr>
        <w:t xml:space="preserve">: Land with tree crown cover (or equivalent stocking level) of more than 10 percent and area of more than 0.5 hectares (ha). The trees should be able to reach a minimum height of 5 meters (m) at maturity in situ. May consist either of closed forest formations where trees of various </w:t>
      </w:r>
      <w:proofErr w:type="spellStart"/>
      <w:r w:rsidRPr="00EE5690">
        <w:rPr>
          <w:rFonts w:cs="Arial"/>
        </w:rPr>
        <w:t>storeys</w:t>
      </w:r>
      <w:proofErr w:type="spellEnd"/>
      <w:r w:rsidRPr="00EE5690">
        <w:rPr>
          <w:rFonts w:cs="Arial"/>
        </w:rPr>
        <w:t xml:space="preserve"> and undergrowth cover a high proportion of the ground; or open forest formations with a continuous vegetation cover in which tree crown cover exceeds 10 percent. Young natural stands and all plantations established for forestry purposes which have yet to reach a crown density of 10 percent or tree height of 5 m are included under forest, as are areas normally forming part of the forest area which are temporarily unstocked as a result of human intervention or natural </w:t>
      </w:r>
      <w:proofErr w:type="gramStart"/>
      <w:r w:rsidRPr="00EE5690">
        <w:rPr>
          <w:rFonts w:cs="Arial"/>
        </w:rPr>
        <w:t>causes</w:t>
      </w:r>
      <w:proofErr w:type="gramEnd"/>
      <w:r w:rsidRPr="00EE5690">
        <w:rPr>
          <w:rFonts w:cs="Arial"/>
        </w:rPr>
        <w:t xml:space="preserve"> but which are expected to revert to forest.</w:t>
      </w:r>
      <w:r w:rsidR="00845761" w:rsidRPr="00EE5690">
        <w:rPr>
          <w:rFonts w:cs="Arial"/>
        </w:rPr>
        <w:t xml:space="preserve"> </w:t>
      </w:r>
      <w:r w:rsidR="0049427F" w:rsidRPr="00EE5690">
        <w:rPr>
          <w:rFonts w:cs="Arial"/>
          <w:lang w:val="en-GB"/>
        </w:rPr>
        <w:t>(Agostini et a</w:t>
      </w:r>
      <w:r w:rsidR="00845761" w:rsidRPr="00EE5690">
        <w:rPr>
          <w:rFonts w:cs="Arial"/>
          <w:lang w:val="en-GB"/>
        </w:rPr>
        <w:t>l, 2014)</w:t>
      </w:r>
    </w:p>
    <w:p w14:paraId="601E4118" w14:textId="6F7A9081" w:rsidR="00845761" w:rsidRPr="00EE5690" w:rsidRDefault="00845761" w:rsidP="00BD449D">
      <w:pPr>
        <w:rPr>
          <w:rFonts w:cs="Arial"/>
          <w:lang w:val="en-GB"/>
        </w:rPr>
      </w:pPr>
      <w:r w:rsidRPr="00EE5690">
        <w:rPr>
          <w:rFonts w:cs="Arial"/>
          <w:b/>
          <w:lang w:val="en-GB"/>
        </w:rPr>
        <w:t>Forest management</w:t>
      </w:r>
      <w:r w:rsidRPr="00EE5690">
        <w:rPr>
          <w:rFonts w:cs="Arial"/>
          <w:lang w:val="en-GB"/>
        </w:rPr>
        <w:t xml:space="preserve">: Any activity resulting from a system applicable to a forest and aimed at improving any ecological, </w:t>
      </w:r>
      <w:proofErr w:type="gramStart"/>
      <w:r w:rsidRPr="00EE5690">
        <w:rPr>
          <w:rFonts w:cs="Arial"/>
          <w:lang w:val="en-GB"/>
        </w:rPr>
        <w:t>economic</w:t>
      </w:r>
      <w:proofErr w:type="gramEnd"/>
      <w:r w:rsidRPr="00EE5690">
        <w:rPr>
          <w:rFonts w:cs="Arial"/>
          <w:lang w:val="en-GB"/>
        </w:rPr>
        <w:t xml:space="preserve"> or social function of the forest</w:t>
      </w:r>
      <w:r w:rsidR="0049427F" w:rsidRPr="00EE5690">
        <w:rPr>
          <w:rFonts w:cs="Arial"/>
          <w:lang w:val="en-GB"/>
        </w:rPr>
        <w:t>. (Agostini et a</w:t>
      </w:r>
      <w:r w:rsidRPr="00EE5690">
        <w:rPr>
          <w:rFonts w:cs="Arial"/>
          <w:lang w:val="en-GB"/>
        </w:rPr>
        <w:t>l, 2014)</w:t>
      </w:r>
    </w:p>
    <w:p w14:paraId="76DA2072" w14:textId="785F3283" w:rsidR="00A44A46" w:rsidRPr="00EE5690" w:rsidRDefault="00A44A46" w:rsidP="00BD449D">
      <w:pPr>
        <w:rPr>
          <w:rFonts w:cs="Arial"/>
          <w:lang w:val="en-GB"/>
        </w:rPr>
      </w:pPr>
      <w:r w:rsidRPr="00EE5690">
        <w:rPr>
          <w:rFonts w:cs="Arial"/>
          <w:b/>
        </w:rPr>
        <w:t>Greenhouse gases (GHG)</w:t>
      </w:r>
      <w:r w:rsidRPr="00EE5690">
        <w:rPr>
          <w:rFonts w:cs="Arial"/>
        </w:rPr>
        <w:t xml:space="preserve">: Greenhouse gases are those gaseous constituents of the atmosphere, both natural and anthropogenic, that absorb and emit radiation at specific wavelengths within the spectrum of infrared radiation emitted by the Earth’s surface, the </w:t>
      </w:r>
      <w:proofErr w:type="gramStart"/>
      <w:r w:rsidRPr="00EE5690">
        <w:rPr>
          <w:rFonts w:cs="Arial"/>
        </w:rPr>
        <w:t>atmosphere</w:t>
      </w:r>
      <w:proofErr w:type="gramEnd"/>
      <w:r w:rsidRPr="00EE5690">
        <w:rPr>
          <w:rFonts w:cs="Arial"/>
        </w:rPr>
        <w:t xml:space="preserve"> and clouds. This property causes the greenhouse effect. Water </w:t>
      </w:r>
      <w:proofErr w:type="spellStart"/>
      <w:r w:rsidRPr="00EE5690">
        <w:rPr>
          <w:rFonts w:cs="Arial"/>
        </w:rPr>
        <w:t>vapour</w:t>
      </w:r>
      <w:proofErr w:type="spellEnd"/>
      <w:r w:rsidRPr="00EE5690">
        <w:rPr>
          <w:rFonts w:cs="Arial"/>
        </w:rPr>
        <w:t xml:space="preserve"> (H2O), carbon dioxide (CO2), nitrous oxide (N2O), methane (CH4), and ozone (O3) are the primary greenhouse gases in the Earth’s atmosphere. </w:t>
      </w:r>
      <w:r w:rsidR="0049427F" w:rsidRPr="00EE5690">
        <w:rPr>
          <w:rFonts w:cs="Arial"/>
          <w:lang w:val="en-GB"/>
        </w:rPr>
        <w:t>(Agostini et a</w:t>
      </w:r>
      <w:r w:rsidRPr="00EE5690">
        <w:rPr>
          <w:rFonts w:cs="Arial"/>
          <w:lang w:val="en-GB"/>
        </w:rPr>
        <w:t>l, 2014)</w:t>
      </w:r>
    </w:p>
    <w:p w14:paraId="6E6ED3EF" w14:textId="42B264BD" w:rsidR="00A44A46" w:rsidRPr="00EE5690" w:rsidRDefault="00A44A46" w:rsidP="00BD449D">
      <w:pPr>
        <w:rPr>
          <w:rFonts w:cs="Arial"/>
          <w:lang w:val="en-GB"/>
        </w:rPr>
      </w:pPr>
      <w:r w:rsidRPr="00EE5690">
        <w:rPr>
          <w:rFonts w:cs="Arial"/>
          <w:b/>
        </w:rPr>
        <w:t>Sequestration</w:t>
      </w:r>
      <w:r w:rsidRPr="00EE5690">
        <w:rPr>
          <w:rFonts w:cs="Arial"/>
        </w:rPr>
        <w:t xml:space="preserve">: The process of increasing the carbon content of a carbon pool other than the atmosphere. </w:t>
      </w:r>
      <w:r w:rsidR="0049427F" w:rsidRPr="00EE5690">
        <w:rPr>
          <w:rFonts w:cs="Arial"/>
          <w:lang w:val="en-GB"/>
        </w:rPr>
        <w:t>(Agostini et a</w:t>
      </w:r>
      <w:r w:rsidRPr="00EE5690">
        <w:rPr>
          <w:rFonts w:cs="Arial"/>
          <w:lang w:val="en-GB"/>
        </w:rPr>
        <w:t>l, 2014)</w:t>
      </w:r>
    </w:p>
    <w:p w14:paraId="69392EE8" w14:textId="455CC663" w:rsidR="00A44A46" w:rsidRPr="00EE5690" w:rsidRDefault="00A44A46" w:rsidP="00BD449D">
      <w:pPr>
        <w:rPr>
          <w:rFonts w:cs="Arial"/>
          <w:lang w:val="en-GB"/>
        </w:rPr>
      </w:pPr>
      <w:r w:rsidRPr="00EE5690">
        <w:rPr>
          <w:rFonts w:cs="Arial"/>
          <w:b/>
        </w:rPr>
        <w:t>Sink</w:t>
      </w:r>
      <w:r w:rsidRPr="00EE5690">
        <w:rPr>
          <w:rFonts w:cs="Arial"/>
        </w:rPr>
        <w:t xml:space="preserve">: The rate of build-up of CO2 in the atmosphere can be reduced by taking advantage of the fact that carbon can accumulate in vegetation and soils in terrestrial ecosystems. </w:t>
      </w:r>
      <w:r w:rsidRPr="00EE5690">
        <w:rPr>
          <w:rFonts w:cs="Arial"/>
        </w:rPr>
        <w:lastRenderedPageBreak/>
        <w:t xml:space="preserve">Any process, activity or mechanism which removes a greenhouse gas from the atmosphere is referred to as a "sink". </w:t>
      </w:r>
      <w:r w:rsidR="0049427F" w:rsidRPr="00EE5690">
        <w:rPr>
          <w:rFonts w:cs="Arial"/>
          <w:lang w:val="en-GB"/>
        </w:rPr>
        <w:t>(Agostini et a</w:t>
      </w:r>
      <w:r w:rsidRPr="00EE5690">
        <w:rPr>
          <w:rFonts w:cs="Arial"/>
          <w:lang w:val="en-GB"/>
        </w:rPr>
        <w:t>l, 2014)</w:t>
      </w:r>
    </w:p>
    <w:p w14:paraId="12CACAED" w14:textId="0AC55E82" w:rsidR="00246F93" w:rsidRPr="00EE5690" w:rsidRDefault="00246F93" w:rsidP="00BD449D">
      <w:pPr>
        <w:rPr>
          <w:rFonts w:cs="Arial"/>
          <w:lang w:val="en-GB"/>
        </w:rPr>
      </w:pPr>
      <w:proofErr w:type="spellStart"/>
      <w:r w:rsidRPr="00EE5690">
        <w:rPr>
          <w:rFonts w:cs="Arial"/>
          <w:b/>
        </w:rPr>
        <w:t>Thinnings</w:t>
      </w:r>
      <w:proofErr w:type="spellEnd"/>
      <w:r w:rsidRPr="00EE5690">
        <w:rPr>
          <w:rFonts w:cs="Arial"/>
        </w:rPr>
        <w:t>: Trees removed during thinning operations, the purpose of which is to reduce stand density and enhance diameter growth and volume of the residual stand.</w:t>
      </w:r>
      <w:r w:rsidR="004F0E36" w:rsidRPr="00EE5690">
        <w:rPr>
          <w:rFonts w:cs="Arial"/>
        </w:rPr>
        <w:t xml:space="preserve"> </w:t>
      </w:r>
      <w:r w:rsidRPr="00EE5690">
        <w:rPr>
          <w:rFonts w:cs="Arial"/>
        </w:rPr>
        <w:t xml:space="preserve">Unacceptable growing stock which is defined as trees considered structurally weak or have low vigor and do not have the potential to eventually yield a </w:t>
      </w:r>
      <w:proofErr w:type="gramStart"/>
      <w:r w:rsidR="00066C10" w:rsidRPr="00EE5690">
        <w:rPr>
          <w:rFonts w:cs="Arial"/>
        </w:rPr>
        <w:t>12 foot</w:t>
      </w:r>
      <w:proofErr w:type="gramEnd"/>
      <w:r w:rsidRPr="00EE5690">
        <w:rPr>
          <w:rFonts w:cs="Arial"/>
        </w:rPr>
        <w:t xml:space="preserve"> sawlog or survive for at least the next 10 years.</w:t>
      </w:r>
      <w:r w:rsidR="004F0E36" w:rsidRPr="00EE5690">
        <w:rPr>
          <w:rFonts w:cs="Arial"/>
        </w:rPr>
        <w:t xml:space="preserve"> </w:t>
      </w:r>
      <w:r w:rsidRPr="00EE5690">
        <w:rPr>
          <w:rFonts w:cs="Arial"/>
        </w:rPr>
        <w:t>Trees removed to reduce fire hazard are also included.</w:t>
      </w:r>
      <w:r w:rsidR="004F0E36" w:rsidRPr="00EE5690">
        <w:rPr>
          <w:rFonts w:cs="Arial"/>
        </w:rPr>
        <w:t xml:space="preserve"> </w:t>
      </w:r>
      <w:r w:rsidR="0049427F" w:rsidRPr="00EE5690">
        <w:rPr>
          <w:rFonts w:cs="Arial"/>
          <w:lang w:val="en-GB"/>
        </w:rPr>
        <w:t>(Agostini et a</w:t>
      </w:r>
      <w:r w:rsidR="004F0E36" w:rsidRPr="00EE5690">
        <w:rPr>
          <w:rFonts w:cs="Arial"/>
          <w:lang w:val="en-GB"/>
        </w:rPr>
        <w:t>l, 2014)</w:t>
      </w:r>
    </w:p>
    <w:p w14:paraId="2828C3B3" w14:textId="55180BE6" w:rsidR="00F71E72" w:rsidRPr="00EE5690" w:rsidRDefault="00F71E72" w:rsidP="005D4B20">
      <w:pPr>
        <w:pStyle w:val="MAIL11"/>
      </w:pPr>
      <w:bookmarkStart w:id="13" w:name="_Toc91752379"/>
      <w:r w:rsidRPr="00EE5690">
        <w:t>Sustainable Forest Management</w:t>
      </w:r>
      <w:bookmarkEnd w:id="13"/>
    </w:p>
    <w:p w14:paraId="0610164E" w14:textId="7057C5CE" w:rsidR="00F71E72" w:rsidRPr="00EE5690" w:rsidRDefault="00F71E72" w:rsidP="00BD449D">
      <w:pPr>
        <w:rPr>
          <w:rFonts w:cs="Arial"/>
        </w:rPr>
      </w:pPr>
      <w:r w:rsidRPr="00EE5690">
        <w:rPr>
          <w:rFonts w:cs="Arial"/>
        </w:rPr>
        <w:t xml:space="preserve">Marginal lands are going to be used as carbon sinks, meaning that an afforestation project is going to be implemented and they are going to be transformed to forests. As a result, </w:t>
      </w:r>
      <w:proofErr w:type="gramStart"/>
      <w:r w:rsidRPr="00EE5690">
        <w:rPr>
          <w:rFonts w:cs="Arial"/>
        </w:rPr>
        <w:t>in order to</w:t>
      </w:r>
      <w:proofErr w:type="gramEnd"/>
      <w:r w:rsidRPr="00EE5690">
        <w:rPr>
          <w:rFonts w:cs="Arial"/>
        </w:rPr>
        <w:t xml:space="preserve"> define the sustainability of such an activity one must define and present the aspects of sustainable forest management. </w:t>
      </w:r>
    </w:p>
    <w:p w14:paraId="3A3D64D2" w14:textId="5AF75E12" w:rsidR="0006632F" w:rsidRPr="00EE5690" w:rsidRDefault="0006632F" w:rsidP="00BD449D">
      <w:pPr>
        <w:rPr>
          <w:rFonts w:cs="Arial"/>
        </w:rPr>
      </w:pPr>
      <w:r w:rsidRPr="00EE5690">
        <w:rPr>
          <w:rFonts w:cs="Arial"/>
        </w:rPr>
        <w:t>According to FAO</w:t>
      </w:r>
      <w:r w:rsidRPr="00EE5690">
        <w:rPr>
          <w:rStyle w:val="FootnoteReference"/>
          <w:rFonts w:cs="Arial"/>
        </w:rPr>
        <w:footnoteReference w:id="3"/>
      </w:r>
      <w:r w:rsidRPr="00EE5690">
        <w:rPr>
          <w:rFonts w:cs="Arial"/>
        </w:rPr>
        <w:t xml:space="preserve"> “Forest management is the process of planning and implementing practices for the stewardship and use of forests and other wooded land to meet specific environmental, economic, social and cultural objectives. It deals with the overall administrative, economic, legal, social, </w:t>
      </w:r>
      <w:proofErr w:type="gramStart"/>
      <w:r w:rsidRPr="00EE5690">
        <w:rPr>
          <w:rFonts w:cs="Arial"/>
        </w:rPr>
        <w:t>technical</w:t>
      </w:r>
      <w:proofErr w:type="gramEnd"/>
      <w:r w:rsidRPr="00EE5690">
        <w:rPr>
          <w:rFonts w:cs="Arial"/>
        </w:rPr>
        <w:t xml:space="preserve"> and scientific aspects related to natural and planted forests. It may involve varying degrees of deliberate human intervention, ranging from actions aimed at safeguarding and maintaining forest ecosystems and their functions, to those </w:t>
      </w:r>
      <w:r w:rsidR="00F71F61" w:rsidRPr="00EE5690">
        <w:rPr>
          <w:rFonts w:cs="Arial"/>
        </w:rPr>
        <w:t>favoring</w:t>
      </w:r>
      <w:r w:rsidRPr="00EE5690">
        <w:rPr>
          <w:rFonts w:cs="Arial"/>
        </w:rPr>
        <w:t xml:space="preserve"> specific socially or economically valuable species or groups of species for the improved production of forest goods and services.</w:t>
      </w:r>
    </w:p>
    <w:p w14:paraId="34646BE5" w14:textId="521CD060" w:rsidR="000F0483" w:rsidRPr="00EE5690" w:rsidRDefault="0006632F" w:rsidP="00BD449D">
      <w:pPr>
        <w:rPr>
          <w:rFonts w:cs="Arial"/>
        </w:rPr>
      </w:pPr>
      <w:r w:rsidRPr="00EE5690">
        <w:rPr>
          <w:rFonts w:cs="Arial"/>
        </w:rPr>
        <w:t xml:space="preserve">A globally agreed definition of sustainable forest management (SFM) is impractical beyond a very general level because of the huge diversity of forest types, </w:t>
      </w:r>
      <w:proofErr w:type="gramStart"/>
      <w:r w:rsidRPr="00EE5690">
        <w:rPr>
          <w:rFonts w:cs="Arial"/>
        </w:rPr>
        <w:t>conditions</w:t>
      </w:r>
      <w:proofErr w:type="gramEnd"/>
      <w:r w:rsidRPr="00EE5690">
        <w:rPr>
          <w:rFonts w:cs="Arial"/>
        </w:rPr>
        <w:t xml:space="preserve"> and socioeconomic contexts worldwide. In general, however, SFM can be viewed as the sustainable use and conservation of forests with the aim of maintaining and enhancing multiple forest values through human interventions. People are at the </w:t>
      </w:r>
      <w:r w:rsidR="00F71F61" w:rsidRPr="00EE5690">
        <w:rPr>
          <w:rFonts w:cs="Arial"/>
        </w:rPr>
        <w:t>center</w:t>
      </w:r>
      <w:r w:rsidRPr="00EE5690">
        <w:rPr>
          <w:rFonts w:cs="Arial"/>
        </w:rPr>
        <w:t xml:space="preserve"> of SFM because it aims to contribute to society’s diverse needs in perpetuity.</w:t>
      </w:r>
    </w:p>
    <w:p w14:paraId="74D041C8" w14:textId="3198598F" w:rsidR="00F71E72" w:rsidRPr="00EE5690" w:rsidRDefault="000F0483" w:rsidP="00BD449D">
      <w:pPr>
        <w:rPr>
          <w:rFonts w:cs="Arial"/>
        </w:rPr>
      </w:pPr>
      <w:r w:rsidRPr="00EE5690">
        <w:rPr>
          <w:rFonts w:cs="Arial"/>
        </w:rPr>
        <w:t xml:space="preserve">The UN describes sustainable forest management as: </w:t>
      </w:r>
      <w:r w:rsidR="00E63043" w:rsidRPr="00EE5690">
        <w:rPr>
          <w:rFonts w:cs="Arial"/>
        </w:rPr>
        <w:t>“</w:t>
      </w:r>
      <w:r w:rsidRPr="00EE5690">
        <w:rPr>
          <w:rFonts w:cs="Arial"/>
          <w:i/>
        </w:rPr>
        <w:t>[a] dynamic and evolving concept [that] aims to maintain and enhance the economic, social and environmental values of all types of forests, for the benefit of present and future generations</w:t>
      </w:r>
      <w:r w:rsidRPr="00EE5690">
        <w:rPr>
          <w:rFonts w:cs="Arial"/>
        </w:rPr>
        <w:t>.</w:t>
      </w:r>
      <w:r w:rsidR="0006632F" w:rsidRPr="00EE5690">
        <w:rPr>
          <w:rFonts w:cs="Arial"/>
        </w:rPr>
        <w:t>”</w:t>
      </w:r>
    </w:p>
    <w:p w14:paraId="404A03FC" w14:textId="3ADBA3AE" w:rsidR="0006632F" w:rsidRPr="00EE5690" w:rsidRDefault="006811FC" w:rsidP="00BD449D">
      <w:pPr>
        <w:rPr>
          <w:rFonts w:cs="Arial"/>
        </w:rPr>
      </w:pPr>
      <w:r w:rsidRPr="00EE5690">
        <w:rPr>
          <w:rFonts w:cs="Arial"/>
        </w:rPr>
        <w:lastRenderedPageBreak/>
        <w:t>According to ITTO, 1992 “</w:t>
      </w:r>
      <w:proofErr w:type="gramStart"/>
      <w:r w:rsidRPr="00EE5690">
        <w:rPr>
          <w:rFonts w:cs="Arial"/>
          <w:i/>
        </w:rPr>
        <w:t>Sustainable forest</w:t>
      </w:r>
      <w:proofErr w:type="gramEnd"/>
      <w:r w:rsidRPr="00EE5690">
        <w:rPr>
          <w:rFonts w:cs="Arial"/>
          <w:i/>
        </w:rPr>
        <w:t xml:space="preserve"> management is the process of managing forest to achieve one or more clearly specified objectives of management with regard to the production of a continuous flow of desired forest products and services without undue reduction of its inherent values and future productivity and without undue undesirable effects on the physical and social environment.</w:t>
      </w:r>
      <w:r w:rsidRPr="00EE5690">
        <w:rPr>
          <w:rFonts w:cs="Arial"/>
        </w:rPr>
        <w:t>”</w:t>
      </w:r>
    </w:p>
    <w:p w14:paraId="58BC5E22" w14:textId="6F591308" w:rsidR="0006632F" w:rsidRPr="00EE5690" w:rsidRDefault="006811FC" w:rsidP="00BD449D">
      <w:pPr>
        <w:rPr>
          <w:rFonts w:cs="Arial"/>
          <w:lang w:val="en-GB"/>
        </w:rPr>
      </w:pPr>
      <w:r w:rsidRPr="00EE5690">
        <w:rPr>
          <w:rFonts w:cs="Arial"/>
        </w:rPr>
        <w:t xml:space="preserve">While Forest Europe defined sustainable </w:t>
      </w:r>
      <w:r w:rsidR="00E63043" w:rsidRPr="00EE5690">
        <w:rPr>
          <w:rFonts w:cs="Arial"/>
        </w:rPr>
        <w:t xml:space="preserve">forest </w:t>
      </w:r>
      <w:r w:rsidRPr="00EE5690">
        <w:rPr>
          <w:rFonts w:cs="Arial"/>
        </w:rPr>
        <w:t>management as “</w:t>
      </w:r>
      <w:r w:rsidR="0006632F" w:rsidRPr="00EE5690">
        <w:rPr>
          <w:rFonts w:cs="Arial"/>
          <w:i/>
        </w:rPr>
        <w:t>The stewardship and use of forest lands in a way and at a rate that maintains their productivity, biodiversity, productivity, regeneration capacity, vitality and their potential to fulfill now and in the future relevant ecological, economic and social functions at local, national and global levels and that does not cause damage to other ecosystems</w:t>
      </w:r>
      <w:r w:rsidR="0006632F" w:rsidRPr="00EE5690">
        <w:rPr>
          <w:rFonts w:cs="Arial"/>
        </w:rPr>
        <w:t>." (Forest Europe, Resolution H1, 1993</w:t>
      </w:r>
      <w:r w:rsidR="0006632F" w:rsidRPr="00EE5690">
        <w:rPr>
          <w:rFonts w:cs="Arial"/>
          <w:lang w:val="en-GB"/>
        </w:rPr>
        <w:t>)</w:t>
      </w:r>
      <w:r w:rsidRPr="00EE5690">
        <w:rPr>
          <w:rFonts w:cs="Arial"/>
          <w:lang w:val="en-GB"/>
        </w:rPr>
        <w:t>.</w:t>
      </w:r>
    </w:p>
    <w:p w14:paraId="6249C11E" w14:textId="56E430F3" w:rsidR="001C6203" w:rsidRPr="00EE5690" w:rsidRDefault="009427AB" w:rsidP="005D4B20">
      <w:pPr>
        <w:pStyle w:val="MAIL11"/>
      </w:pPr>
      <w:bookmarkStart w:id="14" w:name="_Toc91752380"/>
      <w:r w:rsidRPr="00EE5690">
        <w:t>Sustainable forest management Criteria and Indicators</w:t>
      </w:r>
      <w:bookmarkEnd w:id="14"/>
    </w:p>
    <w:p w14:paraId="694EB7F4" w14:textId="4CDF2B59" w:rsidR="009427AB" w:rsidRPr="00EE5690" w:rsidRDefault="009427AB" w:rsidP="00BD449D">
      <w:pPr>
        <w:rPr>
          <w:rFonts w:cs="Arial"/>
        </w:rPr>
      </w:pPr>
      <w:r w:rsidRPr="00EE5690">
        <w:rPr>
          <w:rFonts w:cs="Arial"/>
        </w:rPr>
        <w:t xml:space="preserve">Forest Europe </w:t>
      </w:r>
      <w:r w:rsidR="002D57CD" w:rsidRPr="00EE5690">
        <w:rPr>
          <w:rFonts w:cs="Arial"/>
        </w:rPr>
        <w:t>started defining the pan-European Criteria and indicators for sustainable forest management” in Lisbon 1998. The current criteria and indicators were updated and endorsed in the Forest Europe 7</w:t>
      </w:r>
      <w:r w:rsidR="002D57CD" w:rsidRPr="00EE5690">
        <w:rPr>
          <w:rFonts w:cs="Arial"/>
          <w:vertAlign w:val="superscript"/>
        </w:rPr>
        <w:t>th</w:t>
      </w:r>
      <w:r w:rsidR="002D57CD" w:rsidRPr="00EE5690">
        <w:rPr>
          <w:rFonts w:cs="Arial"/>
        </w:rPr>
        <w:t xml:space="preserve"> Ministerial Conference in Madrid 2015. In total 45 sustainable forest indicators are defined. 34 are quantitative indicators and 11 of them are qualitative. The </w:t>
      </w:r>
      <w:r w:rsidR="00672DD7" w:rsidRPr="00EE5690">
        <w:rPr>
          <w:rFonts w:cs="Arial"/>
        </w:rPr>
        <w:t>following tables present the Pan European Criteria and indicators.</w:t>
      </w:r>
    </w:p>
    <w:p w14:paraId="320CBBF1" w14:textId="1F54B2DF" w:rsidR="00F71F61" w:rsidRPr="00E2138D" w:rsidRDefault="00F71F61" w:rsidP="009A3C63">
      <w:pPr>
        <w:pStyle w:val="Caption"/>
        <w:rPr>
          <w:rFonts w:cs="Arial"/>
        </w:rPr>
      </w:pPr>
      <w:bookmarkStart w:id="15" w:name="_Toc91752542"/>
      <w:r w:rsidRPr="00E2138D">
        <w:rPr>
          <w:rFonts w:cs="Arial"/>
        </w:rPr>
        <w:t xml:space="preserve">Table </w:t>
      </w:r>
      <w:r w:rsidRPr="00E2138D">
        <w:rPr>
          <w:rFonts w:cs="Arial"/>
        </w:rPr>
        <w:fldChar w:fldCharType="begin"/>
      </w:r>
      <w:r w:rsidRPr="00E2138D">
        <w:rPr>
          <w:rFonts w:cs="Arial"/>
        </w:rPr>
        <w:instrText xml:space="preserve"> SEQ Table \* ARABIC </w:instrText>
      </w:r>
      <w:r w:rsidRPr="00E2138D">
        <w:rPr>
          <w:rFonts w:cs="Arial"/>
        </w:rPr>
        <w:fldChar w:fldCharType="separate"/>
      </w:r>
      <w:r w:rsidR="0073710A">
        <w:rPr>
          <w:rFonts w:cs="Arial"/>
          <w:noProof/>
        </w:rPr>
        <w:t>3</w:t>
      </w:r>
      <w:r w:rsidRPr="00E2138D">
        <w:rPr>
          <w:rFonts w:cs="Arial"/>
        </w:rPr>
        <w:fldChar w:fldCharType="end"/>
      </w:r>
      <w:r w:rsidRPr="00E2138D">
        <w:rPr>
          <w:rFonts w:cs="Arial"/>
        </w:rPr>
        <w:t xml:space="preserve"> Forest Policy and governance Indicators. (Source: Forest Europe 7</w:t>
      </w:r>
      <w:r w:rsidRPr="00E2138D">
        <w:rPr>
          <w:rFonts w:cs="Arial"/>
          <w:vertAlign w:val="superscript"/>
        </w:rPr>
        <w:t>th</w:t>
      </w:r>
      <w:r w:rsidRPr="00E2138D">
        <w:rPr>
          <w:rFonts w:cs="Arial"/>
        </w:rPr>
        <w:t xml:space="preserve"> Ministerial Conference, 2015)</w:t>
      </w:r>
      <w:bookmarkEnd w:id="15"/>
    </w:p>
    <w:tbl>
      <w:tblPr>
        <w:tblStyle w:val="TableGrid"/>
        <w:tblW w:w="0" w:type="auto"/>
        <w:tblLook w:val="04A0" w:firstRow="1" w:lastRow="0" w:firstColumn="1" w:lastColumn="0" w:noHBand="0" w:noVBand="1"/>
      </w:tblPr>
      <w:tblGrid>
        <w:gridCol w:w="1521"/>
        <w:gridCol w:w="887"/>
        <w:gridCol w:w="6087"/>
      </w:tblGrid>
      <w:tr w:rsidR="00267A5A" w:rsidRPr="00BB121B" w14:paraId="4D080195" w14:textId="77777777" w:rsidTr="0022057B">
        <w:tc>
          <w:tcPr>
            <w:tcW w:w="1521" w:type="dxa"/>
            <w:shd w:val="clear" w:color="auto" w:fill="BFBFBF" w:themeFill="background1" w:themeFillShade="BF"/>
          </w:tcPr>
          <w:p w14:paraId="4A32FBD8" w14:textId="77777777" w:rsidR="00267A5A" w:rsidRPr="00BB121B" w:rsidRDefault="00267A5A" w:rsidP="0022057B">
            <w:pPr>
              <w:spacing w:line="240" w:lineRule="auto"/>
              <w:rPr>
                <w:b/>
              </w:rPr>
            </w:pPr>
          </w:p>
        </w:tc>
        <w:tc>
          <w:tcPr>
            <w:tcW w:w="887" w:type="dxa"/>
            <w:shd w:val="clear" w:color="auto" w:fill="BFBFBF" w:themeFill="background1" w:themeFillShade="BF"/>
          </w:tcPr>
          <w:p w14:paraId="20F45E9E" w14:textId="77777777" w:rsidR="00267A5A" w:rsidRPr="00BB121B" w:rsidRDefault="00267A5A" w:rsidP="0022057B">
            <w:pPr>
              <w:spacing w:line="240" w:lineRule="auto"/>
              <w:rPr>
                <w:b/>
              </w:rPr>
            </w:pPr>
            <w:r w:rsidRPr="00BB121B">
              <w:rPr>
                <w:b/>
              </w:rPr>
              <w:t>No.</w:t>
            </w:r>
          </w:p>
        </w:tc>
        <w:tc>
          <w:tcPr>
            <w:tcW w:w="6087" w:type="dxa"/>
            <w:shd w:val="clear" w:color="auto" w:fill="BFBFBF" w:themeFill="background1" w:themeFillShade="BF"/>
          </w:tcPr>
          <w:p w14:paraId="59DEA25F" w14:textId="77777777" w:rsidR="00267A5A" w:rsidRPr="00BB121B" w:rsidRDefault="00267A5A" w:rsidP="0022057B">
            <w:pPr>
              <w:spacing w:line="240" w:lineRule="auto"/>
              <w:rPr>
                <w:b/>
              </w:rPr>
            </w:pPr>
            <w:r w:rsidRPr="00BB121B">
              <w:rPr>
                <w:b/>
              </w:rPr>
              <w:t>Indicator</w:t>
            </w:r>
          </w:p>
        </w:tc>
      </w:tr>
      <w:tr w:rsidR="00267A5A" w14:paraId="52453D0B" w14:textId="77777777" w:rsidTr="0022057B">
        <w:tc>
          <w:tcPr>
            <w:tcW w:w="1521" w:type="dxa"/>
            <w:vMerge w:val="restart"/>
          </w:tcPr>
          <w:p w14:paraId="4731A09F" w14:textId="77777777" w:rsidR="00267A5A" w:rsidRDefault="00267A5A" w:rsidP="0022057B">
            <w:pPr>
              <w:spacing w:line="240" w:lineRule="auto"/>
            </w:pPr>
            <w:r>
              <w:t>Forest policy and governance</w:t>
            </w:r>
          </w:p>
        </w:tc>
        <w:tc>
          <w:tcPr>
            <w:tcW w:w="887" w:type="dxa"/>
          </w:tcPr>
          <w:p w14:paraId="55EBD864" w14:textId="77777777" w:rsidR="00267A5A" w:rsidRPr="0021657F" w:rsidRDefault="00267A5A" w:rsidP="0022057B">
            <w:pPr>
              <w:spacing w:line="240" w:lineRule="auto"/>
              <w:rPr>
                <w:color w:val="31479E" w:themeColor="accent1" w:themeShade="BF"/>
              </w:rPr>
            </w:pPr>
            <w:r w:rsidRPr="0021657F">
              <w:rPr>
                <w:color w:val="31479E" w:themeColor="accent1" w:themeShade="BF"/>
              </w:rPr>
              <w:t>1</w:t>
            </w:r>
          </w:p>
        </w:tc>
        <w:tc>
          <w:tcPr>
            <w:tcW w:w="6087" w:type="dxa"/>
          </w:tcPr>
          <w:p w14:paraId="53D94BFE" w14:textId="77777777" w:rsidR="00267A5A" w:rsidRPr="0021657F" w:rsidRDefault="00267A5A" w:rsidP="0022057B">
            <w:pPr>
              <w:spacing w:line="240" w:lineRule="auto"/>
              <w:rPr>
                <w:color w:val="31479E" w:themeColor="accent1" w:themeShade="BF"/>
              </w:rPr>
            </w:pPr>
            <w:r w:rsidRPr="0021657F">
              <w:rPr>
                <w:color w:val="31479E" w:themeColor="accent1" w:themeShade="BF"/>
              </w:rPr>
              <w:t xml:space="preserve">National Forest </w:t>
            </w:r>
            <w:proofErr w:type="spellStart"/>
            <w:r w:rsidRPr="0021657F">
              <w:rPr>
                <w:color w:val="31479E" w:themeColor="accent1" w:themeShade="BF"/>
              </w:rPr>
              <w:t>Programmes</w:t>
            </w:r>
            <w:proofErr w:type="spellEnd"/>
            <w:r w:rsidRPr="0021657F">
              <w:rPr>
                <w:color w:val="31479E" w:themeColor="accent1" w:themeShade="BF"/>
              </w:rPr>
              <w:t xml:space="preserve"> or equivalent</w:t>
            </w:r>
          </w:p>
        </w:tc>
      </w:tr>
      <w:tr w:rsidR="00267A5A" w14:paraId="6B955286" w14:textId="77777777" w:rsidTr="0022057B">
        <w:tc>
          <w:tcPr>
            <w:tcW w:w="1521" w:type="dxa"/>
            <w:vMerge/>
          </w:tcPr>
          <w:p w14:paraId="4543ACCE" w14:textId="77777777" w:rsidR="00267A5A" w:rsidRDefault="00267A5A" w:rsidP="0022057B">
            <w:pPr>
              <w:spacing w:line="240" w:lineRule="auto"/>
            </w:pPr>
          </w:p>
        </w:tc>
        <w:tc>
          <w:tcPr>
            <w:tcW w:w="887" w:type="dxa"/>
          </w:tcPr>
          <w:p w14:paraId="5049448F" w14:textId="77777777" w:rsidR="00267A5A" w:rsidRPr="0021657F" w:rsidRDefault="00267A5A" w:rsidP="0022057B">
            <w:pPr>
              <w:spacing w:line="240" w:lineRule="auto"/>
              <w:rPr>
                <w:color w:val="31479E" w:themeColor="accent1" w:themeShade="BF"/>
              </w:rPr>
            </w:pPr>
            <w:r w:rsidRPr="0021657F">
              <w:rPr>
                <w:color w:val="31479E" w:themeColor="accent1" w:themeShade="BF"/>
              </w:rPr>
              <w:t>2</w:t>
            </w:r>
          </w:p>
        </w:tc>
        <w:tc>
          <w:tcPr>
            <w:tcW w:w="6087" w:type="dxa"/>
          </w:tcPr>
          <w:p w14:paraId="25D8071B" w14:textId="77777777" w:rsidR="00267A5A" w:rsidRPr="0021657F" w:rsidRDefault="00267A5A" w:rsidP="0022057B">
            <w:pPr>
              <w:spacing w:line="240" w:lineRule="auto"/>
              <w:rPr>
                <w:color w:val="31479E" w:themeColor="accent1" w:themeShade="BF"/>
              </w:rPr>
            </w:pPr>
            <w:r w:rsidRPr="0021657F">
              <w:rPr>
                <w:color w:val="31479E" w:themeColor="accent1" w:themeShade="BF"/>
              </w:rPr>
              <w:t>Institutional frameworks</w:t>
            </w:r>
          </w:p>
        </w:tc>
      </w:tr>
      <w:tr w:rsidR="00267A5A" w14:paraId="24D5DDE3" w14:textId="77777777" w:rsidTr="0022057B">
        <w:tc>
          <w:tcPr>
            <w:tcW w:w="1521" w:type="dxa"/>
            <w:vMerge/>
          </w:tcPr>
          <w:p w14:paraId="5A8BD5F7" w14:textId="77777777" w:rsidR="00267A5A" w:rsidRDefault="00267A5A" w:rsidP="0022057B">
            <w:pPr>
              <w:spacing w:line="240" w:lineRule="auto"/>
            </w:pPr>
          </w:p>
        </w:tc>
        <w:tc>
          <w:tcPr>
            <w:tcW w:w="887" w:type="dxa"/>
          </w:tcPr>
          <w:p w14:paraId="419C452A" w14:textId="77777777" w:rsidR="00267A5A" w:rsidRPr="0021657F" w:rsidRDefault="00267A5A" w:rsidP="0022057B">
            <w:pPr>
              <w:spacing w:line="240" w:lineRule="auto"/>
              <w:rPr>
                <w:color w:val="31479E" w:themeColor="accent1" w:themeShade="BF"/>
              </w:rPr>
            </w:pPr>
            <w:r w:rsidRPr="0021657F">
              <w:rPr>
                <w:color w:val="31479E" w:themeColor="accent1" w:themeShade="BF"/>
              </w:rPr>
              <w:t>3</w:t>
            </w:r>
          </w:p>
        </w:tc>
        <w:tc>
          <w:tcPr>
            <w:tcW w:w="6087" w:type="dxa"/>
          </w:tcPr>
          <w:p w14:paraId="23162D55" w14:textId="77777777" w:rsidR="00267A5A" w:rsidRPr="0021657F" w:rsidRDefault="00267A5A" w:rsidP="0022057B">
            <w:pPr>
              <w:spacing w:line="240" w:lineRule="auto"/>
              <w:rPr>
                <w:color w:val="31479E" w:themeColor="accent1" w:themeShade="BF"/>
              </w:rPr>
            </w:pPr>
            <w:r w:rsidRPr="0021657F">
              <w:rPr>
                <w:color w:val="31479E" w:themeColor="accent1" w:themeShade="BF"/>
              </w:rPr>
              <w:t xml:space="preserve">Legal/regulatory framework: National (and/or sub-national) and </w:t>
            </w:r>
            <w:proofErr w:type="gramStart"/>
            <w:r w:rsidRPr="0021657F">
              <w:rPr>
                <w:color w:val="31479E" w:themeColor="accent1" w:themeShade="BF"/>
              </w:rPr>
              <w:t>International</w:t>
            </w:r>
            <w:proofErr w:type="gramEnd"/>
            <w:r w:rsidRPr="0021657F">
              <w:rPr>
                <w:color w:val="31479E" w:themeColor="accent1" w:themeShade="BF"/>
              </w:rPr>
              <w:t xml:space="preserve"> commitments</w:t>
            </w:r>
          </w:p>
        </w:tc>
      </w:tr>
      <w:tr w:rsidR="00267A5A" w14:paraId="2FE7D219" w14:textId="77777777" w:rsidTr="0022057B">
        <w:tc>
          <w:tcPr>
            <w:tcW w:w="1521" w:type="dxa"/>
            <w:vMerge/>
          </w:tcPr>
          <w:p w14:paraId="3BAE164C" w14:textId="77777777" w:rsidR="00267A5A" w:rsidRDefault="00267A5A" w:rsidP="0022057B">
            <w:pPr>
              <w:spacing w:line="240" w:lineRule="auto"/>
            </w:pPr>
          </w:p>
        </w:tc>
        <w:tc>
          <w:tcPr>
            <w:tcW w:w="887" w:type="dxa"/>
          </w:tcPr>
          <w:p w14:paraId="209A2A5E" w14:textId="77777777" w:rsidR="00267A5A" w:rsidRPr="0021657F" w:rsidRDefault="00267A5A" w:rsidP="0022057B">
            <w:pPr>
              <w:spacing w:line="240" w:lineRule="auto"/>
              <w:rPr>
                <w:color w:val="31479E" w:themeColor="accent1" w:themeShade="BF"/>
              </w:rPr>
            </w:pPr>
            <w:r w:rsidRPr="0021657F">
              <w:rPr>
                <w:color w:val="31479E" w:themeColor="accent1" w:themeShade="BF"/>
              </w:rPr>
              <w:t>4</w:t>
            </w:r>
          </w:p>
        </w:tc>
        <w:tc>
          <w:tcPr>
            <w:tcW w:w="6087" w:type="dxa"/>
          </w:tcPr>
          <w:p w14:paraId="555819EF" w14:textId="77777777" w:rsidR="00267A5A" w:rsidRPr="0021657F" w:rsidRDefault="00267A5A" w:rsidP="0022057B">
            <w:pPr>
              <w:spacing w:line="240" w:lineRule="auto"/>
              <w:rPr>
                <w:color w:val="31479E" w:themeColor="accent1" w:themeShade="BF"/>
              </w:rPr>
            </w:pPr>
            <w:r w:rsidRPr="0021657F">
              <w:rPr>
                <w:color w:val="31479E" w:themeColor="accent1" w:themeShade="BF"/>
              </w:rPr>
              <w:t>Financial and economic instruments</w:t>
            </w:r>
          </w:p>
        </w:tc>
      </w:tr>
      <w:tr w:rsidR="00267A5A" w14:paraId="13770322" w14:textId="77777777" w:rsidTr="0022057B">
        <w:tc>
          <w:tcPr>
            <w:tcW w:w="1521" w:type="dxa"/>
            <w:vMerge/>
          </w:tcPr>
          <w:p w14:paraId="6B73CE9D" w14:textId="77777777" w:rsidR="00267A5A" w:rsidRDefault="00267A5A" w:rsidP="0022057B">
            <w:pPr>
              <w:spacing w:line="240" w:lineRule="auto"/>
            </w:pPr>
          </w:p>
        </w:tc>
        <w:tc>
          <w:tcPr>
            <w:tcW w:w="887" w:type="dxa"/>
          </w:tcPr>
          <w:p w14:paraId="54CA4C74" w14:textId="77777777" w:rsidR="00267A5A" w:rsidRPr="0021657F" w:rsidRDefault="00267A5A" w:rsidP="0022057B">
            <w:pPr>
              <w:spacing w:line="240" w:lineRule="auto"/>
              <w:rPr>
                <w:color w:val="31479E" w:themeColor="accent1" w:themeShade="BF"/>
              </w:rPr>
            </w:pPr>
            <w:r w:rsidRPr="0021657F">
              <w:rPr>
                <w:color w:val="31479E" w:themeColor="accent1" w:themeShade="BF"/>
              </w:rPr>
              <w:t>5</w:t>
            </w:r>
          </w:p>
        </w:tc>
        <w:tc>
          <w:tcPr>
            <w:tcW w:w="6087" w:type="dxa"/>
          </w:tcPr>
          <w:p w14:paraId="6FE3DBE0" w14:textId="77777777" w:rsidR="00267A5A" w:rsidRPr="0021657F" w:rsidRDefault="00267A5A" w:rsidP="0022057B">
            <w:pPr>
              <w:spacing w:line="240" w:lineRule="auto"/>
              <w:rPr>
                <w:color w:val="31479E" w:themeColor="accent1" w:themeShade="BF"/>
              </w:rPr>
            </w:pPr>
            <w:r w:rsidRPr="0021657F">
              <w:rPr>
                <w:color w:val="31479E" w:themeColor="accent1" w:themeShade="BF"/>
              </w:rPr>
              <w:t>Information and communication</w:t>
            </w:r>
          </w:p>
        </w:tc>
      </w:tr>
    </w:tbl>
    <w:p w14:paraId="7950529A" w14:textId="378624BC" w:rsidR="00F71F61" w:rsidRPr="00E2138D" w:rsidRDefault="00F71F61" w:rsidP="009A3C63">
      <w:pPr>
        <w:pStyle w:val="Caption"/>
        <w:rPr>
          <w:rFonts w:cs="Arial"/>
        </w:rPr>
      </w:pPr>
      <w:bookmarkStart w:id="16" w:name="_Toc91752543"/>
      <w:r w:rsidRPr="00E2138D">
        <w:rPr>
          <w:rFonts w:cs="Arial"/>
        </w:rPr>
        <w:t xml:space="preserve">Table </w:t>
      </w:r>
      <w:r w:rsidRPr="00E2138D">
        <w:rPr>
          <w:rFonts w:cs="Arial"/>
        </w:rPr>
        <w:fldChar w:fldCharType="begin"/>
      </w:r>
      <w:r w:rsidRPr="00E2138D">
        <w:rPr>
          <w:rFonts w:cs="Arial"/>
        </w:rPr>
        <w:instrText xml:space="preserve"> SEQ Table \* ARABIC </w:instrText>
      </w:r>
      <w:r w:rsidRPr="00E2138D">
        <w:rPr>
          <w:rFonts w:cs="Arial"/>
        </w:rPr>
        <w:fldChar w:fldCharType="separate"/>
      </w:r>
      <w:r w:rsidR="0073710A">
        <w:rPr>
          <w:rFonts w:cs="Arial"/>
          <w:noProof/>
        </w:rPr>
        <w:t>4</w:t>
      </w:r>
      <w:r w:rsidRPr="00E2138D">
        <w:rPr>
          <w:rFonts w:cs="Arial"/>
        </w:rPr>
        <w:fldChar w:fldCharType="end"/>
      </w:r>
      <w:r w:rsidRPr="00E2138D">
        <w:rPr>
          <w:rFonts w:cs="Arial"/>
        </w:rPr>
        <w:t xml:space="preserve"> SFM Pan European Criteria and Indicators (Source: Forest Europe 7</w:t>
      </w:r>
      <w:r w:rsidRPr="00E2138D">
        <w:rPr>
          <w:rFonts w:cs="Arial"/>
          <w:vertAlign w:val="superscript"/>
        </w:rPr>
        <w:t>th</w:t>
      </w:r>
      <w:r w:rsidRPr="00E2138D">
        <w:rPr>
          <w:rFonts w:cs="Arial"/>
        </w:rPr>
        <w:t xml:space="preserve"> Ministerial Conference, 2015)</w:t>
      </w:r>
      <w:bookmarkEnd w:id="16"/>
    </w:p>
    <w:tbl>
      <w:tblPr>
        <w:tblStyle w:val="TableGrid"/>
        <w:tblW w:w="0" w:type="auto"/>
        <w:tblLook w:val="04A0" w:firstRow="1" w:lastRow="0" w:firstColumn="1" w:lastColumn="0" w:noHBand="0" w:noVBand="1"/>
      </w:tblPr>
      <w:tblGrid>
        <w:gridCol w:w="2139"/>
        <w:gridCol w:w="886"/>
        <w:gridCol w:w="2136"/>
        <w:gridCol w:w="3334"/>
      </w:tblGrid>
      <w:tr w:rsidR="00267A5A" w:rsidRPr="00596C32" w14:paraId="4CEC5D6C" w14:textId="77777777" w:rsidTr="0022057B">
        <w:tc>
          <w:tcPr>
            <w:tcW w:w="2139" w:type="dxa"/>
            <w:shd w:val="clear" w:color="auto" w:fill="BFBFBF" w:themeFill="background1" w:themeFillShade="BF"/>
          </w:tcPr>
          <w:p w14:paraId="1BC0AFC9" w14:textId="77777777" w:rsidR="00267A5A" w:rsidRPr="00596C32" w:rsidRDefault="00267A5A" w:rsidP="0022057B">
            <w:pPr>
              <w:spacing w:line="240" w:lineRule="auto"/>
              <w:rPr>
                <w:b/>
              </w:rPr>
            </w:pPr>
            <w:r w:rsidRPr="00596C32">
              <w:rPr>
                <w:b/>
              </w:rPr>
              <w:t>Criteria</w:t>
            </w:r>
          </w:p>
        </w:tc>
        <w:tc>
          <w:tcPr>
            <w:tcW w:w="886" w:type="dxa"/>
            <w:shd w:val="clear" w:color="auto" w:fill="BFBFBF" w:themeFill="background1" w:themeFillShade="BF"/>
          </w:tcPr>
          <w:p w14:paraId="4A24826B" w14:textId="77777777" w:rsidR="00267A5A" w:rsidRPr="00596C32" w:rsidRDefault="00267A5A" w:rsidP="0022057B">
            <w:pPr>
              <w:spacing w:line="240" w:lineRule="auto"/>
              <w:rPr>
                <w:b/>
              </w:rPr>
            </w:pPr>
            <w:r w:rsidRPr="00596C32">
              <w:rPr>
                <w:b/>
              </w:rPr>
              <w:t>No.</w:t>
            </w:r>
          </w:p>
        </w:tc>
        <w:tc>
          <w:tcPr>
            <w:tcW w:w="2136" w:type="dxa"/>
            <w:shd w:val="clear" w:color="auto" w:fill="BFBFBF" w:themeFill="background1" w:themeFillShade="BF"/>
          </w:tcPr>
          <w:p w14:paraId="75AC18E3" w14:textId="77777777" w:rsidR="00267A5A" w:rsidRPr="00596C32" w:rsidRDefault="00267A5A" w:rsidP="0022057B">
            <w:pPr>
              <w:spacing w:line="240" w:lineRule="auto"/>
              <w:rPr>
                <w:b/>
              </w:rPr>
            </w:pPr>
            <w:r w:rsidRPr="00596C32">
              <w:rPr>
                <w:b/>
              </w:rPr>
              <w:t>Indicator</w:t>
            </w:r>
          </w:p>
        </w:tc>
        <w:tc>
          <w:tcPr>
            <w:tcW w:w="3334" w:type="dxa"/>
            <w:shd w:val="clear" w:color="auto" w:fill="BFBFBF" w:themeFill="background1" w:themeFillShade="BF"/>
          </w:tcPr>
          <w:p w14:paraId="6643AA62" w14:textId="77777777" w:rsidR="00267A5A" w:rsidRPr="00596C32" w:rsidRDefault="00267A5A" w:rsidP="0022057B">
            <w:pPr>
              <w:spacing w:line="240" w:lineRule="auto"/>
              <w:rPr>
                <w:b/>
              </w:rPr>
            </w:pPr>
            <w:r w:rsidRPr="00596C32">
              <w:rPr>
                <w:b/>
              </w:rPr>
              <w:t>Full text</w:t>
            </w:r>
          </w:p>
        </w:tc>
      </w:tr>
      <w:tr w:rsidR="00267A5A" w14:paraId="75024582" w14:textId="77777777" w:rsidTr="0022057B">
        <w:tc>
          <w:tcPr>
            <w:tcW w:w="2139" w:type="dxa"/>
            <w:vMerge w:val="restart"/>
          </w:tcPr>
          <w:p w14:paraId="22C8E0B0" w14:textId="77777777" w:rsidR="00267A5A" w:rsidRDefault="00267A5A" w:rsidP="0022057B">
            <w:pPr>
              <w:spacing w:line="240" w:lineRule="auto"/>
            </w:pPr>
            <w:r w:rsidRPr="00596C32">
              <w:t xml:space="preserve">Criterion 1: Maintenance and Appropriate Enhancement of Forest Resources and their Contribution to </w:t>
            </w:r>
            <w:r w:rsidRPr="00596C32">
              <w:lastRenderedPageBreak/>
              <w:t>Global Carbon Cycles</w:t>
            </w:r>
          </w:p>
        </w:tc>
        <w:tc>
          <w:tcPr>
            <w:tcW w:w="886" w:type="dxa"/>
          </w:tcPr>
          <w:p w14:paraId="0F607B5C" w14:textId="77777777" w:rsidR="00267A5A" w:rsidRPr="0021657F" w:rsidRDefault="00267A5A" w:rsidP="0022057B">
            <w:pPr>
              <w:spacing w:line="240" w:lineRule="auto"/>
              <w:rPr>
                <w:color w:val="31479E" w:themeColor="accent1" w:themeShade="BF"/>
              </w:rPr>
            </w:pPr>
            <w:r w:rsidRPr="0021657F">
              <w:rPr>
                <w:color w:val="31479E" w:themeColor="accent1" w:themeShade="BF"/>
              </w:rPr>
              <w:lastRenderedPageBreak/>
              <w:t>C.1</w:t>
            </w:r>
          </w:p>
        </w:tc>
        <w:tc>
          <w:tcPr>
            <w:tcW w:w="5470" w:type="dxa"/>
            <w:gridSpan w:val="2"/>
          </w:tcPr>
          <w:p w14:paraId="03692D7A" w14:textId="77777777" w:rsidR="00267A5A" w:rsidRPr="0021657F" w:rsidRDefault="00267A5A" w:rsidP="0022057B">
            <w:pPr>
              <w:spacing w:line="240" w:lineRule="auto"/>
              <w:rPr>
                <w:color w:val="31479E" w:themeColor="accent1" w:themeShade="BF"/>
              </w:rPr>
            </w:pPr>
            <w:r w:rsidRPr="0021657F">
              <w:rPr>
                <w:color w:val="31479E" w:themeColor="accent1" w:themeShade="BF"/>
              </w:rPr>
              <w:t xml:space="preserve">Policies, </w:t>
            </w:r>
            <w:proofErr w:type="gramStart"/>
            <w:r w:rsidRPr="0021657F">
              <w:rPr>
                <w:color w:val="31479E" w:themeColor="accent1" w:themeShade="BF"/>
              </w:rPr>
              <w:t>institutions</w:t>
            </w:r>
            <w:proofErr w:type="gramEnd"/>
            <w:r w:rsidRPr="0021657F">
              <w:rPr>
                <w:color w:val="31479E" w:themeColor="accent1" w:themeShade="BF"/>
              </w:rPr>
              <w:t xml:space="preserve"> and instruments to maintain and appropriately enhance forest resources and their contribution to global carbon cycles</w:t>
            </w:r>
          </w:p>
        </w:tc>
      </w:tr>
      <w:tr w:rsidR="00267A5A" w14:paraId="18D3FF40" w14:textId="77777777" w:rsidTr="0022057B">
        <w:tc>
          <w:tcPr>
            <w:tcW w:w="2139" w:type="dxa"/>
            <w:vMerge/>
          </w:tcPr>
          <w:p w14:paraId="73318229" w14:textId="77777777" w:rsidR="00267A5A" w:rsidRDefault="00267A5A" w:rsidP="0022057B">
            <w:pPr>
              <w:spacing w:line="240" w:lineRule="auto"/>
            </w:pPr>
          </w:p>
        </w:tc>
        <w:tc>
          <w:tcPr>
            <w:tcW w:w="886" w:type="dxa"/>
          </w:tcPr>
          <w:p w14:paraId="4D5B5B80" w14:textId="77777777" w:rsidR="00267A5A" w:rsidRPr="0021657F" w:rsidRDefault="00267A5A" w:rsidP="0022057B">
            <w:pPr>
              <w:spacing w:line="240" w:lineRule="auto"/>
              <w:rPr>
                <w:color w:val="00B050"/>
              </w:rPr>
            </w:pPr>
            <w:r w:rsidRPr="0021657F">
              <w:rPr>
                <w:color w:val="00B050"/>
              </w:rPr>
              <w:t>1.1</w:t>
            </w:r>
          </w:p>
        </w:tc>
        <w:tc>
          <w:tcPr>
            <w:tcW w:w="2136" w:type="dxa"/>
          </w:tcPr>
          <w:p w14:paraId="44D21A09" w14:textId="77777777" w:rsidR="00267A5A" w:rsidRPr="0021657F" w:rsidRDefault="00267A5A" w:rsidP="0022057B">
            <w:pPr>
              <w:spacing w:line="240" w:lineRule="auto"/>
              <w:rPr>
                <w:color w:val="00B050"/>
              </w:rPr>
            </w:pPr>
            <w:r w:rsidRPr="0021657F">
              <w:rPr>
                <w:color w:val="00B050"/>
              </w:rPr>
              <w:t>Forest area</w:t>
            </w:r>
          </w:p>
        </w:tc>
        <w:tc>
          <w:tcPr>
            <w:tcW w:w="3334" w:type="dxa"/>
          </w:tcPr>
          <w:p w14:paraId="4B3DB19F" w14:textId="77777777" w:rsidR="00267A5A" w:rsidRPr="0021657F" w:rsidRDefault="00267A5A" w:rsidP="0022057B">
            <w:pPr>
              <w:spacing w:line="240" w:lineRule="auto"/>
              <w:rPr>
                <w:color w:val="00B050"/>
              </w:rPr>
            </w:pPr>
            <w:r w:rsidRPr="0021657F">
              <w:rPr>
                <w:color w:val="00B050"/>
              </w:rPr>
              <w:t xml:space="preserve">Area of forest and other wooded land, classified by forest type and by availability for wood supply, and share of forest and </w:t>
            </w:r>
            <w:r w:rsidRPr="0021657F">
              <w:rPr>
                <w:color w:val="00B050"/>
              </w:rPr>
              <w:lastRenderedPageBreak/>
              <w:t>other wooded land in total land area</w:t>
            </w:r>
          </w:p>
        </w:tc>
      </w:tr>
      <w:tr w:rsidR="00267A5A" w14:paraId="7D1441D9" w14:textId="77777777" w:rsidTr="0022057B">
        <w:tc>
          <w:tcPr>
            <w:tcW w:w="2139" w:type="dxa"/>
            <w:vMerge/>
          </w:tcPr>
          <w:p w14:paraId="17F3EF9A" w14:textId="77777777" w:rsidR="00267A5A" w:rsidRDefault="00267A5A" w:rsidP="0022057B">
            <w:pPr>
              <w:spacing w:line="240" w:lineRule="auto"/>
            </w:pPr>
          </w:p>
        </w:tc>
        <w:tc>
          <w:tcPr>
            <w:tcW w:w="886" w:type="dxa"/>
          </w:tcPr>
          <w:p w14:paraId="043BA703" w14:textId="77777777" w:rsidR="00267A5A" w:rsidRPr="0021657F" w:rsidRDefault="00267A5A" w:rsidP="0022057B">
            <w:pPr>
              <w:spacing w:line="240" w:lineRule="auto"/>
              <w:rPr>
                <w:color w:val="00B050"/>
              </w:rPr>
            </w:pPr>
            <w:r w:rsidRPr="0021657F">
              <w:rPr>
                <w:color w:val="00B050"/>
              </w:rPr>
              <w:t>1.2</w:t>
            </w:r>
          </w:p>
        </w:tc>
        <w:tc>
          <w:tcPr>
            <w:tcW w:w="2136" w:type="dxa"/>
          </w:tcPr>
          <w:p w14:paraId="7F82DD2D" w14:textId="77777777" w:rsidR="00267A5A" w:rsidRPr="0021657F" w:rsidRDefault="00267A5A" w:rsidP="0022057B">
            <w:pPr>
              <w:spacing w:line="240" w:lineRule="auto"/>
              <w:rPr>
                <w:color w:val="00B050"/>
              </w:rPr>
            </w:pPr>
            <w:r w:rsidRPr="0021657F">
              <w:rPr>
                <w:color w:val="00B050"/>
              </w:rPr>
              <w:t>Growing stock</w:t>
            </w:r>
          </w:p>
        </w:tc>
        <w:tc>
          <w:tcPr>
            <w:tcW w:w="3334" w:type="dxa"/>
          </w:tcPr>
          <w:p w14:paraId="5A6C054D" w14:textId="77777777" w:rsidR="00267A5A" w:rsidRPr="0021657F" w:rsidRDefault="00267A5A" w:rsidP="0022057B">
            <w:pPr>
              <w:spacing w:line="240" w:lineRule="auto"/>
              <w:rPr>
                <w:color w:val="00B050"/>
              </w:rPr>
            </w:pPr>
            <w:r w:rsidRPr="0021657F">
              <w:rPr>
                <w:color w:val="00B050"/>
              </w:rPr>
              <w:t>Growing stock on forest and other wooded land, classified by forest type and by availability for wood supply</w:t>
            </w:r>
          </w:p>
        </w:tc>
      </w:tr>
      <w:tr w:rsidR="00267A5A" w14:paraId="6ABB1349" w14:textId="77777777" w:rsidTr="0022057B">
        <w:tc>
          <w:tcPr>
            <w:tcW w:w="2139" w:type="dxa"/>
            <w:vMerge/>
          </w:tcPr>
          <w:p w14:paraId="0D2F0ABC" w14:textId="77777777" w:rsidR="00267A5A" w:rsidRDefault="00267A5A" w:rsidP="0022057B">
            <w:pPr>
              <w:spacing w:line="240" w:lineRule="auto"/>
            </w:pPr>
          </w:p>
        </w:tc>
        <w:tc>
          <w:tcPr>
            <w:tcW w:w="886" w:type="dxa"/>
          </w:tcPr>
          <w:p w14:paraId="60BB8D29" w14:textId="77777777" w:rsidR="00267A5A" w:rsidRPr="0021657F" w:rsidRDefault="00267A5A" w:rsidP="0022057B">
            <w:pPr>
              <w:spacing w:line="240" w:lineRule="auto"/>
              <w:rPr>
                <w:color w:val="00B050"/>
              </w:rPr>
            </w:pPr>
            <w:r w:rsidRPr="0021657F">
              <w:rPr>
                <w:color w:val="00B050"/>
              </w:rPr>
              <w:t>1.3</w:t>
            </w:r>
          </w:p>
        </w:tc>
        <w:tc>
          <w:tcPr>
            <w:tcW w:w="2136" w:type="dxa"/>
          </w:tcPr>
          <w:p w14:paraId="162346F2" w14:textId="77777777" w:rsidR="00267A5A" w:rsidRPr="0021657F" w:rsidRDefault="00267A5A" w:rsidP="0022057B">
            <w:pPr>
              <w:spacing w:line="240" w:lineRule="auto"/>
              <w:rPr>
                <w:color w:val="00B050"/>
              </w:rPr>
            </w:pPr>
            <w:r w:rsidRPr="0021657F">
              <w:rPr>
                <w:color w:val="00B050"/>
              </w:rPr>
              <w:t>Age structure and/or diameter distribution</w:t>
            </w:r>
          </w:p>
        </w:tc>
        <w:tc>
          <w:tcPr>
            <w:tcW w:w="3334" w:type="dxa"/>
          </w:tcPr>
          <w:p w14:paraId="62657EB7" w14:textId="77777777" w:rsidR="00267A5A" w:rsidRPr="0021657F" w:rsidRDefault="00267A5A" w:rsidP="0022057B">
            <w:pPr>
              <w:spacing w:line="240" w:lineRule="auto"/>
              <w:rPr>
                <w:color w:val="00B050"/>
              </w:rPr>
            </w:pPr>
            <w:r w:rsidRPr="0021657F">
              <w:rPr>
                <w:color w:val="00B050"/>
              </w:rPr>
              <w:t>Age structure and/or diameter distribution of forest and other wooded land, classified by availability for wood supply</w:t>
            </w:r>
          </w:p>
        </w:tc>
      </w:tr>
      <w:tr w:rsidR="00267A5A" w14:paraId="0874E339" w14:textId="77777777" w:rsidTr="0022057B">
        <w:tc>
          <w:tcPr>
            <w:tcW w:w="2139" w:type="dxa"/>
            <w:vMerge/>
          </w:tcPr>
          <w:p w14:paraId="25DFCB6F" w14:textId="77777777" w:rsidR="00267A5A" w:rsidRDefault="00267A5A" w:rsidP="0022057B">
            <w:pPr>
              <w:spacing w:line="240" w:lineRule="auto"/>
            </w:pPr>
          </w:p>
        </w:tc>
        <w:tc>
          <w:tcPr>
            <w:tcW w:w="886" w:type="dxa"/>
          </w:tcPr>
          <w:p w14:paraId="158C3B17" w14:textId="77777777" w:rsidR="00267A5A" w:rsidRPr="0021657F" w:rsidRDefault="00267A5A" w:rsidP="0022057B">
            <w:pPr>
              <w:spacing w:line="240" w:lineRule="auto"/>
              <w:rPr>
                <w:color w:val="00B050"/>
              </w:rPr>
            </w:pPr>
            <w:r w:rsidRPr="0021657F">
              <w:rPr>
                <w:color w:val="00B050"/>
              </w:rPr>
              <w:t>1.4</w:t>
            </w:r>
          </w:p>
        </w:tc>
        <w:tc>
          <w:tcPr>
            <w:tcW w:w="2136" w:type="dxa"/>
          </w:tcPr>
          <w:p w14:paraId="3FC3AC0F" w14:textId="77777777" w:rsidR="00267A5A" w:rsidRPr="0021657F" w:rsidRDefault="00267A5A" w:rsidP="0022057B">
            <w:pPr>
              <w:spacing w:line="240" w:lineRule="auto"/>
              <w:rPr>
                <w:color w:val="00B050"/>
              </w:rPr>
            </w:pPr>
            <w:r w:rsidRPr="0021657F">
              <w:rPr>
                <w:color w:val="00B050"/>
              </w:rPr>
              <w:t>Forest carbon</w:t>
            </w:r>
          </w:p>
        </w:tc>
        <w:tc>
          <w:tcPr>
            <w:tcW w:w="3334" w:type="dxa"/>
          </w:tcPr>
          <w:p w14:paraId="50AC98F6" w14:textId="77777777" w:rsidR="00267A5A" w:rsidRPr="0021657F" w:rsidRDefault="00267A5A" w:rsidP="0022057B">
            <w:pPr>
              <w:spacing w:line="240" w:lineRule="auto"/>
              <w:rPr>
                <w:color w:val="00B050"/>
              </w:rPr>
            </w:pPr>
            <w:r w:rsidRPr="0021657F">
              <w:rPr>
                <w:color w:val="00B050"/>
              </w:rPr>
              <w:t>Carbon stock and carbon stock changes in forest biomass, forest soils and in harvested wood products</w:t>
            </w:r>
          </w:p>
        </w:tc>
      </w:tr>
      <w:tr w:rsidR="00267A5A" w14:paraId="68A350ED" w14:textId="77777777" w:rsidTr="0022057B">
        <w:tc>
          <w:tcPr>
            <w:tcW w:w="2139" w:type="dxa"/>
            <w:vMerge w:val="restart"/>
          </w:tcPr>
          <w:p w14:paraId="073DAA9F" w14:textId="77777777" w:rsidR="00267A5A" w:rsidRDefault="00267A5A" w:rsidP="0022057B">
            <w:pPr>
              <w:spacing w:line="240" w:lineRule="auto"/>
            </w:pPr>
            <w:r w:rsidRPr="00A42970">
              <w:t>Criterion 2: Maintenance of Forest Ecosystem Health and Vitality</w:t>
            </w:r>
          </w:p>
        </w:tc>
        <w:tc>
          <w:tcPr>
            <w:tcW w:w="886" w:type="dxa"/>
          </w:tcPr>
          <w:p w14:paraId="63C74FFB" w14:textId="77777777" w:rsidR="00267A5A" w:rsidRPr="0021657F" w:rsidRDefault="00267A5A" w:rsidP="0022057B">
            <w:pPr>
              <w:spacing w:line="240" w:lineRule="auto"/>
              <w:rPr>
                <w:color w:val="31479E" w:themeColor="accent1" w:themeShade="BF"/>
              </w:rPr>
            </w:pPr>
            <w:r w:rsidRPr="0021657F">
              <w:rPr>
                <w:color w:val="31479E" w:themeColor="accent1" w:themeShade="BF"/>
              </w:rPr>
              <w:t>C.2</w:t>
            </w:r>
          </w:p>
        </w:tc>
        <w:tc>
          <w:tcPr>
            <w:tcW w:w="5470" w:type="dxa"/>
            <w:gridSpan w:val="2"/>
          </w:tcPr>
          <w:p w14:paraId="70542F31" w14:textId="77777777" w:rsidR="00267A5A" w:rsidRPr="0021657F" w:rsidRDefault="00267A5A" w:rsidP="0022057B">
            <w:pPr>
              <w:spacing w:line="240" w:lineRule="auto"/>
              <w:rPr>
                <w:color w:val="31479E" w:themeColor="accent1" w:themeShade="BF"/>
              </w:rPr>
            </w:pPr>
            <w:r w:rsidRPr="0021657F">
              <w:rPr>
                <w:color w:val="31479E" w:themeColor="accent1" w:themeShade="BF"/>
              </w:rPr>
              <w:t>Criterion 2: Maintenance of Forest Ecosystem Health and Vitality</w:t>
            </w:r>
          </w:p>
        </w:tc>
      </w:tr>
      <w:tr w:rsidR="00267A5A" w14:paraId="5686A4DB" w14:textId="77777777" w:rsidTr="0022057B">
        <w:tc>
          <w:tcPr>
            <w:tcW w:w="2139" w:type="dxa"/>
            <w:vMerge/>
          </w:tcPr>
          <w:p w14:paraId="5C64841D" w14:textId="77777777" w:rsidR="00267A5A" w:rsidRDefault="00267A5A" w:rsidP="0022057B">
            <w:pPr>
              <w:spacing w:line="240" w:lineRule="auto"/>
            </w:pPr>
          </w:p>
        </w:tc>
        <w:tc>
          <w:tcPr>
            <w:tcW w:w="886" w:type="dxa"/>
          </w:tcPr>
          <w:p w14:paraId="172D3B95" w14:textId="77777777" w:rsidR="00267A5A" w:rsidRPr="0021657F" w:rsidRDefault="00267A5A" w:rsidP="0022057B">
            <w:pPr>
              <w:spacing w:line="240" w:lineRule="auto"/>
              <w:rPr>
                <w:color w:val="00B050"/>
              </w:rPr>
            </w:pPr>
            <w:r w:rsidRPr="0021657F">
              <w:rPr>
                <w:color w:val="00B050"/>
              </w:rPr>
              <w:t>2.1</w:t>
            </w:r>
          </w:p>
        </w:tc>
        <w:tc>
          <w:tcPr>
            <w:tcW w:w="2136" w:type="dxa"/>
          </w:tcPr>
          <w:p w14:paraId="3D537DF3" w14:textId="77777777" w:rsidR="00267A5A" w:rsidRPr="0021657F" w:rsidRDefault="00267A5A" w:rsidP="0022057B">
            <w:pPr>
              <w:spacing w:line="240" w:lineRule="auto"/>
              <w:rPr>
                <w:color w:val="00B050"/>
              </w:rPr>
            </w:pPr>
            <w:r w:rsidRPr="0021657F">
              <w:rPr>
                <w:color w:val="00B050"/>
              </w:rPr>
              <w:t>Deposition and concentration of air pollutants</w:t>
            </w:r>
          </w:p>
        </w:tc>
        <w:tc>
          <w:tcPr>
            <w:tcW w:w="3334" w:type="dxa"/>
          </w:tcPr>
          <w:p w14:paraId="47139D4E" w14:textId="77777777" w:rsidR="00267A5A" w:rsidRPr="0021657F" w:rsidRDefault="00267A5A" w:rsidP="0022057B">
            <w:pPr>
              <w:spacing w:line="240" w:lineRule="auto"/>
              <w:rPr>
                <w:color w:val="00B050"/>
              </w:rPr>
            </w:pPr>
            <w:r w:rsidRPr="0021657F">
              <w:rPr>
                <w:color w:val="00B050"/>
              </w:rPr>
              <w:t>Deposition and concentration of air pollutants on forest and other wooded land</w:t>
            </w:r>
          </w:p>
        </w:tc>
      </w:tr>
      <w:tr w:rsidR="00267A5A" w14:paraId="7FE2EF95" w14:textId="77777777" w:rsidTr="0022057B">
        <w:tc>
          <w:tcPr>
            <w:tcW w:w="2139" w:type="dxa"/>
            <w:vMerge/>
          </w:tcPr>
          <w:p w14:paraId="066F5881" w14:textId="77777777" w:rsidR="00267A5A" w:rsidRDefault="00267A5A" w:rsidP="0022057B">
            <w:pPr>
              <w:spacing w:line="240" w:lineRule="auto"/>
            </w:pPr>
          </w:p>
        </w:tc>
        <w:tc>
          <w:tcPr>
            <w:tcW w:w="886" w:type="dxa"/>
          </w:tcPr>
          <w:p w14:paraId="78A2F266" w14:textId="77777777" w:rsidR="00267A5A" w:rsidRPr="0021657F" w:rsidRDefault="00267A5A" w:rsidP="0022057B">
            <w:pPr>
              <w:spacing w:line="240" w:lineRule="auto"/>
              <w:rPr>
                <w:color w:val="00B050"/>
              </w:rPr>
            </w:pPr>
            <w:r w:rsidRPr="0021657F">
              <w:rPr>
                <w:color w:val="00B050"/>
              </w:rPr>
              <w:t>2.2</w:t>
            </w:r>
          </w:p>
        </w:tc>
        <w:tc>
          <w:tcPr>
            <w:tcW w:w="2136" w:type="dxa"/>
          </w:tcPr>
          <w:p w14:paraId="1E3A3356" w14:textId="77777777" w:rsidR="00267A5A" w:rsidRPr="0021657F" w:rsidRDefault="00267A5A" w:rsidP="0022057B">
            <w:pPr>
              <w:spacing w:line="240" w:lineRule="auto"/>
              <w:rPr>
                <w:color w:val="00B050"/>
              </w:rPr>
            </w:pPr>
            <w:r w:rsidRPr="0021657F">
              <w:rPr>
                <w:color w:val="00B050"/>
              </w:rPr>
              <w:t>Soil condition</w:t>
            </w:r>
          </w:p>
        </w:tc>
        <w:tc>
          <w:tcPr>
            <w:tcW w:w="3334" w:type="dxa"/>
          </w:tcPr>
          <w:p w14:paraId="39D01C85" w14:textId="77777777" w:rsidR="00267A5A" w:rsidRPr="0021657F" w:rsidRDefault="00267A5A" w:rsidP="0022057B">
            <w:pPr>
              <w:spacing w:line="240" w:lineRule="auto"/>
              <w:rPr>
                <w:color w:val="00B050"/>
              </w:rPr>
            </w:pPr>
            <w:r w:rsidRPr="0021657F">
              <w:rPr>
                <w:color w:val="00B050"/>
              </w:rPr>
              <w:t>Chemical soil properties (pH, CEC, C/N, organic C, base saturation) on forest and other wooded land related to soil acidity and eutrophication, classified by main soil types</w:t>
            </w:r>
          </w:p>
        </w:tc>
      </w:tr>
      <w:tr w:rsidR="00267A5A" w14:paraId="4BE3BD05" w14:textId="77777777" w:rsidTr="0022057B">
        <w:tc>
          <w:tcPr>
            <w:tcW w:w="2139" w:type="dxa"/>
            <w:vMerge/>
          </w:tcPr>
          <w:p w14:paraId="400E1C18" w14:textId="77777777" w:rsidR="00267A5A" w:rsidRDefault="00267A5A" w:rsidP="0022057B">
            <w:pPr>
              <w:spacing w:line="240" w:lineRule="auto"/>
            </w:pPr>
          </w:p>
        </w:tc>
        <w:tc>
          <w:tcPr>
            <w:tcW w:w="886" w:type="dxa"/>
          </w:tcPr>
          <w:p w14:paraId="78588D05" w14:textId="77777777" w:rsidR="00267A5A" w:rsidRPr="0021657F" w:rsidRDefault="00267A5A" w:rsidP="0022057B">
            <w:pPr>
              <w:spacing w:line="240" w:lineRule="auto"/>
              <w:rPr>
                <w:color w:val="00B050"/>
              </w:rPr>
            </w:pPr>
            <w:r w:rsidRPr="0021657F">
              <w:rPr>
                <w:color w:val="00B050"/>
              </w:rPr>
              <w:t>2.3</w:t>
            </w:r>
          </w:p>
        </w:tc>
        <w:tc>
          <w:tcPr>
            <w:tcW w:w="2136" w:type="dxa"/>
          </w:tcPr>
          <w:p w14:paraId="782703E1" w14:textId="77777777" w:rsidR="00267A5A" w:rsidRPr="0021657F" w:rsidRDefault="00267A5A" w:rsidP="0022057B">
            <w:pPr>
              <w:spacing w:line="240" w:lineRule="auto"/>
              <w:rPr>
                <w:color w:val="00B050"/>
              </w:rPr>
            </w:pPr>
            <w:r w:rsidRPr="0021657F">
              <w:rPr>
                <w:color w:val="00B050"/>
              </w:rPr>
              <w:t>Defoliation</w:t>
            </w:r>
          </w:p>
        </w:tc>
        <w:tc>
          <w:tcPr>
            <w:tcW w:w="3334" w:type="dxa"/>
          </w:tcPr>
          <w:p w14:paraId="0BCCD3BD" w14:textId="77777777" w:rsidR="00267A5A" w:rsidRPr="0021657F" w:rsidRDefault="00267A5A" w:rsidP="0022057B">
            <w:pPr>
              <w:spacing w:line="240" w:lineRule="auto"/>
              <w:rPr>
                <w:color w:val="00B050"/>
              </w:rPr>
            </w:pPr>
            <w:r w:rsidRPr="0021657F">
              <w:rPr>
                <w:color w:val="00B050"/>
              </w:rPr>
              <w:t>Defoliation of one or more main tree species on forest and other wooded land in each of the defoliation classes</w:t>
            </w:r>
          </w:p>
        </w:tc>
      </w:tr>
      <w:tr w:rsidR="00267A5A" w14:paraId="4608C477" w14:textId="77777777" w:rsidTr="0022057B">
        <w:tc>
          <w:tcPr>
            <w:tcW w:w="2139" w:type="dxa"/>
            <w:vMerge/>
          </w:tcPr>
          <w:p w14:paraId="7AD74DF7" w14:textId="77777777" w:rsidR="00267A5A" w:rsidRDefault="00267A5A" w:rsidP="0022057B">
            <w:pPr>
              <w:spacing w:line="240" w:lineRule="auto"/>
            </w:pPr>
          </w:p>
        </w:tc>
        <w:tc>
          <w:tcPr>
            <w:tcW w:w="886" w:type="dxa"/>
          </w:tcPr>
          <w:p w14:paraId="30D7052D" w14:textId="77777777" w:rsidR="00267A5A" w:rsidRPr="0021657F" w:rsidRDefault="00267A5A" w:rsidP="0022057B">
            <w:pPr>
              <w:spacing w:line="240" w:lineRule="auto"/>
              <w:rPr>
                <w:color w:val="00B050"/>
              </w:rPr>
            </w:pPr>
            <w:r w:rsidRPr="0021657F">
              <w:rPr>
                <w:color w:val="00B050"/>
              </w:rPr>
              <w:t>2.4</w:t>
            </w:r>
          </w:p>
        </w:tc>
        <w:tc>
          <w:tcPr>
            <w:tcW w:w="2136" w:type="dxa"/>
          </w:tcPr>
          <w:p w14:paraId="43EE6058" w14:textId="77777777" w:rsidR="00267A5A" w:rsidRPr="0021657F" w:rsidRDefault="00267A5A" w:rsidP="0022057B">
            <w:pPr>
              <w:spacing w:line="240" w:lineRule="auto"/>
              <w:rPr>
                <w:color w:val="00B050"/>
              </w:rPr>
            </w:pPr>
            <w:r w:rsidRPr="0021657F">
              <w:rPr>
                <w:color w:val="00B050"/>
              </w:rPr>
              <w:t>Forest damage</w:t>
            </w:r>
          </w:p>
        </w:tc>
        <w:tc>
          <w:tcPr>
            <w:tcW w:w="3334" w:type="dxa"/>
          </w:tcPr>
          <w:p w14:paraId="2AF2F75F" w14:textId="77777777" w:rsidR="00267A5A" w:rsidRPr="0021657F" w:rsidRDefault="00267A5A" w:rsidP="0022057B">
            <w:pPr>
              <w:spacing w:line="240" w:lineRule="auto"/>
              <w:rPr>
                <w:color w:val="00B050"/>
              </w:rPr>
            </w:pPr>
            <w:r w:rsidRPr="0021657F">
              <w:rPr>
                <w:color w:val="00B050"/>
              </w:rPr>
              <w:t xml:space="preserve">Forest and other wooded land with damage, classified by primary damaging agent (abiotic, </w:t>
            </w:r>
            <w:proofErr w:type="gramStart"/>
            <w:r w:rsidRPr="0021657F">
              <w:rPr>
                <w:color w:val="00B050"/>
              </w:rPr>
              <w:t>biotic</w:t>
            </w:r>
            <w:proofErr w:type="gramEnd"/>
            <w:r w:rsidRPr="0021657F">
              <w:rPr>
                <w:color w:val="00B050"/>
              </w:rPr>
              <w:t xml:space="preserve"> and human induced)</w:t>
            </w:r>
          </w:p>
        </w:tc>
      </w:tr>
      <w:tr w:rsidR="00267A5A" w14:paraId="2DBAE96B" w14:textId="77777777" w:rsidTr="0022057B">
        <w:tc>
          <w:tcPr>
            <w:tcW w:w="2139" w:type="dxa"/>
            <w:vMerge/>
          </w:tcPr>
          <w:p w14:paraId="5965D19C" w14:textId="77777777" w:rsidR="00267A5A" w:rsidRDefault="00267A5A" w:rsidP="0022057B">
            <w:pPr>
              <w:spacing w:line="240" w:lineRule="auto"/>
            </w:pPr>
          </w:p>
        </w:tc>
        <w:tc>
          <w:tcPr>
            <w:tcW w:w="886" w:type="dxa"/>
          </w:tcPr>
          <w:p w14:paraId="32273958" w14:textId="77777777" w:rsidR="00267A5A" w:rsidRPr="0021657F" w:rsidRDefault="00267A5A" w:rsidP="0022057B">
            <w:pPr>
              <w:spacing w:line="240" w:lineRule="auto"/>
              <w:rPr>
                <w:color w:val="00B050"/>
              </w:rPr>
            </w:pPr>
            <w:r w:rsidRPr="0021657F">
              <w:rPr>
                <w:color w:val="00B050"/>
              </w:rPr>
              <w:t>2.5</w:t>
            </w:r>
          </w:p>
        </w:tc>
        <w:tc>
          <w:tcPr>
            <w:tcW w:w="2136" w:type="dxa"/>
          </w:tcPr>
          <w:p w14:paraId="25CFBF7C" w14:textId="77777777" w:rsidR="00267A5A" w:rsidRPr="0021657F" w:rsidRDefault="00267A5A" w:rsidP="0022057B">
            <w:pPr>
              <w:spacing w:line="240" w:lineRule="auto"/>
              <w:rPr>
                <w:color w:val="00B050"/>
              </w:rPr>
            </w:pPr>
            <w:r w:rsidRPr="0021657F">
              <w:rPr>
                <w:color w:val="00B050"/>
              </w:rPr>
              <w:t>Forest land degradation</w:t>
            </w:r>
            <w:r w:rsidRPr="0021657F">
              <w:rPr>
                <w:rStyle w:val="FootnoteReference"/>
                <w:color w:val="00B050"/>
              </w:rPr>
              <w:footnoteReference w:id="4"/>
            </w:r>
          </w:p>
        </w:tc>
        <w:tc>
          <w:tcPr>
            <w:tcW w:w="3334" w:type="dxa"/>
          </w:tcPr>
          <w:p w14:paraId="2DF1BBB5" w14:textId="77777777" w:rsidR="00267A5A" w:rsidRPr="0021657F" w:rsidRDefault="00267A5A" w:rsidP="0022057B">
            <w:pPr>
              <w:spacing w:line="240" w:lineRule="auto"/>
              <w:rPr>
                <w:color w:val="00B050"/>
              </w:rPr>
            </w:pPr>
            <w:r w:rsidRPr="0021657F">
              <w:rPr>
                <w:color w:val="00B050"/>
              </w:rPr>
              <w:t>Trends in forest land degradation</w:t>
            </w:r>
          </w:p>
        </w:tc>
      </w:tr>
      <w:tr w:rsidR="00267A5A" w14:paraId="116A9BEE" w14:textId="77777777" w:rsidTr="0022057B">
        <w:tc>
          <w:tcPr>
            <w:tcW w:w="2139" w:type="dxa"/>
            <w:vMerge w:val="restart"/>
          </w:tcPr>
          <w:p w14:paraId="76997F77" w14:textId="77777777" w:rsidR="00267A5A" w:rsidRDefault="00267A5A" w:rsidP="0022057B">
            <w:pPr>
              <w:spacing w:line="240" w:lineRule="auto"/>
            </w:pPr>
            <w:r w:rsidRPr="000923DD">
              <w:t>Criterion 3: Maintenance and Encouragement of Productive Functions of Forests (Wood and Non-Wood)</w:t>
            </w:r>
          </w:p>
        </w:tc>
        <w:tc>
          <w:tcPr>
            <w:tcW w:w="886" w:type="dxa"/>
          </w:tcPr>
          <w:p w14:paraId="79BBF103" w14:textId="77777777" w:rsidR="00267A5A" w:rsidRPr="0021657F" w:rsidRDefault="00267A5A" w:rsidP="0022057B">
            <w:pPr>
              <w:spacing w:line="240" w:lineRule="auto"/>
              <w:rPr>
                <w:color w:val="31479E" w:themeColor="accent1" w:themeShade="BF"/>
              </w:rPr>
            </w:pPr>
            <w:r w:rsidRPr="0021657F">
              <w:rPr>
                <w:color w:val="31479E" w:themeColor="accent1" w:themeShade="BF"/>
              </w:rPr>
              <w:t>C.3</w:t>
            </w:r>
          </w:p>
        </w:tc>
        <w:tc>
          <w:tcPr>
            <w:tcW w:w="5470" w:type="dxa"/>
            <w:gridSpan w:val="2"/>
          </w:tcPr>
          <w:p w14:paraId="3A19F8CD" w14:textId="77777777" w:rsidR="00267A5A" w:rsidRPr="0021657F" w:rsidRDefault="00267A5A" w:rsidP="0022057B">
            <w:pPr>
              <w:spacing w:line="240" w:lineRule="auto"/>
              <w:rPr>
                <w:color w:val="31479E" w:themeColor="accent1" w:themeShade="BF"/>
              </w:rPr>
            </w:pPr>
            <w:r w:rsidRPr="0021657F">
              <w:rPr>
                <w:color w:val="31479E" w:themeColor="accent1" w:themeShade="BF"/>
              </w:rPr>
              <w:t xml:space="preserve">Policies, </w:t>
            </w:r>
            <w:proofErr w:type="gramStart"/>
            <w:r w:rsidRPr="0021657F">
              <w:rPr>
                <w:color w:val="31479E" w:themeColor="accent1" w:themeShade="BF"/>
              </w:rPr>
              <w:t>institutions</w:t>
            </w:r>
            <w:proofErr w:type="gramEnd"/>
            <w:r w:rsidRPr="0021657F">
              <w:rPr>
                <w:color w:val="31479E" w:themeColor="accent1" w:themeShade="BF"/>
              </w:rPr>
              <w:t xml:space="preserve"> and instruments to maintain and encourage the productive functions of forests</w:t>
            </w:r>
          </w:p>
        </w:tc>
      </w:tr>
      <w:tr w:rsidR="00267A5A" w14:paraId="17DC3309" w14:textId="77777777" w:rsidTr="0022057B">
        <w:tc>
          <w:tcPr>
            <w:tcW w:w="2139" w:type="dxa"/>
            <w:vMerge/>
          </w:tcPr>
          <w:p w14:paraId="41ECA991" w14:textId="77777777" w:rsidR="00267A5A" w:rsidRDefault="00267A5A" w:rsidP="0022057B">
            <w:pPr>
              <w:spacing w:line="240" w:lineRule="auto"/>
            </w:pPr>
          </w:p>
        </w:tc>
        <w:tc>
          <w:tcPr>
            <w:tcW w:w="886" w:type="dxa"/>
          </w:tcPr>
          <w:p w14:paraId="2F31EAAE" w14:textId="77777777" w:rsidR="00267A5A" w:rsidRPr="0021657F" w:rsidRDefault="00267A5A" w:rsidP="0022057B">
            <w:pPr>
              <w:spacing w:line="240" w:lineRule="auto"/>
              <w:rPr>
                <w:color w:val="00B050"/>
              </w:rPr>
            </w:pPr>
            <w:r w:rsidRPr="0021657F">
              <w:rPr>
                <w:color w:val="00B050"/>
              </w:rPr>
              <w:t>3.1</w:t>
            </w:r>
          </w:p>
        </w:tc>
        <w:tc>
          <w:tcPr>
            <w:tcW w:w="2136" w:type="dxa"/>
          </w:tcPr>
          <w:p w14:paraId="2904E83C" w14:textId="77777777" w:rsidR="00267A5A" w:rsidRPr="0021657F" w:rsidRDefault="00267A5A" w:rsidP="0022057B">
            <w:pPr>
              <w:spacing w:line="240" w:lineRule="auto"/>
              <w:rPr>
                <w:color w:val="00B050"/>
              </w:rPr>
            </w:pPr>
            <w:r w:rsidRPr="0021657F">
              <w:rPr>
                <w:color w:val="00B050"/>
              </w:rPr>
              <w:t xml:space="preserve">Increment and </w:t>
            </w:r>
            <w:proofErr w:type="spellStart"/>
            <w:r w:rsidRPr="0021657F">
              <w:rPr>
                <w:color w:val="00B050"/>
              </w:rPr>
              <w:t>fellings</w:t>
            </w:r>
            <w:proofErr w:type="spellEnd"/>
          </w:p>
        </w:tc>
        <w:tc>
          <w:tcPr>
            <w:tcW w:w="3334" w:type="dxa"/>
          </w:tcPr>
          <w:p w14:paraId="3C4E032A" w14:textId="77777777" w:rsidR="00267A5A" w:rsidRPr="0021657F" w:rsidRDefault="00267A5A" w:rsidP="0022057B">
            <w:pPr>
              <w:spacing w:line="240" w:lineRule="auto"/>
              <w:rPr>
                <w:color w:val="00B050"/>
              </w:rPr>
            </w:pPr>
            <w:r w:rsidRPr="0021657F">
              <w:rPr>
                <w:color w:val="00B050"/>
              </w:rPr>
              <w:t xml:space="preserve">Balance between net annual increment and annual </w:t>
            </w:r>
            <w:proofErr w:type="spellStart"/>
            <w:r w:rsidRPr="0021657F">
              <w:rPr>
                <w:color w:val="00B050"/>
              </w:rPr>
              <w:t>fellings</w:t>
            </w:r>
            <w:proofErr w:type="spellEnd"/>
            <w:r w:rsidRPr="0021657F">
              <w:rPr>
                <w:color w:val="00B050"/>
              </w:rPr>
              <w:t xml:space="preserve"> of wood on forest available for wood supply</w:t>
            </w:r>
          </w:p>
        </w:tc>
      </w:tr>
      <w:tr w:rsidR="00267A5A" w14:paraId="2A0A5479" w14:textId="77777777" w:rsidTr="0022057B">
        <w:tc>
          <w:tcPr>
            <w:tcW w:w="2139" w:type="dxa"/>
            <w:vMerge/>
          </w:tcPr>
          <w:p w14:paraId="759E8C66" w14:textId="77777777" w:rsidR="00267A5A" w:rsidRDefault="00267A5A" w:rsidP="0022057B">
            <w:pPr>
              <w:spacing w:line="240" w:lineRule="auto"/>
            </w:pPr>
          </w:p>
        </w:tc>
        <w:tc>
          <w:tcPr>
            <w:tcW w:w="886" w:type="dxa"/>
          </w:tcPr>
          <w:p w14:paraId="5E7D24BB" w14:textId="77777777" w:rsidR="00267A5A" w:rsidRPr="0021657F" w:rsidRDefault="00267A5A" w:rsidP="0022057B">
            <w:pPr>
              <w:spacing w:line="240" w:lineRule="auto"/>
              <w:rPr>
                <w:color w:val="00B050"/>
              </w:rPr>
            </w:pPr>
            <w:r w:rsidRPr="0021657F">
              <w:rPr>
                <w:color w:val="00B050"/>
              </w:rPr>
              <w:t>3.2</w:t>
            </w:r>
          </w:p>
        </w:tc>
        <w:tc>
          <w:tcPr>
            <w:tcW w:w="2136" w:type="dxa"/>
          </w:tcPr>
          <w:p w14:paraId="01F7078F" w14:textId="77777777" w:rsidR="00267A5A" w:rsidRPr="0021657F" w:rsidRDefault="00267A5A" w:rsidP="0022057B">
            <w:pPr>
              <w:spacing w:line="240" w:lineRule="auto"/>
              <w:rPr>
                <w:color w:val="00B050"/>
              </w:rPr>
            </w:pPr>
            <w:r w:rsidRPr="0021657F">
              <w:rPr>
                <w:color w:val="00B050"/>
              </w:rPr>
              <w:t>Roundwood</w:t>
            </w:r>
          </w:p>
        </w:tc>
        <w:tc>
          <w:tcPr>
            <w:tcW w:w="3334" w:type="dxa"/>
          </w:tcPr>
          <w:p w14:paraId="7CE9A275" w14:textId="77777777" w:rsidR="00267A5A" w:rsidRPr="0021657F" w:rsidRDefault="00267A5A" w:rsidP="0022057B">
            <w:pPr>
              <w:spacing w:line="240" w:lineRule="auto"/>
              <w:rPr>
                <w:color w:val="00B050"/>
              </w:rPr>
            </w:pPr>
            <w:r w:rsidRPr="0021657F">
              <w:rPr>
                <w:color w:val="00B050"/>
              </w:rPr>
              <w:t>Quantity and market value of roundwood</w:t>
            </w:r>
          </w:p>
        </w:tc>
      </w:tr>
      <w:tr w:rsidR="00267A5A" w14:paraId="2C78E0A1" w14:textId="77777777" w:rsidTr="0022057B">
        <w:tc>
          <w:tcPr>
            <w:tcW w:w="2139" w:type="dxa"/>
            <w:vMerge/>
          </w:tcPr>
          <w:p w14:paraId="69577B00" w14:textId="77777777" w:rsidR="00267A5A" w:rsidRDefault="00267A5A" w:rsidP="0022057B">
            <w:pPr>
              <w:spacing w:line="240" w:lineRule="auto"/>
            </w:pPr>
          </w:p>
        </w:tc>
        <w:tc>
          <w:tcPr>
            <w:tcW w:w="886" w:type="dxa"/>
          </w:tcPr>
          <w:p w14:paraId="5C168F0F" w14:textId="77777777" w:rsidR="00267A5A" w:rsidRPr="0021657F" w:rsidRDefault="00267A5A" w:rsidP="0022057B">
            <w:pPr>
              <w:spacing w:line="240" w:lineRule="auto"/>
              <w:rPr>
                <w:color w:val="00B050"/>
              </w:rPr>
            </w:pPr>
            <w:r w:rsidRPr="0021657F">
              <w:rPr>
                <w:color w:val="00B050"/>
              </w:rPr>
              <w:t>3.3</w:t>
            </w:r>
          </w:p>
        </w:tc>
        <w:tc>
          <w:tcPr>
            <w:tcW w:w="2136" w:type="dxa"/>
          </w:tcPr>
          <w:p w14:paraId="687B070B" w14:textId="77777777" w:rsidR="00267A5A" w:rsidRPr="0021657F" w:rsidRDefault="00267A5A" w:rsidP="0022057B">
            <w:pPr>
              <w:spacing w:line="240" w:lineRule="auto"/>
              <w:rPr>
                <w:color w:val="00B050"/>
              </w:rPr>
            </w:pPr>
            <w:r w:rsidRPr="0021657F">
              <w:rPr>
                <w:color w:val="00B050"/>
              </w:rPr>
              <w:t>Non-wood goods</w:t>
            </w:r>
          </w:p>
        </w:tc>
        <w:tc>
          <w:tcPr>
            <w:tcW w:w="3334" w:type="dxa"/>
          </w:tcPr>
          <w:p w14:paraId="52CA0D9B" w14:textId="77777777" w:rsidR="00267A5A" w:rsidRPr="0021657F" w:rsidRDefault="00267A5A" w:rsidP="0022057B">
            <w:pPr>
              <w:spacing w:line="240" w:lineRule="auto"/>
              <w:rPr>
                <w:color w:val="00B050"/>
              </w:rPr>
            </w:pPr>
            <w:r w:rsidRPr="0021657F">
              <w:rPr>
                <w:color w:val="00B050"/>
              </w:rPr>
              <w:t>Quantity and market value of non-wood goods from forest and other wooded land</w:t>
            </w:r>
          </w:p>
        </w:tc>
      </w:tr>
      <w:tr w:rsidR="00267A5A" w14:paraId="5D89BCDC" w14:textId="77777777" w:rsidTr="0022057B">
        <w:tc>
          <w:tcPr>
            <w:tcW w:w="2139" w:type="dxa"/>
            <w:vMerge/>
          </w:tcPr>
          <w:p w14:paraId="344E5ADA" w14:textId="77777777" w:rsidR="00267A5A" w:rsidRDefault="00267A5A" w:rsidP="0022057B">
            <w:pPr>
              <w:spacing w:line="240" w:lineRule="auto"/>
            </w:pPr>
          </w:p>
        </w:tc>
        <w:tc>
          <w:tcPr>
            <w:tcW w:w="886" w:type="dxa"/>
          </w:tcPr>
          <w:p w14:paraId="3D003948" w14:textId="77777777" w:rsidR="00267A5A" w:rsidRPr="0021657F" w:rsidRDefault="00267A5A" w:rsidP="0022057B">
            <w:pPr>
              <w:spacing w:line="240" w:lineRule="auto"/>
              <w:rPr>
                <w:color w:val="00B050"/>
              </w:rPr>
            </w:pPr>
            <w:r w:rsidRPr="0021657F">
              <w:rPr>
                <w:color w:val="00B050"/>
              </w:rPr>
              <w:t>3.4</w:t>
            </w:r>
          </w:p>
        </w:tc>
        <w:tc>
          <w:tcPr>
            <w:tcW w:w="2136" w:type="dxa"/>
          </w:tcPr>
          <w:p w14:paraId="4CA26210" w14:textId="77777777" w:rsidR="00267A5A" w:rsidRPr="0021657F" w:rsidRDefault="00267A5A" w:rsidP="0022057B">
            <w:pPr>
              <w:spacing w:line="240" w:lineRule="auto"/>
              <w:rPr>
                <w:color w:val="00B050"/>
              </w:rPr>
            </w:pPr>
            <w:r w:rsidRPr="0021657F">
              <w:rPr>
                <w:color w:val="00B050"/>
              </w:rPr>
              <w:t>Services</w:t>
            </w:r>
          </w:p>
        </w:tc>
        <w:tc>
          <w:tcPr>
            <w:tcW w:w="3334" w:type="dxa"/>
          </w:tcPr>
          <w:p w14:paraId="0C98D0AA" w14:textId="77777777" w:rsidR="00267A5A" w:rsidRPr="0021657F" w:rsidRDefault="00267A5A" w:rsidP="0022057B">
            <w:pPr>
              <w:spacing w:line="240" w:lineRule="auto"/>
              <w:rPr>
                <w:color w:val="00B050"/>
              </w:rPr>
            </w:pPr>
            <w:r w:rsidRPr="0021657F">
              <w:rPr>
                <w:color w:val="00B050"/>
              </w:rPr>
              <w:t>Value of marketed services on forest and other wooded land</w:t>
            </w:r>
          </w:p>
        </w:tc>
      </w:tr>
      <w:tr w:rsidR="00267A5A" w14:paraId="2D46BBD7" w14:textId="77777777" w:rsidTr="0022057B">
        <w:tc>
          <w:tcPr>
            <w:tcW w:w="2139" w:type="dxa"/>
            <w:vMerge w:val="restart"/>
          </w:tcPr>
          <w:p w14:paraId="081F191E" w14:textId="77777777" w:rsidR="00267A5A" w:rsidRDefault="00267A5A" w:rsidP="0022057B">
            <w:pPr>
              <w:spacing w:line="240" w:lineRule="auto"/>
            </w:pPr>
            <w:r w:rsidRPr="00E90306">
              <w:lastRenderedPageBreak/>
              <w:t>Criterion 4: Maintenance, Conservation and Appropriate Enhancement of Biological Diversity in Forest Ecosystems</w:t>
            </w:r>
          </w:p>
        </w:tc>
        <w:tc>
          <w:tcPr>
            <w:tcW w:w="886" w:type="dxa"/>
          </w:tcPr>
          <w:p w14:paraId="2C135B88" w14:textId="77777777" w:rsidR="00267A5A" w:rsidRPr="0021657F" w:rsidRDefault="00267A5A" w:rsidP="0022057B">
            <w:pPr>
              <w:spacing w:line="240" w:lineRule="auto"/>
              <w:rPr>
                <w:color w:val="31479E" w:themeColor="accent1" w:themeShade="BF"/>
              </w:rPr>
            </w:pPr>
            <w:r w:rsidRPr="0021657F">
              <w:rPr>
                <w:color w:val="31479E" w:themeColor="accent1" w:themeShade="BF"/>
              </w:rPr>
              <w:t>C.4</w:t>
            </w:r>
          </w:p>
        </w:tc>
        <w:tc>
          <w:tcPr>
            <w:tcW w:w="5470" w:type="dxa"/>
            <w:gridSpan w:val="2"/>
          </w:tcPr>
          <w:p w14:paraId="7DAB3CC1" w14:textId="77777777" w:rsidR="00267A5A" w:rsidRPr="0021657F" w:rsidRDefault="00267A5A" w:rsidP="0022057B">
            <w:pPr>
              <w:spacing w:line="240" w:lineRule="auto"/>
              <w:rPr>
                <w:color w:val="31479E" w:themeColor="accent1" w:themeShade="BF"/>
              </w:rPr>
            </w:pPr>
            <w:r w:rsidRPr="0021657F">
              <w:rPr>
                <w:color w:val="31479E" w:themeColor="accent1" w:themeShade="BF"/>
              </w:rPr>
              <w:t xml:space="preserve">Policies, </w:t>
            </w:r>
            <w:proofErr w:type="gramStart"/>
            <w:r w:rsidRPr="0021657F">
              <w:rPr>
                <w:color w:val="31479E" w:themeColor="accent1" w:themeShade="BF"/>
              </w:rPr>
              <w:t>institutions</w:t>
            </w:r>
            <w:proofErr w:type="gramEnd"/>
            <w:r w:rsidRPr="0021657F">
              <w:rPr>
                <w:color w:val="31479E" w:themeColor="accent1" w:themeShade="BF"/>
              </w:rPr>
              <w:t xml:space="preserve"> and instruments to maintain, conserve and appropriately enhance the biological diversity in forest ecosystems</w:t>
            </w:r>
          </w:p>
        </w:tc>
      </w:tr>
      <w:tr w:rsidR="00267A5A" w14:paraId="6748EB34" w14:textId="77777777" w:rsidTr="0022057B">
        <w:tc>
          <w:tcPr>
            <w:tcW w:w="2139" w:type="dxa"/>
            <w:vMerge/>
          </w:tcPr>
          <w:p w14:paraId="0DA0E72C" w14:textId="77777777" w:rsidR="00267A5A" w:rsidRDefault="00267A5A" w:rsidP="0022057B">
            <w:pPr>
              <w:spacing w:line="240" w:lineRule="auto"/>
            </w:pPr>
          </w:p>
        </w:tc>
        <w:tc>
          <w:tcPr>
            <w:tcW w:w="886" w:type="dxa"/>
          </w:tcPr>
          <w:p w14:paraId="70D14212" w14:textId="77777777" w:rsidR="00267A5A" w:rsidRPr="0021657F" w:rsidRDefault="00267A5A" w:rsidP="0022057B">
            <w:pPr>
              <w:spacing w:line="240" w:lineRule="auto"/>
              <w:rPr>
                <w:color w:val="00B050"/>
              </w:rPr>
            </w:pPr>
            <w:r w:rsidRPr="0021657F">
              <w:rPr>
                <w:color w:val="00B050"/>
              </w:rPr>
              <w:t>4.1</w:t>
            </w:r>
          </w:p>
        </w:tc>
        <w:tc>
          <w:tcPr>
            <w:tcW w:w="2136" w:type="dxa"/>
          </w:tcPr>
          <w:p w14:paraId="26E0AA7F" w14:textId="77777777" w:rsidR="00267A5A" w:rsidRPr="0021657F" w:rsidRDefault="00267A5A" w:rsidP="0022057B">
            <w:pPr>
              <w:spacing w:line="240" w:lineRule="auto"/>
              <w:rPr>
                <w:color w:val="00B050"/>
              </w:rPr>
            </w:pPr>
            <w:r w:rsidRPr="0021657F">
              <w:rPr>
                <w:color w:val="00B050"/>
              </w:rPr>
              <w:t>Diversity of tree species</w:t>
            </w:r>
          </w:p>
        </w:tc>
        <w:tc>
          <w:tcPr>
            <w:tcW w:w="3334" w:type="dxa"/>
          </w:tcPr>
          <w:p w14:paraId="13F98AA7" w14:textId="77777777" w:rsidR="00267A5A" w:rsidRPr="0021657F" w:rsidRDefault="00267A5A" w:rsidP="0022057B">
            <w:pPr>
              <w:spacing w:line="240" w:lineRule="auto"/>
              <w:rPr>
                <w:color w:val="00B050"/>
              </w:rPr>
            </w:pPr>
            <w:r w:rsidRPr="0021657F">
              <w:rPr>
                <w:color w:val="00B050"/>
              </w:rPr>
              <w:t>Area of forest and other wooded land, classified by number of tree species occurring</w:t>
            </w:r>
          </w:p>
        </w:tc>
      </w:tr>
      <w:tr w:rsidR="00267A5A" w14:paraId="38784B3C" w14:textId="77777777" w:rsidTr="0022057B">
        <w:tc>
          <w:tcPr>
            <w:tcW w:w="2139" w:type="dxa"/>
            <w:vMerge/>
          </w:tcPr>
          <w:p w14:paraId="73740F1E" w14:textId="77777777" w:rsidR="00267A5A" w:rsidRDefault="00267A5A" w:rsidP="0022057B">
            <w:pPr>
              <w:spacing w:line="240" w:lineRule="auto"/>
            </w:pPr>
          </w:p>
        </w:tc>
        <w:tc>
          <w:tcPr>
            <w:tcW w:w="886" w:type="dxa"/>
          </w:tcPr>
          <w:p w14:paraId="4674DAF3" w14:textId="77777777" w:rsidR="00267A5A" w:rsidRPr="0021657F" w:rsidRDefault="00267A5A" w:rsidP="0022057B">
            <w:pPr>
              <w:spacing w:line="240" w:lineRule="auto"/>
              <w:rPr>
                <w:color w:val="00B050"/>
              </w:rPr>
            </w:pPr>
            <w:r w:rsidRPr="0021657F">
              <w:rPr>
                <w:color w:val="00B050"/>
              </w:rPr>
              <w:t>4.2</w:t>
            </w:r>
          </w:p>
        </w:tc>
        <w:tc>
          <w:tcPr>
            <w:tcW w:w="2136" w:type="dxa"/>
          </w:tcPr>
          <w:p w14:paraId="0C00693B" w14:textId="77777777" w:rsidR="00267A5A" w:rsidRPr="0021657F" w:rsidRDefault="00267A5A" w:rsidP="0022057B">
            <w:pPr>
              <w:spacing w:line="240" w:lineRule="auto"/>
              <w:rPr>
                <w:color w:val="00B050"/>
              </w:rPr>
            </w:pPr>
            <w:r w:rsidRPr="0021657F">
              <w:rPr>
                <w:color w:val="00B050"/>
              </w:rPr>
              <w:t>Regeneration</w:t>
            </w:r>
          </w:p>
        </w:tc>
        <w:tc>
          <w:tcPr>
            <w:tcW w:w="3334" w:type="dxa"/>
          </w:tcPr>
          <w:p w14:paraId="06D1C4D1" w14:textId="77777777" w:rsidR="00267A5A" w:rsidRPr="0021657F" w:rsidRDefault="00267A5A" w:rsidP="0022057B">
            <w:pPr>
              <w:spacing w:line="240" w:lineRule="auto"/>
              <w:rPr>
                <w:color w:val="00B050"/>
              </w:rPr>
            </w:pPr>
            <w:r w:rsidRPr="0021657F">
              <w:rPr>
                <w:color w:val="00B050"/>
              </w:rPr>
              <w:t>Total forest area by stand origin and area of annual forest regeneration and expansion</w:t>
            </w:r>
          </w:p>
        </w:tc>
      </w:tr>
      <w:tr w:rsidR="00267A5A" w14:paraId="572B5AFC" w14:textId="77777777" w:rsidTr="0022057B">
        <w:tc>
          <w:tcPr>
            <w:tcW w:w="2139" w:type="dxa"/>
            <w:vMerge/>
          </w:tcPr>
          <w:p w14:paraId="79EB174F" w14:textId="77777777" w:rsidR="00267A5A" w:rsidRDefault="00267A5A" w:rsidP="0022057B">
            <w:pPr>
              <w:spacing w:line="240" w:lineRule="auto"/>
            </w:pPr>
          </w:p>
        </w:tc>
        <w:tc>
          <w:tcPr>
            <w:tcW w:w="886" w:type="dxa"/>
          </w:tcPr>
          <w:p w14:paraId="4AEA1BB9" w14:textId="77777777" w:rsidR="00267A5A" w:rsidRPr="0021657F" w:rsidRDefault="00267A5A" w:rsidP="0022057B">
            <w:pPr>
              <w:spacing w:line="240" w:lineRule="auto"/>
              <w:rPr>
                <w:color w:val="00B050"/>
              </w:rPr>
            </w:pPr>
            <w:r w:rsidRPr="0021657F">
              <w:rPr>
                <w:color w:val="00B050"/>
              </w:rPr>
              <w:t>4.3</w:t>
            </w:r>
          </w:p>
        </w:tc>
        <w:tc>
          <w:tcPr>
            <w:tcW w:w="2136" w:type="dxa"/>
          </w:tcPr>
          <w:p w14:paraId="123662F3" w14:textId="77777777" w:rsidR="00267A5A" w:rsidRPr="0021657F" w:rsidRDefault="00267A5A" w:rsidP="0022057B">
            <w:pPr>
              <w:spacing w:line="240" w:lineRule="auto"/>
              <w:rPr>
                <w:color w:val="00B050"/>
              </w:rPr>
            </w:pPr>
            <w:r w:rsidRPr="0021657F">
              <w:rPr>
                <w:color w:val="00B050"/>
              </w:rPr>
              <w:t>Naturalness</w:t>
            </w:r>
          </w:p>
        </w:tc>
        <w:tc>
          <w:tcPr>
            <w:tcW w:w="3334" w:type="dxa"/>
          </w:tcPr>
          <w:p w14:paraId="4B7EB67B" w14:textId="77777777" w:rsidR="00267A5A" w:rsidRPr="0021657F" w:rsidRDefault="00267A5A" w:rsidP="0022057B">
            <w:pPr>
              <w:spacing w:line="240" w:lineRule="auto"/>
              <w:rPr>
                <w:color w:val="00B050"/>
              </w:rPr>
            </w:pPr>
            <w:r w:rsidRPr="0021657F">
              <w:rPr>
                <w:color w:val="00B050"/>
              </w:rPr>
              <w:t>Area of forest and other wooded land by class of naturalness</w:t>
            </w:r>
          </w:p>
        </w:tc>
      </w:tr>
      <w:tr w:rsidR="00267A5A" w14:paraId="17640778" w14:textId="77777777" w:rsidTr="0022057B">
        <w:tc>
          <w:tcPr>
            <w:tcW w:w="2139" w:type="dxa"/>
            <w:vMerge/>
          </w:tcPr>
          <w:p w14:paraId="354E4845" w14:textId="77777777" w:rsidR="00267A5A" w:rsidRDefault="00267A5A" w:rsidP="0022057B">
            <w:pPr>
              <w:spacing w:line="240" w:lineRule="auto"/>
            </w:pPr>
          </w:p>
        </w:tc>
        <w:tc>
          <w:tcPr>
            <w:tcW w:w="886" w:type="dxa"/>
          </w:tcPr>
          <w:p w14:paraId="173746ED" w14:textId="77777777" w:rsidR="00267A5A" w:rsidRPr="0021657F" w:rsidRDefault="00267A5A" w:rsidP="0022057B">
            <w:pPr>
              <w:spacing w:line="240" w:lineRule="auto"/>
              <w:rPr>
                <w:color w:val="00B050"/>
              </w:rPr>
            </w:pPr>
            <w:r w:rsidRPr="0021657F">
              <w:rPr>
                <w:color w:val="00B050"/>
              </w:rPr>
              <w:t>4.4</w:t>
            </w:r>
          </w:p>
        </w:tc>
        <w:tc>
          <w:tcPr>
            <w:tcW w:w="2136" w:type="dxa"/>
          </w:tcPr>
          <w:p w14:paraId="3EA8ACFE" w14:textId="77777777" w:rsidR="00267A5A" w:rsidRPr="0021657F" w:rsidRDefault="00267A5A" w:rsidP="0022057B">
            <w:pPr>
              <w:spacing w:line="240" w:lineRule="auto"/>
              <w:rPr>
                <w:color w:val="00B050"/>
              </w:rPr>
            </w:pPr>
            <w:r w:rsidRPr="0021657F">
              <w:rPr>
                <w:color w:val="00B050"/>
              </w:rPr>
              <w:t>Introduced tree species</w:t>
            </w:r>
          </w:p>
        </w:tc>
        <w:tc>
          <w:tcPr>
            <w:tcW w:w="3334" w:type="dxa"/>
          </w:tcPr>
          <w:p w14:paraId="68015D45" w14:textId="77777777" w:rsidR="00267A5A" w:rsidRPr="0021657F" w:rsidRDefault="00267A5A" w:rsidP="0022057B">
            <w:pPr>
              <w:spacing w:line="240" w:lineRule="auto"/>
              <w:rPr>
                <w:color w:val="00B050"/>
              </w:rPr>
            </w:pPr>
            <w:r w:rsidRPr="0021657F">
              <w:rPr>
                <w:color w:val="00B050"/>
              </w:rPr>
              <w:t>Area of forest and other wooded land dominated by introduced tree species</w:t>
            </w:r>
          </w:p>
        </w:tc>
      </w:tr>
      <w:tr w:rsidR="00267A5A" w14:paraId="40FDB281" w14:textId="77777777" w:rsidTr="0022057B">
        <w:tc>
          <w:tcPr>
            <w:tcW w:w="2139" w:type="dxa"/>
            <w:vMerge/>
          </w:tcPr>
          <w:p w14:paraId="737F538B" w14:textId="77777777" w:rsidR="00267A5A" w:rsidRDefault="00267A5A" w:rsidP="0022057B">
            <w:pPr>
              <w:spacing w:line="240" w:lineRule="auto"/>
            </w:pPr>
          </w:p>
        </w:tc>
        <w:tc>
          <w:tcPr>
            <w:tcW w:w="886" w:type="dxa"/>
          </w:tcPr>
          <w:p w14:paraId="76B4EA3D" w14:textId="77777777" w:rsidR="00267A5A" w:rsidRPr="0021657F" w:rsidRDefault="00267A5A" w:rsidP="0022057B">
            <w:pPr>
              <w:spacing w:line="240" w:lineRule="auto"/>
              <w:rPr>
                <w:color w:val="00B050"/>
              </w:rPr>
            </w:pPr>
            <w:r w:rsidRPr="0021657F">
              <w:rPr>
                <w:color w:val="00B050"/>
              </w:rPr>
              <w:t>4.5</w:t>
            </w:r>
          </w:p>
        </w:tc>
        <w:tc>
          <w:tcPr>
            <w:tcW w:w="2136" w:type="dxa"/>
          </w:tcPr>
          <w:p w14:paraId="158B11FC" w14:textId="77777777" w:rsidR="00267A5A" w:rsidRPr="0021657F" w:rsidRDefault="00267A5A" w:rsidP="0022057B">
            <w:pPr>
              <w:spacing w:line="240" w:lineRule="auto"/>
              <w:rPr>
                <w:color w:val="00B050"/>
              </w:rPr>
            </w:pPr>
            <w:r w:rsidRPr="0021657F">
              <w:rPr>
                <w:color w:val="00B050"/>
              </w:rPr>
              <w:t>Deadwood</w:t>
            </w:r>
          </w:p>
        </w:tc>
        <w:tc>
          <w:tcPr>
            <w:tcW w:w="3334" w:type="dxa"/>
          </w:tcPr>
          <w:p w14:paraId="133DB2B6" w14:textId="77777777" w:rsidR="00267A5A" w:rsidRPr="0021657F" w:rsidRDefault="00267A5A" w:rsidP="0022057B">
            <w:pPr>
              <w:spacing w:line="240" w:lineRule="auto"/>
              <w:rPr>
                <w:color w:val="00B050"/>
              </w:rPr>
            </w:pPr>
            <w:r w:rsidRPr="0021657F">
              <w:rPr>
                <w:color w:val="00B050"/>
              </w:rPr>
              <w:t>Volume of standing deadwood and of lying deadwood on forest and other wooded land</w:t>
            </w:r>
          </w:p>
        </w:tc>
      </w:tr>
      <w:tr w:rsidR="00267A5A" w14:paraId="5D1E0B1B" w14:textId="77777777" w:rsidTr="0022057B">
        <w:tc>
          <w:tcPr>
            <w:tcW w:w="2139" w:type="dxa"/>
            <w:vMerge/>
          </w:tcPr>
          <w:p w14:paraId="5FB5D627" w14:textId="77777777" w:rsidR="00267A5A" w:rsidRDefault="00267A5A" w:rsidP="0022057B">
            <w:pPr>
              <w:spacing w:line="240" w:lineRule="auto"/>
            </w:pPr>
          </w:p>
        </w:tc>
        <w:tc>
          <w:tcPr>
            <w:tcW w:w="886" w:type="dxa"/>
          </w:tcPr>
          <w:p w14:paraId="5DE58775" w14:textId="77777777" w:rsidR="00267A5A" w:rsidRPr="0021657F" w:rsidRDefault="00267A5A" w:rsidP="0022057B">
            <w:pPr>
              <w:spacing w:line="240" w:lineRule="auto"/>
              <w:rPr>
                <w:color w:val="00B050"/>
              </w:rPr>
            </w:pPr>
            <w:r w:rsidRPr="0021657F">
              <w:rPr>
                <w:color w:val="00B050"/>
              </w:rPr>
              <w:t>4.6</w:t>
            </w:r>
          </w:p>
        </w:tc>
        <w:tc>
          <w:tcPr>
            <w:tcW w:w="2136" w:type="dxa"/>
          </w:tcPr>
          <w:p w14:paraId="498A85EB" w14:textId="77777777" w:rsidR="00267A5A" w:rsidRPr="0021657F" w:rsidRDefault="00267A5A" w:rsidP="0022057B">
            <w:pPr>
              <w:spacing w:line="240" w:lineRule="auto"/>
              <w:rPr>
                <w:color w:val="00B050"/>
              </w:rPr>
            </w:pPr>
            <w:r w:rsidRPr="0021657F">
              <w:rPr>
                <w:color w:val="00B050"/>
              </w:rPr>
              <w:t>Genetic resources</w:t>
            </w:r>
          </w:p>
        </w:tc>
        <w:tc>
          <w:tcPr>
            <w:tcW w:w="3334" w:type="dxa"/>
          </w:tcPr>
          <w:p w14:paraId="62407038" w14:textId="77777777" w:rsidR="00267A5A" w:rsidRPr="0021657F" w:rsidRDefault="00267A5A" w:rsidP="0022057B">
            <w:pPr>
              <w:spacing w:line="240" w:lineRule="auto"/>
              <w:rPr>
                <w:color w:val="00B050"/>
              </w:rPr>
            </w:pPr>
            <w:r w:rsidRPr="0021657F">
              <w:rPr>
                <w:color w:val="00B050"/>
              </w:rPr>
              <w:t xml:space="preserve">Area managed for conservation and </w:t>
            </w:r>
            <w:r w:rsidRPr="00CF7ECC">
              <w:rPr>
                <w:color w:val="00B050"/>
                <w:lang w:val="en-GB"/>
              </w:rPr>
              <w:t>utilisation</w:t>
            </w:r>
            <w:r w:rsidRPr="0021657F">
              <w:rPr>
                <w:color w:val="00B050"/>
              </w:rPr>
              <w:t xml:space="preserve"> of forest tree genetic resources (in situ and ex situ genetic conservation) and area managed for seed production</w:t>
            </w:r>
          </w:p>
        </w:tc>
      </w:tr>
      <w:tr w:rsidR="00267A5A" w14:paraId="0A249C26" w14:textId="77777777" w:rsidTr="0022057B">
        <w:tc>
          <w:tcPr>
            <w:tcW w:w="2139" w:type="dxa"/>
            <w:vMerge/>
          </w:tcPr>
          <w:p w14:paraId="649CE0D3" w14:textId="77777777" w:rsidR="00267A5A" w:rsidRDefault="00267A5A" w:rsidP="0022057B">
            <w:pPr>
              <w:spacing w:line="240" w:lineRule="auto"/>
            </w:pPr>
          </w:p>
        </w:tc>
        <w:tc>
          <w:tcPr>
            <w:tcW w:w="886" w:type="dxa"/>
          </w:tcPr>
          <w:p w14:paraId="7169EC92" w14:textId="77777777" w:rsidR="00267A5A" w:rsidRPr="0021657F" w:rsidRDefault="00267A5A" w:rsidP="0022057B">
            <w:pPr>
              <w:spacing w:line="240" w:lineRule="auto"/>
              <w:rPr>
                <w:color w:val="00B050"/>
              </w:rPr>
            </w:pPr>
            <w:r w:rsidRPr="0021657F">
              <w:rPr>
                <w:color w:val="00B050"/>
              </w:rPr>
              <w:t>4.7</w:t>
            </w:r>
          </w:p>
        </w:tc>
        <w:tc>
          <w:tcPr>
            <w:tcW w:w="2136" w:type="dxa"/>
          </w:tcPr>
          <w:p w14:paraId="07A588CA" w14:textId="77777777" w:rsidR="00267A5A" w:rsidRPr="0021657F" w:rsidRDefault="00267A5A" w:rsidP="0022057B">
            <w:pPr>
              <w:spacing w:line="240" w:lineRule="auto"/>
              <w:rPr>
                <w:color w:val="00B050"/>
              </w:rPr>
            </w:pPr>
            <w:r w:rsidRPr="0021657F">
              <w:rPr>
                <w:color w:val="00B050"/>
              </w:rPr>
              <w:t>Forest fragmentation</w:t>
            </w:r>
            <w:r w:rsidRPr="0021657F">
              <w:rPr>
                <w:rStyle w:val="FootnoteReference"/>
                <w:color w:val="00B050"/>
              </w:rPr>
              <w:footnoteReference w:id="5"/>
            </w:r>
          </w:p>
        </w:tc>
        <w:tc>
          <w:tcPr>
            <w:tcW w:w="3334" w:type="dxa"/>
          </w:tcPr>
          <w:p w14:paraId="747D68A6" w14:textId="77777777" w:rsidR="00267A5A" w:rsidRPr="0021657F" w:rsidRDefault="00267A5A" w:rsidP="0022057B">
            <w:pPr>
              <w:spacing w:line="240" w:lineRule="auto"/>
              <w:rPr>
                <w:color w:val="00B050"/>
              </w:rPr>
            </w:pPr>
            <w:r w:rsidRPr="0021657F">
              <w:rPr>
                <w:color w:val="00B050"/>
              </w:rPr>
              <w:t>Area of continuous forest and of patches of forest separated by non-forest lands</w:t>
            </w:r>
          </w:p>
        </w:tc>
      </w:tr>
      <w:tr w:rsidR="00267A5A" w14:paraId="1ABFFC89" w14:textId="77777777" w:rsidTr="0022057B">
        <w:tc>
          <w:tcPr>
            <w:tcW w:w="2139" w:type="dxa"/>
            <w:vMerge/>
          </w:tcPr>
          <w:p w14:paraId="39870A63" w14:textId="77777777" w:rsidR="00267A5A" w:rsidRDefault="00267A5A" w:rsidP="0022057B">
            <w:pPr>
              <w:spacing w:line="240" w:lineRule="auto"/>
            </w:pPr>
          </w:p>
        </w:tc>
        <w:tc>
          <w:tcPr>
            <w:tcW w:w="886" w:type="dxa"/>
          </w:tcPr>
          <w:p w14:paraId="0CA654BB" w14:textId="77777777" w:rsidR="00267A5A" w:rsidRPr="0021657F" w:rsidRDefault="00267A5A" w:rsidP="0022057B">
            <w:pPr>
              <w:spacing w:line="240" w:lineRule="auto"/>
              <w:rPr>
                <w:color w:val="00B050"/>
              </w:rPr>
            </w:pPr>
            <w:r w:rsidRPr="0021657F">
              <w:rPr>
                <w:color w:val="00B050"/>
              </w:rPr>
              <w:t>4.8</w:t>
            </w:r>
          </w:p>
        </w:tc>
        <w:tc>
          <w:tcPr>
            <w:tcW w:w="2136" w:type="dxa"/>
          </w:tcPr>
          <w:p w14:paraId="640D3876" w14:textId="77777777" w:rsidR="00267A5A" w:rsidRPr="0021657F" w:rsidRDefault="00267A5A" w:rsidP="0022057B">
            <w:pPr>
              <w:spacing w:line="240" w:lineRule="auto"/>
              <w:rPr>
                <w:color w:val="00B050"/>
              </w:rPr>
            </w:pPr>
            <w:r w:rsidRPr="0021657F">
              <w:rPr>
                <w:color w:val="00B050"/>
              </w:rPr>
              <w:t>Threatened forest species</w:t>
            </w:r>
          </w:p>
        </w:tc>
        <w:tc>
          <w:tcPr>
            <w:tcW w:w="3334" w:type="dxa"/>
          </w:tcPr>
          <w:p w14:paraId="6A3BFF5A" w14:textId="77777777" w:rsidR="00267A5A" w:rsidRPr="0021657F" w:rsidRDefault="00267A5A" w:rsidP="0022057B">
            <w:pPr>
              <w:spacing w:line="240" w:lineRule="auto"/>
              <w:rPr>
                <w:color w:val="00B050"/>
              </w:rPr>
            </w:pPr>
            <w:r w:rsidRPr="0021657F">
              <w:rPr>
                <w:color w:val="00B050"/>
              </w:rPr>
              <w:t>Number of threatened forest species, classified according to IUCN Red List categories in relation to total number of forest species</w:t>
            </w:r>
          </w:p>
        </w:tc>
      </w:tr>
      <w:tr w:rsidR="00267A5A" w14:paraId="506F092B" w14:textId="77777777" w:rsidTr="0022057B">
        <w:tc>
          <w:tcPr>
            <w:tcW w:w="2139" w:type="dxa"/>
            <w:vMerge/>
          </w:tcPr>
          <w:p w14:paraId="5247C944" w14:textId="77777777" w:rsidR="00267A5A" w:rsidRDefault="00267A5A" w:rsidP="0022057B">
            <w:pPr>
              <w:spacing w:line="240" w:lineRule="auto"/>
            </w:pPr>
          </w:p>
        </w:tc>
        <w:tc>
          <w:tcPr>
            <w:tcW w:w="886" w:type="dxa"/>
          </w:tcPr>
          <w:p w14:paraId="27012A12" w14:textId="77777777" w:rsidR="00267A5A" w:rsidRPr="0021657F" w:rsidRDefault="00267A5A" w:rsidP="0022057B">
            <w:pPr>
              <w:spacing w:line="240" w:lineRule="auto"/>
              <w:rPr>
                <w:color w:val="00B050"/>
              </w:rPr>
            </w:pPr>
            <w:r w:rsidRPr="0021657F">
              <w:rPr>
                <w:color w:val="00B050"/>
              </w:rPr>
              <w:t>4.9</w:t>
            </w:r>
          </w:p>
        </w:tc>
        <w:tc>
          <w:tcPr>
            <w:tcW w:w="2136" w:type="dxa"/>
          </w:tcPr>
          <w:p w14:paraId="72B7AB62" w14:textId="77777777" w:rsidR="00267A5A" w:rsidRPr="0021657F" w:rsidRDefault="00267A5A" w:rsidP="0022057B">
            <w:pPr>
              <w:spacing w:line="240" w:lineRule="auto"/>
              <w:rPr>
                <w:color w:val="00B050"/>
              </w:rPr>
            </w:pPr>
            <w:r w:rsidRPr="0021657F">
              <w:rPr>
                <w:color w:val="00B050"/>
              </w:rPr>
              <w:t>Protected forests</w:t>
            </w:r>
          </w:p>
        </w:tc>
        <w:tc>
          <w:tcPr>
            <w:tcW w:w="3334" w:type="dxa"/>
          </w:tcPr>
          <w:p w14:paraId="0B36CD4F" w14:textId="77777777" w:rsidR="00267A5A" w:rsidRPr="0021657F" w:rsidRDefault="00267A5A" w:rsidP="0022057B">
            <w:pPr>
              <w:spacing w:line="240" w:lineRule="auto"/>
              <w:rPr>
                <w:color w:val="00B050"/>
              </w:rPr>
            </w:pPr>
            <w:r w:rsidRPr="0021657F">
              <w:rPr>
                <w:color w:val="00B050"/>
              </w:rPr>
              <w:t xml:space="preserve">Area of forest and other wooded land protected to conserve biodiversity, </w:t>
            </w:r>
            <w:proofErr w:type="gramStart"/>
            <w:r w:rsidRPr="0021657F">
              <w:rPr>
                <w:color w:val="00B050"/>
              </w:rPr>
              <w:t>landscapes</w:t>
            </w:r>
            <w:proofErr w:type="gramEnd"/>
            <w:r w:rsidRPr="0021657F">
              <w:rPr>
                <w:color w:val="00B050"/>
              </w:rPr>
              <w:t xml:space="preserve"> and specific natural elements, according to MCPFE categories</w:t>
            </w:r>
          </w:p>
        </w:tc>
      </w:tr>
      <w:tr w:rsidR="00267A5A" w14:paraId="1001DA2F" w14:textId="77777777" w:rsidTr="0022057B">
        <w:tc>
          <w:tcPr>
            <w:tcW w:w="2139" w:type="dxa"/>
            <w:vMerge/>
          </w:tcPr>
          <w:p w14:paraId="4EBF9CAC" w14:textId="77777777" w:rsidR="00267A5A" w:rsidRDefault="00267A5A" w:rsidP="0022057B">
            <w:pPr>
              <w:spacing w:line="240" w:lineRule="auto"/>
            </w:pPr>
          </w:p>
        </w:tc>
        <w:tc>
          <w:tcPr>
            <w:tcW w:w="886" w:type="dxa"/>
          </w:tcPr>
          <w:p w14:paraId="27EA5B76" w14:textId="77777777" w:rsidR="00267A5A" w:rsidRPr="0021657F" w:rsidRDefault="00267A5A" w:rsidP="0022057B">
            <w:pPr>
              <w:spacing w:line="240" w:lineRule="auto"/>
              <w:rPr>
                <w:color w:val="00B050"/>
              </w:rPr>
            </w:pPr>
            <w:r w:rsidRPr="0021657F">
              <w:rPr>
                <w:color w:val="00B050"/>
              </w:rPr>
              <w:t>4.10</w:t>
            </w:r>
          </w:p>
        </w:tc>
        <w:tc>
          <w:tcPr>
            <w:tcW w:w="2136" w:type="dxa"/>
          </w:tcPr>
          <w:p w14:paraId="64C383B3" w14:textId="77777777" w:rsidR="00267A5A" w:rsidRPr="0021657F" w:rsidRDefault="00267A5A" w:rsidP="0022057B">
            <w:pPr>
              <w:spacing w:line="240" w:lineRule="auto"/>
              <w:rPr>
                <w:color w:val="00B050"/>
              </w:rPr>
            </w:pPr>
            <w:r w:rsidRPr="0021657F">
              <w:rPr>
                <w:color w:val="00B050"/>
              </w:rPr>
              <w:t>Common forest bird species</w:t>
            </w:r>
            <w:r w:rsidRPr="0021657F">
              <w:rPr>
                <w:rStyle w:val="FootnoteReference"/>
                <w:color w:val="00B050"/>
              </w:rPr>
              <w:footnoteReference w:id="6"/>
            </w:r>
          </w:p>
        </w:tc>
        <w:tc>
          <w:tcPr>
            <w:tcW w:w="3334" w:type="dxa"/>
          </w:tcPr>
          <w:p w14:paraId="3BA04EF5" w14:textId="77777777" w:rsidR="00267A5A" w:rsidRPr="0021657F" w:rsidRDefault="00267A5A" w:rsidP="0022057B">
            <w:pPr>
              <w:spacing w:line="240" w:lineRule="auto"/>
              <w:rPr>
                <w:color w:val="00B050"/>
              </w:rPr>
            </w:pPr>
            <w:r w:rsidRPr="0021657F">
              <w:rPr>
                <w:color w:val="00B050"/>
              </w:rPr>
              <w:t>Occurrence of common breeding bird species related to forest ecosystems</w:t>
            </w:r>
          </w:p>
        </w:tc>
      </w:tr>
      <w:tr w:rsidR="00267A5A" w14:paraId="1C947FC2" w14:textId="77777777" w:rsidTr="0022057B">
        <w:tc>
          <w:tcPr>
            <w:tcW w:w="2139" w:type="dxa"/>
            <w:vMerge w:val="restart"/>
          </w:tcPr>
          <w:p w14:paraId="321BF3FF" w14:textId="77777777" w:rsidR="00267A5A" w:rsidRDefault="00267A5A" w:rsidP="0022057B">
            <w:pPr>
              <w:spacing w:line="240" w:lineRule="auto"/>
            </w:pPr>
            <w:r w:rsidRPr="00AE37B8">
              <w:t>Criterion 5: Maintenance and Appropriate Enhancement of Protective Functions in Forest Management (notably soil and water)</w:t>
            </w:r>
          </w:p>
        </w:tc>
        <w:tc>
          <w:tcPr>
            <w:tcW w:w="886" w:type="dxa"/>
          </w:tcPr>
          <w:p w14:paraId="756C5CF1" w14:textId="77777777" w:rsidR="00267A5A" w:rsidRPr="0021657F" w:rsidRDefault="00267A5A" w:rsidP="0022057B">
            <w:pPr>
              <w:spacing w:line="240" w:lineRule="auto"/>
              <w:rPr>
                <w:color w:val="31479E" w:themeColor="accent1" w:themeShade="BF"/>
              </w:rPr>
            </w:pPr>
            <w:r w:rsidRPr="0021657F">
              <w:rPr>
                <w:color w:val="31479E" w:themeColor="accent1" w:themeShade="BF"/>
              </w:rPr>
              <w:t>C.5</w:t>
            </w:r>
          </w:p>
        </w:tc>
        <w:tc>
          <w:tcPr>
            <w:tcW w:w="5470" w:type="dxa"/>
            <w:gridSpan w:val="2"/>
          </w:tcPr>
          <w:p w14:paraId="59368B8D" w14:textId="77777777" w:rsidR="00267A5A" w:rsidRPr="0021657F" w:rsidRDefault="00267A5A" w:rsidP="0022057B">
            <w:pPr>
              <w:spacing w:line="240" w:lineRule="auto"/>
              <w:rPr>
                <w:color w:val="31479E" w:themeColor="accent1" w:themeShade="BF"/>
              </w:rPr>
            </w:pPr>
            <w:r w:rsidRPr="0021657F">
              <w:rPr>
                <w:color w:val="31479E" w:themeColor="accent1" w:themeShade="BF"/>
              </w:rPr>
              <w:t xml:space="preserve">Policies, </w:t>
            </w:r>
            <w:proofErr w:type="gramStart"/>
            <w:r w:rsidRPr="0021657F">
              <w:rPr>
                <w:color w:val="31479E" w:themeColor="accent1" w:themeShade="BF"/>
              </w:rPr>
              <w:t>institutions</w:t>
            </w:r>
            <w:proofErr w:type="gramEnd"/>
            <w:r w:rsidRPr="0021657F">
              <w:rPr>
                <w:color w:val="31479E" w:themeColor="accent1" w:themeShade="BF"/>
              </w:rPr>
              <w:t xml:space="preserve"> and instruments to maintain and appropriately enhance of the protective functions in forest management</w:t>
            </w:r>
          </w:p>
        </w:tc>
      </w:tr>
      <w:tr w:rsidR="00267A5A" w14:paraId="61B092B4" w14:textId="77777777" w:rsidTr="0022057B">
        <w:tc>
          <w:tcPr>
            <w:tcW w:w="2139" w:type="dxa"/>
            <w:vMerge/>
          </w:tcPr>
          <w:p w14:paraId="07F5FFA9" w14:textId="77777777" w:rsidR="00267A5A" w:rsidRDefault="00267A5A" w:rsidP="0022057B">
            <w:pPr>
              <w:spacing w:line="240" w:lineRule="auto"/>
            </w:pPr>
          </w:p>
        </w:tc>
        <w:tc>
          <w:tcPr>
            <w:tcW w:w="886" w:type="dxa"/>
          </w:tcPr>
          <w:p w14:paraId="035DA321" w14:textId="77777777" w:rsidR="00267A5A" w:rsidRPr="0021657F" w:rsidRDefault="00267A5A" w:rsidP="0022057B">
            <w:pPr>
              <w:spacing w:line="240" w:lineRule="auto"/>
              <w:rPr>
                <w:color w:val="00B050"/>
              </w:rPr>
            </w:pPr>
            <w:r w:rsidRPr="0021657F">
              <w:rPr>
                <w:color w:val="00B050"/>
              </w:rPr>
              <w:t>5.1</w:t>
            </w:r>
          </w:p>
        </w:tc>
        <w:tc>
          <w:tcPr>
            <w:tcW w:w="2136" w:type="dxa"/>
          </w:tcPr>
          <w:p w14:paraId="3A47ED53" w14:textId="77777777" w:rsidR="00267A5A" w:rsidRPr="0021657F" w:rsidRDefault="00267A5A" w:rsidP="0022057B">
            <w:pPr>
              <w:spacing w:line="240" w:lineRule="auto"/>
              <w:rPr>
                <w:color w:val="00B050"/>
              </w:rPr>
            </w:pPr>
            <w:r w:rsidRPr="0021657F">
              <w:rPr>
                <w:color w:val="00B050"/>
              </w:rPr>
              <w:t xml:space="preserve">Protective forests – soil, </w:t>
            </w:r>
            <w:proofErr w:type="gramStart"/>
            <w:r w:rsidRPr="0021657F">
              <w:rPr>
                <w:color w:val="00B050"/>
              </w:rPr>
              <w:t>water</w:t>
            </w:r>
            <w:proofErr w:type="gramEnd"/>
            <w:r w:rsidRPr="0021657F">
              <w:rPr>
                <w:color w:val="00B050"/>
              </w:rPr>
              <w:t xml:space="preserve"> and other ecosystem functions - infrastructure and managed natural resources</w:t>
            </w:r>
          </w:p>
        </w:tc>
        <w:tc>
          <w:tcPr>
            <w:tcW w:w="3334" w:type="dxa"/>
          </w:tcPr>
          <w:p w14:paraId="746855CD" w14:textId="77777777" w:rsidR="00267A5A" w:rsidRPr="0021657F" w:rsidRDefault="00267A5A" w:rsidP="0022057B">
            <w:pPr>
              <w:spacing w:line="240" w:lineRule="auto"/>
              <w:rPr>
                <w:color w:val="00B050"/>
              </w:rPr>
            </w:pPr>
            <w:r w:rsidRPr="0021657F">
              <w:rPr>
                <w:color w:val="00B050"/>
              </w:rPr>
              <w:t xml:space="preserve">Area of forest and other wooded land designated to prevent soil erosion, preserve water resources, maintain other protective functions, protect infrastructure and managed </w:t>
            </w:r>
            <w:r w:rsidRPr="0021657F">
              <w:rPr>
                <w:color w:val="00B050"/>
              </w:rPr>
              <w:lastRenderedPageBreak/>
              <w:t>natural resources against natural hazards</w:t>
            </w:r>
          </w:p>
        </w:tc>
      </w:tr>
      <w:tr w:rsidR="00267A5A" w14:paraId="51A0C306" w14:textId="77777777" w:rsidTr="0022057B">
        <w:tc>
          <w:tcPr>
            <w:tcW w:w="2139" w:type="dxa"/>
            <w:vMerge w:val="restart"/>
          </w:tcPr>
          <w:p w14:paraId="4DF8FFB2" w14:textId="77777777" w:rsidR="00267A5A" w:rsidRDefault="00267A5A" w:rsidP="0022057B">
            <w:pPr>
              <w:spacing w:line="240" w:lineRule="auto"/>
            </w:pPr>
            <w:r w:rsidRPr="006D5D84">
              <w:lastRenderedPageBreak/>
              <w:t>Criterion 6: Maintenance of other Socioeconomic Functions and Conditions</w:t>
            </w:r>
          </w:p>
        </w:tc>
        <w:tc>
          <w:tcPr>
            <w:tcW w:w="886" w:type="dxa"/>
          </w:tcPr>
          <w:p w14:paraId="6476369D" w14:textId="77777777" w:rsidR="00267A5A" w:rsidRPr="0021657F" w:rsidRDefault="00267A5A" w:rsidP="0022057B">
            <w:pPr>
              <w:spacing w:line="240" w:lineRule="auto"/>
              <w:rPr>
                <w:color w:val="31479E" w:themeColor="accent1" w:themeShade="BF"/>
              </w:rPr>
            </w:pPr>
            <w:r w:rsidRPr="0021657F">
              <w:rPr>
                <w:color w:val="31479E" w:themeColor="accent1" w:themeShade="BF"/>
              </w:rPr>
              <w:t>C.6</w:t>
            </w:r>
          </w:p>
        </w:tc>
        <w:tc>
          <w:tcPr>
            <w:tcW w:w="5470" w:type="dxa"/>
            <w:gridSpan w:val="2"/>
          </w:tcPr>
          <w:p w14:paraId="261A14E8" w14:textId="77777777" w:rsidR="00267A5A" w:rsidRPr="0021657F" w:rsidRDefault="00267A5A" w:rsidP="0022057B">
            <w:pPr>
              <w:spacing w:line="240" w:lineRule="auto"/>
              <w:rPr>
                <w:color w:val="31479E" w:themeColor="accent1" w:themeShade="BF"/>
              </w:rPr>
            </w:pPr>
            <w:r w:rsidRPr="0021657F">
              <w:rPr>
                <w:color w:val="31479E" w:themeColor="accent1" w:themeShade="BF"/>
              </w:rPr>
              <w:t xml:space="preserve">Policies, </w:t>
            </w:r>
            <w:proofErr w:type="gramStart"/>
            <w:r w:rsidRPr="0021657F">
              <w:rPr>
                <w:color w:val="31479E" w:themeColor="accent1" w:themeShade="BF"/>
              </w:rPr>
              <w:t>institutions</w:t>
            </w:r>
            <w:proofErr w:type="gramEnd"/>
            <w:r w:rsidRPr="0021657F">
              <w:rPr>
                <w:color w:val="31479E" w:themeColor="accent1" w:themeShade="BF"/>
              </w:rPr>
              <w:t xml:space="preserve"> and instruments to maintain other socioeconomic functions and conditions</w:t>
            </w:r>
          </w:p>
        </w:tc>
      </w:tr>
      <w:tr w:rsidR="00267A5A" w14:paraId="47A79988" w14:textId="77777777" w:rsidTr="0022057B">
        <w:tc>
          <w:tcPr>
            <w:tcW w:w="2139" w:type="dxa"/>
            <w:vMerge/>
          </w:tcPr>
          <w:p w14:paraId="1F66A69B" w14:textId="77777777" w:rsidR="00267A5A" w:rsidRDefault="00267A5A" w:rsidP="0022057B">
            <w:pPr>
              <w:spacing w:line="240" w:lineRule="auto"/>
            </w:pPr>
          </w:p>
        </w:tc>
        <w:tc>
          <w:tcPr>
            <w:tcW w:w="886" w:type="dxa"/>
          </w:tcPr>
          <w:p w14:paraId="40125197" w14:textId="77777777" w:rsidR="00267A5A" w:rsidRPr="0021657F" w:rsidRDefault="00267A5A" w:rsidP="0022057B">
            <w:pPr>
              <w:spacing w:line="240" w:lineRule="auto"/>
              <w:rPr>
                <w:color w:val="00B050"/>
              </w:rPr>
            </w:pPr>
            <w:r w:rsidRPr="0021657F">
              <w:rPr>
                <w:color w:val="00B050"/>
              </w:rPr>
              <w:t>6.1</w:t>
            </w:r>
          </w:p>
        </w:tc>
        <w:tc>
          <w:tcPr>
            <w:tcW w:w="2136" w:type="dxa"/>
          </w:tcPr>
          <w:p w14:paraId="19D0DA0F" w14:textId="77777777" w:rsidR="00267A5A" w:rsidRPr="0021657F" w:rsidRDefault="00267A5A" w:rsidP="0022057B">
            <w:pPr>
              <w:spacing w:line="240" w:lineRule="auto"/>
              <w:rPr>
                <w:color w:val="00B050"/>
              </w:rPr>
            </w:pPr>
            <w:r w:rsidRPr="0021657F">
              <w:rPr>
                <w:color w:val="00B050"/>
              </w:rPr>
              <w:t>Forest holdings</w:t>
            </w:r>
          </w:p>
        </w:tc>
        <w:tc>
          <w:tcPr>
            <w:tcW w:w="3334" w:type="dxa"/>
          </w:tcPr>
          <w:p w14:paraId="7C4A40DF" w14:textId="77777777" w:rsidR="00267A5A" w:rsidRPr="0021657F" w:rsidRDefault="00267A5A" w:rsidP="0022057B">
            <w:pPr>
              <w:spacing w:line="240" w:lineRule="auto"/>
              <w:rPr>
                <w:color w:val="00B050"/>
              </w:rPr>
            </w:pPr>
            <w:r w:rsidRPr="0021657F">
              <w:rPr>
                <w:color w:val="00B050"/>
              </w:rPr>
              <w:t>Number of forest holdings, classified by ownership categories and size classes</w:t>
            </w:r>
          </w:p>
        </w:tc>
      </w:tr>
      <w:tr w:rsidR="00267A5A" w14:paraId="740F045E" w14:textId="77777777" w:rsidTr="0022057B">
        <w:tc>
          <w:tcPr>
            <w:tcW w:w="2139" w:type="dxa"/>
            <w:vMerge/>
          </w:tcPr>
          <w:p w14:paraId="03B9CD41" w14:textId="77777777" w:rsidR="00267A5A" w:rsidRDefault="00267A5A" w:rsidP="0022057B">
            <w:pPr>
              <w:spacing w:line="240" w:lineRule="auto"/>
            </w:pPr>
          </w:p>
        </w:tc>
        <w:tc>
          <w:tcPr>
            <w:tcW w:w="886" w:type="dxa"/>
          </w:tcPr>
          <w:p w14:paraId="0A03D7BC" w14:textId="77777777" w:rsidR="00267A5A" w:rsidRPr="0021657F" w:rsidRDefault="00267A5A" w:rsidP="0022057B">
            <w:pPr>
              <w:spacing w:line="240" w:lineRule="auto"/>
              <w:rPr>
                <w:color w:val="00B050"/>
              </w:rPr>
            </w:pPr>
            <w:r w:rsidRPr="0021657F">
              <w:rPr>
                <w:color w:val="00B050"/>
              </w:rPr>
              <w:t>6.2</w:t>
            </w:r>
          </w:p>
        </w:tc>
        <w:tc>
          <w:tcPr>
            <w:tcW w:w="2136" w:type="dxa"/>
          </w:tcPr>
          <w:p w14:paraId="507805B6" w14:textId="77777777" w:rsidR="00267A5A" w:rsidRPr="0021657F" w:rsidRDefault="00267A5A" w:rsidP="0022057B">
            <w:pPr>
              <w:spacing w:line="240" w:lineRule="auto"/>
              <w:rPr>
                <w:color w:val="00B050"/>
              </w:rPr>
            </w:pPr>
            <w:r w:rsidRPr="0021657F">
              <w:rPr>
                <w:color w:val="00B050"/>
              </w:rPr>
              <w:t>Contribution of forest sector to GDP</w:t>
            </w:r>
          </w:p>
        </w:tc>
        <w:tc>
          <w:tcPr>
            <w:tcW w:w="3334" w:type="dxa"/>
          </w:tcPr>
          <w:p w14:paraId="277FFCB9" w14:textId="77777777" w:rsidR="00267A5A" w:rsidRPr="0021657F" w:rsidRDefault="00267A5A" w:rsidP="0022057B">
            <w:pPr>
              <w:spacing w:line="240" w:lineRule="auto"/>
              <w:rPr>
                <w:color w:val="00B050"/>
              </w:rPr>
            </w:pPr>
            <w:r w:rsidRPr="0021657F">
              <w:rPr>
                <w:color w:val="00B050"/>
              </w:rPr>
              <w:t>Contribution of forestry and manufacturing of wood and paper products to gross domestic product</w:t>
            </w:r>
          </w:p>
        </w:tc>
      </w:tr>
      <w:tr w:rsidR="00267A5A" w14:paraId="56FA82DE" w14:textId="77777777" w:rsidTr="0022057B">
        <w:tc>
          <w:tcPr>
            <w:tcW w:w="2139" w:type="dxa"/>
            <w:vMerge/>
          </w:tcPr>
          <w:p w14:paraId="7F278F11" w14:textId="77777777" w:rsidR="00267A5A" w:rsidRDefault="00267A5A" w:rsidP="0022057B">
            <w:pPr>
              <w:spacing w:line="240" w:lineRule="auto"/>
            </w:pPr>
          </w:p>
        </w:tc>
        <w:tc>
          <w:tcPr>
            <w:tcW w:w="886" w:type="dxa"/>
          </w:tcPr>
          <w:p w14:paraId="2BA8885F" w14:textId="77777777" w:rsidR="00267A5A" w:rsidRPr="0021657F" w:rsidRDefault="00267A5A" w:rsidP="0022057B">
            <w:pPr>
              <w:spacing w:line="240" w:lineRule="auto"/>
              <w:rPr>
                <w:color w:val="00B050"/>
              </w:rPr>
            </w:pPr>
            <w:r w:rsidRPr="0021657F">
              <w:rPr>
                <w:color w:val="00B050"/>
              </w:rPr>
              <w:t>6.3</w:t>
            </w:r>
          </w:p>
        </w:tc>
        <w:tc>
          <w:tcPr>
            <w:tcW w:w="2136" w:type="dxa"/>
          </w:tcPr>
          <w:p w14:paraId="7B846E76" w14:textId="77777777" w:rsidR="00267A5A" w:rsidRPr="0021657F" w:rsidRDefault="00267A5A" w:rsidP="0022057B">
            <w:pPr>
              <w:spacing w:line="240" w:lineRule="auto"/>
              <w:rPr>
                <w:color w:val="00B050"/>
              </w:rPr>
            </w:pPr>
            <w:r w:rsidRPr="0021657F">
              <w:rPr>
                <w:color w:val="00B050"/>
              </w:rPr>
              <w:t>Net revenue</w:t>
            </w:r>
          </w:p>
        </w:tc>
        <w:tc>
          <w:tcPr>
            <w:tcW w:w="3334" w:type="dxa"/>
          </w:tcPr>
          <w:p w14:paraId="228EAFC9" w14:textId="77777777" w:rsidR="00267A5A" w:rsidRPr="0021657F" w:rsidRDefault="00267A5A" w:rsidP="0022057B">
            <w:pPr>
              <w:spacing w:line="240" w:lineRule="auto"/>
              <w:rPr>
                <w:color w:val="00B050"/>
              </w:rPr>
            </w:pPr>
            <w:r w:rsidRPr="0021657F">
              <w:rPr>
                <w:color w:val="00B050"/>
              </w:rPr>
              <w:t>Net revenue of forest enterprises</w:t>
            </w:r>
          </w:p>
        </w:tc>
      </w:tr>
      <w:tr w:rsidR="00267A5A" w14:paraId="5D9DA2E7" w14:textId="77777777" w:rsidTr="0022057B">
        <w:tc>
          <w:tcPr>
            <w:tcW w:w="2139" w:type="dxa"/>
            <w:vMerge/>
          </w:tcPr>
          <w:p w14:paraId="637B581C" w14:textId="77777777" w:rsidR="00267A5A" w:rsidRDefault="00267A5A" w:rsidP="0022057B">
            <w:pPr>
              <w:spacing w:line="240" w:lineRule="auto"/>
            </w:pPr>
          </w:p>
        </w:tc>
        <w:tc>
          <w:tcPr>
            <w:tcW w:w="886" w:type="dxa"/>
          </w:tcPr>
          <w:p w14:paraId="0DF025BB" w14:textId="77777777" w:rsidR="00267A5A" w:rsidRPr="0021657F" w:rsidRDefault="00267A5A" w:rsidP="0022057B">
            <w:pPr>
              <w:spacing w:line="240" w:lineRule="auto"/>
              <w:rPr>
                <w:color w:val="00B050"/>
              </w:rPr>
            </w:pPr>
            <w:r w:rsidRPr="0021657F">
              <w:rPr>
                <w:color w:val="00B050"/>
              </w:rPr>
              <w:t>6.4</w:t>
            </w:r>
          </w:p>
        </w:tc>
        <w:tc>
          <w:tcPr>
            <w:tcW w:w="2136" w:type="dxa"/>
          </w:tcPr>
          <w:p w14:paraId="50E43E90" w14:textId="77777777" w:rsidR="00267A5A" w:rsidRPr="0021657F" w:rsidRDefault="00267A5A" w:rsidP="0022057B">
            <w:pPr>
              <w:spacing w:line="240" w:lineRule="auto"/>
              <w:rPr>
                <w:color w:val="00B050"/>
              </w:rPr>
            </w:pPr>
            <w:r w:rsidRPr="0021657F">
              <w:rPr>
                <w:color w:val="00B050"/>
              </w:rPr>
              <w:t>Investments in forests and forestry</w:t>
            </w:r>
          </w:p>
        </w:tc>
        <w:tc>
          <w:tcPr>
            <w:tcW w:w="3334" w:type="dxa"/>
          </w:tcPr>
          <w:p w14:paraId="5F410D07" w14:textId="77777777" w:rsidR="00267A5A" w:rsidRPr="0021657F" w:rsidRDefault="00267A5A" w:rsidP="0022057B">
            <w:pPr>
              <w:spacing w:line="240" w:lineRule="auto"/>
              <w:rPr>
                <w:color w:val="00B050"/>
              </w:rPr>
            </w:pPr>
            <w:r w:rsidRPr="0021657F">
              <w:rPr>
                <w:color w:val="00B050"/>
              </w:rPr>
              <w:t>Total public and private investments in forests and forestry</w:t>
            </w:r>
          </w:p>
        </w:tc>
      </w:tr>
      <w:tr w:rsidR="00267A5A" w14:paraId="4AB6C355" w14:textId="77777777" w:rsidTr="0022057B">
        <w:tc>
          <w:tcPr>
            <w:tcW w:w="2139" w:type="dxa"/>
            <w:vMerge/>
          </w:tcPr>
          <w:p w14:paraId="037F5E33" w14:textId="77777777" w:rsidR="00267A5A" w:rsidRDefault="00267A5A" w:rsidP="0022057B">
            <w:pPr>
              <w:spacing w:line="240" w:lineRule="auto"/>
            </w:pPr>
          </w:p>
        </w:tc>
        <w:tc>
          <w:tcPr>
            <w:tcW w:w="886" w:type="dxa"/>
          </w:tcPr>
          <w:p w14:paraId="484D7BAE" w14:textId="77777777" w:rsidR="00267A5A" w:rsidRPr="0021657F" w:rsidRDefault="00267A5A" w:rsidP="0022057B">
            <w:pPr>
              <w:spacing w:line="240" w:lineRule="auto"/>
              <w:rPr>
                <w:color w:val="00B050"/>
              </w:rPr>
            </w:pPr>
            <w:r w:rsidRPr="0021657F">
              <w:rPr>
                <w:color w:val="00B050"/>
              </w:rPr>
              <w:t>6.5</w:t>
            </w:r>
          </w:p>
        </w:tc>
        <w:tc>
          <w:tcPr>
            <w:tcW w:w="2136" w:type="dxa"/>
          </w:tcPr>
          <w:p w14:paraId="5F8EA20B" w14:textId="77777777" w:rsidR="00267A5A" w:rsidRPr="0021657F" w:rsidRDefault="00267A5A" w:rsidP="0022057B">
            <w:pPr>
              <w:spacing w:line="240" w:lineRule="auto"/>
              <w:rPr>
                <w:color w:val="00B050"/>
              </w:rPr>
            </w:pPr>
            <w:r w:rsidRPr="0021657F">
              <w:rPr>
                <w:color w:val="00B050"/>
              </w:rPr>
              <w:t>Forest sector workforce</w:t>
            </w:r>
          </w:p>
        </w:tc>
        <w:tc>
          <w:tcPr>
            <w:tcW w:w="3334" w:type="dxa"/>
          </w:tcPr>
          <w:p w14:paraId="7DEB660C" w14:textId="77777777" w:rsidR="00267A5A" w:rsidRPr="0021657F" w:rsidRDefault="00267A5A" w:rsidP="0022057B">
            <w:pPr>
              <w:spacing w:line="240" w:lineRule="auto"/>
              <w:rPr>
                <w:color w:val="00B050"/>
              </w:rPr>
            </w:pPr>
            <w:r w:rsidRPr="0021657F">
              <w:rPr>
                <w:color w:val="00B050"/>
              </w:rPr>
              <w:t xml:space="preserve">Number of persons employed and </w:t>
            </w:r>
            <w:proofErr w:type="spellStart"/>
            <w:r w:rsidRPr="0021657F">
              <w:rPr>
                <w:color w:val="00B050"/>
              </w:rPr>
              <w:t>labour</w:t>
            </w:r>
            <w:proofErr w:type="spellEnd"/>
            <w:r w:rsidRPr="0021657F">
              <w:rPr>
                <w:color w:val="00B050"/>
              </w:rPr>
              <w:t xml:space="preserve"> input in the forest sector, classified by gender and age group, </w:t>
            </w:r>
            <w:proofErr w:type="gramStart"/>
            <w:r w:rsidRPr="0021657F">
              <w:rPr>
                <w:color w:val="00B050"/>
              </w:rPr>
              <w:t>education</w:t>
            </w:r>
            <w:proofErr w:type="gramEnd"/>
            <w:r w:rsidRPr="0021657F">
              <w:rPr>
                <w:color w:val="00B050"/>
              </w:rPr>
              <w:t xml:space="preserve"> and job characteristics</w:t>
            </w:r>
          </w:p>
        </w:tc>
      </w:tr>
      <w:tr w:rsidR="00267A5A" w14:paraId="49D1DED7" w14:textId="77777777" w:rsidTr="0022057B">
        <w:tc>
          <w:tcPr>
            <w:tcW w:w="2139" w:type="dxa"/>
            <w:vMerge/>
          </w:tcPr>
          <w:p w14:paraId="60708026" w14:textId="77777777" w:rsidR="00267A5A" w:rsidRDefault="00267A5A" w:rsidP="0022057B">
            <w:pPr>
              <w:spacing w:line="240" w:lineRule="auto"/>
            </w:pPr>
          </w:p>
        </w:tc>
        <w:tc>
          <w:tcPr>
            <w:tcW w:w="886" w:type="dxa"/>
          </w:tcPr>
          <w:p w14:paraId="56F11DB3" w14:textId="77777777" w:rsidR="00267A5A" w:rsidRPr="0021657F" w:rsidRDefault="00267A5A" w:rsidP="0022057B">
            <w:pPr>
              <w:spacing w:line="240" w:lineRule="auto"/>
              <w:rPr>
                <w:color w:val="00B050"/>
              </w:rPr>
            </w:pPr>
            <w:r w:rsidRPr="0021657F">
              <w:rPr>
                <w:color w:val="00B050"/>
              </w:rPr>
              <w:t>6.6</w:t>
            </w:r>
          </w:p>
        </w:tc>
        <w:tc>
          <w:tcPr>
            <w:tcW w:w="2136" w:type="dxa"/>
          </w:tcPr>
          <w:p w14:paraId="7B0D4B71" w14:textId="77777777" w:rsidR="00267A5A" w:rsidRPr="0021657F" w:rsidRDefault="00267A5A" w:rsidP="0022057B">
            <w:pPr>
              <w:spacing w:line="240" w:lineRule="auto"/>
              <w:rPr>
                <w:color w:val="00B050"/>
              </w:rPr>
            </w:pPr>
            <w:r w:rsidRPr="0021657F">
              <w:rPr>
                <w:color w:val="00B050"/>
              </w:rPr>
              <w:t>Occupational safety and health</w:t>
            </w:r>
          </w:p>
        </w:tc>
        <w:tc>
          <w:tcPr>
            <w:tcW w:w="3334" w:type="dxa"/>
          </w:tcPr>
          <w:p w14:paraId="48143213" w14:textId="77777777" w:rsidR="00267A5A" w:rsidRPr="0021657F" w:rsidRDefault="00267A5A" w:rsidP="0022057B">
            <w:pPr>
              <w:spacing w:line="240" w:lineRule="auto"/>
              <w:rPr>
                <w:color w:val="00B050"/>
              </w:rPr>
            </w:pPr>
            <w:r w:rsidRPr="0021657F">
              <w:rPr>
                <w:color w:val="00B050"/>
              </w:rPr>
              <w:t>Frequency of occupational accidents and occupational diseases in forestry</w:t>
            </w:r>
          </w:p>
        </w:tc>
      </w:tr>
      <w:tr w:rsidR="00267A5A" w14:paraId="05142A5D" w14:textId="77777777" w:rsidTr="0022057B">
        <w:tc>
          <w:tcPr>
            <w:tcW w:w="2139" w:type="dxa"/>
            <w:vMerge/>
          </w:tcPr>
          <w:p w14:paraId="135EB314" w14:textId="77777777" w:rsidR="00267A5A" w:rsidRDefault="00267A5A" w:rsidP="0022057B">
            <w:pPr>
              <w:spacing w:line="240" w:lineRule="auto"/>
            </w:pPr>
          </w:p>
        </w:tc>
        <w:tc>
          <w:tcPr>
            <w:tcW w:w="886" w:type="dxa"/>
          </w:tcPr>
          <w:p w14:paraId="3308B8FE" w14:textId="77777777" w:rsidR="00267A5A" w:rsidRPr="0021657F" w:rsidRDefault="00267A5A" w:rsidP="0022057B">
            <w:pPr>
              <w:spacing w:line="240" w:lineRule="auto"/>
              <w:rPr>
                <w:color w:val="00B050"/>
              </w:rPr>
            </w:pPr>
            <w:r w:rsidRPr="0021657F">
              <w:rPr>
                <w:color w:val="00B050"/>
              </w:rPr>
              <w:t>6.7</w:t>
            </w:r>
          </w:p>
        </w:tc>
        <w:tc>
          <w:tcPr>
            <w:tcW w:w="2136" w:type="dxa"/>
          </w:tcPr>
          <w:p w14:paraId="70ADC0FC" w14:textId="77777777" w:rsidR="00267A5A" w:rsidRPr="0021657F" w:rsidRDefault="00267A5A" w:rsidP="0022057B">
            <w:pPr>
              <w:spacing w:line="240" w:lineRule="auto"/>
              <w:rPr>
                <w:color w:val="00B050"/>
              </w:rPr>
            </w:pPr>
            <w:r w:rsidRPr="0021657F">
              <w:rPr>
                <w:color w:val="00B050"/>
              </w:rPr>
              <w:t>Wood consumption</w:t>
            </w:r>
          </w:p>
        </w:tc>
        <w:tc>
          <w:tcPr>
            <w:tcW w:w="3334" w:type="dxa"/>
          </w:tcPr>
          <w:p w14:paraId="54D18625" w14:textId="77777777" w:rsidR="00267A5A" w:rsidRPr="0021657F" w:rsidRDefault="00267A5A" w:rsidP="0022057B">
            <w:pPr>
              <w:spacing w:line="240" w:lineRule="auto"/>
              <w:rPr>
                <w:color w:val="00B050"/>
              </w:rPr>
            </w:pPr>
            <w:r w:rsidRPr="0021657F">
              <w:rPr>
                <w:color w:val="00B050"/>
              </w:rPr>
              <w:t>Consumption per head of wood and products derived from wood</w:t>
            </w:r>
          </w:p>
        </w:tc>
      </w:tr>
      <w:tr w:rsidR="00267A5A" w14:paraId="3B5997BC" w14:textId="77777777" w:rsidTr="0022057B">
        <w:tc>
          <w:tcPr>
            <w:tcW w:w="2139" w:type="dxa"/>
            <w:vMerge/>
          </w:tcPr>
          <w:p w14:paraId="71A9DAFE" w14:textId="77777777" w:rsidR="00267A5A" w:rsidRDefault="00267A5A" w:rsidP="0022057B">
            <w:pPr>
              <w:spacing w:line="240" w:lineRule="auto"/>
            </w:pPr>
          </w:p>
        </w:tc>
        <w:tc>
          <w:tcPr>
            <w:tcW w:w="886" w:type="dxa"/>
          </w:tcPr>
          <w:p w14:paraId="1C433EBB" w14:textId="77777777" w:rsidR="00267A5A" w:rsidRPr="0021657F" w:rsidRDefault="00267A5A" w:rsidP="0022057B">
            <w:pPr>
              <w:spacing w:line="240" w:lineRule="auto"/>
              <w:rPr>
                <w:color w:val="00B050"/>
              </w:rPr>
            </w:pPr>
            <w:r w:rsidRPr="0021657F">
              <w:rPr>
                <w:color w:val="00B050"/>
              </w:rPr>
              <w:t>6.8</w:t>
            </w:r>
          </w:p>
        </w:tc>
        <w:tc>
          <w:tcPr>
            <w:tcW w:w="2136" w:type="dxa"/>
          </w:tcPr>
          <w:p w14:paraId="5ACA5A88" w14:textId="77777777" w:rsidR="00267A5A" w:rsidRPr="0021657F" w:rsidRDefault="00267A5A" w:rsidP="0022057B">
            <w:pPr>
              <w:spacing w:line="240" w:lineRule="auto"/>
              <w:rPr>
                <w:color w:val="00B050"/>
              </w:rPr>
            </w:pPr>
            <w:r w:rsidRPr="0021657F">
              <w:rPr>
                <w:color w:val="00B050"/>
              </w:rPr>
              <w:t>Trade in wood</w:t>
            </w:r>
          </w:p>
        </w:tc>
        <w:tc>
          <w:tcPr>
            <w:tcW w:w="3334" w:type="dxa"/>
          </w:tcPr>
          <w:p w14:paraId="20000201" w14:textId="77777777" w:rsidR="00267A5A" w:rsidRPr="0021657F" w:rsidRDefault="00267A5A" w:rsidP="0022057B">
            <w:pPr>
              <w:spacing w:line="240" w:lineRule="auto"/>
              <w:rPr>
                <w:color w:val="00B050"/>
              </w:rPr>
            </w:pPr>
            <w:r w:rsidRPr="0021657F">
              <w:rPr>
                <w:color w:val="00B050"/>
              </w:rPr>
              <w:t>Imports and exports of wood and products derived from wood</w:t>
            </w:r>
          </w:p>
        </w:tc>
      </w:tr>
      <w:tr w:rsidR="00267A5A" w14:paraId="4E0C97F1" w14:textId="77777777" w:rsidTr="0022057B">
        <w:tc>
          <w:tcPr>
            <w:tcW w:w="2139" w:type="dxa"/>
            <w:vMerge/>
          </w:tcPr>
          <w:p w14:paraId="771EEA0D" w14:textId="77777777" w:rsidR="00267A5A" w:rsidRDefault="00267A5A" w:rsidP="0022057B">
            <w:pPr>
              <w:spacing w:line="240" w:lineRule="auto"/>
            </w:pPr>
          </w:p>
        </w:tc>
        <w:tc>
          <w:tcPr>
            <w:tcW w:w="886" w:type="dxa"/>
          </w:tcPr>
          <w:p w14:paraId="7805DDFE" w14:textId="77777777" w:rsidR="00267A5A" w:rsidRPr="0021657F" w:rsidRDefault="00267A5A" w:rsidP="0022057B">
            <w:pPr>
              <w:spacing w:line="240" w:lineRule="auto"/>
              <w:rPr>
                <w:color w:val="00B050"/>
              </w:rPr>
            </w:pPr>
            <w:r w:rsidRPr="0021657F">
              <w:rPr>
                <w:color w:val="00B050"/>
              </w:rPr>
              <w:t>6.9</w:t>
            </w:r>
          </w:p>
        </w:tc>
        <w:tc>
          <w:tcPr>
            <w:tcW w:w="2136" w:type="dxa"/>
          </w:tcPr>
          <w:p w14:paraId="1422616C" w14:textId="77777777" w:rsidR="00267A5A" w:rsidRPr="0021657F" w:rsidRDefault="00267A5A" w:rsidP="0022057B">
            <w:pPr>
              <w:spacing w:line="240" w:lineRule="auto"/>
              <w:rPr>
                <w:color w:val="00B050"/>
              </w:rPr>
            </w:pPr>
            <w:r w:rsidRPr="0021657F">
              <w:rPr>
                <w:color w:val="00B050"/>
              </w:rPr>
              <w:t>Wood energy</w:t>
            </w:r>
          </w:p>
        </w:tc>
        <w:tc>
          <w:tcPr>
            <w:tcW w:w="3334" w:type="dxa"/>
          </w:tcPr>
          <w:p w14:paraId="0600215D" w14:textId="77777777" w:rsidR="00267A5A" w:rsidRPr="0021657F" w:rsidRDefault="00267A5A" w:rsidP="0022057B">
            <w:pPr>
              <w:spacing w:line="240" w:lineRule="auto"/>
              <w:rPr>
                <w:color w:val="00B050"/>
              </w:rPr>
            </w:pPr>
            <w:r w:rsidRPr="0021657F">
              <w:rPr>
                <w:color w:val="00B050"/>
              </w:rPr>
              <w:t>Share of wood energy in total primary energy supply, classified by origin of wood</w:t>
            </w:r>
          </w:p>
        </w:tc>
      </w:tr>
      <w:tr w:rsidR="00267A5A" w14:paraId="70F08FEA" w14:textId="77777777" w:rsidTr="0022057B">
        <w:tc>
          <w:tcPr>
            <w:tcW w:w="2139" w:type="dxa"/>
            <w:vMerge/>
          </w:tcPr>
          <w:p w14:paraId="542DEA5E" w14:textId="77777777" w:rsidR="00267A5A" w:rsidRDefault="00267A5A" w:rsidP="0022057B">
            <w:pPr>
              <w:spacing w:line="240" w:lineRule="auto"/>
            </w:pPr>
          </w:p>
        </w:tc>
        <w:tc>
          <w:tcPr>
            <w:tcW w:w="886" w:type="dxa"/>
          </w:tcPr>
          <w:p w14:paraId="0084EE9F" w14:textId="77777777" w:rsidR="00267A5A" w:rsidRPr="0021657F" w:rsidRDefault="00267A5A" w:rsidP="0022057B">
            <w:pPr>
              <w:spacing w:line="240" w:lineRule="auto"/>
              <w:rPr>
                <w:color w:val="00B050"/>
              </w:rPr>
            </w:pPr>
            <w:r w:rsidRPr="0021657F">
              <w:rPr>
                <w:color w:val="00B050"/>
              </w:rPr>
              <w:t>6.10</w:t>
            </w:r>
          </w:p>
        </w:tc>
        <w:tc>
          <w:tcPr>
            <w:tcW w:w="2136" w:type="dxa"/>
          </w:tcPr>
          <w:p w14:paraId="06C2EE68" w14:textId="77777777" w:rsidR="00267A5A" w:rsidRPr="0021657F" w:rsidRDefault="00267A5A" w:rsidP="0022057B">
            <w:pPr>
              <w:spacing w:line="240" w:lineRule="auto"/>
              <w:rPr>
                <w:color w:val="00B050"/>
              </w:rPr>
            </w:pPr>
            <w:r w:rsidRPr="0021657F">
              <w:rPr>
                <w:color w:val="00B050"/>
              </w:rPr>
              <w:t>Recreation in forests</w:t>
            </w:r>
          </w:p>
        </w:tc>
        <w:tc>
          <w:tcPr>
            <w:tcW w:w="3334" w:type="dxa"/>
          </w:tcPr>
          <w:p w14:paraId="7F40B870" w14:textId="77777777" w:rsidR="00267A5A" w:rsidRPr="0021657F" w:rsidRDefault="00267A5A" w:rsidP="0022057B">
            <w:pPr>
              <w:spacing w:line="240" w:lineRule="auto"/>
              <w:rPr>
                <w:color w:val="00B050"/>
              </w:rPr>
            </w:pPr>
            <w:r w:rsidRPr="0021657F">
              <w:rPr>
                <w:color w:val="00B050"/>
              </w:rPr>
              <w:t>The use of forests and other wooded land for recreation in terms of right of access, provision of facilities and intensity of use</w:t>
            </w:r>
          </w:p>
        </w:tc>
      </w:tr>
    </w:tbl>
    <w:p w14:paraId="1E677C4B" w14:textId="1858BE94" w:rsidR="00087DC3" w:rsidRPr="00EE5690" w:rsidRDefault="002666EC" w:rsidP="005D4B20">
      <w:pPr>
        <w:pStyle w:val="MAIL11"/>
      </w:pPr>
      <w:bookmarkStart w:id="17" w:name="_Toc91752381"/>
      <w:r w:rsidRPr="00EE5690">
        <w:t>Pan European Guidelines for Af</w:t>
      </w:r>
      <w:r w:rsidR="00925E22" w:rsidRPr="00EE5690">
        <w:t>f</w:t>
      </w:r>
      <w:r w:rsidRPr="00EE5690">
        <w:t xml:space="preserve">orestation and </w:t>
      </w:r>
      <w:r w:rsidR="00925E22" w:rsidRPr="00EE5690">
        <w:t>Reforestation</w:t>
      </w:r>
      <w:bookmarkEnd w:id="17"/>
    </w:p>
    <w:p w14:paraId="055E91B2" w14:textId="6379434D" w:rsidR="00925E22" w:rsidRPr="00EE5690" w:rsidRDefault="00925E22" w:rsidP="00BD449D">
      <w:pPr>
        <w:rPr>
          <w:rFonts w:cs="Arial"/>
          <w:lang w:val="en-GB"/>
        </w:rPr>
      </w:pPr>
      <w:r w:rsidRPr="00EE5690">
        <w:rPr>
          <w:rFonts w:cs="Arial"/>
          <w:lang w:val="en-GB"/>
        </w:rPr>
        <w:t xml:space="preserve">The Pan European Guidelines for Afforestation and Reforestation with a special focus on the provision of the UNFCCC were adopted by the MCPFE Expert Level Meeting on 12-13 </w:t>
      </w:r>
      <w:r w:rsidR="00B14B42" w:rsidRPr="00EE5690">
        <w:rPr>
          <w:rFonts w:cs="Arial"/>
          <w:lang w:val="en-GB"/>
        </w:rPr>
        <w:t>November</w:t>
      </w:r>
      <w:r w:rsidRPr="00EE5690">
        <w:rPr>
          <w:rFonts w:cs="Arial"/>
          <w:lang w:val="en-GB"/>
        </w:rPr>
        <w:t xml:space="preserve"> 2008 and by the PEBLDS Bureau on behalf of the PEBLDS Council on 4 </w:t>
      </w:r>
      <w:proofErr w:type="gramStart"/>
      <w:r w:rsidRPr="00EE5690">
        <w:rPr>
          <w:rFonts w:cs="Arial"/>
          <w:lang w:val="en-GB"/>
        </w:rPr>
        <w:t>November,</w:t>
      </w:r>
      <w:proofErr w:type="gramEnd"/>
      <w:r w:rsidRPr="00EE5690">
        <w:rPr>
          <w:rFonts w:cs="Arial"/>
          <w:lang w:val="en-GB"/>
        </w:rPr>
        <w:t xml:space="preserve"> 2008. </w:t>
      </w:r>
    </w:p>
    <w:p w14:paraId="60DEDE3D" w14:textId="6FEEE234" w:rsidR="00925E22" w:rsidRPr="00EE5690" w:rsidRDefault="00925E22" w:rsidP="00BD449D">
      <w:pPr>
        <w:rPr>
          <w:rFonts w:cs="Arial"/>
          <w:lang w:val="en-GB"/>
        </w:rPr>
      </w:pPr>
      <w:r w:rsidRPr="00EE5690">
        <w:rPr>
          <w:rFonts w:cs="Arial"/>
          <w:lang w:val="en-GB"/>
        </w:rPr>
        <w:t>Afforestation and reforestation are included in the Kyoto Protocol and Marrakesh Accords to the United Nations Framework Conventions on Climate change (UNFCCC) as possible measures to reduce CO2 level in the atmosphere and define respective mechanisms and modalities. Furthermore</w:t>
      </w:r>
      <w:r w:rsidR="009A3C63">
        <w:rPr>
          <w:rFonts w:cs="Arial"/>
          <w:lang w:val="en-GB"/>
        </w:rPr>
        <w:t>,</w:t>
      </w:r>
      <w:r w:rsidRPr="00EE5690">
        <w:rPr>
          <w:rFonts w:cs="Arial"/>
          <w:lang w:val="en-GB"/>
        </w:rPr>
        <w:t xml:space="preserve"> the convention on Biological Diversity (CBD) </w:t>
      </w:r>
      <w:r w:rsidRPr="00EE5690">
        <w:rPr>
          <w:rFonts w:cs="Arial"/>
          <w:lang w:val="en-GB"/>
        </w:rPr>
        <w:lastRenderedPageBreak/>
        <w:t xml:space="preserve">stresses that “carbon sequestration activities should be conducted in accordance with sustainable use and conservation of biological diversity.” </w:t>
      </w:r>
    </w:p>
    <w:p w14:paraId="552747D4" w14:textId="32DB36F5" w:rsidR="00925E22" w:rsidRPr="00EE5690" w:rsidRDefault="00595C61" w:rsidP="00BD449D">
      <w:pPr>
        <w:rPr>
          <w:rFonts w:cs="Arial"/>
          <w:lang w:val="en-GB"/>
        </w:rPr>
      </w:pPr>
      <w:r w:rsidRPr="00EE5690">
        <w:rPr>
          <w:rFonts w:cs="Arial"/>
          <w:lang w:val="en-GB"/>
        </w:rPr>
        <w:t>“</w:t>
      </w:r>
      <w:r w:rsidR="00925E22" w:rsidRPr="00EE5690">
        <w:rPr>
          <w:rFonts w:cs="Arial"/>
          <w:lang w:val="en-GB"/>
        </w:rPr>
        <w:t xml:space="preserve">The pan European Guidelines have </w:t>
      </w:r>
      <w:r w:rsidR="00655F0C" w:rsidRPr="00EE5690">
        <w:rPr>
          <w:rFonts w:cs="Arial"/>
          <w:lang w:val="en-GB"/>
        </w:rPr>
        <w:t>been prepared for consideration of in afforestation and reforestation programmes that aim inter alia at carbon sequestration and reduction of CO2 emissions including biomass production</w:t>
      </w:r>
      <w:r w:rsidRPr="00EE5690">
        <w:rPr>
          <w:rFonts w:cs="Arial"/>
          <w:lang w:val="en-GB"/>
        </w:rPr>
        <w:t>”</w:t>
      </w:r>
      <w:r w:rsidR="00655F0C" w:rsidRPr="00EE5690">
        <w:rPr>
          <w:rFonts w:cs="Arial"/>
          <w:lang w:val="en-GB"/>
        </w:rPr>
        <w:t xml:space="preserve"> (Pan European Guidelines for Afforestation and Reforestation with a special focus on the provision of the UNFCCC</w:t>
      </w:r>
      <w:r w:rsidR="00655F0C" w:rsidRPr="00EE5690">
        <w:rPr>
          <w:rFonts w:cs="Arial"/>
        </w:rPr>
        <w:t>, 2008</w:t>
      </w:r>
      <w:r w:rsidR="00655F0C" w:rsidRPr="00EE5690">
        <w:rPr>
          <w:rFonts w:cs="Arial"/>
          <w:lang w:val="en-GB"/>
        </w:rPr>
        <w:t>).</w:t>
      </w:r>
    </w:p>
    <w:p w14:paraId="273B758C" w14:textId="537B0614" w:rsidR="00595C61" w:rsidRPr="00EE5690" w:rsidRDefault="00595C61" w:rsidP="00BD449D">
      <w:pPr>
        <w:rPr>
          <w:rFonts w:cs="Arial"/>
          <w:lang w:val="en-GB"/>
        </w:rPr>
      </w:pPr>
      <w:r w:rsidRPr="00EE5690">
        <w:rPr>
          <w:rFonts w:cs="Arial"/>
          <w:lang w:val="en-GB"/>
        </w:rPr>
        <w:t xml:space="preserve">The guidelines come as recommendations for voluntary use and can be applied by national authorities as well as by other relevant bodies and stakeholders. They focus on providing guidance for the implementation of economically viable, environmental sound, socially equitable, and culturally acceptable </w:t>
      </w:r>
      <w:proofErr w:type="gramStart"/>
      <w:r w:rsidRPr="00EE5690">
        <w:rPr>
          <w:rFonts w:cs="Arial"/>
          <w:lang w:val="en-GB"/>
        </w:rPr>
        <w:t>afforestation</w:t>
      </w:r>
      <w:proofErr w:type="gramEnd"/>
      <w:r w:rsidRPr="00EE5690">
        <w:rPr>
          <w:rFonts w:cs="Arial"/>
          <w:lang w:val="en-GB"/>
        </w:rPr>
        <w:t xml:space="preserve"> and reforestation projects.  </w:t>
      </w:r>
    </w:p>
    <w:p w14:paraId="582CC1E3" w14:textId="4D1A7D1F" w:rsidR="00F71F61" w:rsidRPr="00E2138D" w:rsidRDefault="00F71F61" w:rsidP="009A3C63">
      <w:pPr>
        <w:pStyle w:val="Caption"/>
        <w:rPr>
          <w:rFonts w:cs="Arial"/>
        </w:rPr>
      </w:pPr>
      <w:bookmarkStart w:id="18" w:name="_Toc91752544"/>
      <w:r w:rsidRPr="00E2138D">
        <w:rPr>
          <w:rFonts w:cs="Arial"/>
        </w:rPr>
        <w:t xml:space="preserve">Table </w:t>
      </w:r>
      <w:r w:rsidRPr="00E2138D">
        <w:rPr>
          <w:rFonts w:cs="Arial"/>
        </w:rPr>
        <w:fldChar w:fldCharType="begin"/>
      </w:r>
      <w:r w:rsidRPr="00E2138D">
        <w:rPr>
          <w:rFonts w:cs="Arial"/>
        </w:rPr>
        <w:instrText xml:space="preserve"> SEQ Table \* ARABIC </w:instrText>
      </w:r>
      <w:r w:rsidRPr="00E2138D">
        <w:rPr>
          <w:rFonts w:cs="Arial"/>
        </w:rPr>
        <w:fldChar w:fldCharType="separate"/>
      </w:r>
      <w:r w:rsidR="0073710A">
        <w:rPr>
          <w:rFonts w:cs="Arial"/>
          <w:noProof/>
        </w:rPr>
        <w:t>5</w:t>
      </w:r>
      <w:r w:rsidRPr="00E2138D">
        <w:rPr>
          <w:rFonts w:cs="Arial"/>
        </w:rPr>
        <w:fldChar w:fldCharType="end"/>
      </w:r>
      <w:r w:rsidRPr="00E2138D">
        <w:rPr>
          <w:rFonts w:cs="Arial"/>
        </w:rPr>
        <w:t xml:space="preserve"> Pan European Guidelines for Afforestation and reforestation projects. (Source: Pan European Guidelines for Afforestation and Reforestation with a special focus on the provision of the UNFCCC, 2008)</w:t>
      </w:r>
      <w:bookmarkEnd w:id="18"/>
    </w:p>
    <w:tbl>
      <w:tblPr>
        <w:tblStyle w:val="TableGrid"/>
        <w:tblW w:w="8635" w:type="dxa"/>
        <w:tblLook w:val="04A0" w:firstRow="1" w:lastRow="0" w:firstColumn="1" w:lastColumn="0" w:noHBand="0" w:noVBand="1"/>
      </w:tblPr>
      <w:tblGrid>
        <w:gridCol w:w="8635"/>
      </w:tblGrid>
      <w:tr w:rsidR="00267A5A" w14:paraId="5B01563A" w14:textId="77777777" w:rsidTr="0022057B">
        <w:tc>
          <w:tcPr>
            <w:tcW w:w="8635" w:type="dxa"/>
            <w:shd w:val="clear" w:color="auto" w:fill="BFBFBF" w:themeFill="background1" w:themeFillShade="BF"/>
            <w:vAlign w:val="center"/>
          </w:tcPr>
          <w:p w14:paraId="11468FA5" w14:textId="77777777" w:rsidR="00267A5A" w:rsidRPr="00A042C0" w:rsidRDefault="00267A5A" w:rsidP="0022057B">
            <w:pPr>
              <w:jc w:val="center"/>
              <w:rPr>
                <w:lang w:val="en-GB"/>
              </w:rPr>
            </w:pPr>
            <w:r w:rsidRPr="002F63D2">
              <w:rPr>
                <w:b/>
                <w:lang w:val="en-GB"/>
              </w:rPr>
              <w:t>General Guidelines</w:t>
            </w:r>
          </w:p>
        </w:tc>
      </w:tr>
      <w:tr w:rsidR="00267A5A" w14:paraId="42F7770D" w14:textId="77777777" w:rsidTr="0022057B">
        <w:tc>
          <w:tcPr>
            <w:tcW w:w="8635" w:type="dxa"/>
            <w:shd w:val="clear" w:color="auto" w:fill="B4DCFA" w:themeFill="background2"/>
          </w:tcPr>
          <w:p w14:paraId="5D55E322" w14:textId="77777777" w:rsidR="00267A5A" w:rsidRDefault="00267A5A" w:rsidP="0022057B">
            <w:pPr>
              <w:rPr>
                <w:lang w:val="en-GB"/>
              </w:rPr>
            </w:pPr>
            <w:r w:rsidRPr="00A042C0">
              <w:rPr>
                <w:lang w:val="en-GB"/>
              </w:rPr>
              <w:t>Pan-European Criteria and Indicators for Sustainable Forest Management (SFM) should be used as an overall framework for afforestation and reforestation programmes and all related measures should be consistent with SFM and the application of the Ecosystem Approach to forest ecosystems in the pan-European region.</w:t>
            </w:r>
          </w:p>
        </w:tc>
      </w:tr>
      <w:tr w:rsidR="00267A5A" w14:paraId="3430D71F" w14:textId="77777777" w:rsidTr="0022057B">
        <w:tc>
          <w:tcPr>
            <w:tcW w:w="8635" w:type="dxa"/>
            <w:shd w:val="clear" w:color="auto" w:fill="B4DCFA" w:themeFill="background2"/>
          </w:tcPr>
          <w:p w14:paraId="2A9F168D" w14:textId="77777777" w:rsidR="00267A5A" w:rsidRDefault="00267A5A" w:rsidP="0022057B">
            <w:pPr>
              <w:rPr>
                <w:lang w:val="en-GB"/>
              </w:rPr>
            </w:pPr>
            <w:r w:rsidRPr="00A042C0">
              <w:rPr>
                <w:lang w:val="en-GB"/>
              </w:rPr>
              <w:t>The Pan-European Operational Level Guidelines for SFM should be used as a tool to promote and implement sustainable forest management at the management unit level.</w:t>
            </w:r>
          </w:p>
        </w:tc>
      </w:tr>
      <w:tr w:rsidR="00267A5A" w14:paraId="787F89F6" w14:textId="77777777" w:rsidTr="0022057B">
        <w:tc>
          <w:tcPr>
            <w:tcW w:w="8635" w:type="dxa"/>
            <w:shd w:val="clear" w:color="auto" w:fill="B4DCFA" w:themeFill="background2"/>
          </w:tcPr>
          <w:p w14:paraId="50B98711" w14:textId="77777777" w:rsidR="00267A5A" w:rsidRDefault="00267A5A" w:rsidP="0022057B">
            <w:pPr>
              <w:rPr>
                <w:lang w:val="en-GB"/>
              </w:rPr>
            </w:pPr>
            <w:r w:rsidRPr="00A042C0">
              <w:rPr>
                <w:lang w:val="en-GB"/>
              </w:rPr>
              <w:t xml:space="preserve">Woody biomass production systems including short rotation/fast growing plantations should </w:t>
            </w:r>
            <w:proofErr w:type="gramStart"/>
            <w:r w:rsidRPr="00A042C0">
              <w:rPr>
                <w:lang w:val="en-GB"/>
              </w:rPr>
              <w:t>take into account</w:t>
            </w:r>
            <w:proofErr w:type="gramEnd"/>
            <w:r w:rsidRPr="00A042C0">
              <w:rPr>
                <w:lang w:val="en-GB"/>
              </w:rPr>
              <w:t xml:space="preserve"> economic, environmental, social and cultural aspects of sustainable management.</w:t>
            </w:r>
          </w:p>
        </w:tc>
      </w:tr>
      <w:tr w:rsidR="00267A5A" w14:paraId="5FE7FAAE" w14:textId="77777777" w:rsidTr="0022057B">
        <w:tc>
          <w:tcPr>
            <w:tcW w:w="8635" w:type="dxa"/>
            <w:shd w:val="clear" w:color="auto" w:fill="B4DCFA" w:themeFill="background2"/>
          </w:tcPr>
          <w:p w14:paraId="4FDCAD0F" w14:textId="77777777" w:rsidR="00267A5A" w:rsidRDefault="00267A5A" w:rsidP="0022057B">
            <w:pPr>
              <w:rPr>
                <w:lang w:val="en-GB"/>
              </w:rPr>
            </w:pPr>
            <w:r w:rsidRPr="00A042C0">
              <w:rPr>
                <w:lang w:val="en-GB"/>
              </w:rPr>
              <w:t>Synergies in the national and regional implementation of international commitments under UNFF, UNFCCC, CBD and UNCCD should be promoted when carrying out afforestation and reforestation activities.</w:t>
            </w:r>
          </w:p>
        </w:tc>
      </w:tr>
      <w:tr w:rsidR="00267A5A" w14:paraId="56D6BEBB" w14:textId="77777777" w:rsidTr="0022057B">
        <w:tc>
          <w:tcPr>
            <w:tcW w:w="8635" w:type="dxa"/>
            <w:shd w:val="clear" w:color="auto" w:fill="B4DCFA" w:themeFill="background2"/>
          </w:tcPr>
          <w:p w14:paraId="6188C412" w14:textId="77777777" w:rsidR="00267A5A" w:rsidRDefault="00267A5A" w:rsidP="0022057B">
            <w:pPr>
              <w:rPr>
                <w:lang w:val="en-GB"/>
              </w:rPr>
            </w:pPr>
            <w:r w:rsidRPr="00A042C0">
              <w:rPr>
                <w:lang w:val="en-GB"/>
              </w:rPr>
              <w:t>These guidelines should be considered in national policies and programmes related to forests and forestry (</w:t>
            </w:r>
            <w:proofErr w:type="gramStart"/>
            <w:r w:rsidRPr="00A042C0">
              <w:rPr>
                <w:lang w:val="en-GB"/>
              </w:rPr>
              <w:t>e.g.</w:t>
            </w:r>
            <w:proofErr w:type="gramEnd"/>
            <w:r w:rsidRPr="00A042C0">
              <w:rPr>
                <w:lang w:val="en-GB"/>
              </w:rPr>
              <w:t xml:space="preserve"> National Forest Programmes), biodiversity (e.g. National Biodiversity Strategies and Action Plans), climate change, energy, land use planning and management, integrated water resources management and agriculture.</w:t>
            </w:r>
          </w:p>
        </w:tc>
      </w:tr>
      <w:tr w:rsidR="00267A5A" w14:paraId="03CB1C72" w14:textId="77777777" w:rsidTr="0022057B">
        <w:tc>
          <w:tcPr>
            <w:tcW w:w="8635" w:type="dxa"/>
            <w:shd w:val="clear" w:color="auto" w:fill="B4DCFA" w:themeFill="background2"/>
          </w:tcPr>
          <w:p w14:paraId="075FDDC2" w14:textId="77777777" w:rsidR="00267A5A" w:rsidRDefault="00267A5A" w:rsidP="0022057B">
            <w:pPr>
              <w:rPr>
                <w:lang w:val="en-GB"/>
              </w:rPr>
            </w:pPr>
            <w:r w:rsidRPr="00A042C0">
              <w:rPr>
                <w:lang w:val="en-GB"/>
              </w:rPr>
              <w:t xml:space="preserve">Clear administrative responsibilities within countries regarding afforestation and reforestation programmes should be established and effective information-sharing and </w:t>
            </w:r>
            <w:r w:rsidRPr="00A042C0">
              <w:rPr>
                <w:lang w:val="en-GB"/>
              </w:rPr>
              <w:lastRenderedPageBreak/>
              <w:t>cross-sectoral cooperation between relevant authorities and stakeholders involved should be provided.</w:t>
            </w:r>
          </w:p>
        </w:tc>
      </w:tr>
      <w:tr w:rsidR="00267A5A" w14:paraId="2FDBE2C6" w14:textId="77777777" w:rsidTr="0022057B">
        <w:tc>
          <w:tcPr>
            <w:tcW w:w="8635" w:type="dxa"/>
            <w:shd w:val="clear" w:color="auto" w:fill="B4DCFA" w:themeFill="background2"/>
          </w:tcPr>
          <w:p w14:paraId="220EE109" w14:textId="77777777" w:rsidR="00267A5A" w:rsidRDefault="00267A5A" w:rsidP="0022057B">
            <w:pPr>
              <w:rPr>
                <w:lang w:val="en-GB"/>
              </w:rPr>
            </w:pPr>
            <w:r w:rsidRPr="00A042C0">
              <w:rPr>
                <w:lang w:val="en-GB"/>
              </w:rPr>
              <w:lastRenderedPageBreak/>
              <w:t xml:space="preserve">Economic, environmental, </w:t>
            </w:r>
            <w:proofErr w:type="gramStart"/>
            <w:r w:rsidRPr="00A042C0">
              <w:rPr>
                <w:lang w:val="en-GB"/>
              </w:rPr>
              <w:t>social</w:t>
            </w:r>
            <w:proofErr w:type="gramEnd"/>
            <w:r w:rsidRPr="00A042C0">
              <w:rPr>
                <w:lang w:val="en-GB"/>
              </w:rPr>
              <w:t xml:space="preserve"> and cultural impacts of planned afforestation and reforestation programmes should be assessed, as appropriate, in accordance with environmental impact assessment procedures and in consultation with local communities and stakeholders.</w:t>
            </w:r>
          </w:p>
        </w:tc>
      </w:tr>
      <w:tr w:rsidR="00267A5A" w14:paraId="4DB71E52" w14:textId="77777777" w:rsidTr="0022057B">
        <w:tc>
          <w:tcPr>
            <w:tcW w:w="8635" w:type="dxa"/>
            <w:shd w:val="clear" w:color="auto" w:fill="B4DCFA" w:themeFill="background2"/>
          </w:tcPr>
          <w:p w14:paraId="21978ADE" w14:textId="77777777" w:rsidR="00267A5A" w:rsidRDefault="00267A5A" w:rsidP="0022057B">
            <w:pPr>
              <w:rPr>
                <w:lang w:val="en-GB"/>
              </w:rPr>
            </w:pPr>
            <w:r w:rsidRPr="00A042C0">
              <w:rPr>
                <w:lang w:val="en-GB"/>
              </w:rPr>
              <w:t xml:space="preserve">Relevant traditional knowledge should be </w:t>
            </w:r>
            <w:proofErr w:type="gramStart"/>
            <w:r w:rsidRPr="00A042C0">
              <w:rPr>
                <w:lang w:val="en-GB"/>
              </w:rPr>
              <w:t>taken into account</w:t>
            </w:r>
            <w:proofErr w:type="gramEnd"/>
            <w:r w:rsidRPr="00A042C0">
              <w:rPr>
                <w:lang w:val="en-GB"/>
              </w:rPr>
              <w:t xml:space="preserve"> when preparing and establishing afforestation and reforestation programmes.</w:t>
            </w:r>
          </w:p>
        </w:tc>
      </w:tr>
      <w:tr w:rsidR="00267A5A" w14:paraId="4628D9E0" w14:textId="77777777" w:rsidTr="0022057B">
        <w:tc>
          <w:tcPr>
            <w:tcW w:w="8635" w:type="dxa"/>
            <w:shd w:val="clear" w:color="auto" w:fill="B4DCFA" w:themeFill="background2"/>
          </w:tcPr>
          <w:p w14:paraId="0513080F" w14:textId="77777777" w:rsidR="00267A5A" w:rsidRDefault="00267A5A" w:rsidP="0022057B">
            <w:pPr>
              <w:rPr>
                <w:lang w:val="en-GB"/>
              </w:rPr>
            </w:pPr>
            <w:r w:rsidRPr="00A042C0">
              <w:rPr>
                <w:lang w:val="en-GB"/>
              </w:rPr>
              <w:t xml:space="preserve">Afforestation and reforestation areas should be included in ongoing or planned national monitoring schemes to evaluate their economic, environmental, </w:t>
            </w:r>
            <w:proofErr w:type="gramStart"/>
            <w:r w:rsidRPr="00A042C0">
              <w:rPr>
                <w:lang w:val="en-GB"/>
              </w:rPr>
              <w:t>social</w:t>
            </w:r>
            <w:proofErr w:type="gramEnd"/>
            <w:r w:rsidRPr="00A042C0">
              <w:rPr>
                <w:lang w:val="en-GB"/>
              </w:rPr>
              <w:t xml:space="preserve"> and cultural impacts and respective carbon balances.</w:t>
            </w:r>
          </w:p>
        </w:tc>
      </w:tr>
      <w:tr w:rsidR="00267A5A" w14:paraId="05829F7E" w14:textId="77777777" w:rsidTr="0022057B">
        <w:tc>
          <w:tcPr>
            <w:tcW w:w="8635" w:type="dxa"/>
            <w:shd w:val="clear" w:color="auto" w:fill="B4DCFA" w:themeFill="background2"/>
          </w:tcPr>
          <w:p w14:paraId="283B4995" w14:textId="77777777" w:rsidR="00267A5A" w:rsidRDefault="00267A5A" w:rsidP="0022057B">
            <w:pPr>
              <w:rPr>
                <w:lang w:val="en-GB"/>
              </w:rPr>
            </w:pPr>
            <w:r w:rsidRPr="00A042C0">
              <w:rPr>
                <w:lang w:val="en-GB"/>
              </w:rPr>
              <w:t>Afforestation and reforestation projects should contribute to the maintenance or improve the provision of ecosystem goods and services at the landscape level.</w:t>
            </w:r>
          </w:p>
        </w:tc>
      </w:tr>
      <w:tr w:rsidR="00267A5A" w14:paraId="07189E06" w14:textId="77777777" w:rsidTr="0022057B">
        <w:tc>
          <w:tcPr>
            <w:tcW w:w="8635" w:type="dxa"/>
            <w:shd w:val="clear" w:color="auto" w:fill="B4DCFA" w:themeFill="background2"/>
          </w:tcPr>
          <w:p w14:paraId="7F2D4763" w14:textId="77777777" w:rsidR="00267A5A" w:rsidRDefault="00267A5A" w:rsidP="0022057B">
            <w:pPr>
              <w:rPr>
                <w:lang w:val="en-GB"/>
              </w:rPr>
            </w:pPr>
            <w:r w:rsidRPr="00A042C0">
              <w:rPr>
                <w:lang w:val="en-GB"/>
              </w:rPr>
              <w:t>Afforestation and reforestation projects should be promoted that benefit climate change mitigation, biomass production, biodiversity conservation, soil and water protection, and erosion and desertification control.</w:t>
            </w:r>
          </w:p>
        </w:tc>
      </w:tr>
      <w:tr w:rsidR="00267A5A" w14:paraId="15B2571A" w14:textId="77777777" w:rsidTr="0022057B">
        <w:tc>
          <w:tcPr>
            <w:tcW w:w="8635" w:type="dxa"/>
            <w:shd w:val="clear" w:color="auto" w:fill="B4DCFA" w:themeFill="background2"/>
          </w:tcPr>
          <w:p w14:paraId="567305CC" w14:textId="77777777" w:rsidR="00267A5A" w:rsidRDefault="00267A5A" w:rsidP="0022057B">
            <w:pPr>
              <w:rPr>
                <w:lang w:val="en-GB"/>
              </w:rPr>
            </w:pPr>
            <w:r w:rsidRPr="00A042C0">
              <w:rPr>
                <w:lang w:val="en-GB"/>
              </w:rPr>
              <w:t>Afforestation and reforestation projects should be used to mitigate against natural hazards, (wind, storms, landslides, etc.) and the impacts of these hazards on human settlements and infrastructure.</w:t>
            </w:r>
          </w:p>
        </w:tc>
      </w:tr>
      <w:tr w:rsidR="00267A5A" w14:paraId="04112A83" w14:textId="77777777" w:rsidTr="0022057B">
        <w:tc>
          <w:tcPr>
            <w:tcW w:w="8635" w:type="dxa"/>
            <w:shd w:val="clear" w:color="auto" w:fill="B4DCFA" w:themeFill="background2"/>
          </w:tcPr>
          <w:p w14:paraId="75C43AD0" w14:textId="77777777" w:rsidR="00267A5A" w:rsidRDefault="00267A5A" w:rsidP="0022057B">
            <w:pPr>
              <w:rPr>
                <w:lang w:val="en-GB"/>
              </w:rPr>
            </w:pPr>
            <w:r w:rsidRPr="00A042C0">
              <w:rPr>
                <w:lang w:val="en-GB"/>
              </w:rPr>
              <w:t>Afforestation and reforestation areas should be protected against potentially injurious pests and diseases.</w:t>
            </w:r>
          </w:p>
        </w:tc>
      </w:tr>
      <w:tr w:rsidR="00267A5A" w14:paraId="7689319A" w14:textId="77777777" w:rsidTr="0022057B">
        <w:tc>
          <w:tcPr>
            <w:tcW w:w="8635" w:type="dxa"/>
            <w:shd w:val="clear" w:color="auto" w:fill="B4DCFA" w:themeFill="background2"/>
          </w:tcPr>
          <w:p w14:paraId="21989B44" w14:textId="77777777" w:rsidR="00267A5A" w:rsidRDefault="00267A5A" w:rsidP="0022057B">
            <w:pPr>
              <w:rPr>
                <w:lang w:val="en-GB"/>
              </w:rPr>
            </w:pPr>
            <w:r w:rsidRPr="00A042C0">
              <w:rPr>
                <w:lang w:val="en-GB"/>
              </w:rPr>
              <w:t xml:space="preserve">The fire risk in an area of an intended afforestation/reforestation should be assessed and afforestation and reforestation programmes should </w:t>
            </w:r>
            <w:proofErr w:type="gramStart"/>
            <w:r w:rsidRPr="00A042C0">
              <w:rPr>
                <w:lang w:val="en-GB"/>
              </w:rPr>
              <w:t>take into account</w:t>
            </w:r>
            <w:proofErr w:type="gramEnd"/>
            <w:r w:rsidRPr="00A042C0">
              <w:rPr>
                <w:lang w:val="en-GB"/>
              </w:rPr>
              <w:t xml:space="preserve"> national or sub-national forest fire protection plans, accordingly.</w:t>
            </w:r>
          </w:p>
        </w:tc>
      </w:tr>
      <w:tr w:rsidR="00267A5A" w14:paraId="3BE2025D" w14:textId="77777777" w:rsidTr="0022057B">
        <w:tc>
          <w:tcPr>
            <w:tcW w:w="8635" w:type="dxa"/>
            <w:shd w:val="clear" w:color="auto" w:fill="B4DCFA" w:themeFill="background2"/>
          </w:tcPr>
          <w:p w14:paraId="0840E01A" w14:textId="77777777" w:rsidR="00267A5A" w:rsidRDefault="00267A5A" w:rsidP="0022057B">
            <w:pPr>
              <w:rPr>
                <w:lang w:val="en-GB"/>
              </w:rPr>
            </w:pPr>
            <w:r w:rsidRPr="00A042C0">
              <w:rPr>
                <w:lang w:val="en-GB"/>
              </w:rPr>
              <w:t xml:space="preserve">Research on afforestation and reforestation, such as research on species and provenance adaptation to climate change, as well as inter-disciplinary research on related economic, environmental, </w:t>
            </w:r>
            <w:proofErr w:type="gramStart"/>
            <w:r w:rsidRPr="00A042C0">
              <w:rPr>
                <w:lang w:val="en-GB"/>
              </w:rPr>
              <w:t>social</w:t>
            </w:r>
            <w:proofErr w:type="gramEnd"/>
            <w:r w:rsidRPr="00A042C0">
              <w:rPr>
                <w:lang w:val="en-GB"/>
              </w:rPr>
              <w:t xml:space="preserve"> and cultural aspects should be encouraged.</w:t>
            </w:r>
          </w:p>
        </w:tc>
      </w:tr>
      <w:tr w:rsidR="00267A5A" w14:paraId="49C35865" w14:textId="77777777" w:rsidTr="0022057B">
        <w:tc>
          <w:tcPr>
            <w:tcW w:w="8635" w:type="dxa"/>
            <w:shd w:val="clear" w:color="auto" w:fill="B4DCFA" w:themeFill="background2"/>
          </w:tcPr>
          <w:p w14:paraId="6881771C" w14:textId="77777777" w:rsidR="00267A5A" w:rsidRDefault="00267A5A" w:rsidP="0022057B">
            <w:pPr>
              <w:rPr>
                <w:lang w:val="en-GB"/>
              </w:rPr>
            </w:pPr>
            <w:r w:rsidRPr="002F63D2">
              <w:rPr>
                <w:lang w:val="en-GB"/>
              </w:rPr>
              <w:t xml:space="preserve">Public awareness on sustainability issues related to afforestation and reforestation and on their potential environmental, </w:t>
            </w:r>
            <w:proofErr w:type="gramStart"/>
            <w:r w:rsidRPr="002F63D2">
              <w:rPr>
                <w:lang w:val="en-GB"/>
              </w:rPr>
              <w:t>social</w:t>
            </w:r>
            <w:proofErr w:type="gramEnd"/>
            <w:r w:rsidRPr="002F63D2">
              <w:rPr>
                <w:lang w:val="en-GB"/>
              </w:rPr>
              <w:t xml:space="preserve"> and economic benefits should be raised.</w:t>
            </w:r>
          </w:p>
        </w:tc>
      </w:tr>
      <w:tr w:rsidR="00267A5A" w14:paraId="65A17BDC" w14:textId="77777777" w:rsidTr="0022057B">
        <w:tc>
          <w:tcPr>
            <w:tcW w:w="8635" w:type="dxa"/>
            <w:shd w:val="clear" w:color="auto" w:fill="BFBFBF" w:themeFill="background1" w:themeFillShade="BF"/>
          </w:tcPr>
          <w:p w14:paraId="6622F1C2" w14:textId="77777777" w:rsidR="00267A5A" w:rsidRPr="002F63D2" w:rsidRDefault="00267A5A" w:rsidP="0022057B">
            <w:pPr>
              <w:jc w:val="center"/>
              <w:rPr>
                <w:b/>
                <w:lang w:val="en-GB"/>
              </w:rPr>
            </w:pPr>
            <w:bookmarkStart w:id="19" w:name="_Hlk26355168"/>
            <w:r>
              <w:rPr>
                <w:b/>
                <w:lang w:val="en-GB"/>
              </w:rPr>
              <w:t>Ecological Guidelines</w:t>
            </w:r>
          </w:p>
        </w:tc>
      </w:tr>
      <w:tr w:rsidR="00267A5A" w14:paraId="15F6AAC2" w14:textId="77777777" w:rsidTr="0022057B">
        <w:tc>
          <w:tcPr>
            <w:tcW w:w="8635" w:type="dxa"/>
            <w:shd w:val="clear" w:color="auto" w:fill="C9F296" w:themeFill="accent3" w:themeFillTint="99"/>
          </w:tcPr>
          <w:p w14:paraId="7F19A5B2" w14:textId="77777777" w:rsidR="00267A5A" w:rsidRDefault="00267A5A" w:rsidP="0022057B">
            <w:pPr>
              <w:rPr>
                <w:lang w:val="en-GB"/>
              </w:rPr>
            </w:pPr>
            <w:r w:rsidRPr="007A051C">
              <w:rPr>
                <w:lang w:val="en-GB"/>
              </w:rPr>
              <w:t>The precautionary principle should be applied in planning procedures for afforestation and reforestation programmes.</w:t>
            </w:r>
          </w:p>
        </w:tc>
      </w:tr>
      <w:tr w:rsidR="00267A5A" w14:paraId="5CF76B3E" w14:textId="77777777" w:rsidTr="0022057B">
        <w:tc>
          <w:tcPr>
            <w:tcW w:w="8635" w:type="dxa"/>
            <w:shd w:val="clear" w:color="auto" w:fill="C9F296" w:themeFill="accent3" w:themeFillTint="99"/>
          </w:tcPr>
          <w:p w14:paraId="33018927" w14:textId="77777777" w:rsidR="00267A5A" w:rsidRDefault="00267A5A" w:rsidP="0022057B">
            <w:pPr>
              <w:rPr>
                <w:lang w:val="en-GB"/>
              </w:rPr>
            </w:pPr>
            <w:r w:rsidRPr="007A051C">
              <w:rPr>
                <w:lang w:val="en-GB"/>
              </w:rPr>
              <w:t xml:space="preserve">In planning procedures for site selection for afforestation and reforestation projects environmental impacts should be considered to avoid possible negative effects on areas </w:t>
            </w:r>
            <w:r w:rsidRPr="007A051C">
              <w:rPr>
                <w:lang w:val="en-GB"/>
              </w:rPr>
              <w:lastRenderedPageBreak/>
              <w:t>of high ecological value, particularly the conversion of natural and semi-natural non-forest ecosystems and areas of high soil carbon stock (peatlands).</w:t>
            </w:r>
          </w:p>
        </w:tc>
      </w:tr>
      <w:tr w:rsidR="00267A5A" w14:paraId="3A4C869C" w14:textId="77777777" w:rsidTr="0022057B">
        <w:tc>
          <w:tcPr>
            <w:tcW w:w="8635" w:type="dxa"/>
            <w:shd w:val="clear" w:color="auto" w:fill="C9F296" w:themeFill="accent3" w:themeFillTint="99"/>
          </w:tcPr>
          <w:p w14:paraId="1ADA0DB5" w14:textId="77777777" w:rsidR="00267A5A" w:rsidRDefault="00267A5A" w:rsidP="0022057B">
            <w:pPr>
              <w:rPr>
                <w:lang w:val="en-GB"/>
              </w:rPr>
            </w:pPr>
            <w:r w:rsidRPr="007A051C">
              <w:rPr>
                <w:lang w:val="en-GB"/>
              </w:rPr>
              <w:lastRenderedPageBreak/>
              <w:t>Native tree species, provenances and varieties or ecotypes that are well adapted to site conditions should be used for afforestation and reforestation where appropriate.</w:t>
            </w:r>
          </w:p>
        </w:tc>
      </w:tr>
      <w:tr w:rsidR="00267A5A" w14:paraId="17DA3067" w14:textId="77777777" w:rsidTr="0022057B">
        <w:tc>
          <w:tcPr>
            <w:tcW w:w="8635" w:type="dxa"/>
            <w:shd w:val="clear" w:color="auto" w:fill="C9F296" w:themeFill="accent3" w:themeFillTint="99"/>
          </w:tcPr>
          <w:p w14:paraId="24D4EECF" w14:textId="77777777" w:rsidR="00267A5A" w:rsidRDefault="00267A5A" w:rsidP="0022057B">
            <w:pPr>
              <w:rPr>
                <w:lang w:val="en-GB"/>
              </w:rPr>
            </w:pPr>
            <w:r w:rsidRPr="007A051C">
              <w:rPr>
                <w:lang w:val="en-GB"/>
              </w:rPr>
              <w:t xml:space="preserve">The need to consider adaptation to climate change should be </w:t>
            </w:r>
            <w:proofErr w:type="gramStart"/>
            <w:r w:rsidRPr="007A051C">
              <w:rPr>
                <w:lang w:val="en-GB"/>
              </w:rPr>
              <w:t>taken into account</w:t>
            </w:r>
            <w:proofErr w:type="gramEnd"/>
            <w:r w:rsidRPr="007A051C">
              <w:rPr>
                <w:lang w:val="en-GB"/>
              </w:rPr>
              <w:t xml:space="preserve"> when choosing species, provenances and varieties or ecotypes for afforestation and reforestation.</w:t>
            </w:r>
          </w:p>
        </w:tc>
      </w:tr>
      <w:tr w:rsidR="00267A5A" w14:paraId="40FF6F31" w14:textId="77777777" w:rsidTr="0022057B">
        <w:tc>
          <w:tcPr>
            <w:tcW w:w="8635" w:type="dxa"/>
            <w:shd w:val="clear" w:color="auto" w:fill="C9F296" w:themeFill="accent3" w:themeFillTint="99"/>
          </w:tcPr>
          <w:p w14:paraId="287F918C" w14:textId="77777777" w:rsidR="00267A5A" w:rsidRDefault="00267A5A" w:rsidP="0022057B">
            <w:pPr>
              <w:rPr>
                <w:lang w:val="en-GB"/>
              </w:rPr>
            </w:pPr>
            <w:r w:rsidRPr="007A051C">
              <w:rPr>
                <w:lang w:val="en-GB"/>
              </w:rPr>
              <w:t xml:space="preserve">Species, provenances, </w:t>
            </w:r>
            <w:proofErr w:type="gramStart"/>
            <w:r w:rsidRPr="007A051C">
              <w:rPr>
                <w:lang w:val="en-GB"/>
              </w:rPr>
              <w:t>varieties</w:t>
            </w:r>
            <w:proofErr w:type="gramEnd"/>
            <w:r w:rsidRPr="007A051C">
              <w:rPr>
                <w:lang w:val="en-GB"/>
              </w:rPr>
              <w:t xml:space="preserve"> or ecotypes outside their natural range should only be used where their introduction would not endanger important and/or valuable indigenous ecosystems, flora and fauna. Those that are likely to be invasive should be avoided by using the CBD Guiding Principles for the Prevention, Introduction, and Mitigation of Impacts of Alien Species That Threaten Ecosystems, Habitats or Species.</w:t>
            </w:r>
          </w:p>
        </w:tc>
      </w:tr>
      <w:tr w:rsidR="00267A5A" w14:paraId="5ECF5E6C" w14:textId="77777777" w:rsidTr="0022057B">
        <w:tc>
          <w:tcPr>
            <w:tcW w:w="8635" w:type="dxa"/>
            <w:shd w:val="clear" w:color="auto" w:fill="C9F296" w:themeFill="accent3" w:themeFillTint="99"/>
          </w:tcPr>
          <w:p w14:paraId="225981A5" w14:textId="77777777" w:rsidR="00267A5A" w:rsidRDefault="00267A5A" w:rsidP="0022057B">
            <w:pPr>
              <w:rPr>
                <w:lang w:val="en-GB"/>
              </w:rPr>
            </w:pPr>
            <w:r w:rsidRPr="007A051C">
              <w:rPr>
                <w:lang w:val="en-GB"/>
              </w:rPr>
              <w:t xml:space="preserve">A precautionary approach should be taken to the use of genetically modified trees. Ecological, </w:t>
            </w:r>
            <w:proofErr w:type="gramStart"/>
            <w:r w:rsidRPr="007A051C">
              <w:rPr>
                <w:lang w:val="en-GB"/>
              </w:rPr>
              <w:t>socio-economic</w:t>
            </w:r>
            <w:proofErr w:type="gramEnd"/>
            <w:r w:rsidRPr="007A051C">
              <w:rPr>
                <w:lang w:val="en-GB"/>
              </w:rPr>
              <w:t xml:space="preserve"> and cultural impacts, including long term effects should be analysed and a thorough, comprehensive and transparent risk assessment should be completed in accordance with the Cartagena Protocol on Biosafety. In this context, the potential impacts of genetically modified trees on native gene pools should be fully considered.</w:t>
            </w:r>
          </w:p>
        </w:tc>
      </w:tr>
      <w:tr w:rsidR="00267A5A" w14:paraId="70CC6AB1" w14:textId="77777777" w:rsidTr="0022057B">
        <w:tc>
          <w:tcPr>
            <w:tcW w:w="8635" w:type="dxa"/>
            <w:shd w:val="clear" w:color="auto" w:fill="C9F296" w:themeFill="accent3" w:themeFillTint="99"/>
          </w:tcPr>
          <w:p w14:paraId="54663A03" w14:textId="77777777" w:rsidR="00267A5A" w:rsidRDefault="00267A5A" w:rsidP="0022057B">
            <w:pPr>
              <w:rPr>
                <w:lang w:val="en-GB"/>
              </w:rPr>
            </w:pPr>
            <w:r w:rsidRPr="007A051C">
              <w:rPr>
                <w:lang w:val="en-GB"/>
              </w:rPr>
              <w:t>Species composition and structural diversity, reflecting the natural diversity at the landscape level, should be promoted</w:t>
            </w:r>
            <w:r>
              <w:rPr>
                <w:lang w:val="en-GB"/>
              </w:rPr>
              <w:t>.</w:t>
            </w:r>
          </w:p>
        </w:tc>
      </w:tr>
      <w:tr w:rsidR="00267A5A" w14:paraId="6321BCA6" w14:textId="77777777" w:rsidTr="0022057B">
        <w:tc>
          <w:tcPr>
            <w:tcW w:w="8635" w:type="dxa"/>
            <w:shd w:val="clear" w:color="auto" w:fill="C9F296" w:themeFill="accent3" w:themeFillTint="99"/>
          </w:tcPr>
          <w:p w14:paraId="6D25EDD4" w14:textId="77777777" w:rsidR="00267A5A" w:rsidRDefault="00267A5A" w:rsidP="0022057B">
            <w:pPr>
              <w:rPr>
                <w:lang w:val="en-GB"/>
              </w:rPr>
            </w:pPr>
            <w:r w:rsidRPr="007A051C">
              <w:rPr>
                <w:lang w:val="en-GB"/>
              </w:rPr>
              <w:t>Afforestation and reforestation activities that contribute to the improvement and restoration of ecological connectivity should be promoted.</w:t>
            </w:r>
          </w:p>
        </w:tc>
      </w:tr>
      <w:tr w:rsidR="00267A5A" w14:paraId="150CEFB3" w14:textId="77777777" w:rsidTr="0022057B">
        <w:tc>
          <w:tcPr>
            <w:tcW w:w="8635" w:type="dxa"/>
            <w:shd w:val="clear" w:color="auto" w:fill="C9F296" w:themeFill="accent3" w:themeFillTint="99"/>
          </w:tcPr>
          <w:p w14:paraId="204F1608" w14:textId="77777777" w:rsidR="00267A5A" w:rsidRDefault="00267A5A" w:rsidP="0022057B">
            <w:pPr>
              <w:rPr>
                <w:lang w:val="en-GB"/>
              </w:rPr>
            </w:pPr>
            <w:r w:rsidRPr="007A051C">
              <w:rPr>
                <w:lang w:val="en-GB"/>
              </w:rPr>
              <w:t xml:space="preserve">Use of chemicals or other substances influencing soil, water resources and biological diversity in a harmful way should be avoided. Natural, </w:t>
            </w:r>
            <w:proofErr w:type="gramStart"/>
            <w:r w:rsidRPr="007A051C">
              <w:rPr>
                <w:lang w:val="en-GB"/>
              </w:rPr>
              <w:t>biological</w:t>
            </w:r>
            <w:proofErr w:type="gramEnd"/>
            <w:r w:rsidRPr="007A051C">
              <w:rPr>
                <w:lang w:val="en-GB"/>
              </w:rPr>
              <w:t xml:space="preserve"> and mechanical interventions should be promoted as an alternative option to chemicals whenever possible.</w:t>
            </w:r>
          </w:p>
        </w:tc>
      </w:tr>
      <w:tr w:rsidR="00267A5A" w14:paraId="3C36AD4F" w14:textId="77777777" w:rsidTr="0022057B">
        <w:tc>
          <w:tcPr>
            <w:tcW w:w="8635" w:type="dxa"/>
            <w:shd w:val="clear" w:color="auto" w:fill="C9F296" w:themeFill="accent3" w:themeFillTint="99"/>
          </w:tcPr>
          <w:p w14:paraId="2C5461BF" w14:textId="77777777" w:rsidR="00267A5A" w:rsidRDefault="00267A5A" w:rsidP="0022057B">
            <w:pPr>
              <w:rPr>
                <w:lang w:val="en-GB"/>
              </w:rPr>
            </w:pPr>
            <w:r w:rsidRPr="007A051C">
              <w:rPr>
                <w:lang w:val="en-GB"/>
              </w:rPr>
              <w:t>Afforestation and reforestation activities should aim to maintain and protect soil and ground and surface water resources in terms of quantity and quality.</w:t>
            </w:r>
          </w:p>
        </w:tc>
      </w:tr>
      <w:bookmarkEnd w:id="19"/>
      <w:tr w:rsidR="00267A5A" w14:paraId="55DD396C" w14:textId="77777777" w:rsidTr="0022057B">
        <w:tc>
          <w:tcPr>
            <w:tcW w:w="8635" w:type="dxa"/>
            <w:shd w:val="clear" w:color="auto" w:fill="BFBFBF" w:themeFill="background1" w:themeFillShade="BF"/>
          </w:tcPr>
          <w:p w14:paraId="18A39022" w14:textId="77777777" w:rsidR="00267A5A" w:rsidRPr="007A051C" w:rsidRDefault="00267A5A" w:rsidP="0022057B">
            <w:pPr>
              <w:jc w:val="center"/>
              <w:rPr>
                <w:b/>
                <w:lang w:val="en-GB"/>
              </w:rPr>
            </w:pPr>
            <w:r w:rsidRPr="007A051C">
              <w:rPr>
                <w:b/>
                <w:lang w:val="en-GB"/>
              </w:rPr>
              <w:t>Socio-economic and Cultural Guidelines</w:t>
            </w:r>
          </w:p>
        </w:tc>
      </w:tr>
      <w:tr w:rsidR="00267A5A" w14:paraId="0BCC4D24" w14:textId="77777777" w:rsidTr="0022057B">
        <w:tc>
          <w:tcPr>
            <w:tcW w:w="8635" w:type="dxa"/>
            <w:shd w:val="clear" w:color="auto" w:fill="FFE5D2" w:themeFill="accent5" w:themeFillTint="33"/>
          </w:tcPr>
          <w:p w14:paraId="22F0D29B" w14:textId="77777777" w:rsidR="00267A5A" w:rsidRDefault="00267A5A" w:rsidP="0022057B">
            <w:pPr>
              <w:rPr>
                <w:lang w:val="en-GB"/>
              </w:rPr>
            </w:pPr>
            <w:r w:rsidRPr="00D92EF5">
              <w:rPr>
                <w:lang w:val="en-GB"/>
              </w:rPr>
              <w:t xml:space="preserve">Afforestation and reforestation programmes that also support and enhance the economic and social well-being of indigenous and local communities, including landowners, operators, </w:t>
            </w:r>
            <w:proofErr w:type="gramStart"/>
            <w:r w:rsidRPr="00D92EF5">
              <w:rPr>
                <w:lang w:val="en-GB"/>
              </w:rPr>
              <w:t>contractors</w:t>
            </w:r>
            <w:proofErr w:type="gramEnd"/>
            <w:r w:rsidRPr="00D92EF5">
              <w:rPr>
                <w:lang w:val="en-GB"/>
              </w:rPr>
              <w:t xml:space="preserve"> and workers should be promoted.</w:t>
            </w:r>
          </w:p>
        </w:tc>
      </w:tr>
      <w:tr w:rsidR="00267A5A" w14:paraId="2EB6A188" w14:textId="77777777" w:rsidTr="0022057B">
        <w:tc>
          <w:tcPr>
            <w:tcW w:w="8635" w:type="dxa"/>
            <w:shd w:val="clear" w:color="auto" w:fill="FFE5D2" w:themeFill="accent5" w:themeFillTint="33"/>
          </w:tcPr>
          <w:p w14:paraId="37B826D6" w14:textId="77777777" w:rsidR="00267A5A" w:rsidRDefault="00267A5A" w:rsidP="0022057B">
            <w:pPr>
              <w:rPr>
                <w:lang w:val="en-GB"/>
              </w:rPr>
            </w:pPr>
            <w:r w:rsidRPr="00766C02">
              <w:rPr>
                <w:lang w:val="en-GB"/>
              </w:rPr>
              <w:lastRenderedPageBreak/>
              <w:t xml:space="preserve">Appropriate mechanisms, including legislation, should be provided for so that afforestation and reforestation follow sustainable management practices and </w:t>
            </w:r>
            <w:proofErr w:type="gramStart"/>
            <w:r w:rsidRPr="00766C02">
              <w:rPr>
                <w:lang w:val="en-GB"/>
              </w:rPr>
              <w:t>take into account</w:t>
            </w:r>
            <w:proofErr w:type="gramEnd"/>
            <w:r w:rsidRPr="00766C02">
              <w:rPr>
                <w:lang w:val="en-GB"/>
              </w:rPr>
              <w:t xml:space="preserve"> income generation, rural livelihoods and poverty alleviation.</w:t>
            </w:r>
          </w:p>
        </w:tc>
      </w:tr>
      <w:tr w:rsidR="00267A5A" w14:paraId="032F7CF7" w14:textId="77777777" w:rsidTr="0022057B">
        <w:tc>
          <w:tcPr>
            <w:tcW w:w="8635" w:type="dxa"/>
            <w:shd w:val="clear" w:color="auto" w:fill="FFE5D2" w:themeFill="accent5" w:themeFillTint="33"/>
          </w:tcPr>
          <w:p w14:paraId="2F5FA451" w14:textId="77777777" w:rsidR="00267A5A" w:rsidRDefault="00267A5A" w:rsidP="0022057B">
            <w:pPr>
              <w:rPr>
                <w:lang w:val="en-GB"/>
              </w:rPr>
            </w:pPr>
            <w:r w:rsidRPr="00766C02">
              <w:rPr>
                <w:lang w:val="en-GB"/>
              </w:rPr>
              <w:t>Land tenure and access rights should be secured and responsibilities for management of resources as well as benefit sharing should be clarified when developing afforestation and reforestation programmes.</w:t>
            </w:r>
          </w:p>
        </w:tc>
      </w:tr>
      <w:tr w:rsidR="00267A5A" w14:paraId="6D9EB6E5" w14:textId="77777777" w:rsidTr="0022057B">
        <w:tc>
          <w:tcPr>
            <w:tcW w:w="8635" w:type="dxa"/>
            <w:shd w:val="clear" w:color="auto" w:fill="FFE5D2" w:themeFill="accent5" w:themeFillTint="33"/>
          </w:tcPr>
          <w:p w14:paraId="4FD9B26C" w14:textId="77777777" w:rsidR="00267A5A" w:rsidRDefault="00267A5A" w:rsidP="0022057B">
            <w:pPr>
              <w:rPr>
                <w:lang w:val="en-GB"/>
              </w:rPr>
            </w:pPr>
            <w:r w:rsidRPr="00766C02">
              <w:rPr>
                <w:lang w:val="en-GB"/>
              </w:rPr>
              <w:t>The development and enhancement of incentives for afforestation and reforestation programmes designed in accordance with these recommendations should be considered, where appropriate.</w:t>
            </w:r>
          </w:p>
        </w:tc>
      </w:tr>
      <w:tr w:rsidR="00267A5A" w14:paraId="074ABE84" w14:textId="77777777" w:rsidTr="0022057B">
        <w:tc>
          <w:tcPr>
            <w:tcW w:w="8635" w:type="dxa"/>
            <w:shd w:val="clear" w:color="auto" w:fill="FFE5D2" w:themeFill="accent5" w:themeFillTint="33"/>
          </w:tcPr>
          <w:p w14:paraId="7CDB61FA" w14:textId="77777777" w:rsidR="00267A5A" w:rsidRDefault="00267A5A" w:rsidP="0022057B">
            <w:pPr>
              <w:rPr>
                <w:lang w:val="en-GB"/>
              </w:rPr>
            </w:pPr>
            <w:r w:rsidRPr="00766C02">
              <w:rPr>
                <w:lang w:val="en-GB"/>
              </w:rPr>
              <w:t>Cross-sectoral coherence between incentives for afforestation and reforestation programmes and projects in other relevant sectors, including rural development, energy, industry, agriculture, land use planning, water, environmental, and climate change policies should be promoted.</w:t>
            </w:r>
          </w:p>
        </w:tc>
      </w:tr>
      <w:tr w:rsidR="00267A5A" w14:paraId="73631C25" w14:textId="77777777" w:rsidTr="0022057B">
        <w:tc>
          <w:tcPr>
            <w:tcW w:w="8635" w:type="dxa"/>
            <w:shd w:val="clear" w:color="auto" w:fill="FFE5D2" w:themeFill="accent5" w:themeFillTint="33"/>
          </w:tcPr>
          <w:p w14:paraId="597B89D2" w14:textId="77777777" w:rsidR="00267A5A" w:rsidRDefault="00267A5A" w:rsidP="0022057B">
            <w:pPr>
              <w:rPr>
                <w:lang w:val="en-GB"/>
              </w:rPr>
            </w:pPr>
            <w:r w:rsidRPr="00766C02">
              <w:rPr>
                <w:lang w:val="en-GB"/>
              </w:rPr>
              <w:t>Public and private financial institutions and foundations funding relevant projects should be encouraged to use these guidelines as an evaluation tool to provide for economically viable, environmentally sound, socially equitable and culturally acceptable afforestation and reforestation.</w:t>
            </w:r>
          </w:p>
        </w:tc>
      </w:tr>
      <w:tr w:rsidR="00267A5A" w14:paraId="59C1C988" w14:textId="77777777" w:rsidTr="0022057B">
        <w:tc>
          <w:tcPr>
            <w:tcW w:w="8635" w:type="dxa"/>
            <w:shd w:val="clear" w:color="auto" w:fill="FFE5D2" w:themeFill="accent5" w:themeFillTint="33"/>
          </w:tcPr>
          <w:p w14:paraId="3C3BB5FF" w14:textId="77777777" w:rsidR="00267A5A" w:rsidRDefault="00267A5A" w:rsidP="0022057B">
            <w:pPr>
              <w:rPr>
                <w:lang w:val="en-GB"/>
              </w:rPr>
            </w:pPr>
            <w:r w:rsidRPr="00766C02">
              <w:rPr>
                <w:lang w:val="en-GB"/>
              </w:rPr>
              <w:t>Decisions regarding the implementation of afforestation and reforestation policies and programmes should include consultations with indigenous and local communities including landowners and other relevant stakeholders.</w:t>
            </w:r>
          </w:p>
        </w:tc>
      </w:tr>
      <w:tr w:rsidR="00267A5A" w14:paraId="69873F40" w14:textId="77777777" w:rsidTr="0022057B">
        <w:tc>
          <w:tcPr>
            <w:tcW w:w="8635" w:type="dxa"/>
            <w:shd w:val="clear" w:color="auto" w:fill="FFE5D2" w:themeFill="accent5" w:themeFillTint="33"/>
          </w:tcPr>
          <w:p w14:paraId="7A5D54B3" w14:textId="77777777" w:rsidR="00267A5A" w:rsidRDefault="00267A5A" w:rsidP="0022057B">
            <w:pPr>
              <w:rPr>
                <w:lang w:val="en-GB"/>
              </w:rPr>
            </w:pPr>
            <w:r w:rsidRPr="00766C02">
              <w:rPr>
                <w:lang w:val="en-GB"/>
              </w:rPr>
              <w:t xml:space="preserve">Landscape values, including maintenance of high value cultural landscapes, cultural heritage sites, both as defined by UNESCO, and sacred cultural sites, should be </w:t>
            </w:r>
            <w:proofErr w:type="gramStart"/>
            <w:r w:rsidRPr="00766C02">
              <w:rPr>
                <w:lang w:val="en-GB"/>
              </w:rPr>
              <w:t>taken into account</w:t>
            </w:r>
            <w:proofErr w:type="gramEnd"/>
            <w:r w:rsidRPr="00766C02">
              <w:rPr>
                <w:lang w:val="en-GB"/>
              </w:rPr>
              <w:t xml:space="preserve"> in the elaboration of policies and planning procedures for afforestation and reforestation activities.</w:t>
            </w:r>
          </w:p>
        </w:tc>
      </w:tr>
    </w:tbl>
    <w:p w14:paraId="079670B7" w14:textId="26BB7E6B" w:rsidR="002E403E" w:rsidRPr="00EE5690" w:rsidRDefault="007A5ED7" w:rsidP="00EE5690">
      <w:pPr>
        <w:jc w:val="left"/>
        <w:rPr>
          <w:rFonts w:cs="Arial"/>
          <w:lang w:val="en-GB"/>
        </w:rPr>
      </w:pPr>
      <w:r w:rsidRPr="00EE5690">
        <w:rPr>
          <w:rFonts w:cs="Arial"/>
          <w:lang w:val="en-GB"/>
        </w:rPr>
        <w:t xml:space="preserve">The </w:t>
      </w:r>
      <w:r w:rsidR="001D1FCB" w:rsidRPr="00EE5690">
        <w:rPr>
          <w:rFonts w:cs="Arial"/>
          <w:lang w:val="en-GB"/>
        </w:rPr>
        <w:t>following</w:t>
      </w:r>
      <w:r w:rsidRPr="00EE5690">
        <w:rPr>
          <w:rFonts w:cs="Arial"/>
          <w:lang w:val="en-GB"/>
        </w:rPr>
        <w:t xml:space="preserve"> table presents </w:t>
      </w:r>
      <w:r w:rsidR="001D1FCB" w:rsidRPr="00EE5690">
        <w:rPr>
          <w:rFonts w:cs="Arial"/>
          <w:lang w:val="en-GB"/>
        </w:rPr>
        <w:t>the legal regulatory instruments of EU and further non legally binding instruments related to forests.</w:t>
      </w:r>
    </w:p>
    <w:p w14:paraId="08693F47" w14:textId="0200FFE4" w:rsidR="00B74012" w:rsidRDefault="00B74012" w:rsidP="009A3C63">
      <w:pPr>
        <w:pStyle w:val="Caption"/>
        <w:keepNext/>
        <w:rPr>
          <w:rFonts w:cs="Arial"/>
          <w:sz w:val="22"/>
          <w:szCs w:val="22"/>
        </w:rPr>
      </w:pPr>
      <w:bookmarkStart w:id="20" w:name="_Toc91752545"/>
      <w:r w:rsidRPr="00E2138D">
        <w:rPr>
          <w:rFonts w:cs="Arial"/>
        </w:rPr>
        <w:t xml:space="preserve">Table </w:t>
      </w:r>
      <w:r w:rsidRPr="00E2138D">
        <w:rPr>
          <w:rFonts w:cs="Arial"/>
        </w:rPr>
        <w:fldChar w:fldCharType="begin"/>
      </w:r>
      <w:r w:rsidRPr="00E2138D">
        <w:rPr>
          <w:rFonts w:cs="Arial"/>
        </w:rPr>
        <w:instrText xml:space="preserve"> SEQ Table \* ARABIC </w:instrText>
      </w:r>
      <w:r w:rsidRPr="00E2138D">
        <w:rPr>
          <w:rFonts w:cs="Arial"/>
        </w:rPr>
        <w:fldChar w:fldCharType="separate"/>
      </w:r>
      <w:r w:rsidR="0073710A">
        <w:rPr>
          <w:rFonts w:cs="Arial"/>
          <w:noProof/>
        </w:rPr>
        <w:t>6</w:t>
      </w:r>
      <w:r w:rsidRPr="00E2138D">
        <w:rPr>
          <w:rFonts w:cs="Arial"/>
        </w:rPr>
        <w:fldChar w:fldCharType="end"/>
      </w:r>
      <w:r w:rsidRPr="00E2138D">
        <w:rPr>
          <w:rFonts w:cs="Arial"/>
        </w:rPr>
        <w:t xml:space="preserve"> Legal regulatory instruments of EU and further non legally binding instruments related to forests (Source:  Forest Europe, 2015)</w:t>
      </w:r>
      <w:bookmarkEnd w:id="20"/>
    </w:p>
    <w:tbl>
      <w:tblPr>
        <w:tblStyle w:val="ListTable3-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5980"/>
      </w:tblGrid>
      <w:tr w:rsidR="008C452C" w:rsidRPr="0073429C" w14:paraId="6D13D63E" w14:textId="77777777" w:rsidTr="0022057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15" w:type="dxa"/>
            <w:shd w:val="clear" w:color="auto" w:fill="BFBFBF" w:themeFill="background1" w:themeFillShade="BF"/>
          </w:tcPr>
          <w:p w14:paraId="5E4170E7" w14:textId="77777777" w:rsidR="008C452C" w:rsidRPr="0073429C" w:rsidRDefault="008C452C" w:rsidP="0022057B">
            <w:pPr>
              <w:rPr>
                <w:color w:val="000000" w:themeColor="text1"/>
                <w:lang w:val="en-GB"/>
              </w:rPr>
            </w:pPr>
            <w:r>
              <w:rPr>
                <w:color w:val="000000" w:themeColor="text1"/>
                <w:lang w:val="en-GB"/>
              </w:rPr>
              <w:t>Area of EU Activity related to forests</w:t>
            </w:r>
          </w:p>
        </w:tc>
        <w:tc>
          <w:tcPr>
            <w:tcW w:w="5980" w:type="dxa"/>
            <w:shd w:val="clear" w:color="auto" w:fill="BFBFBF" w:themeFill="background1" w:themeFillShade="BF"/>
          </w:tcPr>
          <w:p w14:paraId="0F9548BB" w14:textId="77777777" w:rsidR="008C452C" w:rsidRPr="0073429C" w:rsidRDefault="008C452C" w:rsidP="0022057B">
            <w:pPr>
              <w:cnfStyle w:val="100000000000" w:firstRow="1" w:lastRow="0" w:firstColumn="0" w:lastColumn="0" w:oddVBand="0" w:evenVBand="0" w:oddHBand="0" w:evenHBand="0" w:firstRowFirstColumn="0" w:firstRowLastColumn="0" w:lastRowFirstColumn="0" w:lastRowLastColumn="0"/>
              <w:rPr>
                <w:color w:val="000000" w:themeColor="text1"/>
                <w:lang w:val="en-GB"/>
              </w:rPr>
            </w:pPr>
            <w:r w:rsidRPr="0073429C">
              <w:rPr>
                <w:color w:val="000000" w:themeColor="text1"/>
                <w:lang w:val="en-GB"/>
              </w:rPr>
              <w:t>Legal / regulatory instruments of the EU and further non-legally binding instruments used</w:t>
            </w:r>
          </w:p>
        </w:tc>
      </w:tr>
      <w:tr w:rsidR="008C452C" w14:paraId="7989A454"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Borders>
              <w:top w:val="none" w:sz="0" w:space="0" w:color="auto"/>
              <w:bottom w:val="none" w:sz="0" w:space="0" w:color="auto"/>
              <w:right w:val="none" w:sz="0" w:space="0" w:color="auto"/>
            </w:tcBorders>
            <w:shd w:val="clear" w:color="auto" w:fill="C9F296" w:themeFill="accent3" w:themeFillTint="99"/>
          </w:tcPr>
          <w:p w14:paraId="2D0EFE16" w14:textId="77777777" w:rsidR="008C452C" w:rsidRPr="0073429C" w:rsidRDefault="008C452C" w:rsidP="0022057B">
            <w:pPr>
              <w:rPr>
                <w:b w:val="0"/>
                <w:lang w:val="en-GB"/>
              </w:rPr>
            </w:pPr>
            <w:r w:rsidRPr="0073429C">
              <w:rPr>
                <w:b w:val="0"/>
                <w:lang w:val="en-GB"/>
              </w:rPr>
              <w:t>EU Forest Strategy</w:t>
            </w:r>
          </w:p>
        </w:tc>
        <w:tc>
          <w:tcPr>
            <w:tcW w:w="5980" w:type="dxa"/>
            <w:tcBorders>
              <w:top w:val="none" w:sz="0" w:space="0" w:color="auto"/>
              <w:bottom w:val="none" w:sz="0" w:space="0" w:color="auto"/>
            </w:tcBorders>
            <w:shd w:val="clear" w:color="auto" w:fill="C9F296" w:themeFill="accent3" w:themeFillTint="99"/>
          </w:tcPr>
          <w:p w14:paraId="33366BAF" w14:textId="77777777" w:rsidR="008C452C" w:rsidRDefault="008C452C" w:rsidP="0022057B">
            <w:pPr>
              <w:cnfStyle w:val="000000100000" w:firstRow="0" w:lastRow="0" w:firstColumn="0" w:lastColumn="0" w:oddVBand="0" w:evenVBand="0" w:oddHBand="1" w:evenHBand="0" w:firstRowFirstColumn="0" w:firstRowLastColumn="0" w:lastRowFirstColumn="0" w:lastRowLastColumn="0"/>
              <w:rPr>
                <w:lang w:val="en-GB"/>
              </w:rPr>
            </w:pPr>
            <w:r w:rsidRPr="0073429C">
              <w:rPr>
                <w:lang w:val="en-GB"/>
              </w:rPr>
              <w:t xml:space="preserve">European Commission Communication </w:t>
            </w:r>
            <w:proofErr w:type="gramStart"/>
            <w:r w:rsidRPr="0073429C">
              <w:rPr>
                <w:lang w:val="en-GB"/>
              </w:rPr>
              <w:t>COM(</w:t>
            </w:r>
            <w:proofErr w:type="gramEnd"/>
            <w:r w:rsidRPr="0073429C">
              <w:rPr>
                <w:lang w:val="en-GB"/>
              </w:rPr>
              <w:t xml:space="preserve">2013) 659, “A new EU Forest Strategy: for forests and the forest-based </w:t>
            </w:r>
            <w:r w:rsidRPr="0073429C">
              <w:rPr>
                <w:lang w:val="en-GB"/>
              </w:rPr>
              <w:lastRenderedPageBreak/>
              <w:t>sector” and related Council conclusions on the new EU Forest Strategy (19 May 2014, 9944/14) European Parliament Report (A8-0126/2015) on ‘A new EU Forest Strategy: for forests and the forest</w:t>
            </w:r>
            <w:r>
              <w:rPr>
                <w:lang w:val="en-GB"/>
              </w:rPr>
              <w:t xml:space="preserve"> </w:t>
            </w:r>
            <w:r w:rsidRPr="0073429C">
              <w:rPr>
                <w:lang w:val="en-GB"/>
              </w:rPr>
              <w:t>based sector’ (2014/2223(INI), Committee on Agriculture and Rural Development (1 April 2015)</w:t>
            </w:r>
          </w:p>
          <w:p w14:paraId="49CDDC4F" w14:textId="77777777" w:rsidR="008C452C" w:rsidRDefault="008C452C" w:rsidP="0022057B">
            <w:pPr>
              <w:cnfStyle w:val="000000100000" w:firstRow="0" w:lastRow="0" w:firstColumn="0" w:lastColumn="0" w:oddVBand="0" w:evenVBand="0" w:oddHBand="1" w:evenHBand="0" w:firstRowFirstColumn="0" w:firstRowLastColumn="0" w:lastRowFirstColumn="0" w:lastRowLastColumn="0"/>
              <w:rPr>
                <w:lang w:val="en-GB"/>
              </w:rPr>
            </w:pPr>
            <w:r w:rsidRPr="00A554C8">
              <w:rPr>
                <w:lang w:val="en-GB"/>
              </w:rPr>
              <w:t xml:space="preserve">The Strategy is based on the principle of subsidiarity. It aims at establishing a framework for forest-related actions in support of sustainable forest management, based on the coordination of the forest policies of the Member States and EU policies and initiatives relevant to forests and forestry. The Strategy provides a holistic approach to forests and forestry addressing the economic, </w:t>
            </w:r>
            <w:proofErr w:type="gramStart"/>
            <w:r w:rsidRPr="00A554C8">
              <w:rPr>
                <w:lang w:val="en-GB"/>
              </w:rPr>
              <w:t>social</w:t>
            </w:r>
            <w:proofErr w:type="gramEnd"/>
            <w:r w:rsidRPr="00A554C8">
              <w:rPr>
                <w:lang w:val="en-GB"/>
              </w:rPr>
              <w:t xml:space="preserve"> and environmental dimensions of sustainable forest management. It also takes an integrated approach covering forestry and the forest-based value chains, considering the important contribution that the forest-based sector can make to growth and jobs in the EU, </w:t>
            </w:r>
            <w:proofErr w:type="gramStart"/>
            <w:r w:rsidRPr="00A554C8">
              <w:rPr>
                <w:lang w:val="en-GB"/>
              </w:rPr>
              <w:t>in particular in</w:t>
            </w:r>
            <w:proofErr w:type="gramEnd"/>
            <w:r w:rsidRPr="00A554C8">
              <w:rPr>
                <w:lang w:val="en-GB"/>
              </w:rPr>
              <w:t xml:space="preserve"> rural areas. This document provides strategic orientations related to eight interlinked priority areas, plus the 2020 target “To ensure and demonstrate that all forests in the EU are managed according to sustainable forest management principles”.</w:t>
            </w:r>
          </w:p>
        </w:tc>
      </w:tr>
      <w:tr w:rsidR="008C452C" w14:paraId="0CED6F21" w14:textId="77777777" w:rsidTr="0022057B">
        <w:tc>
          <w:tcPr>
            <w:cnfStyle w:val="001000000000" w:firstRow="0" w:lastRow="0" w:firstColumn="1" w:lastColumn="0" w:oddVBand="0" w:evenVBand="0" w:oddHBand="0" w:evenHBand="0" w:firstRowFirstColumn="0" w:firstRowLastColumn="0" w:lastRowFirstColumn="0" w:lastRowLastColumn="0"/>
            <w:tcW w:w="2515" w:type="dxa"/>
            <w:tcBorders>
              <w:right w:val="none" w:sz="0" w:space="0" w:color="auto"/>
            </w:tcBorders>
            <w:shd w:val="clear" w:color="auto" w:fill="C9F296" w:themeFill="accent3" w:themeFillTint="99"/>
          </w:tcPr>
          <w:p w14:paraId="30721E5B" w14:textId="77777777" w:rsidR="008C452C" w:rsidRPr="0073429C" w:rsidRDefault="008C452C" w:rsidP="0022057B">
            <w:pPr>
              <w:rPr>
                <w:b w:val="0"/>
                <w:lang w:val="en-GB"/>
              </w:rPr>
            </w:pPr>
            <w:r w:rsidRPr="0073429C">
              <w:rPr>
                <w:b w:val="0"/>
                <w:lang w:val="en-GB"/>
              </w:rPr>
              <w:lastRenderedPageBreak/>
              <w:t>Forestry in rural development</w:t>
            </w:r>
          </w:p>
        </w:tc>
        <w:tc>
          <w:tcPr>
            <w:tcW w:w="5980" w:type="dxa"/>
            <w:shd w:val="clear" w:color="auto" w:fill="C9F296" w:themeFill="accent3" w:themeFillTint="99"/>
          </w:tcPr>
          <w:p w14:paraId="25035C02" w14:textId="77777777" w:rsidR="008C452C" w:rsidRDefault="008C452C" w:rsidP="0022057B">
            <w:pPr>
              <w:cnfStyle w:val="000000000000" w:firstRow="0" w:lastRow="0" w:firstColumn="0" w:lastColumn="0" w:oddVBand="0" w:evenVBand="0" w:oddHBand="0" w:evenHBand="0" w:firstRowFirstColumn="0" w:firstRowLastColumn="0" w:lastRowFirstColumn="0" w:lastRowLastColumn="0"/>
              <w:rPr>
                <w:lang w:val="en-GB"/>
              </w:rPr>
            </w:pPr>
            <w:r w:rsidRPr="00BA29D4">
              <w:rPr>
                <w:lang w:val="en-GB"/>
              </w:rPr>
              <w:t xml:space="preserve">Regulation (EU) nº 1303/2013 of the European Parliament and of the Council laying down common provisions on the European Regional Development Fund, the European Social Fund, The Cohesion Fund, The European Agricultural Fund for Rural Development and the European Maritime and Fisheries Fund covered by the Common Strategic Framework and laying down general provisions on the European Regional Funds, the European Social Fund and the Cohesion Fund repealing Regulation (EC) nº 1083/2006 (legally binding) Regulation (EU) nº 1305/2013 of the European Parliament and of the Council on support for rural development by the European Agricultural Fund for </w:t>
            </w:r>
            <w:r w:rsidRPr="00BA29D4">
              <w:rPr>
                <w:lang w:val="en-GB"/>
              </w:rPr>
              <w:lastRenderedPageBreak/>
              <w:t>Rural Development (EAFRD) (legally binding) European Union Guidelines for State aid in the agricultural and forestry sectors and in rural areas 2014 to 2020, 2014/C 204/01</w:t>
            </w:r>
          </w:p>
        </w:tc>
      </w:tr>
      <w:tr w:rsidR="008C452C" w14:paraId="32D53086"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Borders>
              <w:top w:val="none" w:sz="0" w:space="0" w:color="auto"/>
              <w:bottom w:val="none" w:sz="0" w:space="0" w:color="auto"/>
              <w:right w:val="none" w:sz="0" w:space="0" w:color="auto"/>
            </w:tcBorders>
            <w:shd w:val="clear" w:color="auto" w:fill="C9F296" w:themeFill="accent3" w:themeFillTint="99"/>
          </w:tcPr>
          <w:p w14:paraId="0BCCF386" w14:textId="77777777" w:rsidR="008C452C" w:rsidRPr="0073429C" w:rsidRDefault="008C452C" w:rsidP="0022057B">
            <w:pPr>
              <w:rPr>
                <w:b w:val="0"/>
                <w:lang w:val="en-GB"/>
              </w:rPr>
            </w:pPr>
            <w:r w:rsidRPr="0073429C">
              <w:rPr>
                <w:b w:val="0"/>
                <w:lang w:val="en-GB"/>
              </w:rPr>
              <w:lastRenderedPageBreak/>
              <w:t>Forest-based and related industries</w:t>
            </w:r>
          </w:p>
        </w:tc>
        <w:tc>
          <w:tcPr>
            <w:tcW w:w="5980" w:type="dxa"/>
            <w:tcBorders>
              <w:top w:val="none" w:sz="0" w:space="0" w:color="auto"/>
              <w:bottom w:val="none" w:sz="0" w:space="0" w:color="auto"/>
            </w:tcBorders>
            <w:shd w:val="clear" w:color="auto" w:fill="C9F296" w:themeFill="accent3" w:themeFillTint="99"/>
          </w:tcPr>
          <w:p w14:paraId="50A70770" w14:textId="77777777" w:rsidR="008C452C" w:rsidRDefault="008C452C" w:rsidP="0022057B">
            <w:pPr>
              <w:cnfStyle w:val="000000100000" w:firstRow="0" w:lastRow="0" w:firstColumn="0" w:lastColumn="0" w:oddVBand="0" w:evenVBand="0" w:oddHBand="1" w:evenHBand="0" w:firstRowFirstColumn="0" w:firstRowLastColumn="0" w:lastRowFirstColumn="0" w:lastRowLastColumn="0"/>
              <w:rPr>
                <w:lang w:val="en-GB"/>
              </w:rPr>
            </w:pPr>
            <w:r w:rsidRPr="00BA29D4">
              <w:rPr>
                <w:lang w:val="en-GB"/>
              </w:rPr>
              <w:t xml:space="preserve">European Commission Blueprint for the EU forest-based industries </w:t>
            </w:r>
            <w:proofErr w:type="gramStart"/>
            <w:r w:rsidRPr="00BA29D4">
              <w:rPr>
                <w:lang w:val="en-GB"/>
              </w:rPr>
              <w:t>SWD(</w:t>
            </w:r>
            <w:proofErr w:type="gramEnd"/>
            <w:r w:rsidRPr="00BA29D4">
              <w:rPr>
                <w:lang w:val="en-GB"/>
              </w:rPr>
              <w:t>2013) 343 final European Commission Communication COM(2012) 60 final Innovating for Sustainable Growth: A Bioeconomy for Europe European Commission Communication COM (2012) 582. A Stronger European Industry for Growth and Economic Recovery</w:t>
            </w:r>
          </w:p>
        </w:tc>
      </w:tr>
      <w:tr w:rsidR="008C452C" w14:paraId="3E1A1F59" w14:textId="77777777" w:rsidTr="0022057B">
        <w:tc>
          <w:tcPr>
            <w:cnfStyle w:val="001000000000" w:firstRow="0" w:lastRow="0" w:firstColumn="1" w:lastColumn="0" w:oddVBand="0" w:evenVBand="0" w:oddHBand="0" w:evenHBand="0" w:firstRowFirstColumn="0" w:firstRowLastColumn="0" w:lastRowFirstColumn="0" w:lastRowLastColumn="0"/>
            <w:tcW w:w="2515" w:type="dxa"/>
            <w:tcBorders>
              <w:right w:val="none" w:sz="0" w:space="0" w:color="auto"/>
            </w:tcBorders>
            <w:shd w:val="clear" w:color="auto" w:fill="C9F296" w:themeFill="accent3" w:themeFillTint="99"/>
          </w:tcPr>
          <w:p w14:paraId="37B3608B" w14:textId="77777777" w:rsidR="008C452C" w:rsidRPr="0073429C" w:rsidRDefault="008C452C" w:rsidP="0022057B">
            <w:pPr>
              <w:rPr>
                <w:b w:val="0"/>
                <w:lang w:val="en-GB"/>
              </w:rPr>
            </w:pPr>
            <w:r w:rsidRPr="0073429C">
              <w:rPr>
                <w:b w:val="0"/>
                <w:lang w:val="en-GB"/>
              </w:rPr>
              <w:t>Forests and biodiversity</w:t>
            </w:r>
          </w:p>
        </w:tc>
        <w:tc>
          <w:tcPr>
            <w:tcW w:w="5980" w:type="dxa"/>
            <w:shd w:val="clear" w:color="auto" w:fill="C9F296" w:themeFill="accent3" w:themeFillTint="99"/>
          </w:tcPr>
          <w:p w14:paraId="778B827E" w14:textId="77777777" w:rsidR="008C452C" w:rsidRDefault="008C452C" w:rsidP="0022057B">
            <w:pPr>
              <w:cnfStyle w:val="000000000000" w:firstRow="0" w:lastRow="0" w:firstColumn="0" w:lastColumn="0" w:oddVBand="0" w:evenVBand="0" w:oddHBand="0" w:evenHBand="0" w:firstRowFirstColumn="0" w:firstRowLastColumn="0" w:lastRowFirstColumn="0" w:lastRowLastColumn="0"/>
              <w:rPr>
                <w:lang w:val="en-GB"/>
              </w:rPr>
            </w:pPr>
            <w:r w:rsidRPr="00BA29D4">
              <w:rPr>
                <w:lang w:val="en-GB"/>
              </w:rPr>
              <w:t xml:space="preserve">EU Regulation 1293/2013 Programme for the Environment and Climate Action (LIFE) European Parliament resolution of 20 April 2012 on our life insurance, our natural capital: an EU biodiversity strategy to 2020 (2011/2307(INI)) Environmental Council (ENV) conclusions on the implementation of the EU 2020 biodiversity Strategy 19 December 2011. </w:t>
            </w:r>
            <w:proofErr w:type="gramStart"/>
            <w:r w:rsidRPr="00BA29D4">
              <w:rPr>
                <w:lang w:val="en-GB"/>
              </w:rPr>
              <w:t>COM(</w:t>
            </w:r>
            <w:proofErr w:type="gramEnd"/>
            <w:r w:rsidRPr="00BA29D4">
              <w:rPr>
                <w:lang w:val="en-GB"/>
              </w:rPr>
              <w:t>2011) 244</w:t>
            </w:r>
          </w:p>
        </w:tc>
      </w:tr>
      <w:tr w:rsidR="008C452C" w14:paraId="4E03309B"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Borders>
              <w:top w:val="none" w:sz="0" w:space="0" w:color="auto"/>
              <w:bottom w:val="none" w:sz="0" w:space="0" w:color="auto"/>
              <w:right w:val="none" w:sz="0" w:space="0" w:color="auto"/>
            </w:tcBorders>
            <w:shd w:val="clear" w:color="auto" w:fill="C9F296" w:themeFill="accent3" w:themeFillTint="99"/>
          </w:tcPr>
          <w:p w14:paraId="0B3171AD" w14:textId="77777777" w:rsidR="008C452C" w:rsidRPr="0073429C" w:rsidRDefault="008C452C" w:rsidP="0022057B">
            <w:pPr>
              <w:rPr>
                <w:b w:val="0"/>
                <w:lang w:val="en-GB"/>
              </w:rPr>
            </w:pPr>
            <w:r w:rsidRPr="0073429C">
              <w:rPr>
                <w:b w:val="0"/>
                <w:lang w:val="en-GB"/>
              </w:rPr>
              <w:t>Forest and climate change</w:t>
            </w:r>
          </w:p>
        </w:tc>
        <w:tc>
          <w:tcPr>
            <w:tcW w:w="5980" w:type="dxa"/>
            <w:tcBorders>
              <w:top w:val="none" w:sz="0" w:space="0" w:color="auto"/>
              <w:bottom w:val="none" w:sz="0" w:space="0" w:color="auto"/>
            </w:tcBorders>
            <w:shd w:val="clear" w:color="auto" w:fill="C9F296" w:themeFill="accent3" w:themeFillTint="99"/>
          </w:tcPr>
          <w:p w14:paraId="02E2B33F" w14:textId="77777777" w:rsidR="008C452C" w:rsidRDefault="008C452C" w:rsidP="0022057B">
            <w:pPr>
              <w:cnfStyle w:val="000000100000" w:firstRow="0" w:lastRow="0" w:firstColumn="0" w:lastColumn="0" w:oddVBand="0" w:evenVBand="0" w:oddHBand="1" w:evenHBand="0" w:firstRowFirstColumn="0" w:firstRowLastColumn="0" w:lastRowFirstColumn="0" w:lastRowLastColumn="0"/>
              <w:rPr>
                <w:lang w:val="en-GB"/>
              </w:rPr>
            </w:pPr>
            <w:r w:rsidRPr="00BA29D4">
              <w:rPr>
                <w:lang w:val="en-GB"/>
              </w:rPr>
              <w:t>Decision No 529/2013/EU of the European Parliament and of the Council of 21 May 2013 on accounting rules on greenhouse gas emissions and removals resulting from activities relating to land use, land-use change and forestry and on information concerning actions relating to those activities EU strategy on adaptation to climate change, 2013</w:t>
            </w:r>
          </w:p>
        </w:tc>
      </w:tr>
      <w:tr w:rsidR="008C452C" w14:paraId="5A15230E" w14:textId="77777777" w:rsidTr="0022057B">
        <w:tc>
          <w:tcPr>
            <w:cnfStyle w:val="001000000000" w:firstRow="0" w:lastRow="0" w:firstColumn="1" w:lastColumn="0" w:oddVBand="0" w:evenVBand="0" w:oddHBand="0" w:evenHBand="0" w:firstRowFirstColumn="0" w:firstRowLastColumn="0" w:lastRowFirstColumn="0" w:lastRowLastColumn="0"/>
            <w:tcW w:w="2515" w:type="dxa"/>
            <w:tcBorders>
              <w:right w:val="none" w:sz="0" w:space="0" w:color="auto"/>
            </w:tcBorders>
            <w:shd w:val="clear" w:color="auto" w:fill="C9F296" w:themeFill="accent3" w:themeFillTint="99"/>
          </w:tcPr>
          <w:p w14:paraId="6B6C9767" w14:textId="77777777" w:rsidR="008C452C" w:rsidRPr="0073429C" w:rsidRDefault="008C452C" w:rsidP="0022057B">
            <w:pPr>
              <w:rPr>
                <w:b w:val="0"/>
                <w:lang w:val="en-GB"/>
              </w:rPr>
            </w:pPr>
            <w:r w:rsidRPr="0073429C">
              <w:rPr>
                <w:b w:val="0"/>
                <w:lang w:val="en-GB"/>
              </w:rPr>
              <w:t>Forest and research</w:t>
            </w:r>
          </w:p>
        </w:tc>
        <w:tc>
          <w:tcPr>
            <w:tcW w:w="5980" w:type="dxa"/>
            <w:shd w:val="clear" w:color="auto" w:fill="C9F296" w:themeFill="accent3" w:themeFillTint="99"/>
          </w:tcPr>
          <w:p w14:paraId="3FF94D3E" w14:textId="77777777" w:rsidR="008C452C" w:rsidRDefault="008C452C" w:rsidP="0022057B">
            <w:pPr>
              <w:cnfStyle w:val="000000000000" w:firstRow="0" w:lastRow="0" w:firstColumn="0" w:lastColumn="0" w:oddVBand="0" w:evenVBand="0" w:oddHBand="0" w:evenHBand="0" w:firstRowFirstColumn="0" w:firstRowLastColumn="0" w:lastRowFirstColumn="0" w:lastRowLastColumn="0"/>
              <w:rPr>
                <w:lang w:val="en-GB"/>
              </w:rPr>
            </w:pPr>
            <w:r w:rsidRPr="00BA29D4">
              <w:rPr>
                <w:lang w:val="en-GB"/>
              </w:rPr>
              <w:t>EU Regulation 1291/2013 Horizon 2020 - the Framework Programme for Research and Innovation (2014-2020)</w:t>
            </w:r>
          </w:p>
        </w:tc>
      </w:tr>
    </w:tbl>
    <w:p w14:paraId="5E1E020B" w14:textId="1666EBAB" w:rsidR="000C0626" w:rsidRPr="00EE5690" w:rsidRDefault="000C0626" w:rsidP="005D4B20">
      <w:pPr>
        <w:pStyle w:val="MAIL11"/>
      </w:pPr>
      <w:bookmarkStart w:id="21" w:name="_Toc91752382"/>
      <w:r w:rsidRPr="00EE5690">
        <w:t>Funding</w:t>
      </w:r>
      <w:bookmarkEnd w:id="21"/>
    </w:p>
    <w:p w14:paraId="6EA5B465" w14:textId="097B3AD5" w:rsidR="00C94682" w:rsidRPr="00EE5690" w:rsidRDefault="00C94682" w:rsidP="00EA2829">
      <w:pPr>
        <w:rPr>
          <w:rFonts w:cs="Arial"/>
          <w:lang w:val="en-GB"/>
        </w:rPr>
      </w:pPr>
      <w:r w:rsidRPr="00EE5690">
        <w:rPr>
          <w:rFonts w:cs="Arial"/>
          <w:lang w:val="en-GB"/>
        </w:rPr>
        <w:t xml:space="preserve">The effort involved in tree planting will require continual, significant investment, from seedlings to workforce costs for afforestation, land preparations and planting activities, to regular monitoring procedures. This work could be financed or co-financed using some of the EU financing channels available. The list, which is not full, provides an overview of some of the EU financing programs that could be </w:t>
      </w:r>
      <w:r w:rsidR="00C9614F" w:rsidRPr="00EE5690">
        <w:rPr>
          <w:rFonts w:cs="Arial"/>
          <w:lang w:val="en-GB"/>
        </w:rPr>
        <w:t>used</w:t>
      </w:r>
      <w:r w:rsidRPr="00EE5690">
        <w:rPr>
          <w:rFonts w:cs="Arial"/>
          <w:lang w:val="en-GB"/>
        </w:rPr>
        <w:t>.</w:t>
      </w:r>
    </w:p>
    <w:p w14:paraId="72922848" w14:textId="2A8F404E" w:rsidR="00C9614F" w:rsidRPr="00E2138D" w:rsidRDefault="00C9614F" w:rsidP="008C452C">
      <w:pPr>
        <w:pStyle w:val="Caption"/>
        <w:keepNext/>
        <w:rPr>
          <w:rFonts w:cs="Arial"/>
        </w:rPr>
      </w:pPr>
      <w:bookmarkStart w:id="22" w:name="_Toc91752546"/>
      <w:r w:rsidRPr="00E2138D">
        <w:rPr>
          <w:rFonts w:cs="Arial"/>
        </w:rPr>
        <w:lastRenderedPageBreak/>
        <w:t xml:space="preserve">Table </w:t>
      </w:r>
      <w:r w:rsidRPr="00E2138D">
        <w:rPr>
          <w:rFonts w:cs="Arial"/>
        </w:rPr>
        <w:fldChar w:fldCharType="begin"/>
      </w:r>
      <w:r w:rsidRPr="00E2138D">
        <w:rPr>
          <w:rFonts w:cs="Arial"/>
        </w:rPr>
        <w:instrText xml:space="preserve"> SEQ Table \* ARABIC </w:instrText>
      </w:r>
      <w:r w:rsidRPr="00E2138D">
        <w:rPr>
          <w:rFonts w:cs="Arial"/>
        </w:rPr>
        <w:fldChar w:fldCharType="separate"/>
      </w:r>
      <w:r w:rsidR="0073710A">
        <w:rPr>
          <w:rFonts w:cs="Arial"/>
          <w:noProof/>
        </w:rPr>
        <w:t>7</w:t>
      </w:r>
      <w:r w:rsidRPr="00E2138D">
        <w:rPr>
          <w:rFonts w:cs="Arial"/>
        </w:rPr>
        <w:fldChar w:fldCharType="end"/>
      </w:r>
      <w:r w:rsidRPr="00E2138D">
        <w:rPr>
          <w:rFonts w:cs="Arial"/>
        </w:rPr>
        <w:t xml:space="preserve">  EU financial programs</w:t>
      </w:r>
      <w:bookmarkEnd w:id="22"/>
    </w:p>
    <w:tbl>
      <w:tblPr>
        <w:tblW w:w="850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17"/>
        <w:gridCol w:w="1555"/>
        <w:gridCol w:w="1559"/>
        <w:gridCol w:w="1418"/>
        <w:gridCol w:w="1417"/>
        <w:gridCol w:w="1136"/>
      </w:tblGrid>
      <w:tr w:rsidR="008C452C" w:rsidRPr="00C94682" w14:paraId="08934EBE" w14:textId="77777777" w:rsidTr="0022057B">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57A19C"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b/>
                <w:bCs/>
                <w:color w:val="000000"/>
                <w:sz w:val="18"/>
                <w:szCs w:val="18"/>
              </w:rPr>
              <w:t>Directly</w:t>
            </w:r>
            <w:r w:rsidRPr="00C94682">
              <w:rPr>
                <w:rFonts w:eastAsia="Times New Roman" w:cs="Arial"/>
                <w:b/>
                <w:bCs/>
                <w:color w:val="000000"/>
                <w:sz w:val="18"/>
                <w:szCs w:val="18"/>
              </w:rPr>
              <w:br/>
              <w:t>managed EU</w:t>
            </w:r>
            <w:r w:rsidRPr="00C94682">
              <w:rPr>
                <w:rFonts w:eastAsia="Times New Roman" w:cs="Arial"/>
                <w:b/>
                <w:bCs/>
                <w:color w:val="000000"/>
                <w:sz w:val="18"/>
                <w:szCs w:val="18"/>
              </w:rPr>
              <w:br/>
              <w:t>funding</w:t>
            </w:r>
            <w:r w:rsidRPr="00C94682">
              <w:rPr>
                <w:rFonts w:eastAsia="Times New Roman" w:cs="Arial"/>
                <w:b/>
                <w:bCs/>
                <w:color w:val="000000"/>
                <w:sz w:val="18"/>
                <w:szCs w:val="18"/>
              </w:rPr>
              <w:br/>
              <w:t>programs</w:t>
            </w:r>
          </w:p>
        </w:tc>
        <w:tc>
          <w:tcPr>
            <w:tcW w:w="15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DF8E4D"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b/>
                <w:bCs/>
                <w:color w:val="000000"/>
                <w:sz w:val="18"/>
                <w:szCs w:val="18"/>
              </w:rPr>
              <w:t>EU funding</w:t>
            </w:r>
            <w:r w:rsidRPr="00C94682">
              <w:rPr>
                <w:rFonts w:eastAsia="Times New Roman" w:cs="Arial"/>
                <w:b/>
                <w:bCs/>
                <w:color w:val="000000"/>
                <w:sz w:val="18"/>
                <w:szCs w:val="18"/>
              </w:rPr>
              <w:br/>
              <w:t>programs</w:t>
            </w:r>
            <w:r w:rsidRPr="00C94682">
              <w:rPr>
                <w:rFonts w:eastAsia="Times New Roman" w:cs="Arial"/>
                <w:b/>
                <w:bCs/>
                <w:color w:val="000000"/>
                <w:sz w:val="18"/>
                <w:szCs w:val="18"/>
              </w:rPr>
              <w:br/>
              <w:t>under shared</w:t>
            </w:r>
            <w:r w:rsidRPr="00C94682">
              <w:rPr>
                <w:rFonts w:eastAsia="Times New Roman" w:cs="Arial"/>
                <w:b/>
                <w:bCs/>
                <w:color w:val="000000"/>
                <w:sz w:val="18"/>
                <w:szCs w:val="18"/>
              </w:rPr>
              <w:br/>
              <w:t>management</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62F565"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b/>
                <w:bCs/>
                <w:color w:val="000000"/>
                <w:sz w:val="18"/>
                <w:szCs w:val="18"/>
              </w:rPr>
              <w:t>Project</w:t>
            </w:r>
            <w:r w:rsidRPr="00C94682">
              <w:rPr>
                <w:rFonts w:eastAsia="Times New Roman" w:cs="Arial"/>
                <w:b/>
                <w:bCs/>
                <w:color w:val="000000"/>
                <w:sz w:val="18"/>
                <w:szCs w:val="18"/>
              </w:rPr>
              <w:br/>
              <w:t>development</w:t>
            </w:r>
            <w:r w:rsidRPr="00C94682">
              <w:rPr>
                <w:rFonts w:eastAsia="Times New Roman" w:cs="Arial"/>
                <w:b/>
                <w:bCs/>
                <w:color w:val="000000"/>
                <w:sz w:val="18"/>
                <w:szCs w:val="18"/>
              </w:rPr>
              <w:br/>
              <w:t>assistance</w:t>
            </w:r>
          </w:p>
        </w:tc>
        <w:tc>
          <w:tcPr>
            <w:tcW w:w="14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6CD9DE"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b/>
                <w:bCs/>
                <w:color w:val="000000"/>
                <w:sz w:val="18"/>
                <w:szCs w:val="18"/>
              </w:rPr>
              <w:t>Financial</w:t>
            </w:r>
            <w:r w:rsidRPr="00C94682">
              <w:rPr>
                <w:rFonts w:eastAsia="Times New Roman" w:cs="Arial"/>
                <w:b/>
                <w:bCs/>
                <w:color w:val="000000"/>
                <w:sz w:val="18"/>
                <w:szCs w:val="18"/>
              </w:rPr>
              <w:br/>
              <w:t>institution</w:t>
            </w:r>
            <w:r w:rsidRPr="00C94682">
              <w:rPr>
                <w:rFonts w:eastAsia="Times New Roman" w:cs="Arial"/>
                <w:b/>
                <w:bCs/>
                <w:color w:val="000000"/>
                <w:sz w:val="18"/>
                <w:szCs w:val="18"/>
              </w:rPr>
              <w:br/>
              <w:t>instruments</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EED9A4"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b/>
                <w:bCs/>
                <w:color w:val="000000"/>
                <w:sz w:val="18"/>
                <w:szCs w:val="18"/>
              </w:rPr>
              <w:t>Support</w:t>
            </w:r>
            <w:r w:rsidRPr="00C94682">
              <w:rPr>
                <w:rFonts w:eastAsia="Times New Roman" w:cs="Arial"/>
                <w:b/>
                <w:bCs/>
                <w:color w:val="000000"/>
                <w:sz w:val="18"/>
                <w:szCs w:val="18"/>
              </w:rPr>
              <w:br/>
              <w:t>services</w:t>
            </w:r>
          </w:p>
        </w:tc>
        <w:tc>
          <w:tcPr>
            <w:tcW w:w="113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12020B3"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b/>
                <w:bCs/>
                <w:color w:val="000000"/>
                <w:sz w:val="18"/>
                <w:szCs w:val="18"/>
              </w:rPr>
              <w:t>Other</w:t>
            </w:r>
          </w:p>
        </w:tc>
      </w:tr>
      <w:tr w:rsidR="008C452C" w:rsidRPr="00C94682" w14:paraId="5445E0B2" w14:textId="77777777" w:rsidTr="0022057B">
        <w:trPr>
          <w:trHeight w:val="2041"/>
        </w:trPr>
        <w:tc>
          <w:tcPr>
            <w:tcW w:w="1417" w:type="dxa"/>
            <w:tcBorders>
              <w:top w:val="single" w:sz="4" w:space="0" w:color="auto"/>
              <w:left w:val="single" w:sz="4" w:space="0" w:color="auto"/>
              <w:bottom w:val="single" w:sz="4" w:space="0" w:color="auto"/>
              <w:right w:val="single" w:sz="4" w:space="0" w:color="auto"/>
            </w:tcBorders>
            <w:vAlign w:val="center"/>
            <w:hideMark/>
          </w:tcPr>
          <w:p w14:paraId="16408F17"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color w:val="000000"/>
                <w:sz w:val="18"/>
                <w:szCs w:val="18"/>
              </w:rPr>
              <w:t>- LIFE</w:t>
            </w:r>
            <w:r w:rsidRPr="00C94682">
              <w:rPr>
                <w:rFonts w:eastAsia="Times New Roman" w:cs="Arial"/>
                <w:color w:val="000000"/>
                <w:sz w:val="18"/>
                <w:szCs w:val="18"/>
              </w:rPr>
              <w:br/>
              <w:t>- Horizon</w:t>
            </w:r>
            <w:r w:rsidRPr="00C94682">
              <w:rPr>
                <w:rFonts w:eastAsia="Times New Roman" w:cs="Arial"/>
                <w:color w:val="000000"/>
                <w:sz w:val="18"/>
                <w:szCs w:val="18"/>
              </w:rPr>
              <w:br/>
              <w:t>Europe</w:t>
            </w:r>
          </w:p>
        </w:tc>
        <w:tc>
          <w:tcPr>
            <w:tcW w:w="1555" w:type="dxa"/>
            <w:tcBorders>
              <w:top w:val="single" w:sz="4" w:space="0" w:color="auto"/>
              <w:left w:val="single" w:sz="4" w:space="0" w:color="auto"/>
              <w:bottom w:val="single" w:sz="4" w:space="0" w:color="auto"/>
              <w:right w:val="single" w:sz="4" w:space="0" w:color="auto"/>
            </w:tcBorders>
            <w:vAlign w:val="center"/>
            <w:hideMark/>
          </w:tcPr>
          <w:p w14:paraId="45BE2472"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color w:val="000000"/>
                <w:sz w:val="18"/>
                <w:szCs w:val="18"/>
              </w:rPr>
              <w:t>- ERDF</w:t>
            </w:r>
            <w:r w:rsidRPr="00C94682">
              <w:rPr>
                <w:rFonts w:eastAsia="Times New Roman" w:cs="Arial"/>
                <w:color w:val="000000"/>
                <w:sz w:val="18"/>
                <w:szCs w:val="18"/>
              </w:rPr>
              <w:br/>
              <w:t>- Interreg</w:t>
            </w:r>
            <w:r w:rsidRPr="00C94682">
              <w:rPr>
                <w:rFonts w:eastAsia="Times New Roman" w:cs="Arial"/>
                <w:color w:val="000000"/>
                <w:sz w:val="18"/>
                <w:szCs w:val="18"/>
              </w:rPr>
              <w:br/>
              <w:t>- Cohesion Fund</w:t>
            </w:r>
            <w:r w:rsidRPr="00C94682">
              <w:rPr>
                <w:rFonts w:eastAsia="Times New Roman" w:cs="Arial"/>
                <w:color w:val="000000"/>
                <w:sz w:val="18"/>
                <w:szCs w:val="18"/>
              </w:rPr>
              <w:br/>
              <w:t>- EAFRD</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A890102"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color w:val="000000"/>
                <w:sz w:val="18"/>
                <w:szCs w:val="18"/>
              </w:rPr>
              <w:t>- Horizon</w:t>
            </w:r>
            <w:r w:rsidRPr="00C94682">
              <w:rPr>
                <w:rFonts w:eastAsia="Times New Roman" w:cs="Arial"/>
                <w:color w:val="000000"/>
                <w:sz w:val="18"/>
                <w:szCs w:val="18"/>
              </w:rPr>
              <w:br/>
              <w:t>Europe</w:t>
            </w:r>
            <w:r w:rsidRPr="00C94682">
              <w:rPr>
                <w:rFonts w:eastAsia="Times New Roman" w:cs="Arial"/>
                <w:color w:val="000000"/>
                <w:sz w:val="18"/>
                <w:szCs w:val="18"/>
              </w:rPr>
              <w:br/>
              <w:t>Project</w:t>
            </w:r>
            <w:r w:rsidRPr="00C94682">
              <w:rPr>
                <w:rFonts w:eastAsia="Times New Roman" w:cs="Arial"/>
                <w:color w:val="000000"/>
                <w:sz w:val="18"/>
                <w:szCs w:val="18"/>
              </w:rPr>
              <w:br/>
              <w:t>Development</w:t>
            </w:r>
            <w:r w:rsidRPr="00C94682">
              <w:rPr>
                <w:rFonts w:eastAsia="Times New Roman" w:cs="Arial"/>
                <w:color w:val="000000"/>
                <w:sz w:val="18"/>
                <w:szCs w:val="18"/>
              </w:rPr>
              <w:br/>
              <w:t>Assistance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4F86A2A"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color w:val="000000"/>
                <w:sz w:val="18"/>
                <w:szCs w:val="18"/>
              </w:rPr>
              <w:t>- Natural</w:t>
            </w:r>
            <w:r w:rsidRPr="00C94682">
              <w:rPr>
                <w:rFonts w:eastAsia="Times New Roman" w:cs="Arial"/>
                <w:color w:val="000000"/>
                <w:sz w:val="18"/>
                <w:szCs w:val="18"/>
              </w:rPr>
              <w:br/>
              <w:t>Capital</w:t>
            </w:r>
            <w:r w:rsidRPr="00C94682">
              <w:rPr>
                <w:rFonts w:eastAsia="Times New Roman" w:cs="Arial"/>
                <w:color w:val="000000"/>
                <w:sz w:val="18"/>
                <w:szCs w:val="18"/>
              </w:rPr>
              <w:br/>
              <w:t>Financing</w:t>
            </w:r>
            <w:r w:rsidRPr="00C94682">
              <w:rPr>
                <w:rFonts w:eastAsia="Times New Roman" w:cs="Arial"/>
                <w:color w:val="000000"/>
                <w:sz w:val="18"/>
                <w:szCs w:val="18"/>
              </w:rPr>
              <w:br/>
              <w:t>Facility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90DAF31"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color w:val="000000"/>
                <w:sz w:val="18"/>
                <w:szCs w:val="18"/>
              </w:rPr>
              <w:t>- Technical</w:t>
            </w:r>
            <w:r w:rsidRPr="00C94682">
              <w:rPr>
                <w:rFonts w:eastAsia="Times New Roman" w:cs="Arial"/>
                <w:color w:val="000000"/>
                <w:sz w:val="18"/>
                <w:szCs w:val="18"/>
              </w:rPr>
              <w:br/>
              <w:t>Support</w:t>
            </w:r>
            <w:r w:rsidRPr="00C94682">
              <w:rPr>
                <w:rFonts w:eastAsia="Times New Roman" w:cs="Arial"/>
                <w:color w:val="000000"/>
                <w:sz w:val="18"/>
                <w:szCs w:val="18"/>
              </w:rPr>
              <w:br/>
              <w:t>Instrument</w:t>
            </w:r>
            <w:r w:rsidRPr="00C94682">
              <w:rPr>
                <w:rFonts w:eastAsia="Times New Roman" w:cs="Arial"/>
                <w:color w:val="000000"/>
                <w:sz w:val="18"/>
                <w:szCs w:val="18"/>
              </w:rPr>
              <w:br/>
              <w:t>- European</w:t>
            </w:r>
            <w:r w:rsidRPr="00C94682">
              <w:rPr>
                <w:rFonts w:eastAsia="Times New Roman" w:cs="Arial"/>
                <w:color w:val="000000"/>
                <w:sz w:val="18"/>
                <w:szCs w:val="18"/>
              </w:rPr>
              <w:br/>
              <w:t>Investment</w:t>
            </w:r>
            <w:r w:rsidRPr="00C94682">
              <w:rPr>
                <w:rFonts w:eastAsia="Times New Roman" w:cs="Arial"/>
                <w:color w:val="000000"/>
                <w:sz w:val="18"/>
                <w:szCs w:val="18"/>
              </w:rPr>
              <w:br/>
              <w:t>Project Portal</w:t>
            </w:r>
            <w:r w:rsidRPr="00C94682">
              <w:rPr>
                <w:rFonts w:eastAsia="Times New Roman" w:cs="Arial"/>
                <w:color w:val="000000"/>
                <w:sz w:val="18"/>
                <w:szCs w:val="18"/>
              </w:rPr>
              <w:br/>
              <w:t>- fi-compass</w:t>
            </w:r>
            <w:r w:rsidRPr="00C94682">
              <w:rPr>
                <w:rFonts w:eastAsia="Times New Roman" w:cs="Arial"/>
                <w:color w:val="000000"/>
                <w:sz w:val="18"/>
                <w:szCs w:val="18"/>
              </w:rPr>
              <w:br/>
              <w:t>- EIAH</w:t>
            </w:r>
          </w:p>
        </w:tc>
        <w:tc>
          <w:tcPr>
            <w:tcW w:w="1136" w:type="dxa"/>
            <w:tcBorders>
              <w:top w:val="single" w:sz="4" w:space="0" w:color="auto"/>
              <w:left w:val="single" w:sz="4" w:space="0" w:color="auto"/>
              <w:bottom w:val="single" w:sz="4" w:space="0" w:color="auto"/>
              <w:right w:val="single" w:sz="4" w:space="0" w:color="auto"/>
            </w:tcBorders>
            <w:vAlign w:val="center"/>
            <w:hideMark/>
          </w:tcPr>
          <w:p w14:paraId="0D06ADCA" w14:textId="77777777" w:rsidR="008C452C" w:rsidRPr="00C94682" w:rsidRDefault="008C452C" w:rsidP="0022057B">
            <w:pPr>
              <w:spacing w:before="0" w:after="0" w:line="240" w:lineRule="auto"/>
              <w:jc w:val="left"/>
              <w:rPr>
                <w:rFonts w:eastAsia="Times New Roman" w:cs="Arial"/>
                <w:sz w:val="18"/>
                <w:szCs w:val="18"/>
              </w:rPr>
            </w:pPr>
            <w:r w:rsidRPr="00C94682">
              <w:rPr>
                <w:rFonts w:eastAsia="Times New Roman" w:cs="Arial"/>
                <w:color w:val="000000"/>
                <w:sz w:val="18"/>
                <w:szCs w:val="18"/>
              </w:rPr>
              <w:t>National</w:t>
            </w:r>
            <w:r w:rsidRPr="00C94682">
              <w:rPr>
                <w:rFonts w:eastAsia="Times New Roman" w:cs="Arial"/>
                <w:color w:val="000000"/>
                <w:sz w:val="18"/>
                <w:szCs w:val="18"/>
              </w:rPr>
              <w:br/>
              <w:t>Funds and</w:t>
            </w:r>
            <w:r w:rsidRPr="00C94682">
              <w:rPr>
                <w:rFonts w:eastAsia="Times New Roman" w:cs="Arial"/>
                <w:color w:val="000000"/>
                <w:sz w:val="18"/>
                <w:szCs w:val="18"/>
              </w:rPr>
              <w:br/>
              <w:t>State aids</w:t>
            </w:r>
          </w:p>
        </w:tc>
      </w:tr>
    </w:tbl>
    <w:p w14:paraId="15DDB4D5" w14:textId="3760BA38" w:rsidR="00C94682" w:rsidRPr="00EE5690" w:rsidRDefault="00C9614F" w:rsidP="00EA2829">
      <w:pPr>
        <w:rPr>
          <w:rFonts w:cs="Arial"/>
          <w:lang w:val="en-GB"/>
        </w:rPr>
      </w:pPr>
      <w:r w:rsidRPr="00EE5690">
        <w:rPr>
          <w:rFonts w:cs="Arial"/>
          <w:b/>
          <w:bCs/>
          <w:lang w:val="en-GB"/>
        </w:rPr>
        <w:t>LIFE</w:t>
      </w:r>
      <w:r w:rsidRPr="00EE5690">
        <w:rPr>
          <w:rFonts w:cs="Arial"/>
          <w:lang w:val="en-GB"/>
        </w:rPr>
        <w:t xml:space="preserve"> is the EU's environmental and climate action funding program. Depending on the project's aim, tree planting has been supported under both the environment and climate action sub-programmes. The program's 'Environment' section is divided into three sections: environment and resource efficiency, nature and biodiversity, and environmental governance and information. Climate change mitigation, adaptation, and climate governance and information are all covered in the 'Climate Action' section. The program is open to government agencies, corporations, and non-governmental organizations. The program will be renewed for the period 2021-2027, with a budget of EUR 5.45 billion.</w:t>
      </w:r>
      <w:r w:rsidR="00CF5716" w:rsidRPr="00EE5690">
        <w:rPr>
          <w:rFonts w:cs="Arial"/>
        </w:rPr>
        <w:t xml:space="preserve"> </w:t>
      </w:r>
      <w:proofErr w:type="spellStart"/>
      <w:r w:rsidR="00CF5716" w:rsidRPr="00EE5690">
        <w:rPr>
          <w:rFonts w:cs="Arial"/>
          <w:lang w:val="en-GB"/>
        </w:rPr>
        <w:t>LIFEterra</w:t>
      </w:r>
      <w:proofErr w:type="spellEnd"/>
      <w:r w:rsidR="00CF5716" w:rsidRPr="00EE5690">
        <w:rPr>
          <w:rFonts w:cs="Arial"/>
          <w:lang w:val="en-GB"/>
        </w:rPr>
        <w:t xml:space="preserve">, LIFE 4 oak woodlands, and LIFE </w:t>
      </w:r>
      <w:proofErr w:type="spellStart"/>
      <w:r w:rsidR="00CF5716" w:rsidRPr="00EE5690">
        <w:rPr>
          <w:rFonts w:cs="Arial"/>
          <w:lang w:val="en-GB"/>
        </w:rPr>
        <w:t>Baccata</w:t>
      </w:r>
      <w:proofErr w:type="spellEnd"/>
      <w:r w:rsidR="00CF5716" w:rsidRPr="00EE5690">
        <w:rPr>
          <w:rFonts w:cs="Arial"/>
          <w:lang w:val="en-GB"/>
        </w:rPr>
        <w:t xml:space="preserve"> are some of the continuing LIFE tree-planting projects. Previous LIFE initiatives are also highly valuable since they provide expertise with tree planting and ex post monitoring of tree survival rates</w:t>
      </w:r>
      <w:r w:rsidR="00EA04B8" w:rsidRPr="00EE5690">
        <w:rPr>
          <w:rFonts w:cs="Arial"/>
          <w:lang w:val="en-GB"/>
        </w:rPr>
        <w:t xml:space="preserve"> </w:t>
      </w:r>
      <w:r w:rsidR="00EA04B8" w:rsidRPr="00EE5690">
        <w:rPr>
          <w:rFonts w:cs="Arial"/>
          <w:lang w:val="en-GB"/>
        </w:rPr>
        <w:fldChar w:fldCharType="begin" w:fldLock="1"/>
      </w:r>
      <w:r w:rsidR="00772507" w:rsidRPr="00EE5690">
        <w:rPr>
          <w:rFonts w:cs="Arial"/>
          <w:lang w:val="en-GB"/>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00EA04B8" w:rsidRPr="00EE5690">
        <w:rPr>
          <w:rFonts w:cs="Arial"/>
          <w:lang w:val="en-GB"/>
        </w:rPr>
        <w:fldChar w:fldCharType="separate"/>
      </w:r>
      <w:r w:rsidR="00EA04B8" w:rsidRPr="00EE5690">
        <w:rPr>
          <w:rFonts w:cs="Arial"/>
          <w:noProof/>
          <w:lang w:val="en-GB"/>
        </w:rPr>
        <w:t>(European Commission, 2021d)</w:t>
      </w:r>
      <w:r w:rsidR="00EA04B8" w:rsidRPr="00EE5690">
        <w:rPr>
          <w:rFonts w:cs="Arial"/>
          <w:lang w:val="en-GB"/>
        </w:rPr>
        <w:fldChar w:fldCharType="end"/>
      </w:r>
      <w:r w:rsidR="00CF5716" w:rsidRPr="00EE5690">
        <w:rPr>
          <w:rFonts w:cs="Arial"/>
          <w:lang w:val="en-GB"/>
        </w:rPr>
        <w:t>.</w:t>
      </w:r>
    </w:p>
    <w:p w14:paraId="29BCF73F" w14:textId="0F93DD1A" w:rsidR="00C9614F" w:rsidRPr="00EE5690" w:rsidRDefault="00BC08B9" w:rsidP="00EA2829">
      <w:pPr>
        <w:rPr>
          <w:rFonts w:cs="Arial"/>
          <w:lang w:val="en-GB"/>
        </w:rPr>
      </w:pPr>
      <w:r w:rsidRPr="00EE5690">
        <w:rPr>
          <w:rFonts w:cs="Arial"/>
          <w:lang w:val="en-GB"/>
        </w:rPr>
        <w:t xml:space="preserve">By expanding scientific knowledge on restoration, afforestation, and reforestation, Cluster 6 (Food, </w:t>
      </w:r>
      <w:proofErr w:type="gramStart"/>
      <w:r w:rsidRPr="00EE5690">
        <w:rPr>
          <w:rFonts w:cs="Arial"/>
          <w:lang w:val="en-GB"/>
        </w:rPr>
        <w:t>Bio-economy</w:t>
      </w:r>
      <w:proofErr w:type="gramEnd"/>
      <w:r w:rsidRPr="00EE5690">
        <w:rPr>
          <w:rFonts w:cs="Arial"/>
          <w:lang w:val="en-GB"/>
        </w:rPr>
        <w:t xml:space="preserve">, Natural Resources, Agriculture, and Environment) of the </w:t>
      </w:r>
      <w:r w:rsidRPr="00EE5690">
        <w:rPr>
          <w:rFonts w:cs="Arial"/>
          <w:b/>
          <w:bCs/>
          <w:lang w:val="en-GB"/>
        </w:rPr>
        <w:t>Horizon Europe</w:t>
      </w:r>
      <w:r w:rsidRPr="00EE5690">
        <w:rPr>
          <w:rFonts w:cs="Arial"/>
          <w:lang w:val="en-GB"/>
        </w:rPr>
        <w:t xml:space="preserve"> research and innovation financing programme will promote the planting of 3 billion trees. By improving practical knowledge on forest composition and forest management practices that support the goals of climate change mitigation, adaptation, biodiversity, and bioeconomy in newly established or restored forests, research and innovation will contribute to the initiative and increase its impact. Synergies should be maximized while trade-offs should be minimized. Experience and lessons obtained from current or former funded research initiatives like </w:t>
      </w:r>
      <w:proofErr w:type="gramStart"/>
      <w:r w:rsidRPr="00EE5690">
        <w:rPr>
          <w:rFonts w:cs="Arial"/>
          <w:lang w:val="en-GB"/>
        </w:rPr>
        <w:t>B4EST</w:t>
      </w:r>
      <w:proofErr w:type="gramEnd"/>
      <w:r w:rsidRPr="00EE5690">
        <w:rPr>
          <w:rFonts w:cs="Arial"/>
          <w:lang w:val="en-GB"/>
        </w:rPr>
        <w:t xml:space="preserve"> or </w:t>
      </w:r>
      <w:r w:rsidR="00A649A5" w:rsidRPr="00EE5690">
        <w:rPr>
          <w:rStyle w:val="IntenseEmphasis"/>
          <w:rFonts w:cs="Arial"/>
        </w:rPr>
        <w:t>MAIL</w:t>
      </w:r>
      <w:r w:rsidRPr="00EE5690">
        <w:rPr>
          <w:rFonts w:cs="Arial"/>
          <w:lang w:val="en-GB"/>
        </w:rPr>
        <w:t xml:space="preserve"> could be used to establish a knowledge foundation to support the endeavour. Research and innovation will also study the potential of agroforestry systems and their contribution to sustainable food and feed / non-food biomass production by leveraging the results of past and </w:t>
      </w:r>
      <w:r w:rsidRPr="00EE5690">
        <w:rPr>
          <w:rFonts w:cs="Arial"/>
          <w:lang w:val="en-GB"/>
        </w:rPr>
        <w:lastRenderedPageBreak/>
        <w:t>continuing EU-funded research projects under Horizon 2020 (e.g. AGFORWARD, AFINET, MIXED, AGROMIX)</w:t>
      </w:r>
      <w:r w:rsidR="00772507" w:rsidRPr="00EE5690">
        <w:rPr>
          <w:rFonts w:cs="Arial"/>
          <w:lang w:val="en-GB"/>
        </w:rPr>
        <w:t xml:space="preserve"> </w:t>
      </w:r>
      <w:r w:rsidR="00772507" w:rsidRPr="00EE5690">
        <w:rPr>
          <w:rFonts w:cs="Arial"/>
          <w:lang w:val="en-GB"/>
        </w:rPr>
        <w:fldChar w:fldCharType="begin" w:fldLock="1"/>
      </w:r>
      <w:r w:rsidR="004201DA" w:rsidRPr="00EE5690">
        <w:rPr>
          <w:rFonts w:cs="Arial"/>
          <w:lang w:val="en-GB"/>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00772507" w:rsidRPr="00EE5690">
        <w:rPr>
          <w:rFonts w:cs="Arial"/>
          <w:lang w:val="en-GB"/>
        </w:rPr>
        <w:fldChar w:fldCharType="separate"/>
      </w:r>
      <w:r w:rsidR="00772507" w:rsidRPr="00EE5690">
        <w:rPr>
          <w:rFonts w:cs="Arial"/>
          <w:noProof/>
          <w:lang w:val="en-GB"/>
        </w:rPr>
        <w:t>(European Commission, 2021d)</w:t>
      </w:r>
      <w:r w:rsidR="00772507" w:rsidRPr="00EE5690">
        <w:rPr>
          <w:rFonts w:cs="Arial"/>
          <w:lang w:val="en-GB"/>
        </w:rPr>
        <w:fldChar w:fldCharType="end"/>
      </w:r>
      <w:r w:rsidRPr="00EE5690">
        <w:rPr>
          <w:rFonts w:cs="Arial"/>
          <w:lang w:val="en-GB"/>
        </w:rPr>
        <w:t>.</w:t>
      </w:r>
    </w:p>
    <w:p w14:paraId="7A847488" w14:textId="274EAB32" w:rsidR="00BC08B9" w:rsidRPr="00EE5690" w:rsidRDefault="00C26B48" w:rsidP="00EA2829">
      <w:pPr>
        <w:rPr>
          <w:rFonts w:cs="Arial"/>
          <w:lang w:val="en-GB"/>
        </w:rPr>
      </w:pPr>
      <w:r w:rsidRPr="00EE5690">
        <w:rPr>
          <w:rFonts w:cs="Arial"/>
          <w:lang w:val="en-GB"/>
        </w:rPr>
        <w:t xml:space="preserve">The </w:t>
      </w:r>
      <w:r w:rsidRPr="00EE5690">
        <w:rPr>
          <w:rFonts w:cs="Arial"/>
          <w:b/>
          <w:bCs/>
          <w:lang w:val="en-GB"/>
        </w:rPr>
        <w:t>Cohesion Policy Funds</w:t>
      </w:r>
      <w:r w:rsidRPr="00EE5690">
        <w:rPr>
          <w:rFonts w:cs="Arial"/>
          <w:lang w:val="en-GB"/>
        </w:rPr>
        <w:t xml:space="preserve"> are funds established to carry out the European Union's regional policy. They want to narrow regional income, wealth, and disparities. The poorer regions of Europe receive the majority of the </w:t>
      </w:r>
      <w:proofErr w:type="gramStart"/>
      <w:r w:rsidRPr="00EE5690">
        <w:rPr>
          <w:rFonts w:cs="Arial"/>
          <w:lang w:val="en-GB"/>
        </w:rPr>
        <w:t>aid,</w:t>
      </w:r>
      <w:proofErr w:type="gramEnd"/>
      <w:r w:rsidRPr="00EE5690">
        <w:rPr>
          <w:rFonts w:cs="Arial"/>
          <w:lang w:val="en-GB"/>
        </w:rPr>
        <w:t xml:space="preserve"> however all European regions are eligible for funding through the many funds and programs available. Member states can determine how to spend these resources through national cooperation agreements, which are subsequently carried out through regional programs, including sub-regional and city-level initiatives. They can also use the funding to support cross-border, transnational, and interregional cooperation programs, utilizing the coordination and cooperation frameworks offered by EU macro-regional plans as needed. Planting trees could fall under the category of natural catastrophe risk mitigation and restoration.</w:t>
      </w:r>
      <w:r w:rsidR="00CA42B2" w:rsidRPr="00EE5690">
        <w:rPr>
          <w:rFonts w:cs="Arial"/>
          <w:lang w:val="en-GB"/>
        </w:rPr>
        <w:t xml:space="preserve"> Each Member State must invest a minimum of 8% of its European Regional Development Fund resources in priorities and projects chosen by cities and based on their own sustainable urban development strategy. In metropolitan locations, this can include tree planting as part of a larger integrated development strategy</w:t>
      </w:r>
      <w:r w:rsidR="00EA04B8" w:rsidRPr="00EE5690">
        <w:rPr>
          <w:rFonts w:cs="Arial"/>
          <w:lang w:val="en-GB"/>
        </w:rPr>
        <w:t xml:space="preserve"> </w:t>
      </w:r>
      <w:r w:rsidR="00EA04B8" w:rsidRPr="00EE5690">
        <w:rPr>
          <w:rFonts w:cs="Arial"/>
          <w:lang w:val="en-GB"/>
        </w:rPr>
        <w:fldChar w:fldCharType="begin" w:fldLock="1"/>
      </w:r>
      <w:r w:rsidR="00EA04B8" w:rsidRPr="00EE5690">
        <w:rPr>
          <w:rFonts w:cs="Arial"/>
          <w:lang w:val="en-GB"/>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00EA04B8" w:rsidRPr="00EE5690">
        <w:rPr>
          <w:rFonts w:cs="Arial"/>
          <w:lang w:val="en-GB"/>
        </w:rPr>
        <w:fldChar w:fldCharType="separate"/>
      </w:r>
      <w:r w:rsidR="00EA04B8" w:rsidRPr="00EE5690">
        <w:rPr>
          <w:rFonts w:cs="Arial"/>
          <w:noProof/>
          <w:lang w:val="en-GB"/>
        </w:rPr>
        <w:t>(European Commission, 2021d)</w:t>
      </w:r>
      <w:r w:rsidR="00EA04B8" w:rsidRPr="00EE5690">
        <w:rPr>
          <w:rFonts w:cs="Arial"/>
          <w:lang w:val="en-GB"/>
        </w:rPr>
        <w:fldChar w:fldCharType="end"/>
      </w:r>
      <w:r w:rsidR="00CA42B2" w:rsidRPr="00EE5690">
        <w:rPr>
          <w:rFonts w:cs="Arial"/>
          <w:lang w:val="en-GB"/>
        </w:rPr>
        <w:t>.</w:t>
      </w:r>
    </w:p>
    <w:p w14:paraId="4E30CFAE" w14:textId="4F6C5F14" w:rsidR="00CA42B2" w:rsidRPr="00EE5690" w:rsidRDefault="00CA42B2" w:rsidP="00EA2829">
      <w:pPr>
        <w:rPr>
          <w:rFonts w:cs="Arial"/>
          <w:lang w:val="en-GB"/>
        </w:rPr>
      </w:pPr>
      <w:r w:rsidRPr="00EE5690">
        <w:rPr>
          <w:rFonts w:cs="Arial"/>
          <w:b/>
          <w:bCs/>
          <w:lang w:val="en-GB"/>
        </w:rPr>
        <w:t>European Agricultural Fund for Rural Development (EAFRD)</w:t>
      </w:r>
      <w:r w:rsidRPr="00EE5690">
        <w:rPr>
          <w:rFonts w:cs="Arial"/>
          <w:lang w:val="en-GB"/>
        </w:rPr>
        <w:t xml:space="preserve">: </w:t>
      </w:r>
      <w:r w:rsidR="001B17B9" w:rsidRPr="00EE5690">
        <w:rPr>
          <w:rFonts w:cs="Arial"/>
          <w:lang w:val="en-GB"/>
        </w:rPr>
        <w:t>Member States can choose to give funds to assist tree planting as part of the rural development program, with the priority of restoring, preserving, and enhancing ecosystems associated to agriculture and forestry. This can involve disaster restoration and agricultural land ecosystem enhancement. Afforestation and woodland production, as well as the development of agroforestry systems, can all be supported</w:t>
      </w:r>
      <w:r w:rsidR="00EA04B8" w:rsidRPr="00EE5690">
        <w:rPr>
          <w:rFonts w:cs="Arial"/>
          <w:lang w:val="en-GB"/>
        </w:rPr>
        <w:t xml:space="preserve"> </w:t>
      </w:r>
      <w:r w:rsidR="00EA04B8" w:rsidRPr="00EE5690">
        <w:rPr>
          <w:rFonts w:cs="Arial"/>
          <w:lang w:val="en-GB"/>
        </w:rPr>
        <w:fldChar w:fldCharType="begin" w:fldLock="1"/>
      </w:r>
      <w:r w:rsidR="00EA04B8" w:rsidRPr="00EE5690">
        <w:rPr>
          <w:rFonts w:cs="Arial"/>
          <w:lang w:val="en-GB"/>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00EA04B8" w:rsidRPr="00EE5690">
        <w:rPr>
          <w:rFonts w:cs="Arial"/>
          <w:lang w:val="en-GB"/>
        </w:rPr>
        <w:fldChar w:fldCharType="separate"/>
      </w:r>
      <w:r w:rsidR="00EA04B8" w:rsidRPr="00EE5690">
        <w:rPr>
          <w:rFonts w:cs="Arial"/>
          <w:noProof/>
          <w:lang w:val="en-GB"/>
        </w:rPr>
        <w:t>(European Commission, 2021d)</w:t>
      </w:r>
      <w:r w:rsidR="00EA04B8" w:rsidRPr="00EE5690">
        <w:rPr>
          <w:rFonts w:cs="Arial"/>
          <w:lang w:val="en-GB"/>
        </w:rPr>
        <w:fldChar w:fldCharType="end"/>
      </w:r>
      <w:r w:rsidR="001B17B9" w:rsidRPr="00EE5690">
        <w:rPr>
          <w:rFonts w:cs="Arial"/>
          <w:lang w:val="en-GB"/>
        </w:rPr>
        <w:t>.</w:t>
      </w:r>
    </w:p>
    <w:p w14:paraId="6DE4C8DD" w14:textId="79A1621B" w:rsidR="001B17B9" w:rsidRPr="00EE5690" w:rsidRDefault="001B17B9" w:rsidP="00EA2829">
      <w:pPr>
        <w:rPr>
          <w:rFonts w:cs="Arial"/>
          <w:lang w:val="en-GB"/>
        </w:rPr>
      </w:pPr>
      <w:r w:rsidRPr="00EE5690">
        <w:rPr>
          <w:rFonts w:cs="Arial"/>
          <w:b/>
          <w:bCs/>
          <w:lang w:val="en-GB"/>
        </w:rPr>
        <w:t>Carbon farming</w:t>
      </w:r>
      <w:r w:rsidRPr="00EE5690">
        <w:rPr>
          <w:rFonts w:cs="Arial"/>
          <w:lang w:val="en-GB"/>
        </w:rPr>
        <w:t xml:space="preserve">: According to the Farm to Fork plan, the Commission will launch a new EU carbon farming project by the third quarter of 2021 to encourage carbon sequestration as a new green economic model. Carbon farming was identified in the 2030 climate target plan </w:t>
      </w:r>
      <w:proofErr w:type="gramStart"/>
      <w:r w:rsidRPr="00EE5690">
        <w:rPr>
          <w:rFonts w:cs="Arial"/>
          <w:lang w:val="en-GB"/>
        </w:rPr>
        <w:t>as a way to</w:t>
      </w:r>
      <w:proofErr w:type="gramEnd"/>
      <w:r w:rsidRPr="00EE5690">
        <w:rPr>
          <w:rFonts w:cs="Arial"/>
          <w:lang w:val="en-GB"/>
        </w:rPr>
        <w:t xml:space="preserve"> generate direct incentives for farmers and forest managers to take climate action, helping the EU meet its goal of cutting greenhouse gas emissions by at least 55% by 2030, compared to 1990 levels. The Commission will also support carbon farming for land-based carbon removals and establish financial incentives to implement nature-based solutions, according to the adaptation strategy.</w:t>
      </w:r>
      <w:r w:rsidR="00BC4587" w:rsidRPr="00EE5690">
        <w:rPr>
          <w:rFonts w:cs="Arial"/>
        </w:rPr>
        <w:t xml:space="preserve"> </w:t>
      </w:r>
      <w:r w:rsidR="00BC4587" w:rsidRPr="00EE5690">
        <w:rPr>
          <w:rFonts w:cs="Arial"/>
          <w:lang w:val="en-GB"/>
        </w:rPr>
        <w:t xml:space="preserve">Planting new forests, restoring degraded forests, improving the management of existing forests, supplying biomass </w:t>
      </w:r>
      <w:proofErr w:type="gramStart"/>
      <w:r w:rsidR="00BC4587" w:rsidRPr="00EE5690">
        <w:rPr>
          <w:rFonts w:cs="Arial"/>
          <w:lang w:val="en-GB"/>
        </w:rPr>
        <w:t>for the production of</w:t>
      </w:r>
      <w:proofErr w:type="gramEnd"/>
      <w:r w:rsidR="00BC4587" w:rsidRPr="00EE5690">
        <w:rPr>
          <w:rFonts w:cs="Arial"/>
          <w:lang w:val="en-GB"/>
        </w:rPr>
        <w:t xml:space="preserve"> long-lasting bio-based products, and </w:t>
      </w:r>
      <w:r w:rsidR="00BC4587" w:rsidRPr="00EE5690">
        <w:rPr>
          <w:rFonts w:cs="Arial"/>
          <w:lang w:val="en-GB"/>
        </w:rPr>
        <w:lastRenderedPageBreak/>
        <w:t>planting trees in agricultural land as part of sustainable agroforestry systems are all examples of carbon farming incentives. Carbon farming might thus assist in the creation of the necessary financial incentives, such as planting 3 billion extra trees in the EU by 2030. To make carbon farming a viable economic model, however, land managers will need better advising services, as well as a monitoring, reporting, and verification system based on cutting-edge digital and satellite technologies</w:t>
      </w:r>
      <w:r w:rsidR="00EA04B8" w:rsidRPr="00EE5690">
        <w:rPr>
          <w:rFonts w:cs="Arial"/>
          <w:lang w:val="en-GB"/>
        </w:rPr>
        <w:t xml:space="preserve"> </w:t>
      </w:r>
      <w:r w:rsidR="00EA04B8" w:rsidRPr="00EE5690">
        <w:rPr>
          <w:rFonts w:cs="Arial"/>
          <w:lang w:val="en-GB"/>
        </w:rPr>
        <w:fldChar w:fldCharType="begin" w:fldLock="1"/>
      </w:r>
      <w:r w:rsidR="00EA04B8" w:rsidRPr="00EE5690">
        <w:rPr>
          <w:rFonts w:cs="Arial"/>
          <w:lang w:val="en-GB"/>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00EA04B8" w:rsidRPr="00EE5690">
        <w:rPr>
          <w:rFonts w:cs="Arial"/>
          <w:lang w:val="en-GB"/>
        </w:rPr>
        <w:fldChar w:fldCharType="separate"/>
      </w:r>
      <w:r w:rsidR="00EA04B8" w:rsidRPr="00EE5690">
        <w:rPr>
          <w:rFonts w:cs="Arial"/>
          <w:noProof/>
          <w:lang w:val="en-GB"/>
        </w:rPr>
        <w:t>(European Commission, 2021d)</w:t>
      </w:r>
      <w:r w:rsidR="00EA04B8" w:rsidRPr="00EE5690">
        <w:rPr>
          <w:rFonts w:cs="Arial"/>
          <w:lang w:val="en-GB"/>
        </w:rPr>
        <w:fldChar w:fldCharType="end"/>
      </w:r>
      <w:r w:rsidR="00BC4587" w:rsidRPr="00EE5690">
        <w:rPr>
          <w:rFonts w:cs="Arial"/>
          <w:lang w:val="en-GB"/>
        </w:rPr>
        <w:t>.</w:t>
      </w:r>
    </w:p>
    <w:p w14:paraId="6D65C2AA" w14:textId="35573491" w:rsidR="00BC4587" w:rsidRPr="00EE5690" w:rsidRDefault="00B6551D" w:rsidP="00EA2829">
      <w:pPr>
        <w:rPr>
          <w:rFonts w:cs="Arial"/>
          <w:lang w:val="en-GB"/>
        </w:rPr>
      </w:pPr>
      <w:r w:rsidRPr="00EE5690">
        <w:rPr>
          <w:rFonts w:cs="Arial"/>
          <w:b/>
          <w:bCs/>
          <w:lang w:val="en-GB"/>
        </w:rPr>
        <w:t>State aid</w:t>
      </w:r>
      <w:r w:rsidRPr="00EE5690">
        <w:rPr>
          <w:rFonts w:cs="Arial"/>
          <w:lang w:val="en-GB"/>
        </w:rPr>
        <w:t>: Under EU State aid laws, tree planting can also be sponsored through national financing. Member States may grant aid for two types of measures under those rules, which are particularly relevant for the planting of additional trees on previously non-forested areas: aid for afforestation and woodland creation, and aid for the establishment, regeneration, or renovation of agroforestry systems. Subsidies for forest upkeep costs may also be included in such aid programs. Member states can also use EU State assistance regulations to subsidize tree planting in urban and peri-urban regions. The present forestry State aid rules are being revised. Based on the results of the consultations, it appears that the new guidelines will maintain or even expand these funding options. The new rules are set to take effect on January 1st of 2023</w:t>
      </w:r>
      <w:r w:rsidR="00EA04B8" w:rsidRPr="00EE5690">
        <w:rPr>
          <w:rFonts w:cs="Arial"/>
          <w:lang w:val="en-GB"/>
        </w:rPr>
        <w:t xml:space="preserve"> </w:t>
      </w:r>
      <w:r w:rsidR="00EA04B8" w:rsidRPr="00EE5690">
        <w:rPr>
          <w:rFonts w:cs="Arial"/>
          <w:lang w:val="en-GB"/>
        </w:rPr>
        <w:fldChar w:fldCharType="begin" w:fldLock="1"/>
      </w:r>
      <w:r w:rsidR="00EA04B8" w:rsidRPr="00EE5690">
        <w:rPr>
          <w:rFonts w:cs="Arial"/>
          <w:lang w:val="en-GB"/>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00EA04B8" w:rsidRPr="00EE5690">
        <w:rPr>
          <w:rFonts w:cs="Arial"/>
          <w:lang w:val="en-GB"/>
        </w:rPr>
        <w:fldChar w:fldCharType="separate"/>
      </w:r>
      <w:r w:rsidR="00EA04B8" w:rsidRPr="00EE5690">
        <w:rPr>
          <w:rFonts w:cs="Arial"/>
          <w:noProof/>
          <w:lang w:val="en-GB"/>
        </w:rPr>
        <w:t>(European Commission, 2021d)</w:t>
      </w:r>
      <w:r w:rsidR="00EA04B8" w:rsidRPr="00EE5690">
        <w:rPr>
          <w:rFonts w:cs="Arial"/>
          <w:lang w:val="en-GB"/>
        </w:rPr>
        <w:fldChar w:fldCharType="end"/>
      </w:r>
      <w:r w:rsidRPr="00EE5690">
        <w:rPr>
          <w:rFonts w:cs="Arial"/>
          <w:lang w:val="en-GB"/>
        </w:rPr>
        <w:t>.</w:t>
      </w:r>
    </w:p>
    <w:p w14:paraId="72D2185F" w14:textId="40961684" w:rsidR="00BC08B9" w:rsidRPr="00EE5690" w:rsidRDefault="00EA04B8" w:rsidP="00EA2829">
      <w:pPr>
        <w:rPr>
          <w:rFonts w:cs="Arial"/>
          <w:lang w:val="en-GB"/>
        </w:rPr>
      </w:pPr>
      <w:r w:rsidRPr="00EE5690">
        <w:rPr>
          <w:rFonts w:cs="Arial"/>
          <w:lang w:val="en-GB"/>
        </w:rPr>
        <w:t xml:space="preserve">To meet the aim and leverage the finances needed for planting and monitoring, the </w:t>
      </w:r>
      <w:r w:rsidRPr="00EE5690">
        <w:rPr>
          <w:rFonts w:cs="Arial"/>
          <w:b/>
          <w:bCs/>
          <w:lang w:val="en-GB"/>
        </w:rPr>
        <w:t>private sector</w:t>
      </w:r>
      <w:r w:rsidRPr="00EE5690">
        <w:rPr>
          <w:rFonts w:cs="Arial"/>
          <w:lang w:val="en-GB"/>
        </w:rPr>
        <w:t xml:space="preserve"> must be involved. The commercial sector has expressed a strong desire to contribute to the pledge (banks and private fund managers, corporations, green bonds, airlines, energy infrastructure operators, etc.). Banks and fund managers are progressively establishing specialist green investing branches, where the revenue is derived from the image it portrays.</w:t>
      </w:r>
      <w:r w:rsidRPr="00EE5690">
        <w:rPr>
          <w:rFonts w:cs="Arial"/>
        </w:rPr>
        <w:t xml:space="preserve"> </w:t>
      </w:r>
      <w:r w:rsidRPr="00EE5690">
        <w:rPr>
          <w:rFonts w:cs="Arial"/>
          <w:lang w:val="en-GB"/>
        </w:rPr>
        <w:t>Energy infrastructure operators might possibly be crucial partners for the 3 billion tree pledge, given the vast hectares of EU territory involved. To avoid greenwashing, it will be crucial to establish explicit rules and requirements (</w:t>
      </w:r>
      <w:proofErr w:type="gramStart"/>
      <w:r w:rsidRPr="00EE5690">
        <w:rPr>
          <w:rFonts w:cs="Arial"/>
          <w:lang w:val="en-GB"/>
        </w:rPr>
        <w:t>i.e.</w:t>
      </w:r>
      <w:proofErr w:type="gramEnd"/>
      <w:r w:rsidRPr="00EE5690">
        <w:rPr>
          <w:rFonts w:cs="Arial"/>
          <w:lang w:val="en-GB"/>
        </w:rPr>
        <w:t xml:space="preserve"> planting trees in addition to other action, not instead of other action). It should also ensure that consumption that has a negative impact on natural resources (air travel, SUVs, red meat, and so on) is not labelled as sustainable by simply planting trees to offset carbon emissions </w:t>
      </w:r>
      <w:r w:rsidRPr="00EE5690">
        <w:rPr>
          <w:rFonts w:cs="Arial"/>
          <w:lang w:val="en-GB"/>
        </w:rPr>
        <w:fldChar w:fldCharType="begin" w:fldLock="1"/>
      </w:r>
      <w:r w:rsidRPr="00EE5690">
        <w:rPr>
          <w:rFonts w:cs="Arial"/>
          <w:lang w:val="en-GB"/>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Pr="00EE5690">
        <w:rPr>
          <w:rFonts w:cs="Arial"/>
          <w:lang w:val="en-GB"/>
        </w:rPr>
        <w:fldChar w:fldCharType="separate"/>
      </w:r>
      <w:r w:rsidRPr="00EE5690">
        <w:rPr>
          <w:rFonts w:cs="Arial"/>
          <w:noProof/>
          <w:lang w:val="en-GB"/>
        </w:rPr>
        <w:t>(European Commission, 2021d)</w:t>
      </w:r>
      <w:r w:rsidRPr="00EE5690">
        <w:rPr>
          <w:rFonts w:cs="Arial"/>
          <w:lang w:val="en-GB"/>
        </w:rPr>
        <w:fldChar w:fldCharType="end"/>
      </w:r>
      <w:r w:rsidRPr="00EE5690">
        <w:rPr>
          <w:rFonts w:cs="Arial"/>
          <w:lang w:val="en-GB"/>
        </w:rPr>
        <w:t>.</w:t>
      </w:r>
    </w:p>
    <w:p w14:paraId="62A8ADC1" w14:textId="36822A9E" w:rsidR="00FC4BC5" w:rsidRPr="00EE5690" w:rsidRDefault="00403C7B" w:rsidP="005D4B20">
      <w:pPr>
        <w:pStyle w:val="MAIL1"/>
      </w:pPr>
      <w:bookmarkStart w:id="23" w:name="_Toc91752383"/>
      <w:r w:rsidRPr="00EE5690">
        <w:lastRenderedPageBreak/>
        <w:t>Methodology Development for assessing sustainable development of MLs as Carbon sinks</w:t>
      </w:r>
      <w:bookmarkEnd w:id="23"/>
    </w:p>
    <w:p w14:paraId="1287BB7A" w14:textId="515DE24A" w:rsidR="00403C7B" w:rsidRPr="00EE5690" w:rsidRDefault="00403C7B" w:rsidP="00EA2829">
      <w:pPr>
        <w:rPr>
          <w:rFonts w:cs="Arial"/>
          <w:lang w:val="en-GB"/>
        </w:rPr>
      </w:pPr>
      <w:r w:rsidRPr="00EE5690">
        <w:rPr>
          <w:rFonts w:cs="Arial"/>
          <w:lang w:val="en-GB"/>
        </w:rPr>
        <w:t xml:space="preserve">In this chapter the general approach and the development of the methodology for </w:t>
      </w:r>
      <w:r w:rsidR="009C791E" w:rsidRPr="00EE5690">
        <w:rPr>
          <w:rFonts w:cs="Arial"/>
          <w:lang w:val="en-GB"/>
        </w:rPr>
        <w:t xml:space="preserve">the </w:t>
      </w:r>
      <w:r w:rsidRPr="00EE5690">
        <w:rPr>
          <w:rFonts w:cs="Arial"/>
          <w:lang w:val="en-GB"/>
        </w:rPr>
        <w:t xml:space="preserve">assessment of the usage of MLs as carbon sinks is being presented. </w:t>
      </w:r>
    </w:p>
    <w:p w14:paraId="5E322930" w14:textId="2FBA8B44" w:rsidR="00403C7B" w:rsidRPr="00EE5690" w:rsidRDefault="00403C7B" w:rsidP="00EA2829">
      <w:pPr>
        <w:rPr>
          <w:rFonts w:cs="Arial"/>
          <w:lang w:val="en-GB"/>
        </w:rPr>
      </w:pPr>
      <w:r w:rsidRPr="00EE5690">
        <w:rPr>
          <w:rFonts w:cs="Arial"/>
          <w:lang w:val="en-GB"/>
        </w:rPr>
        <w:t>In task 2.3 the methodology and the identification of potential marginal lands in Europe has been realized. The work performed in T2.3 resulted in the production of maps in a European level that have detected the potential marginal lands (</w:t>
      </w:r>
      <w:r w:rsidRPr="00EE5690">
        <w:rPr>
          <w:rFonts w:cs="Arial"/>
          <w:lang w:val="en-GB"/>
        </w:rPr>
        <w:fldChar w:fldCharType="begin"/>
      </w:r>
      <w:r w:rsidRPr="00EE5690">
        <w:rPr>
          <w:rFonts w:cs="Arial"/>
          <w:lang w:val="en-GB"/>
        </w:rPr>
        <w:instrText xml:space="preserve"> REF _Ref23753471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E2138D">
        <w:rPr>
          <w:rFonts w:cs="Arial"/>
        </w:rPr>
        <w:t xml:space="preserve">Figure </w:t>
      </w:r>
      <w:r w:rsidR="0073710A">
        <w:rPr>
          <w:rFonts w:cs="Arial"/>
          <w:noProof/>
        </w:rPr>
        <w:t>1</w:t>
      </w:r>
      <w:r w:rsidRPr="00EE5690">
        <w:rPr>
          <w:rFonts w:cs="Arial"/>
          <w:lang w:val="en-GB"/>
        </w:rPr>
        <w:fldChar w:fldCharType="end"/>
      </w:r>
      <w:r w:rsidRPr="00EE5690">
        <w:rPr>
          <w:rFonts w:cs="Arial"/>
          <w:lang w:val="en-GB"/>
        </w:rPr>
        <w:t xml:space="preserve">). </w:t>
      </w:r>
    </w:p>
    <w:p w14:paraId="3209640B" w14:textId="3F33B7A0" w:rsidR="00814379" w:rsidRPr="00EE5690" w:rsidRDefault="00814379" w:rsidP="00FB779F">
      <w:pPr>
        <w:jc w:val="center"/>
        <w:rPr>
          <w:rFonts w:cs="Arial"/>
          <w:lang w:val="en-GB"/>
        </w:rPr>
      </w:pPr>
      <w:r w:rsidRPr="00EE5690">
        <w:rPr>
          <w:rFonts w:cs="Arial"/>
          <w:noProof/>
        </w:rPr>
        <w:drawing>
          <wp:inline distT="0" distB="0" distL="0" distR="0" wp14:anchorId="0D2C69F2" wp14:editId="0BF14AE9">
            <wp:extent cx="3779189" cy="5250873"/>
            <wp:effectExtent l="0" t="0" r="0" b="6985"/>
            <wp:docPr id="63" name="Εικόνα 63"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Εικόνα 63" descr="Εικόνα που περιέχει χάρτης&#10;&#10;Περιγραφή που δημιουργήθηκε αυτόματα"/>
                    <pic:cNvPicPr/>
                  </pic:nvPicPr>
                  <pic:blipFill>
                    <a:blip r:embed="rId19"/>
                    <a:stretch>
                      <a:fillRect/>
                    </a:stretch>
                  </pic:blipFill>
                  <pic:spPr>
                    <a:xfrm>
                      <a:off x="0" y="0"/>
                      <a:ext cx="3794842" cy="5272622"/>
                    </a:xfrm>
                    <a:prstGeom prst="rect">
                      <a:avLst/>
                    </a:prstGeom>
                  </pic:spPr>
                </pic:pic>
              </a:graphicData>
            </a:graphic>
          </wp:inline>
        </w:drawing>
      </w:r>
    </w:p>
    <w:p w14:paraId="055A8DB8" w14:textId="7ED4550A" w:rsidR="00403C7B" w:rsidRPr="00E2138D" w:rsidRDefault="00403C7B" w:rsidP="006534E4">
      <w:pPr>
        <w:pStyle w:val="Caption"/>
        <w:rPr>
          <w:rFonts w:cs="Arial"/>
        </w:rPr>
      </w:pPr>
      <w:bookmarkStart w:id="24" w:name="_Ref23753471"/>
      <w:bookmarkStart w:id="25" w:name="_Toc91752485"/>
      <w:r w:rsidRPr="00E2138D">
        <w:rPr>
          <w:rFonts w:cs="Arial"/>
        </w:rPr>
        <w:t xml:space="preserve">Figure </w:t>
      </w:r>
      <w:r w:rsidRPr="00E2138D">
        <w:rPr>
          <w:rFonts w:cs="Arial"/>
        </w:rPr>
        <w:fldChar w:fldCharType="begin"/>
      </w:r>
      <w:r w:rsidRPr="00E2138D">
        <w:rPr>
          <w:rFonts w:cs="Arial"/>
        </w:rPr>
        <w:instrText xml:space="preserve"> SEQ Figure \* ARABIC </w:instrText>
      </w:r>
      <w:r w:rsidRPr="00E2138D">
        <w:rPr>
          <w:rFonts w:cs="Arial"/>
        </w:rPr>
        <w:fldChar w:fldCharType="separate"/>
      </w:r>
      <w:r w:rsidR="0073710A">
        <w:rPr>
          <w:rFonts w:cs="Arial"/>
          <w:noProof/>
        </w:rPr>
        <w:t>1</w:t>
      </w:r>
      <w:r w:rsidRPr="00E2138D">
        <w:rPr>
          <w:rFonts w:cs="Arial"/>
        </w:rPr>
        <w:fldChar w:fldCharType="end"/>
      </w:r>
      <w:bookmarkEnd w:id="24"/>
      <w:r w:rsidRPr="00E2138D">
        <w:rPr>
          <w:rFonts w:cs="Arial"/>
        </w:rPr>
        <w:t xml:space="preserve"> Potential Marginal lands in Europe</w:t>
      </w:r>
      <w:r w:rsidR="00814379" w:rsidRPr="00E2138D">
        <w:rPr>
          <w:rFonts w:cs="Arial"/>
        </w:rPr>
        <w:t>,</w:t>
      </w:r>
      <w:r w:rsidRPr="00E2138D">
        <w:rPr>
          <w:rFonts w:cs="Arial"/>
        </w:rPr>
        <w:t xml:space="preserve"> </w:t>
      </w:r>
      <w:r w:rsidR="00814379" w:rsidRPr="00E2138D">
        <w:rPr>
          <w:rFonts w:eastAsiaTheme="minorHAnsi" w:cs="Arial"/>
          <w:color w:val="212745"/>
          <w:lang w:val="en-US"/>
        </w:rPr>
        <w:t>Layer "</w:t>
      </w:r>
      <w:proofErr w:type="spellStart"/>
      <w:r w:rsidR="00814379" w:rsidRPr="00E2138D">
        <w:rPr>
          <w:rFonts w:eastAsiaTheme="minorHAnsi" w:cs="Arial"/>
          <w:color w:val="212745"/>
          <w:lang w:val="en-US"/>
        </w:rPr>
        <w:t>ML_Hard</w:t>
      </w:r>
      <w:proofErr w:type="spellEnd"/>
      <w:r w:rsidR="00814379" w:rsidRPr="00E2138D">
        <w:rPr>
          <w:rFonts w:eastAsiaTheme="minorHAnsi" w:cs="Arial"/>
          <w:color w:val="212745"/>
          <w:lang w:val="en-US"/>
        </w:rPr>
        <w:t>" for Europe where the orange colors represent the areas defined as marginal excluding land use "impervious", "croplands", "forest", "protected areas" and</w:t>
      </w:r>
      <w:r w:rsidR="00604C00" w:rsidRPr="00E2138D">
        <w:rPr>
          <w:rFonts w:eastAsiaTheme="minorHAnsi" w:cs="Arial"/>
          <w:color w:val="212745"/>
          <w:lang w:val="en-US"/>
        </w:rPr>
        <w:t xml:space="preserve"> </w:t>
      </w:r>
      <w:r w:rsidR="00814379" w:rsidRPr="00E2138D">
        <w:rPr>
          <w:rFonts w:eastAsiaTheme="minorHAnsi" w:cs="Arial"/>
          <w:color w:val="212745"/>
          <w:lang w:val="en-US"/>
        </w:rPr>
        <w:t>"changed". (Source: personal compilation of Jesús Torralba Pérez)</w:t>
      </w:r>
      <w:bookmarkEnd w:id="25"/>
    </w:p>
    <w:p w14:paraId="406ECB02" w14:textId="3E94BCEC" w:rsidR="00403C7B" w:rsidRPr="00EE5690" w:rsidRDefault="00403C7B" w:rsidP="00EA2829">
      <w:pPr>
        <w:rPr>
          <w:rFonts w:cs="Arial"/>
          <w:lang w:val="en-GB"/>
        </w:rPr>
      </w:pPr>
      <w:r w:rsidRPr="00EE5690">
        <w:rPr>
          <w:rFonts w:cs="Arial"/>
          <w:lang w:val="en-GB"/>
        </w:rPr>
        <w:lastRenderedPageBreak/>
        <w:t xml:space="preserve">The identification of the marginal lands was based on existing land </w:t>
      </w:r>
      <w:r w:rsidR="00814379" w:rsidRPr="00EE5690">
        <w:rPr>
          <w:rFonts w:cs="Arial"/>
          <w:lang w:val="en-GB"/>
        </w:rPr>
        <w:t>c</w:t>
      </w:r>
      <w:r w:rsidRPr="00EE5690">
        <w:rPr>
          <w:rFonts w:cs="Arial"/>
          <w:lang w:val="en-GB"/>
        </w:rPr>
        <w:t>over, land use classification augmented by using indicators considering the soil quality.</w:t>
      </w:r>
    </w:p>
    <w:p w14:paraId="6F49EE21" w14:textId="0D16A282" w:rsidR="00AD1C44" w:rsidRPr="00EE5690" w:rsidRDefault="00AD1C44" w:rsidP="00EA2829">
      <w:pPr>
        <w:rPr>
          <w:rFonts w:cs="Arial"/>
          <w:lang w:val="en-GB"/>
        </w:rPr>
      </w:pPr>
      <w:r w:rsidRPr="00EE5690">
        <w:rPr>
          <w:rFonts w:cs="Arial"/>
          <w:lang w:val="en-GB"/>
        </w:rPr>
        <w:t xml:space="preserve">The MLs identified by T2.3, and the carbon sequestration capacity groups classification performed in T2.7 are the base upon which the sustainable development assessment is going to be performed. </w:t>
      </w:r>
    </w:p>
    <w:p w14:paraId="1B682193" w14:textId="619145A6" w:rsidR="00722068" w:rsidRPr="00EE5690" w:rsidRDefault="00AA71C2" w:rsidP="00EA2829">
      <w:pPr>
        <w:rPr>
          <w:rFonts w:cs="Arial"/>
          <w:lang w:val="en-GB"/>
        </w:rPr>
      </w:pPr>
      <w:r w:rsidRPr="00EE5690">
        <w:rPr>
          <w:rFonts w:cs="Arial"/>
          <w:lang w:val="en-GB"/>
        </w:rPr>
        <w:fldChar w:fldCharType="begin"/>
      </w:r>
      <w:r w:rsidRPr="00EE5690">
        <w:rPr>
          <w:rFonts w:cs="Arial"/>
          <w:lang w:val="en-GB"/>
        </w:rPr>
        <w:instrText xml:space="preserve"> REF _Ref23757962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E2138D">
        <w:rPr>
          <w:rFonts w:cs="Arial"/>
        </w:rPr>
        <w:t xml:space="preserve">Figure </w:t>
      </w:r>
      <w:r w:rsidR="0073710A">
        <w:rPr>
          <w:rFonts w:cs="Arial"/>
          <w:noProof/>
        </w:rPr>
        <w:t>2</w:t>
      </w:r>
      <w:r w:rsidRPr="00EE5690">
        <w:rPr>
          <w:rFonts w:cs="Arial"/>
          <w:lang w:val="en-GB"/>
        </w:rPr>
        <w:fldChar w:fldCharType="end"/>
      </w:r>
      <w:r w:rsidRPr="00EE5690">
        <w:rPr>
          <w:rFonts w:cs="Arial"/>
          <w:lang w:val="en-GB"/>
        </w:rPr>
        <w:t xml:space="preserve"> </w:t>
      </w:r>
      <w:r w:rsidR="00722068" w:rsidRPr="00EE5690">
        <w:rPr>
          <w:rFonts w:cs="Arial"/>
          <w:lang w:val="en-GB"/>
        </w:rPr>
        <w:t>presents the general overview of the sustainable development assessment of marginal lands that will be used as carbon sinks.</w:t>
      </w:r>
    </w:p>
    <w:p w14:paraId="201D93DD" w14:textId="47248DAA" w:rsidR="00722068" w:rsidRPr="00EE5690" w:rsidRDefault="00722068" w:rsidP="00EE5690">
      <w:pPr>
        <w:jc w:val="left"/>
        <w:rPr>
          <w:rFonts w:cs="Arial"/>
          <w:lang w:val="en-GB"/>
        </w:rPr>
      </w:pPr>
      <w:r w:rsidRPr="00EE5690">
        <w:rPr>
          <w:rFonts w:cs="Arial"/>
          <w:noProof/>
          <w:lang w:val="es-ES" w:eastAsia="es-ES"/>
        </w:rPr>
        <w:drawing>
          <wp:inline distT="0" distB="0" distL="0" distR="0" wp14:anchorId="380485CA" wp14:editId="4ECFFB4A">
            <wp:extent cx="5400675" cy="1424940"/>
            <wp:effectExtent l="0" t="0" r="952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5.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675" cy="1424940"/>
                    </a:xfrm>
                    <a:prstGeom prst="rect">
                      <a:avLst/>
                    </a:prstGeom>
                  </pic:spPr>
                </pic:pic>
              </a:graphicData>
            </a:graphic>
          </wp:inline>
        </w:drawing>
      </w:r>
    </w:p>
    <w:p w14:paraId="703FAB14" w14:textId="3739EB9D" w:rsidR="00722068" w:rsidRPr="00E2138D" w:rsidRDefault="00722068" w:rsidP="0035195A">
      <w:pPr>
        <w:pStyle w:val="Caption"/>
        <w:rPr>
          <w:rFonts w:cs="Arial"/>
        </w:rPr>
      </w:pPr>
      <w:bookmarkStart w:id="26" w:name="_Ref23757962"/>
      <w:bookmarkStart w:id="27" w:name="_Toc91752486"/>
      <w:r w:rsidRPr="00E2138D">
        <w:rPr>
          <w:rFonts w:cs="Arial"/>
        </w:rPr>
        <w:t xml:space="preserve">Figure </w:t>
      </w:r>
      <w:r w:rsidRPr="00E2138D">
        <w:rPr>
          <w:rFonts w:cs="Arial"/>
        </w:rPr>
        <w:fldChar w:fldCharType="begin"/>
      </w:r>
      <w:r w:rsidRPr="00E2138D">
        <w:rPr>
          <w:rFonts w:cs="Arial"/>
        </w:rPr>
        <w:instrText xml:space="preserve"> SEQ Figure \* ARABIC </w:instrText>
      </w:r>
      <w:r w:rsidRPr="00E2138D">
        <w:rPr>
          <w:rFonts w:cs="Arial"/>
        </w:rPr>
        <w:fldChar w:fldCharType="separate"/>
      </w:r>
      <w:r w:rsidR="0073710A">
        <w:rPr>
          <w:rFonts w:cs="Arial"/>
          <w:noProof/>
        </w:rPr>
        <w:t>2</w:t>
      </w:r>
      <w:r w:rsidRPr="00E2138D">
        <w:rPr>
          <w:rFonts w:cs="Arial"/>
        </w:rPr>
        <w:fldChar w:fldCharType="end"/>
      </w:r>
      <w:bookmarkEnd w:id="26"/>
      <w:r w:rsidRPr="00E2138D">
        <w:rPr>
          <w:rFonts w:cs="Arial"/>
        </w:rPr>
        <w:t xml:space="preserve"> Sustainable development assessment workflow</w:t>
      </w:r>
      <w:bookmarkEnd w:id="27"/>
    </w:p>
    <w:p w14:paraId="3F7CA4BF" w14:textId="3781A269" w:rsidR="00AD1C44" w:rsidRPr="00EE5690" w:rsidRDefault="00AD1C44" w:rsidP="00EA2829">
      <w:pPr>
        <w:rPr>
          <w:rFonts w:cs="Arial"/>
          <w:lang w:val="en-GB"/>
        </w:rPr>
      </w:pPr>
      <w:r w:rsidRPr="00EE5690">
        <w:rPr>
          <w:rFonts w:cs="Arial"/>
          <w:lang w:val="en-GB"/>
        </w:rPr>
        <w:t xml:space="preserve">The first step for the </w:t>
      </w:r>
      <w:r w:rsidR="00F15EF0" w:rsidRPr="00EE5690">
        <w:rPr>
          <w:rFonts w:cs="Arial"/>
          <w:lang w:val="en-GB"/>
        </w:rPr>
        <w:t xml:space="preserve">realization of </w:t>
      </w:r>
      <w:r w:rsidR="0035195A">
        <w:rPr>
          <w:rFonts w:cs="Arial"/>
          <w:lang w:val="en-GB"/>
        </w:rPr>
        <w:t xml:space="preserve">a </w:t>
      </w:r>
      <w:r w:rsidR="00F15EF0" w:rsidRPr="00EE5690">
        <w:rPr>
          <w:rFonts w:cs="Arial"/>
          <w:lang w:val="en-GB"/>
        </w:rPr>
        <w:t>feasibility/sustainable development study is the selection of the area that a carbon sequestration project is going to be implemented. The initial area selection will be performed using the identified marginal lands GIS layers in combination with the carbon sequestration capacity groups classification.</w:t>
      </w:r>
    </w:p>
    <w:p w14:paraId="2E5B9E0F" w14:textId="03405B15" w:rsidR="002F3B02" w:rsidRPr="00EE5690" w:rsidRDefault="0077030F" w:rsidP="00EA2829">
      <w:pPr>
        <w:rPr>
          <w:rFonts w:cs="Arial"/>
          <w:lang w:val="en-GB"/>
        </w:rPr>
      </w:pPr>
      <w:r w:rsidRPr="00EE5690">
        <w:rPr>
          <w:rFonts w:cs="Arial"/>
          <w:lang w:val="en-GB"/>
        </w:rPr>
        <w:t>Following the initial selection of the area that a carbon sequestration project is going to be implemented a refinement of the area should be performed. As a result</w:t>
      </w:r>
      <w:r w:rsidR="0035195A">
        <w:rPr>
          <w:rFonts w:cs="Arial"/>
          <w:lang w:val="en-GB"/>
        </w:rPr>
        <w:t>,</w:t>
      </w:r>
      <w:r w:rsidRPr="00EE5690">
        <w:rPr>
          <w:rFonts w:cs="Arial"/>
          <w:lang w:val="en-GB"/>
        </w:rPr>
        <w:t xml:space="preserve"> current data should be used for the final identification and delineation of the marginal lands that is going to be exploited.</w:t>
      </w:r>
    </w:p>
    <w:p w14:paraId="3B21E1DD" w14:textId="731C0E04" w:rsidR="00AA71C2" w:rsidRPr="00EE5690" w:rsidRDefault="0077030F" w:rsidP="00EA2829">
      <w:pPr>
        <w:rPr>
          <w:rFonts w:cs="Arial"/>
          <w:lang w:val="en-GB"/>
        </w:rPr>
      </w:pPr>
      <w:r w:rsidRPr="00EE5690">
        <w:rPr>
          <w:rFonts w:cs="Arial"/>
          <w:lang w:val="en-GB"/>
        </w:rPr>
        <w:t xml:space="preserve">Since the marginal land is going to be used for the implementation of a carbon sequestration project, </w:t>
      </w:r>
      <w:proofErr w:type="gramStart"/>
      <w:r w:rsidRPr="00EE5690">
        <w:rPr>
          <w:rFonts w:cs="Arial"/>
          <w:lang w:val="en-GB"/>
        </w:rPr>
        <w:t>i.e.</w:t>
      </w:r>
      <w:proofErr w:type="gramEnd"/>
      <w:r w:rsidRPr="00EE5690">
        <w:rPr>
          <w:rFonts w:cs="Arial"/>
          <w:lang w:val="en-GB"/>
        </w:rPr>
        <w:t xml:space="preserve"> utilized as a carbon sink the next step is to assess the eligibility of the area. Following the eligibility </w:t>
      </w:r>
      <w:r w:rsidR="00AA71C2" w:rsidRPr="00EE5690">
        <w:rPr>
          <w:rFonts w:cs="Arial"/>
          <w:lang w:val="en-GB"/>
        </w:rPr>
        <w:t>assessment,</w:t>
      </w:r>
      <w:r w:rsidRPr="00EE5690">
        <w:rPr>
          <w:rFonts w:cs="Arial"/>
          <w:lang w:val="en-GB"/>
        </w:rPr>
        <w:t xml:space="preserve"> the final feasibility/sustainabilit</w:t>
      </w:r>
      <w:r w:rsidR="00AA71C2" w:rsidRPr="00EE5690">
        <w:rPr>
          <w:rFonts w:cs="Arial"/>
          <w:lang w:val="en-GB"/>
        </w:rPr>
        <w:t xml:space="preserve">y study will be performed </w:t>
      </w:r>
      <w:proofErr w:type="gramStart"/>
      <w:r w:rsidR="00AA71C2" w:rsidRPr="00EE5690">
        <w:rPr>
          <w:rFonts w:cs="Arial"/>
          <w:lang w:val="en-GB"/>
        </w:rPr>
        <w:t>in order to</w:t>
      </w:r>
      <w:proofErr w:type="gramEnd"/>
      <w:r w:rsidR="00AA71C2" w:rsidRPr="00EE5690">
        <w:rPr>
          <w:rFonts w:cs="Arial"/>
          <w:lang w:val="en-GB"/>
        </w:rPr>
        <w:t xml:space="preserve"> assess if the selected area can be used to implement a carbon sequestration project and define a sustainable management plan.</w:t>
      </w:r>
    </w:p>
    <w:p w14:paraId="1419E0F3" w14:textId="56F2EC4D" w:rsidR="00AA71C2" w:rsidRPr="00EE5690" w:rsidRDefault="00AA71C2" w:rsidP="00EA2829">
      <w:pPr>
        <w:rPr>
          <w:rFonts w:cs="Arial"/>
          <w:lang w:val="en-GB"/>
        </w:rPr>
      </w:pPr>
      <w:r w:rsidRPr="00EE5690">
        <w:rPr>
          <w:rFonts w:cs="Arial"/>
          <w:lang w:val="en-GB"/>
        </w:rPr>
        <w:t>The final assessment and management plan will take into consideration the technological, financial, social</w:t>
      </w:r>
      <w:r w:rsidR="0035195A">
        <w:rPr>
          <w:rFonts w:cs="Arial"/>
          <w:lang w:val="en-GB"/>
        </w:rPr>
        <w:t>,</w:t>
      </w:r>
      <w:r w:rsidRPr="00EE5690">
        <w:rPr>
          <w:rFonts w:cs="Arial"/>
          <w:lang w:val="en-GB"/>
        </w:rPr>
        <w:t xml:space="preserve"> and environmental components involved in the project’s implementation. The technological component is the one that covers all the aspects of the sustainability assessment and the management plan, providing insight and the tools that will help for the successful design of management plan and its implementation.</w:t>
      </w:r>
    </w:p>
    <w:p w14:paraId="5132A20E" w14:textId="1476AAAA" w:rsidR="00F41E8D" w:rsidRPr="00EE5690" w:rsidRDefault="00F41E8D" w:rsidP="00EA2829">
      <w:pPr>
        <w:rPr>
          <w:rFonts w:cs="Arial"/>
          <w:lang w:val="en-GB"/>
        </w:rPr>
      </w:pPr>
      <w:r w:rsidRPr="00EE5690">
        <w:rPr>
          <w:rFonts w:cs="Arial"/>
          <w:lang w:val="en-GB"/>
        </w:rPr>
        <w:lastRenderedPageBreak/>
        <w:t xml:space="preserve">In </w:t>
      </w:r>
      <w:r w:rsidR="00604C00" w:rsidRPr="00EE5690">
        <w:rPr>
          <w:rFonts w:cs="Arial"/>
          <w:lang w:val="en-GB"/>
        </w:rPr>
        <w:t>addition,</w:t>
      </w:r>
      <w:r w:rsidRPr="00EE5690">
        <w:rPr>
          <w:rFonts w:cs="Arial"/>
          <w:lang w:val="en-GB"/>
        </w:rPr>
        <w:t xml:space="preserve"> since marginal la</w:t>
      </w:r>
      <w:r w:rsidR="00A648A1" w:rsidRPr="00EE5690">
        <w:rPr>
          <w:rFonts w:cs="Arial"/>
          <w:lang w:val="en-GB"/>
        </w:rPr>
        <w:t>n</w:t>
      </w:r>
      <w:r w:rsidRPr="00EE5690">
        <w:rPr>
          <w:rFonts w:cs="Arial"/>
          <w:lang w:val="en-GB"/>
        </w:rPr>
        <w:t xml:space="preserve">ds will be used as carbon sinks, meaning they will be transformed to forest areas, the sustainable development assessment will use aspects used in sustainable forest management approaches. </w:t>
      </w:r>
    </w:p>
    <w:p w14:paraId="73190112" w14:textId="77777777" w:rsidR="008E5A4E" w:rsidRPr="00EE5690" w:rsidRDefault="008E5A4E" w:rsidP="00EA2829">
      <w:pPr>
        <w:rPr>
          <w:rFonts w:cs="Arial"/>
          <w:lang w:val="en-GB"/>
        </w:rPr>
      </w:pPr>
      <w:r w:rsidRPr="00EE5690">
        <w:rPr>
          <w:rFonts w:cs="Arial"/>
          <w:lang w:val="en-GB"/>
        </w:rPr>
        <w:t>In this chapter the refinement of the initially selected area and its eligibility are going to be analysed. The technological, financial, social, and environmental aspects are analysed in dedicated chapters.</w:t>
      </w:r>
    </w:p>
    <w:p w14:paraId="281673DE" w14:textId="23078C71" w:rsidR="008E5A4E" w:rsidRPr="00EE5690" w:rsidRDefault="008E5A4E" w:rsidP="005D4B20">
      <w:pPr>
        <w:pStyle w:val="MAIL11"/>
      </w:pPr>
      <w:bookmarkStart w:id="28" w:name="_Toc91752384"/>
      <w:r w:rsidRPr="00EE5690">
        <w:t>Area refinement</w:t>
      </w:r>
      <w:bookmarkEnd w:id="28"/>
    </w:p>
    <w:p w14:paraId="395C4A28" w14:textId="43706316" w:rsidR="008E5A4E" w:rsidRPr="00EE5690" w:rsidRDefault="00FE3698" w:rsidP="00EA2829">
      <w:pPr>
        <w:rPr>
          <w:rFonts w:cs="Arial"/>
          <w:lang w:val="en-GB"/>
        </w:rPr>
      </w:pPr>
      <w:r w:rsidRPr="00EE5690">
        <w:rPr>
          <w:rFonts w:cs="Arial"/>
          <w:lang w:val="en-GB"/>
        </w:rPr>
        <w:t>The initially selected area should be more closely examined and accurately defined, since the initial detection of the potential marginal lands is based on the use of generic layers and possible older datasets.</w:t>
      </w:r>
    </w:p>
    <w:p w14:paraId="49961198" w14:textId="7FDFFF9C" w:rsidR="00FE3698" w:rsidRPr="00EE5690" w:rsidRDefault="00FE3698" w:rsidP="00EA2829">
      <w:pPr>
        <w:rPr>
          <w:rFonts w:cs="Arial"/>
          <w:lang w:val="en-GB"/>
        </w:rPr>
      </w:pPr>
      <w:r w:rsidRPr="00EE5690">
        <w:rPr>
          <w:rFonts w:cs="Arial"/>
          <w:lang w:val="en-GB"/>
        </w:rPr>
        <w:t>To that end different approaches could be used including field work or use of additional indicators, satellite imagery, or local/regional datasets.</w:t>
      </w:r>
    </w:p>
    <w:p w14:paraId="4F5E115C" w14:textId="5B2C3CB0" w:rsidR="00FE3698" w:rsidRPr="00EE5690" w:rsidRDefault="00FE3698" w:rsidP="00EA2829">
      <w:pPr>
        <w:rPr>
          <w:rFonts w:cs="Arial"/>
          <w:lang w:val="en-GB"/>
        </w:rPr>
      </w:pPr>
      <w:r w:rsidRPr="00EE5690">
        <w:rPr>
          <w:rFonts w:cs="Arial"/>
          <w:lang w:val="en-GB"/>
        </w:rPr>
        <w:t>The most eff</w:t>
      </w:r>
      <w:r w:rsidR="009C6853" w:rsidRPr="00EE5690">
        <w:rPr>
          <w:rFonts w:cs="Arial"/>
          <w:lang w:val="en-GB"/>
        </w:rPr>
        <w:t xml:space="preserve">icient and course of action is to utilize high resolution satellite images </w:t>
      </w:r>
      <w:proofErr w:type="gramStart"/>
      <w:r w:rsidR="009C6853" w:rsidRPr="00EE5690">
        <w:rPr>
          <w:rFonts w:cs="Arial"/>
          <w:lang w:val="en-GB"/>
        </w:rPr>
        <w:t>in order to</w:t>
      </w:r>
      <w:proofErr w:type="gramEnd"/>
      <w:r w:rsidR="009C6853" w:rsidRPr="00EE5690">
        <w:rPr>
          <w:rFonts w:cs="Arial"/>
          <w:lang w:val="en-GB"/>
        </w:rPr>
        <w:t xml:space="preserve"> refine the initial marginal land detection. To that end Sentinel – 2 images can be used. “The SENTINEL-2 Multispectral Instrument (MSI) samples 13 spectral bands: four bands at 10m, six bands at 20 metres and three bands at 60 meters”</w:t>
      </w:r>
      <w:r w:rsidR="009C6853" w:rsidRPr="00EE5690">
        <w:rPr>
          <w:rStyle w:val="FootnoteReference"/>
          <w:rFonts w:cs="Arial"/>
          <w:lang w:val="en-GB"/>
        </w:rPr>
        <w:footnoteReference w:id="7"/>
      </w:r>
      <w:r w:rsidR="009C6853" w:rsidRPr="00EE5690">
        <w:rPr>
          <w:rFonts w:cs="Arial"/>
          <w:lang w:val="en-GB"/>
        </w:rPr>
        <w:t xml:space="preserve">. The spatial resolutions of the different bands are presented in </w:t>
      </w:r>
      <w:r w:rsidR="009C6853" w:rsidRPr="00EE5690">
        <w:rPr>
          <w:rFonts w:cs="Arial"/>
          <w:lang w:val="en-GB"/>
        </w:rPr>
        <w:fldChar w:fldCharType="begin"/>
      </w:r>
      <w:r w:rsidR="009C6853" w:rsidRPr="00EE5690">
        <w:rPr>
          <w:rFonts w:cs="Arial"/>
          <w:lang w:val="en-GB"/>
        </w:rPr>
        <w:instrText xml:space="preserve"> REF _Ref23763528 \h </w:instrText>
      </w:r>
      <w:r w:rsidR="00EE5690" w:rsidRPr="00EE5690">
        <w:rPr>
          <w:rFonts w:cs="Arial"/>
          <w:lang w:val="en-GB"/>
        </w:rPr>
        <w:instrText xml:space="preserve"> \* MERGEFORMAT </w:instrText>
      </w:r>
      <w:r w:rsidR="009C6853" w:rsidRPr="00EE5690">
        <w:rPr>
          <w:rFonts w:cs="Arial"/>
          <w:lang w:val="en-GB"/>
        </w:rPr>
      </w:r>
      <w:r w:rsidR="009C6853" w:rsidRPr="00EE5690">
        <w:rPr>
          <w:rFonts w:cs="Arial"/>
          <w:lang w:val="en-GB"/>
        </w:rPr>
        <w:fldChar w:fldCharType="separate"/>
      </w:r>
      <w:r w:rsidR="0073710A" w:rsidRPr="00E2138D">
        <w:rPr>
          <w:rFonts w:cs="Arial"/>
        </w:rPr>
        <w:t xml:space="preserve">Figure </w:t>
      </w:r>
      <w:r w:rsidR="0073710A">
        <w:rPr>
          <w:rFonts w:cs="Arial"/>
          <w:noProof/>
        </w:rPr>
        <w:t>3</w:t>
      </w:r>
      <w:r w:rsidR="009C6853" w:rsidRPr="00EE5690">
        <w:rPr>
          <w:rFonts w:cs="Arial"/>
          <w:lang w:val="en-GB"/>
        </w:rPr>
        <w:fldChar w:fldCharType="end"/>
      </w:r>
      <w:r w:rsidR="009C6853" w:rsidRPr="00EE5690">
        <w:rPr>
          <w:rFonts w:cs="Arial"/>
          <w:lang w:val="en-GB"/>
        </w:rPr>
        <w:t>.</w:t>
      </w:r>
    </w:p>
    <w:tbl>
      <w:tblPr>
        <w:tblW w:w="0" w:type="auto"/>
        <w:tblLook w:val="04A0" w:firstRow="1" w:lastRow="0" w:firstColumn="1" w:lastColumn="0" w:noHBand="0" w:noVBand="1"/>
      </w:tblPr>
      <w:tblGrid>
        <w:gridCol w:w="8495"/>
      </w:tblGrid>
      <w:tr w:rsidR="009C6853" w:rsidRPr="00EE5690" w14:paraId="40EC04B5" w14:textId="77777777" w:rsidTr="009C6853">
        <w:tc>
          <w:tcPr>
            <w:tcW w:w="8495" w:type="dxa"/>
          </w:tcPr>
          <w:p w14:paraId="67BC6142" w14:textId="51289B59" w:rsidR="009C6853" w:rsidRPr="00EE5690" w:rsidRDefault="009C6853" w:rsidP="00EE5690">
            <w:pPr>
              <w:jc w:val="left"/>
              <w:rPr>
                <w:rFonts w:cs="Arial"/>
                <w:lang w:val="en-GB"/>
              </w:rPr>
            </w:pPr>
            <w:r w:rsidRPr="00EE5690">
              <w:rPr>
                <w:rFonts w:cs="Arial"/>
                <w:noProof/>
                <w:lang w:val="es-ES" w:eastAsia="es-ES"/>
              </w:rPr>
              <w:drawing>
                <wp:inline distT="0" distB="0" distL="0" distR="0" wp14:anchorId="182887FE" wp14:editId="1BE81503">
                  <wp:extent cx="5049078" cy="1790478"/>
                  <wp:effectExtent l="0" t="0" r="0" b="635"/>
                  <wp:docPr id="10" name="Picture 10" descr="https://sentinel.esa.int/image/image_gallery?uuid=c5fa6c3e-2978-4fb8-ac95-3be9c5171be2&amp;groupId=247904&amp;t=134563032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ntinel.esa.int/image/image_gallery?uuid=c5fa6c3e-2978-4fb8-ac95-3be9c5171be2&amp;groupId=247904&amp;t=134563032088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7980" cy="1793635"/>
                          </a:xfrm>
                          <a:prstGeom prst="rect">
                            <a:avLst/>
                          </a:prstGeom>
                          <a:noFill/>
                          <a:ln>
                            <a:noFill/>
                          </a:ln>
                        </pic:spPr>
                      </pic:pic>
                    </a:graphicData>
                  </a:graphic>
                </wp:inline>
              </w:drawing>
            </w:r>
          </w:p>
        </w:tc>
      </w:tr>
      <w:tr w:rsidR="009C6853" w:rsidRPr="00EE5690" w14:paraId="1A86618B" w14:textId="77777777" w:rsidTr="009C6853">
        <w:tc>
          <w:tcPr>
            <w:tcW w:w="8495" w:type="dxa"/>
          </w:tcPr>
          <w:p w14:paraId="397D6487" w14:textId="72009E72" w:rsidR="009C6853" w:rsidRPr="00EE5690" w:rsidRDefault="009C6853" w:rsidP="00EE5690">
            <w:pPr>
              <w:jc w:val="left"/>
              <w:rPr>
                <w:rFonts w:cs="Arial"/>
                <w:lang w:val="en-GB"/>
              </w:rPr>
            </w:pPr>
            <w:r w:rsidRPr="00EE5690">
              <w:rPr>
                <w:rFonts w:cs="Arial"/>
                <w:noProof/>
                <w:lang w:val="es-ES" w:eastAsia="es-ES"/>
              </w:rPr>
              <w:lastRenderedPageBreak/>
              <w:drawing>
                <wp:inline distT="0" distB="0" distL="0" distR="0" wp14:anchorId="75465B95" wp14:editId="317ACBD6">
                  <wp:extent cx="5200153" cy="1807978"/>
                  <wp:effectExtent l="0" t="0" r="635" b="1905"/>
                  <wp:docPr id="11" name="Picture 11" descr="https://sentinel.esa.int/image/image_gallery?uuid=15dad96b-be6a-4b04-931d-d8c4db39e9e2&amp;groupId=247904&amp;t=134563032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ntinel.esa.int/image/image_gallery?uuid=15dad96b-be6a-4b04-931d-d8c4db39e9e2&amp;groupId=247904&amp;t=134563032807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22273" cy="1815669"/>
                          </a:xfrm>
                          <a:prstGeom prst="rect">
                            <a:avLst/>
                          </a:prstGeom>
                          <a:noFill/>
                          <a:ln>
                            <a:noFill/>
                          </a:ln>
                        </pic:spPr>
                      </pic:pic>
                    </a:graphicData>
                  </a:graphic>
                </wp:inline>
              </w:drawing>
            </w:r>
          </w:p>
        </w:tc>
      </w:tr>
      <w:tr w:rsidR="009C6853" w:rsidRPr="00EE5690" w14:paraId="58753708" w14:textId="77777777" w:rsidTr="009C6853">
        <w:tc>
          <w:tcPr>
            <w:tcW w:w="8495" w:type="dxa"/>
          </w:tcPr>
          <w:p w14:paraId="3058C473" w14:textId="0338F4FD" w:rsidR="009C6853" w:rsidRPr="00EE5690" w:rsidRDefault="009C6853" w:rsidP="00EE5690">
            <w:pPr>
              <w:jc w:val="left"/>
              <w:rPr>
                <w:rFonts w:cs="Arial"/>
                <w:lang w:val="en-GB"/>
              </w:rPr>
            </w:pPr>
            <w:r w:rsidRPr="00EE5690">
              <w:rPr>
                <w:rFonts w:cs="Arial"/>
                <w:noProof/>
                <w:lang w:val="es-ES" w:eastAsia="es-ES"/>
              </w:rPr>
              <w:drawing>
                <wp:inline distT="0" distB="0" distL="0" distR="0" wp14:anchorId="1EB95924" wp14:editId="4EEAAFFA">
                  <wp:extent cx="5120640" cy="1545524"/>
                  <wp:effectExtent l="0" t="0" r="3810" b="0"/>
                  <wp:docPr id="12" name="Picture 12" descr="https://sentinel.esa.int/image/image_gallery?uuid=f6117fbe-1513-4a84-acc4-845e14e5c876&amp;groupId=247904&amp;t=134563031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ntinel.esa.int/image/image_gallery?uuid=f6117fbe-1513-4a84-acc4-845e14e5c876&amp;groupId=247904&amp;t=1345630315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43632" cy="1552464"/>
                          </a:xfrm>
                          <a:prstGeom prst="rect">
                            <a:avLst/>
                          </a:prstGeom>
                          <a:noFill/>
                          <a:ln>
                            <a:noFill/>
                          </a:ln>
                        </pic:spPr>
                      </pic:pic>
                    </a:graphicData>
                  </a:graphic>
                </wp:inline>
              </w:drawing>
            </w:r>
          </w:p>
        </w:tc>
      </w:tr>
    </w:tbl>
    <w:p w14:paraId="5BFE5BB4" w14:textId="7424167E" w:rsidR="009C6853" w:rsidRPr="00E2138D" w:rsidRDefault="009C6853" w:rsidP="0035195A">
      <w:pPr>
        <w:pStyle w:val="Caption"/>
        <w:rPr>
          <w:rFonts w:cs="Arial"/>
        </w:rPr>
      </w:pPr>
      <w:bookmarkStart w:id="29" w:name="_Ref23763528"/>
      <w:bookmarkStart w:id="30" w:name="_Toc91752487"/>
      <w:r w:rsidRPr="00E2138D">
        <w:rPr>
          <w:rFonts w:cs="Arial"/>
        </w:rPr>
        <w:t xml:space="preserve">Figure </w:t>
      </w:r>
      <w:r w:rsidRPr="00E2138D">
        <w:rPr>
          <w:rFonts w:cs="Arial"/>
        </w:rPr>
        <w:fldChar w:fldCharType="begin"/>
      </w:r>
      <w:r w:rsidRPr="00E2138D">
        <w:rPr>
          <w:rFonts w:cs="Arial"/>
        </w:rPr>
        <w:instrText xml:space="preserve"> SEQ Figure \* ARABIC </w:instrText>
      </w:r>
      <w:r w:rsidRPr="00E2138D">
        <w:rPr>
          <w:rFonts w:cs="Arial"/>
        </w:rPr>
        <w:fldChar w:fldCharType="separate"/>
      </w:r>
      <w:r w:rsidR="0073710A">
        <w:rPr>
          <w:rFonts w:cs="Arial"/>
          <w:noProof/>
        </w:rPr>
        <w:t>3</w:t>
      </w:r>
      <w:r w:rsidRPr="00E2138D">
        <w:rPr>
          <w:rFonts w:cs="Arial"/>
        </w:rPr>
        <w:fldChar w:fldCharType="end"/>
      </w:r>
      <w:bookmarkEnd w:id="29"/>
      <w:r w:rsidRPr="00E2138D">
        <w:rPr>
          <w:rFonts w:cs="Arial"/>
        </w:rPr>
        <w:t xml:space="preserve"> Sentinel spatial resolution (SENTINEL-2 10 m spatial resolution bands: B2 (490 nm), B3 (560 nm), B4 (665 nm) and B8 (842 nm) top, SENTINEL-2 20 m spatial resolution bands: B5 (705 nm), B6 (740 nm), B7 (783 nm), B8a (865 nm), B11 (1610 nm) and B12 (2190 nm), middle, SENTINEL-2 60 m spatial resolution bands: B1 (443 nm), B9 (940 nm) and B10 (1375 nm) , bottom), source ESA</w:t>
      </w:r>
      <w:r w:rsidR="009D333F" w:rsidRPr="00E2138D">
        <w:rPr>
          <w:rStyle w:val="FootnoteReference"/>
          <w:rFonts w:cs="Arial"/>
        </w:rPr>
        <w:footnoteReference w:id="8"/>
      </w:r>
      <w:bookmarkEnd w:id="30"/>
    </w:p>
    <w:p w14:paraId="3BCF4AB6" w14:textId="04D59455" w:rsidR="00E12EDC" w:rsidRPr="00EE5690" w:rsidRDefault="00E12EDC" w:rsidP="00EA2829">
      <w:pPr>
        <w:rPr>
          <w:rFonts w:cs="Arial"/>
          <w:lang w:val="en-GB"/>
        </w:rPr>
      </w:pPr>
      <w:r w:rsidRPr="00EE5690">
        <w:rPr>
          <w:rFonts w:cs="Arial"/>
          <w:lang w:val="en-GB"/>
        </w:rPr>
        <w:t xml:space="preserve">“The Level-1C product is composed of 100x100 km2 tiles (ortho-images in UTM/WGS84 projection). The Level-1C product results from using a Digital Elevation Model (DEM) to project the image in cartographic geometry. Per-pixel radiometric measurements are provided in Top </w:t>
      </w:r>
      <w:proofErr w:type="gramStart"/>
      <w:r w:rsidRPr="00EE5690">
        <w:rPr>
          <w:rFonts w:cs="Arial"/>
          <w:lang w:val="en-GB"/>
        </w:rPr>
        <w:t>Of</w:t>
      </w:r>
      <w:proofErr w:type="gramEnd"/>
      <w:r w:rsidRPr="00EE5690">
        <w:rPr>
          <w:rFonts w:cs="Arial"/>
          <w:lang w:val="en-GB"/>
        </w:rPr>
        <w:t xml:space="preserve"> Atmosphere (TOA) </w:t>
      </w:r>
      <w:r w:rsidR="00402CF7" w:rsidRPr="00EE5690">
        <w:rPr>
          <w:rFonts w:cs="Arial"/>
          <w:lang w:val="en-GB"/>
        </w:rPr>
        <w:t>reflectance</w:t>
      </w:r>
      <w:r w:rsidRPr="00EE5690">
        <w:rPr>
          <w:rFonts w:cs="Arial"/>
          <w:lang w:val="en-GB"/>
        </w:rPr>
        <w:t xml:space="preserve"> along with the parameters to transform them into radiances. Level-1C products are resampled with a constant Ground Sampling Distance (GSD) of 10, 20 and 60 m depending on the native resolution of the different spectral bands. In Level-1C products, pixel coordinates refer to the upper left corner of the pixel.”</w:t>
      </w:r>
      <w:r w:rsidRPr="00EE5690">
        <w:rPr>
          <w:rStyle w:val="FootnoteReference"/>
          <w:rFonts w:cs="Arial"/>
          <w:lang w:val="en-GB"/>
        </w:rPr>
        <w:footnoteReference w:id="9"/>
      </w:r>
    </w:p>
    <w:p w14:paraId="393E8DF1" w14:textId="5B39D683" w:rsidR="00E12EDC" w:rsidRPr="00EE5690" w:rsidRDefault="00E12EDC" w:rsidP="00EA2829">
      <w:pPr>
        <w:rPr>
          <w:rFonts w:cs="Arial"/>
          <w:lang w:val="en-GB"/>
        </w:rPr>
      </w:pPr>
      <w:r w:rsidRPr="00EE5690">
        <w:rPr>
          <w:rFonts w:cs="Arial"/>
          <w:lang w:val="en-GB"/>
        </w:rPr>
        <w:t>Level-1C products can be downloaded via the Copernicus Open Access Hub (</w:t>
      </w:r>
      <w:proofErr w:type="spellStart"/>
      <w:r w:rsidR="003B0DE2">
        <w:fldChar w:fldCharType="begin"/>
      </w:r>
      <w:r w:rsidR="003B0DE2">
        <w:instrText xml:space="preserve"> HYPERLINK "https://scihub.copernicus.eu/dhus/" \l "/home" </w:instrText>
      </w:r>
      <w:r w:rsidR="003B0DE2">
        <w:fldChar w:fldCharType="separate"/>
      </w:r>
      <w:r w:rsidRPr="00EE5690">
        <w:rPr>
          <w:rStyle w:val="Hyperlink"/>
          <w:rFonts w:cs="Arial"/>
          <w:lang w:val="en-GB"/>
        </w:rPr>
        <w:t>SciHuB</w:t>
      </w:r>
      <w:proofErr w:type="spellEnd"/>
      <w:r w:rsidR="003B0DE2">
        <w:rPr>
          <w:rStyle w:val="Hyperlink"/>
          <w:rFonts w:cs="Arial"/>
          <w:lang w:val="en-GB"/>
        </w:rPr>
        <w:fldChar w:fldCharType="end"/>
      </w:r>
      <w:r w:rsidRPr="00EE5690">
        <w:rPr>
          <w:rFonts w:cs="Arial"/>
          <w:lang w:val="en-GB"/>
        </w:rPr>
        <w:t>).</w:t>
      </w:r>
    </w:p>
    <w:p w14:paraId="55492D4E" w14:textId="1254DB83" w:rsidR="00E12EDC" w:rsidRPr="00EE5690" w:rsidRDefault="00EC2C17" w:rsidP="00EA2829">
      <w:pPr>
        <w:rPr>
          <w:rFonts w:cs="Arial"/>
          <w:lang w:val="en-GB"/>
        </w:rPr>
      </w:pPr>
      <w:r w:rsidRPr="00EE5690">
        <w:rPr>
          <w:rFonts w:cs="Arial"/>
          <w:lang w:val="en-GB"/>
        </w:rPr>
        <w:lastRenderedPageBreak/>
        <w:t xml:space="preserve">Since the definition of marginality is also based on the soil quality local or regional soil datasets should be used </w:t>
      </w:r>
      <w:proofErr w:type="gramStart"/>
      <w:r w:rsidRPr="00EE5690">
        <w:rPr>
          <w:rFonts w:cs="Arial"/>
          <w:lang w:val="en-GB"/>
        </w:rPr>
        <w:t>in order to</w:t>
      </w:r>
      <w:proofErr w:type="gramEnd"/>
      <w:r w:rsidRPr="00EE5690">
        <w:rPr>
          <w:rFonts w:cs="Arial"/>
          <w:lang w:val="en-GB"/>
        </w:rPr>
        <w:t xml:space="preserve"> augment the marginal land identification. </w:t>
      </w:r>
    </w:p>
    <w:p w14:paraId="5C75EE2E" w14:textId="40601E3E" w:rsidR="005B3D9E" w:rsidRPr="00EE5690" w:rsidRDefault="005B3D9E" w:rsidP="00EA2829">
      <w:pPr>
        <w:rPr>
          <w:rFonts w:cs="Arial"/>
          <w:lang w:val="en-GB"/>
        </w:rPr>
      </w:pPr>
      <w:r w:rsidRPr="00EE5690">
        <w:rPr>
          <w:rFonts w:cs="Arial"/>
          <w:lang w:val="en-GB"/>
        </w:rPr>
        <w:t>Furthermore</w:t>
      </w:r>
      <w:r w:rsidR="0035195A">
        <w:rPr>
          <w:rFonts w:cs="Arial"/>
          <w:lang w:val="en-GB"/>
        </w:rPr>
        <w:t>,</w:t>
      </w:r>
      <w:r w:rsidRPr="00EE5690">
        <w:rPr>
          <w:rFonts w:cs="Arial"/>
          <w:lang w:val="en-GB"/>
        </w:rPr>
        <w:t xml:space="preserve"> multi temporal satellite images can be used for the assessment of the study’s area usage through the previous years.</w:t>
      </w:r>
    </w:p>
    <w:p w14:paraId="09309899" w14:textId="79B81E07" w:rsidR="008E5A4E" w:rsidRPr="00EE5690" w:rsidRDefault="008E5A4E" w:rsidP="005D4B20">
      <w:pPr>
        <w:pStyle w:val="MAIL1"/>
      </w:pPr>
      <w:bookmarkStart w:id="31" w:name="_Toc91752385"/>
      <w:r w:rsidRPr="00EE5690">
        <w:t>Eligibility Assessment</w:t>
      </w:r>
      <w:bookmarkEnd w:id="31"/>
    </w:p>
    <w:p w14:paraId="22E9E8A3" w14:textId="4FE1BDE0" w:rsidR="00E702FC" w:rsidRPr="00EE5690" w:rsidRDefault="00E702FC" w:rsidP="00EA2829">
      <w:pPr>
        <w:rPr>
          <w:rFonts w:cs="Arial"/>
          <w:lang w:val="en-GB"/>
        </w:rPr>
      </w:pPr>
      <w:r w:rsidRPr="00EE5690">
        <w:rPr>
          <w:rFonts w:cs="Arial"/>
          <w:lang w:val="en-GB"/>
        </w:rPr>
        <w:t xml:space="preserve">Following the successful refinement of the initially selected marginal land area an eligibility assessment should be performed </w:t>
      </w:r>
      <w:proofErr w:type="gramStart"/>
      <w:r w:rsidRPr="00EE5690">
        <w:rPr>
          <w:rFonts w:cs="Arial"/>
          <w:lang w:val="en-GB"/>
        </w:rPr>
        <w:t>in order to</w:t>
      </w:r>
      <w:proofErr w:type="gramEnd"/>
      <w:r w:rsidRPr="00EE5690">
        <w:rPr>
          <w:rFonts w:cs="Arial"/>
          <w:lang w:val="en-GB"/>
        </w:rPr>
        <w:t xml:space="preserve"> investigate the suitability of the selected area to be used as a carbon sink. The developed projects could be exploited either by entering the voluntary or compliance carbon markets.</w:t>
      </w:r>
    </w:p>
    <w:p w14:paraId="223E1C29" w14:textId="0CB71A50" w:rsidR="00E702FC" w:rsidRPr="00EE5690" w:rsidRDefault="00E22BF0" w:rsidP="00EA2829">
      <w:pPr>
        <w:rPr>
          <w:rFonts w:cs="Arial"/>
          <w:lang w:val="en-GB"/>
        </w:rPr>
      </w:pPr>
      <w:r w:rsidRPr="00EE5690">
        <w:rPr>
          <w:rFonts w:cs="Arial"/>
          <w:lang w:val="en-GB"/>
        </w:rPr>
        <w:t>V</w:t>
      </w:r>
      <w:r w:rsidR="00E702FC" w:rsidRPr="00EE5690">
        <w:rPr>
          <w:rFonts w:cs="Arial"/>
          <w:lang w:val="en-GB"/>
        </w:rPr>
        <w:t xml:space="preserve">oluntary markets </w:t>
      </w:r>
      <w:r w:rsidRPr="00EE5690">
        <w:rPr>
          <w:rFonts w:cs="Arial"/>
          <w:lang w:val="en-GB"/>
        </w:rPr>
        <w:t>standards requires that offsets should be:</w:t>
      </w:r>
    </w:p>
    <w:p w14:paraId="402754E8" w14:textId="77777777" w:rsidR="00E22BF0" w:rsidRPr="00EE5690" w:rsidRDefault="00E22BF0" w:rsidP="00A01330">
      <w:pPr>
        <w:pStyle w:val="ListParagraph"/>
        <w:numPr>
          <w:ilvl w:val="0"/>
          <w:numId w:val="5"/>
        </w:numPr>
        <w:rPr>
          <w:rFonts w:cs="Arial"/>
        </w:rPr>
      </w:pPr>
      <w:r w:rsidRPr="00EE5690">
        <w:rPr>
          <w:rFonts w:cs="Arial"/>
          <w:b/>
        </w:rPr>
        <w:t>Real</w:t>
      </w:r>
      <w:r w:rsidRPr="00EE5690">
        <w:rPr>
          <w:rFonts w:cs="Arial"/>
        </w:rPr>
        <w:t xml:space="preserve">: there will be evidence that the project removes or prevents </w:t>
      </w:r>
      <w:proofErr w:type="gramStart"/>
      <w:r w:rsidRPr="00EE5690">
        <w:rPr>
          <w:rFonts w:cs="Arial"/>
        </w:rPr>
        <w:t>emissions;</w:t>
      </w:r>
      <w:proofErr w:type="gramEnd"/>
    </w:p>
    <w:p w14:paraId="3FF11036" w14:textId="77777777" w:rsidR="00E22BF0" w:rsidRPr="00EE5690" w:rsidRDefault="00E22BF0" w:rsidP="00A01330">
      <w:pPr>
        <w:pStyle w:val="ListParagraph"/>
        <w:numPr>
          <w:ilvl w:val="0"/>
          <w:numId w:val="5"/>
        </w:numPr>
        <w:rPr>
          <w:rFonts w:cs="Arial"/>
        </w:rPr>
      </w:pPr>
      <w:r w:rsidRPr="00EE5690">
        <w:rPr>
          <w:rFonts w:cs="Arial"/>
          <w:b/>
        </w:rPr>
        <w:t>Additional</w:t>
      </w:r>
      <w:r w:rsidRPr="00EE5690">
        <w:rPr>
          <w:rFonts w:cs="Arial"/>
        </w:rPr>
        <w:t xml:space="preserve">: the emissions reductions would not occur without those project </w:t>
      </w:r>
      <w:proofErr w:type="gramStart"/>
      <w:r w:rsidRPr="00EE5690">
        <w:rPr>
          <w:rFonts w:cs="Arial"/>
        </w:rPr>
        <w:t>activities;</w:t>
      </w:r>
      <w:proofErr w:type="gramEnd"/>
    </w:p>
    <w:p w14:paraId="1E07CFD8" w14:textId="77777777" w:rsidR="00E22BF0" w:rsidRPr="00EE5690" w:rsidRDefault="00E22BF0" w:rsidP="00A01330">
      <w:pPr>
        <w:pStyle w:val="ListParagraph"/>
        <w:numPr>
          <w:ilvl w:val="0"/>
          <w:numId w:val="5"/>
        </w:numPr>
        <w:rPr>
          <w:rFonts w:cs="Arial"/>
        </w:rPr>
      </w:pPr>
      <w:r w:rsidRPr="00EE5690">
        <w:rPr>
          <w:rFonts w:cs="Arial"/>
          <w:b/>
        </w:rPr>
        <w:t>Measurable</w:t>
      </w:r>
      <w:r w:rsidRPr="00EE5690">
        <w:rPr>
          <w:rFonts w:cs="Arial"/>
        </w:rPr>
        <w:t>: the volume of emissions reductions can be accurately measured; and</w:t>
      </w:r>
    </w:p>
    <w:p w14:paraId="0B11DE4D" w14:textId="2CBD5E59" w:rsidR="00E22BF0" w:rsidRPr="00EE5690" w:rsidRDefault="00E22BF0" w:rsidP="00A01330">
      <w:pPr>
        <w:pStyle w:val="ListParagraph"/>
        <w:numPr>
          <w:ilvl w:val="0"/>
          <w:numId w:val="5"/>
        </w:numPr>
        <w:rPr>
          <w:rFonts w:cs="Arial"/>
        </w:rPr>
      </w:pPr>
      <w:r w:rsidRPr="00EE5690">
        <w:rPr>
          <w:rFonts w:cs="Arial"/>
          <w:b/>
        </w:rPr>
        <w:t>Verifiable</w:t>
      </w:r>
      <w:r w:rsidRPr="00EE5690">
        <w:rPr>
          <w:rFonts w:cs="Arial"/>
        </w:rPr>
        <w:t>: a neutral, third-party auditor has verified the emissions reductions.</w:t>
      </w:r>
    </w:p>
    <w:p w14:paraId="0BD9371D" w14:textId="33025DB5" w:rsidR="0077030F" w:rsidRPr="00EE5690" w:rsidRDefault="00A969DA" w:rsidP="00EA2829">
      <w:pPr>
        <w:rPr>
          <w:rFonts w:cs="Arial"/>
          <w:lang w:val="en-GB"/>
        </w:rPr>
      </w:pPr>
      <w:r w:rsidRPr="00EE5690">
        <w:rPr>
          <w:rFonts w:cs="Arial"/>
          <w:lang w:val="en-GB"/>
        </w:rPr>
        <w:t xml:space="preserve">Alternatively, such projects can be used in a national level for registration in the EU ETS, more information regarding the eligibility conditions and restrictions can be found in </w:t>
      </w:r>
      <w:r w:rsidR="00BE7A42" w:rsidRPr="00A13C36">
        <w:rPr>
          <w:rFonts w:cs="Arial"/>
          <w:lang w:val="en-GB"/>
        </w:rPr>
        <w:t xml:space="preserve">Chapter </w:t>
      </w:r>
      <w:r w:rsidR="00A13C36" w:rsidRPr="00A13C36">
        <w:rPr>
          <w:rFonts w:cs="Arial"/>
          <w:lang w:val="en-GB"/>
        </w:rPr>
        <w:t>18</w:t>
      </w:r>
      <w:r w:rsidRPr="00A13C36">
        <w:rPr>
          <w:rFonts w:cs="Arial"/>
          <w:lang w:val="en-GB"/>
        </w:rPr>
        <w:t>.</w:t>
      </w:r>
      <w:r w:rsidRPr="00EE5690">
        <w:rPr>
          <w:rFonts w:cs="Arial"/>
          <w:lang w:val="en-GB"/>
        </w:rPr>
        <w:t xml:space="preserve"> </w:t>
      </w:r>
    </w:p>
    <w:p w14:paraId="76A34E03" w14:textId="14D8EEE7" w:rsidR="00FE3698" w:rsidRPr="00EE5690" w:rsidRDefault="00A969DA" w:rsidP="00EA2829">
      <w:pPr>
        <w:rPr>
          <w:rFonts w:cs="Arial"/>
          <w:lang w:val="en-GB"/>
        </w:rPr>
      </w:pPr>
      <w:r w:rsidRPr="00EE5690">
        <w:rPr>
          <w:rFonts w:cs="Arial"/>
          <w:lang w:val="en-GB"/>
        </w:rPr>
        <w:t>The initial step in the eligibility assessment should be the additionality criteri</w:t>
      </w:r>
      <w:r w:rsidR="00FE3698" w:rsidRPr="00EE5690">
        <w:rPr>
          <w:rFonts w:cs="Arial"/>
          <w:lang w:val="en-GB"/>
        </w:rPr>
        <w:t>on</w:t>
      </w:r>
      <w:r w:rsidRPr="00EE5690">
        <w:rPr>
          <w:rFonts w:cs="Arial"/>
          <w:lang w:val="en-GB"/>
        </w:rPr>
        <w:t xml:space="preserve">. </w:t>
      </w:r>
      <w:r w:rsidR="00FE3698" w:rsidRPr="00EE5690">
        <w:rPr>
          <w:rFonts w:cs="Arial"/>
          <w:lang w:val="en-GB"/>
        </w:rPr>
        <w:t>This criterion</w:t>
      </w:r>
      <w:r w:rsidRPr="00EE5690">
        <w:rPr>
          <w:rFonts w:cs="Arial"/>
          <w:lang w:val="en-GB"/>
        </w:rPr>
        <w:t xml:space="preserve"> could be investigated and established by using multi temporal information provided by high resolution remote sensing images, that can define the land use, land cover of the study area through the years, and thus conclude if the project activities are going to offer emission reductions. </w:t>
      </w:r>
      <w:r w:rsidR="00904BE8" w:rsidRPr="00EE5690">
        <w:rPr>
          <w:rFonts w:cs="Arial"/>
          <w:lang w:val="en-GB"/>
        </w:rPr>
        <w:t>This is the most crucial criterion for the initial selection of an area that will be used to act as a carbon sink.</w:t>
      </w:r>
    </w:p>
    <w:p w14:paraId="6151CCB6" w14:textId="16073226" w:rsidR="00904BE8" w:rsidRPr="00EE5690" w:rsidRDefault="00904BE8" w:rsidP="00EA2829">
      <w:pPr>
        <w:rPr>
          <w:rFonts w:cs="Arial"/>
          <w:lang w:val="en-GB"/>
        </w:rPr>
      </w:pPr>
      <w:r w:rsidRPr="00EE5690">
        <w:rPr>
          <w:rFonts w:cs="Arial"/>
          <w:lang w:val="en-GB"/>
        </w:rPr>
        <w:t xml:space="preserve">Once the additionality criterion has been established an area could be considered as a potential candidate for the development of a carbon sequestration project. </w:t>
      </w:r>
    </w:p>
    <w:p w14:paraId="1B353FF7" w14:textId="6B6EA62E" w:rsidR="00F15EF0" w:rsidRPr="00EE5690" w:rsidRDefault="00860F8C" w:rsidP="00EA2829">
      <w:pPr>
        <w:rPr>
          <w:rFonts w:cs="Arial"/>
          <w:lang w:val="en-GB"/>
        </w:rPr>
      </w:pPr>
      <w:r w:rsidRPr="00EE5690">
        <w:rPr>
          <w:rFonts w:cs="Arial"/>
          <w:lang w:val="en-GB"/>
        </w:rPr>
        <w:t xml:space="preserve">The </w:t>
      </w:r>
      <w:r w:rsidR="00904BE8" w:rsidRPr="00EE5690">
        <w:rPr>
          <w:rFonts w:cs="Arial"/>
          <w:lang w:val="en-GB"/>
        </w:rPr>
        <w:t>remaining</w:t>
      </w:r>
      <w:r w:rsidRPr="00EE5690">
        <w:rPr>
          <w:rFonts w:cs="Arial"/>
          <w:lang w:val="en-GB"/>
        </w:rPr>
        <w:t xml:space="preserve"> criteria will b</w:t>
      </w:r>
      <w:r w:rsidR="00904BE8" w:rsidRPr="00EE5690">
        <w:rPr>
          <w:rFonts w:cs="Arial"/>
          <w:lang w:val="en-GB"/>
        </w:rPr>
        <w:t>e</w:t>
      </w:r>
      <w:r w:rsidRPr="00EE5690">
        <w:rPr>
          <w:rFonts w:cs="Arial"/>
          <w:lang w:val="en-GB"/>
        </w:rPr>
        <w:t xml:space="preserve"> examined</w:t>
      </w:r>
      <w:r w:rsidR="00904BE8" w:rsidRPr="00EE5690">
        <w:rPr>
          <w:rFonts w:cs="Arial"/>
          <w:lang w:val="en-GB"/>
        </w:rPr>
        <w:t xml:space="preserve"> during </w:t>
      </w:r>
      <w:r w:rsidR="001A6E03" w:rsidRPr="00EE5690">
        <w:rPr>
          <w:rFonts w:cs="Arial"/>
          <w:lang w:val="en-GB"/>
        </w:rPr>
        <w:t xml:space="preserve">the </w:t>
      </w:r>
      <w:r w:rsidR="00904BE8" w:rsidRPr="00EE5690">
        <w:rPr>
          <w:rFonts w:cs="Arial"/>
          <w:lang w:val="en-GB"/>
        </w:rPr>
        <w:t>sustainability/feasibility study.</w:t>
      </w:r>
    </w:p>
    <w:p w14:paraId="56AC6588" w14:textId="2E647C46" w:rsidR="00904BE8" w:rsidRPr="00EE5690" w:rsidRDefault="00C45CDF" w:rsidP="005D4B20">
      <w:pPr>
        <w:pStyle w:val="MAIL1"/>
      </w:pPr>
      <w:bookmarkStart w:id="32" w:name="_Toc91752386"/>
      <w:r w:rsidRPr="00EE5690">
        <w:lastRenderedPageBreak/>
        <w:t>Financial Aspects of sustainability</w:t>
      </w:r>
      <w:bookmarkEnd w:id="32"/>
    </w:p>
    <w:p w14:paraId="5A985F9B" w14:textId="7CD1B4A7" w:rsidR="00991308" w:rsidRPr="00EE5690" w:rsidRDefault="00991308" w:rsidP="00EA2829">
      <w:pPr>
        <w:rPr>
          <w:rFonts w:cs="Arial"/>
          <w:lang w:val="en-GB"/>
        </w:rPr>
      </w:pPr>
      <w:r w:rsidRPr="00EE5690">
        <w:rPr>
          <w:rFonts w:cs="Arial"/>
          <w:lang w:val="en-GB"/>
        </w:rPr>
        <w:t xml:space="preserve">One of the most crucial pillars of the sustainability of a marginal land used as Carbon Sink is the financial sustainability </w:t>
      </w:r>
      <w:proofErr w:type="gramStart"/>
      <w:r w:rsidRPr="00EE5690">
        <w:rPr>
          <w:rFonts w:cs="Arial"/>
          <w:lang w:val="en-GB"/>
        </w:rPr>
        <w:t>i.e.</w:t>
      </w:r>
      <w:proofErr w:type="gramEnd"/>
      <w:r w:rsidRPr="00EE5690">
        <w:rPr>
          <w:rFonts w:cs="Arial"/>
          <w:lang w:val="en-GB"/>
        </w:rPr>
        <w:t xml:space="preserve"> the ability to make financial profit during the project implementation</w:t>
      </w:r>
      <w:r w:rsidR="000D15D2" w:rsidRPr="00EE5690">
        <w:rPr>
          <w:rFonts w:cs="Arial"/>
          <w:lang w:val="en-GB"/>
        </w:rPr>
        <w:t xml:space="preserve">. </w:t>
      </w:r>
      <w:r w:rsidR="00050B17" w:rsidRPr="00EE5690">
        <w:rPr>
          <w:rFonts w:cs="Arial"/>
          <w:lang w:val="en-GB"/>
        </w:rPr>
        <w:t>For the creation of the financial sustainability study guidelines and workflows</w:t>
      </w:r>
      <w:r w:rsidR="00A13C36">
        <w:rPr>
          <w:rFonts w:cs="Arial"/>
          <w:lang w:val="en-GB"/>
        </w:rPr>
        <w:t>,</w:t>
      </w:r>
      <w:r w:rsidR="00050B17" w:rsidRPr="00EE5690">
        <w:rPr>
          <w:rFonts w:cs="Arial"/>
          <w:lang w:val="en-GB"/>
        </w:rPr>
        <w:t xml:space="preserve"> the results of T2.5, T2.6, T2.7, T4.3, T4.3, and T5.3 were used.</w:t>
      </w:r>
    </w:p>
    <w:p w14:paraId="0844CE56" w14:textId="4E5B19B2" w:rsidR="00050B17" w:rsidRPr="00EE5690" w:rsidRDefault="00C16072" w:rsidP="00EA2829">
      <w:pPr>
        <w:rPr>
          <w:rFonts w:cs="Arial"/>
          <w:lang w:val="en-GB"/>
        </w:rPr>
      </w:pPr>
      <w:proofErr w:type="gramStart"/>
      <w:r w:rsidRPr="00EE5690">
        <w:rPr>
          <w:rFonts w:cs="Arial"/>
          <w:lang w:val="en-GB"/>
        </w:rPr>
        <w:t>In order to</w:t>
      </w:r>
      <w:proofErr w:type="gramEnd"/>
      <w:r w:rsidRPr="00EE5690">
        <w:rPr>
          <w:rFonts w:cs="Arial"/>
          <w:lang w:val="en-GB"/>
        </w:rPr>
        <w:t xml:space="preserve"> be able to assess the financial sustainability of using marginal lands as carbon sinks, a holistic approach that considers the </w:t>
      </w:r>
      <w:r w:rsidR="00521F69" w:rsidRPr="00EE5690">
        <w:rPr>
          <w:rFonts w:cs="Arial"/>
          <w:lang w:val="en-GB"/>
        </w:rPr>
        <w:t xml:space="preserve">full lifetime of the </w:t>
      </w:r>
      <w:r w:rsidR="00FD62A9" w:rsidRPr="00EE5690">
        <w:rPr>
          <w:rFonts w:cs="Arial"/>
          <w:lang w:val="en-GB"/>
        </w:rPr>
        <w:t xml:space="preserve">project </w:t>
      </w:r>
      <w:r w:rsidR="00521F69" w:rsidRPr="00EE5690">
        <w:rPr>
          <w:rFonts w:cs="Arial"/>
          <w:lang w:val="en-GB"/>
        </w:rPr>
        <w:t xml:space="preserve">implementation should be developed. </w:t>
      </w:r>
      <w:r w:rsidR="004713DC" w:rsidRPr="00EE5690">
        <w:rPr>
          <w:rFonts w:cs="Arial"/>
          <w:lang w:val="en-GB"/>
        </w:rPr>
        <w:t xml:space="preserve">The overall </w:t>
      </w:r>
      <w:r w:rsidR="00995D64" w:rsidRPr="00EE5690">
        <w:rPr>
          <w:rFonts w:cs="Arial"/>
          <w:lang w:val="en-GB"/>
        </w:rPr>
        <w:t xml:space="preserve">methodology for the financial assessment of a marginal land afforestation project focused on carbon sequestration is presented in </w:t>
      </w:r>
      <w:r w:rsidR="00995D64" w:rsidRPr="00EE5690">
        <w:rPr>
          <w:rFonts w:cs="Arial"/>
          <w:lang w:val="en-GB"/>
        </w:rPr>
        <w:fldChar w:fldCharType="begin"/>
      </w:r>
      <w:r w:rsidR="00995D64" w:rsidRPr="00EE5690">
        <w:rPr>
          <w:rFonts w:cs="Arial"/>
          <w:lang w:val="en-GB"/>
        </w:rPr>
        <w:instrText xml:space="preserve"> REF _Ref25311708 \h </w:instrText>
      </w:r>
      <w:r w:rsidR="00EE5690" w:rsidRPr="00EE5690">
        <w:rPr>
          <w:rFonts w:cs="Arial"/>
          <w:lang w:val="en-GB"/>
        </w:rPr>
        <w:instrText xml:space="preserve"> \* MERGEFORMAT </w:instrText>
      </w:r>
      <w:r w:rsidR="00995D64" w:rsidRPr="00EE5690">
        <w:rPr>
          <w:rFonts w:cs="Arial"/>
          <w:lang w:val="en-GB"/>
        </w:rPr>
      </w:r>
      <w:r w:rsidR="00995D64" w:rsidRPr="00EE5690">
        <w:rPr>
          <w:rFonts w:cs="Arial"/>
          <w:lang w:val="en-GB"/>
        </w:rPr>
        <w:fldChar w:fldCharType="separate"/>
      </w:r>
      <w:r w:rsidR="0073710A" w:rsidRPr="00E2138D">
        <w:rPr>
          <w:rFonts w:cs="Arial"/>
        </w:rPr>
        <w:t xml:space="preserve">Figure </w:t>
      </w:r>
      <w:r w:rsidR="0073710A">
        <w:rPr>
          <w:rFonts w:cs="Arial"/>
          <w:noProof/>
        </w:rPr>
        <w:t>4</w:t>
      </w:r>
      <w:r w:rsidR="00995D64" w:rsidRPr="00EE5690">
        <w:rPr>
          <w:rFonts w:cs="Arial"/>
          <w:lang w:val="en-GB"/>
        </w:rPr>
        <w:fldChar w:fldCharType="end"/>
      </w:r>
    </w:p>
    <w:p w14:paraId="6ADCC072" w14:textId="20806C76" w:rsidR="00995D64" w:rsidRPr="00EE5690" w:rsidRDefault="00995D64" w:rsidP="00EE5690">
      <w:pPr>
        <w:jc w:val="left"/>
        <w:rPr>
          <w:rFonts w:cs="Arial"/>
          <w:lang w:val="en-GB"/>
        </w:rPr>
      </w:pPr>
      <w:r w:rsidRPr="00EE5690">
        <w:rPr>
          <w:rFonts w:cs="Arial"/>
          <w:noProof/>
          <w:lang w:val="es-ES" w:eastAsia="es-ES"/>
        </w:rPr>
        <w:drawing>
          <wp:inline distT="0" distB="0" distL="0" distR="0" wp14:anchorId="4BD11AED" wp14:editId="1C6DDE7E">
            <wp:extent cx="5400675" cy="464879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nancial.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675" cy="4648798"/>
                    </a:xfrm>
                    <a:prstGeom prst="rect">
                      <a:avLst/>
                    </a:prstGeom>
                  </pic:spPr>
                </pic:pic>
              </a:graphicData>
            </a:graphic>
          </wp:inline>
        </w:drawing>
      </w:r>
    </w:p>
    <w:p w14:paraId="0028B224" w14:textId="22E91FDD" w:rsidR="00995D64" w:rsidRPr="00E2138D" w:rsidRDefault="00995D64" w:rsidP="00A13C36">
      <w:pPr>
        <w:pStyle w:val="Caption"/>
        <w:rPr>
          <w:rFonts w:cs="Arial"/>
        </w:rPr>
      </w:pPr>
      <w:bookmarkStart w:id="33" w:name="_Ref25311708"/>
      <w:bookmarkStart w:id="34" w:name="_Toc91752488"/>
      <w:r w:rsidRPr="00E2138D">
        <w:rPr>
          <w:rFonts w:cs="Arial"/>
        </w:rPr>
        <w:t xml:space="preserve">Figure </w:t>
      </w:r>
      <w:r w:rsidRPr="00E2138D">
        <w:rPr>
          <w:rFonts w:cs="Arial"/>
        </w:rPr>
        <w:fldChar w:fldCharType="begin"/>
      </w:r>
      <w:r w:rsidRPr="00E2138D">
        <w:rPr>
          <w:rFonts w:cs="Arial"/>
        </w:rPr>
        <w:instrText xml:space="preserve"> SEQ Figure \* ARABIC </w:instrText>
      </w:r>
      <w:r w:rsidRPr="00E2138D">
        <w:rPr>
          <w:rFonts w:cs="Arial"/>
        </w:rPr>
        <w:fldChar w:fldCharType="separate"/>
      </w:r>
      <w:r w:rsidR="0073710A">
        <w:rPr>
          <w:rFonts w:cs="Arial"/>
          <w:noProof/>
        </w:rPr>
        <w:t>4</w:t>
      </w:r>
      <w:r w:rsidRPr="00E2138D">
        <w:rPr>
          <w:rFonts w:cs="Arial"/>
        </w:rPr>
        <w:fldChar w:fldCharType="end"/>
      </w:r>
      <w:bookmarkEnd w:id="33"/>
      <w:r w:rsidRPr="00E2138D">
        <w:rPr>
          <w:rFonts w:cs="Arial"/>
        </w:rPr>
        <w:t xml:space="preserve"> Financial sustainability assessment</w:t>
      </w:r>
      <w:bookmarkEnd w:id="34"/>
    </w:p>
    <w:p w14:paraId="2060D08F" w14:textId="08EC24F9" w:rsidR="00521F69" w:rsidRPr="00EE5690" w:rsidRDefault="00521F69" w:rsidP="00EA2829">
      <w:pPr>
        <w:rPr>
          <w:rFonts w:cs="Arial"/>
          <w:lang w:val="en-GB"/>
        </w:rPr>
      </w:pPr>
      <w:r w:rsidRPr="00EE5690">
        <w:rPr>
          <w:rFonts w:cs="Arial"/>
          <w:lang w:val="en-GB"/>
        </w:rPr>
        <w:t xml:space="preserve">The first step is the estimation of the associated costs for transforming and maintaining a marginal land area to a forest area. </w:t>
      </w:r>
    </w:p>
    <w:p w14:paraId="665313CF" w14:textId="6D388B1C" w:rsidR="00CE6892" w:rsidRPr="00EE5690" w:rsidRDefault="00CE6892" w:rsidP="00EA2829">
      <w:pPr>
        <w:rPr>
          <w:rFonts w:cs="Arial"/>
          <w:lang w:val="en-GB"/>
        </w:rPr>
      </w:pPr>
      <w:r w:rsidRPr="00EE5690">
        <w:rPr>
          <w:rFonts w:cs="Arial"/>
          <w:lang w:val="en-GB"/>
        </w:rPr>
        <w:lastRenderedPageBreak/>
        <w:t>The associated costs for the afforestation of a marginal land are the following:</w:t>
      </w:r>
    </w:p>
    <w:p w14:paraId="08C718F4" w14:textId="732E38AE" w:rsidR="00395369" w:rsidRPr="00EE5690" w:rsidRDefault="00395369" w:rsidP="00A01330">
      <w:pPr>
        <w:pStyle w:val="ListParagraph"/>
        <w:numPr>
          <w:ilvl w:val="0"/>
          <w:numId w:val="6"/>
        </w:numPr>
        <w:rPr>
          <w:rFonts w:cs="Arial"/>
          <w:lang w:val="en-GB"/>
        </w:rPr>
      </w:pPr>
      <w:r w:rsidRPr="00EE5690">
        <w:rPr>
          <w:rFonts w:cs="Arial"/>
          <w:b/>
          <w:lang w:val="en-GB"/>
        </w:rPr>
        <w:t>Permissions</w:t>
      </w:r>
      <w:r w:rsidRPr="00EE5690">
        <w:rPr>
          <w:rFonts w:cs="Arial"/>
          <w:lang w:val="en-GB"/>
        </w:rPr>
        <w:t xml:space="preserve">: </w:t>
      </w:r>
      <w:r w:rsidR="000874DD" w:rsidRPr="00EE5690">
        <w:rPr>
          <w:rFonts w:cs="Arial"/>
          <w:lang w:val="en-GB"/>
        </w:rPr>
        <w:t>This is an initial cost regarding the acquisition of all necessary permissions for the implementation of an afforestation project. This cost will be incurred during the start of the project.</w:t>
      </w:r>
    </w:p>
    <w:p w14:paraId="5914F3B9" w14:textId="0FAA43B8" w:rsidR="00395369" w:rsidRPr="00EE5690" w:rsidRDefault="00395369" w:rsidP="00A01330">
      <w:pPr>
        <w:pStyle w:val="ListParagraph"/>
        <w:numPr>
          <w:ilvl w:val="0"/>
          <w:numId w:val="6"/>
        </w:numPr>
        <w:rPr>
          <w:rFonts w:cs="Arial"/>
          <w:lang w:val="en-GB"/>
        </w:rPr>
      </w:pPr>
      <w:r w:rsidRPr="00EE5690">
        <w:rPr>
          <w:rFonts w:cs="Arial"/>
          <w:b/>
          <w:lang w:val="en-GB"/>
        </w:rPr>
        <w:t>Accreditation</w:t>
      </w:r>
      <w:r w:rsidRPr="00EE5690">
        <w:rPr>
          <w:rFonts w:cs="Arial"/>
          <w:lang w:val="en-GB"/>
        </w:rPr>
        <w:t>:</w:t>
      </w:r>
      <w:r w:rsidR="000874DD" w:rsidRPr="00EE5690">
        <w:rPr>
          <w:rFonts w:cs="Arial"/>
          <w:lang w:val="en-GB"/>
        </w:rPr>
        <w:t xml:space="preserve"> The accreditation cost is also </w:t>
      </w:r>
      <w:proofErr w:type="gramStart"/>
      <w:r w:rsidR="000874DD" w:rsidRPr="00EE5690">
        <w:rPr>
          <w:rFonts w:cs="Arial"/>
          <w:lang w:val="en-GB"/>
        </w:rPr>
        <w:t>an</w:t>
      </w:r>
      <w:proofErr w:type="gramEnd"/>
      <w:r w:rsidR="000874DD" w:rsidRPr="00EE5690">
        <w:rPr>
          <w:rFonts w:cs="Arial"/>
          <w:lang w:val="en-GB"/>
        </w:rPr>
        <w:t xml:space="preserve"> </w:t>
      </w:r>
      <w:proofErr w:type="spellStart"/>
      <w:r w:rsidR="000874DD" w:rsidRPr="00EE5690">
        <w:rPr>
          <w:rFonts w:cs="Arial"/>
          <w:lang w:val="en-GB"/>
        </w:rPr>
        <w:t>one time</w:t>
      </w:r>
      <w:proofErr w:type="spellEnd"/>
      <w:r w:rsidR="000874DD" w:rsidRPr="00EE5690">
        <w:rPr>
          <w:rFonts w:cs="Arial"/>
          <w:lang w:val="en-GB"/>
        </w:rPr>
        <w:t xml:space="preserve"> cost that is connected to the accreditation of the carbon units produced by the project.</w:t>
      </w:r>
    </w:p>
    <w:p w14:paraId="6DD7BEFE" w14:textId="739C47FE" w:rsidR="00395369" w:rsidRPr="00EE5690" w:rsidRDefault="00395369" w:rsidP="00A01330">
      <w:pPr>
        <w:pStyle w:val="ListParagraph"/>
        <w:numPr>
          <w:ilvl w:val="0"/>
          <w:numId w:val="6"/>
        </w:numPr>
        <w:rPr>
          <w:rFonts w:cs="Arial"/>
          <w:lang w:val="en-GB"/>
        </w:rPr>
      </w:pPr>
      <w:r w:rsidRPr="00EE5690">
        <w:rPr>
          <w:rFonts w:cs="Arial"/>
          <w:b/>
          <w:lang w:val="en-GB"/>
        </w:rPr>
        <w:t>Afforestation implementation plan</w:t>
      </w:r>
      <w:r w:rsidRPr="00EE5690">
        <w:rPr>
          <w:rFonts w:cs="Arial"/>
          <w:lang w:val="en-GB"/>
        </w:rPr>
        <w:t>:</w:t>
      </w:r>
      <w:r w:rsidR="000874DD" w:rsidRPr="00EE5690">
        <w:rPr>
          <w:rFonts w:cs="Arial"/>
          <w:lang w:val="en-GB"/>
        </w:rPr>
        <w:t xml:space="preserve"> This cost will be incurred at the start of the project and is for the creation of the afforestation plan that will be implemented.</w:t>
      </w:r>
    </w:p>
    <w:p w14:paraId="3F4B9C0A" w14:textId="456C7BD7" w:rsidR="00CE6892" w:rsidRPr="00EE5690" w:rsidRDefault="00CE6892" w:rsidP="00A01330">
      <w:pPr>
        <w:pStyle w:val="ListParagraph"/>
        <w:numPr>
          <w:ilvl w:val="0"/>
          <w:numId w:val="6"/>
        </w:numPr>
        <w:rPr>
          <w:rFonts w:cs="Arial"/>
          <w:lang w:val="en-GB"/>
        </w:rPr>
      </w:pPr>
      <w:r w:rsidRPr="00EE5690">
        <w:rPr>
          <w:rFonts w:cs="Arial"/>
          <w:b/>
          <w:lang w:val="en-GB"/>
        </w:rPr>
        <w:t>Land Acquisition or land rental costs</w:t>
      </w:r>
      <w:r w:rsidRPr="00EE5690">
        <w:rPr>
          <w:rFonts w:cs="Arial"/>
          <w:lang w:val="en-GB"/>
        </w:rPr>
        <w:t xml:space="preserve">: </w:t>
      </w:r>
      <w:r w:rsidR="00160464" w:rsidRPr="00EE5690">
        <w:rPr>
          <w:rFonts w:cs="Arial"/>
          <w:lang w:val="en-GB"/>
        </w:rPr>
        <w:t>The</w:t>
      </w:r>
      <w:r w:rsidR="00BB1A45" w:rsidRPr="00EE5690">
        <w:rPr>
          <w:rFonts w:cs="Arial"/>
          <w:lang w:val="en-GB"/>
        </w:rPr>
        <w:t xml:space="preserve"> cost for the acquisition of the area to be afforested or its rental. If the area is bought then it is a </w:t>
      </w:r>
      <w:proofErr w:type="spellStart"/>
      <w:proofErr w:type="gramStart"/>
      <w:r w:rsidR="00BB1A45" w:rsidRPr="00EE5690">
        <w:rPr>
          <w:rFonts w:cs="Arial"/>
          <w:lang w:val="en-GB"/>
        </w:rPr>
        <w:t>one time</w:t>
      </w:r>
      <w:proofErr w:type="spellEnd"/>
      <w:proofErr w:type="gramEnd"/>
      <w:r w:rsidR="00BB1A45" w:rsidRPr="00EE5690">
        <w:rPr>
          <w:rFonts w:cs="Arial"/>
          <w:lang w:val="en-GB"/>
        </w:rPr>
        <w:t xml:space="preserve"> cost incurring in the start of the project, while if its rented its will be a yearly cost.</w:t>
      </w:r>
    </w:p>
    <w:p w14:paraId="006050B8" w14:textId="16AC3D77" w:rsidR="00CE6892" w:rsidRPr="00EE5690" w:rsidRDefault="00CE6892" w:rsidP="00A01330">
      <w:pPr>
        <w:pStyle w:val="ListParagraph"/>
        <w:numPr>
          <w:ilvl w:val="0"/>
          <w:numId w:val="6"/>
        </w:numPr>
        <w:rPr>
          <w:rFonts w:cs="Arial"/>
        </w:rPr>
      </w:pPr>
      <w:r w:rsidRPr="00EE5690">
        <w:rPr>
          <w:rFonts w:cs="Arial"/>
          <w:b/>
          <w:lang w:val="en-GB"/>
        </w:rPr>
        <w:t>Land preparation costs</w:t>
      </w:r>
      <w:r w:rsidR="00160464" w:rsidRPr="00EE5690">
        <w:rPr>
          <w:rFonts w:cs="Arial"/>
          <w:lang w:val="en-GB"/>
        </w:rPr>
        <w:t xml:space="preserve">: This is </w:t>
      </w:r>
      <w:r w:rsidR="00E306F8" w:rsidRPr="00EE5690">
        <w:rPr>
          <w:rFonts w:cs="Arial"/>
          <w:lang w:val="en-GB"/>
        </w:rPr>
        <w:t>a</w:t>
      </w:r>
      <w:r w:rsidR="00160464" w:rsidRPr="00EE5690">
        <w:rPr>
          <w:rFonts w:cs="Arial"/>
          <w:lang w:val="en-GB"/>
        </w:rPr>
        <w:t xml:space="preserve"> </w:t>
      </w:r>
      <w:proofErr w:type="spellStart"/>
      <w:proofErr w:type="gramStart"/>
      <w:r w:rsidR="00160464" w:rsidRPr="00EE5690">
        <w:rPr>
          <w:rFonts w:cs="Arial"/>
          <w:lang w:val="en-GB"/>
        </w:rPr>
        <w:t>one time</w:t>
      </w:r>
      <w:proofErr w:type="spellEnd"/>
      <w:proofErr w:type="gramEnd"/>
      <w:r w:rsidR="00160464" w:rsidRPr="00EE5690">
        <w:rPr>
          <w:rFonts w:cs="Arial"/>
          <w:lang w:val="en-GB"/>
        </w:rPr>
        <w:t xml:space="preserve"> cost which will be incurred at the start of an afforestation project. It concerns the initial preparation of the site (cleaning, fertilization, etc.)</w:t>
      </w:r>
    </w:p>
    <w:p w14:paraId="264BCC68" w14:textId="635C0E6C" w:rsidR="00CE6892" w:rsidRPr="00EE5690" w:rsidRDefault="00CE6892" w:rsidP="00A01330">
      <w:pPr>
        <w:pStyle w:val="ListParagraph"/>
        <w:numPr>
          <w:ilvl w:val="0"/>
          <w:numId w:val="6"/>
        </w:numPr>
        <w:rPr>
          <w:rFonts w:cs="Arial"/>
        </w:rPr>
      </w:pPr>
      <w:r w:rsidRPr="00EE5690">
        <w:rPr>
          <w:rFonts w:cs="Arial"/>
          <w:b/>
          <w:lang w:val="en-GB"/>
        </w:rPr>
        <w:t>Plant acquisition</w:t>
      </w:r>
      <w:r w:rsidR="00160464" w:rsidRPr="00EE5690">
        <w:rPr>
          <w:rFonts w:cs="Arial"/>
          <w:lang w:val="en-GB"/>
        </w:rPr>
        <w:t xml:space="preserve">: It is the costs of acquiring the plants that will be used in the afforestation area. It is usually a </w:t>
      </w:r>
      <w:proofErr w:type="spellStart"/>
      <w:proofErr w:type="gramStart"/>
      <w:r w:rsidR="00160464" w:rsidRPr="00EE5690">
        <w:rPr>
          <w:rFonts w:cs="Arial"/>
          <w:lang w:val="en-GB"/>
        </w:rPr>
        <w:t>one time</w:t>
      </w:r>
      <w:proofErr w:type="spellEnd"/>
      <w:proofErr w:type="gramEnd"/>
      <w:r w:rsidR="00160464" w:rsidRPr="00EE5690">
        <w:rPr>
          <w:rFonts w:cs="Arial"/>
          <w:lang w:val="en-GB"/>
        </w:rPr>
        <w:t xml:space="preserve"> cost incurred at the start of the project. In some </w:t>
      </w:r>
      <w:proofErr w:type="gramStart"/>
      <w:r w:rsidR="00160464" w:rsidRPr="00EE5690">
        <w:rPr>
          <w:rFonts w:cs="Arial"/>
          <w:lang w:val="en-GB"/>
        </w:rPr>
        <w:t>cases</w:t>
      </w:r>
      <w:proofErr w:type="gramEnd"/>
      <w:r w:rsidR="00160464" w:rsidRPr="00EE5690">
        <w:rPr>
          <w:rFonts w:cs="Arial"/>
          <w:lang w:val="en-GB"/>
        </w:rPr>
        <w:t xml:space="preserve"> some additional</w:t>
      </w:r>
      <w:r w:rsidR="00BB1A45" w:rsidRPr="00EE5690">
        <w:rPr>
          <w:rFonts w:cs="Arial"/>
          <w:lang w:val="en-GB"/>
        </w:rPr>
        <w:t xml:space="preserve"> plant</w:t>
      </w:r>
      <w:r w:rsidR="00160464" w:rsidRPr="00EE5690">
        <w:rPr>
          <w:rFonts w:cs="Arial"/>
          <w:lang w:val="en-GB"/>
        </w:rPr>
        <w:t xml:space="preserve"> acquisition might be necessary to replace plants that were not </w:t>
      </w:r>
      <w:r w:rsidR="00BB1A45" w:rsidRPr="00EE5690">
        <w:rPr>
          <w:rFonts w:cs="Arial"/>
          <w:lang w:val="en-GB"/>
        </w:rPr>
        <w:t>successfully planted the first time.</w:t>
      </w:r>
    </w:p>
    <w:p w14:paraId="369499BA" w14:textId="15243DA4" w:rsidR="00CE6892" w:rsidRPr="00EE5690" w:rsidRDefault="00CE6892" w:rsidP="00A01330">
      <w:pPr>
        <w:pStyle w:val="ListParagraph"/>
        <w:numPr>
          <w:ilvl w:val="0"/>
          <w:numId w:val="6"/>
        </w:numPr>
        <w:rPr>
          <w:rFonts w:cs="Arial"/>
          <w:lang w:val="en-GB"/>
        </w:rPr>
      </w:pPr>
      <w:r w:rsidRPr="00EE5690">
        <w:rPr>
          <w:rFonts w:cs="Arial"/>
          <w:b/>
          <w:lang w:val="en-GB"/>
        </w:rPr>
        <w:t>Planting costs</w:t>
      </w:r>
      <w:r w:rsidR="00BB1A45" w:rsidRPr="00EE5690">
        <w:rPr>
          <w:rFonts w:cs="Arial"/>
          <w:lang w:val="en-GB"/>
        </w:rPr>
        <w:t xml:space="preserve">: It is </w:t>
      </w:r>
      <w:proofErr w:type="gramStart"/>
      <w:r w:rsidR="00BB1A45" w:rsidRPr="00EE5690">
        <w:rPr>
          <w:rFonts w:cs="Arial"/>
          <w:lang w:val="en-GB"/>
        </w:rPr>
        <w:t>an</w:t>
      </w:r>
      <w:proofErr w:type="gramEnd"/>
      <w:r w:rsidR="00BB1A45" w:rsidRPr="00EE5690">
        <w:rPr>
          <w:rFonts w:cs="Arial"/>
          <w:lang w:val="en-GB"/>
        </w:rPr>
        <w:t xml:space="preserve"> </w:t>
      </w:r>
      <w:proofErr w:type="spellStart"/>
      <w:r w:rsidR="00BB1A45" w:rsidRPr="00EE5690">
        <w:rPr>
          <w:rFonts w:cs="Arial"/>
          <w:lang w:val="en-GB"/>
        </w:rPr>
        <w:t>one time</w:t>
      </w:r>
      <w:proofErr w:type="spellEnd"/>
      <w:r w:rsidR="00BB1A45" w:rsidRPr="00EE5690">
        <w:rPr>
          <w:rFonts w:cs="Arial"/>
          <w:lang w:val="en-GB"/>
        </w:rPr>
        <w:t xml:space="preserve"> cost incurred in the beginning of the project and concerns the actual planting of the trees.</w:t>
      </w:r>
    </w:p>
    <w:p w14:paraId="36937FB7" w14:textId="13BEC41B" w:rsidR="00395369" w:rsidRPr="00A13C36" w:rsidRDefault="00CE6892" w:rsidP="00A13C36">
      <w:pPr>
        <w:pStyle w:val="ListParagraph"/>
        <w:numPr>
          <w:ilvl w:val="0"/>
          <w:numId w:val="6"/>
        </w:numPr>
        <w:rPr>
          <w:rFonts w:cs="Arial"/>
          <w:lang w:val="en-GB"/>
        </w:rPr>
      </w:pPr>
      <w:r w:rsidRPr="00EE5690">
        <w:rPr>
          <w:rFonts w:cs="Arial"/>
          <w:b/>
          <w:lang w:val="en-GB"/>
        </w:rPr>
        <w:t>Maintenance</w:t>
      </w:r>
      <w:r w:rsidR="00160464" w:rsidRPr="00EE5690">
        <w:rPr>
          <w:rFonts w:cs="Arial"/>
          <w:b/>
          <w:lang w:val="en-GB"/>
        </w:rPr>
        <w:t xml:space="preserve">/Management </w:t>
      </w:r>
      <w:r w:rsidRPr="00EE5690">
        <w:rPr>
          <w:rFonts w:cs="Arial"/>
          <w:b/>
          <w:lang w:val="en-GB"/>
        </w:rPr>
        <w:t>costs</w:t>
      </w:r>
      <w:r w:rsidR="00BB1A45" w:rsidRPr="00EE5690">
        <w:rPr>
          <w:rFonts w:cs="Arial"/>
          <w:lang w:val="en-GB"/>
        </w:rPr>
        <w:t>: Management/Maintenance costs are yearly costs dedicated to the management and maintenance of the afforested area</w:t>
      </w:r>
      <w:r w:rsidR="00395369" w:rsidRPr="00EE5690">
        <w:rPr>
          <w:rFonts w:cs="Arial"/>
          <w:lang w:val="en-GB"/>
        </w:rPr>
        <w:t xml:space="preserve">, </w:t>
      </w:r>
      <w:proofErr w:type="gramStart"/>
      <w:r w:rsidR="00395369" w:rsidRPr="00EE5690">
        <w:rPr>
          <w:rFonts w:cs="Arial"/>
          <w:lang w:val="en-GB"/>
        </w:rPr>
        <w:t>and also</w:t>
      </w:r>
      <w:proofErr w:type="gramEnd"/>
      <w:r w:rsidR="00395369" w:rsidRPr="00EE5690">
        <w:rPr>
          <w:rFonts w:cs="Arial"/>
          <w:lang w:val="en-GB"/>
        </w:rPr>
        <w:t xml:space="preserve"> for the development of </w:t>
      </w:r>
      <w:r w:rsidR="000874DD" w:rsidRPr="00EE5690">
        <w:rPr>
          <w:rFonts w:cs="Arial"/>
          <w:lang w:val="en-GB"/>
        </w:rPr>
        <w:t>10-year</w:t>
      </w:r>
      <w:r w:rsidR="00395369" w:rsidRPr="00EE5690">
        <w:rPr>
          <w:rFonts w:cs="Arial"/>
          <w:lang w:val="en-GB"/>
        </w:rPr>
        <w:t xml:space="preserve"> forest management plans</w:t>
      </w:r>
    </w:p>
    <w:p w14:paraId="256F834D" w14:textId="5E958AB1" w:rsidR="006635E4" w:rsidRPr="00EE5690" w:rsidRDefault="006635E4" w:rsidP="00EA2829">
      <w:pPr>
        <w:rPr>
          <w:rFonts w:cs="Arial"/>
          <w:lang w:val="en-GB"/>
        </w:rPr>
      </w:pPr>
      <w:r w:rsidRPr="00EE5690">
        <w:rPr>
          <w:rFonts w:cs="Arial"/>
          <w:lang w:val="en-GB"/>
        </w:rPr>
        <w:t xml:space="preserve">The following table presents a cost calculation workflow for the implementation of a 50-year afforestation project. </w:t>
      </w:r>
    </w:p>
    <w:p w14:paraId="23782D1B" w14:textId="3138994E" w:rsidR="002E11D8" w:rsidRPr="00E2138D" w:rsidRDefault="002E11D8" w:rsidP="00A13C36">
      <w:pPr>
        <w:pStyle w:val="Caption"/>
        <w:keepNext/>
        <w:rPr>
          <w:rFonts w:cs="Arial"/>
        </w:rPr>
      </w:pPr>
      <w:bookmarkStart w:id="35" w:name="_Toc91752547"/>
      <w:r w:rsidRPr="00E2138D">
        <w:rPr>
          <w:rFonts w:cs="Arial"/>
        </w:rPr>
        <w:t xml:space="preserve">Table </w:t>
      </w:r>
      <w:r w:rsidRPr="00E2138D">
        <w:rPr>
          <w:rFonts w:cs="Arial"/>
        </w:rPr>
        <w:fldChar w:fldCharType="begin"/>
      </w:r>
      <w:r w:rsidRPr="00E2138D">
        <w:rPr>
          <w:rFonts w:cs="Arial"/>
        </w:rPr>
        <w:instrText xml:space="preserve"> SEQ Table \* ARABIC </w:instrText>
      </w:r>
      <w:r w:rsidRPr="00E2138D">
        <w:rPr>
          <w:rFonts w:cs="Arial"/>
        </w:rPr>
        <w:fldChar w:fldCharType="separate"/>
      </w:r>
      <w:r w:rsidR="0073710A">
        <w:rPr>
          <w:rFonts w:cs="Arial"/>
          <w:noProof/>
        </w:rPr>
        <w:t>8</w:t>
      </w:r>
      <w:r w:rsidRPr="00E2138D">
        <w:rPr>
          <w:rFonts w:cs="Arial"/>
        </w:rPr>
        <w:fldChar w:fldCharType="end"/>
      </w:r>
      <w:r w:rsidRPr="00E2138D">
        <w:rPr>
          <w:rFonts w:cs="Arial"/>
          <w:lang w:val="en-US"/>
        </w:rPr>
        <w:t xml:space="preserve"> Implementation costs for an afforestation project</w:t>
      </w:r>
      <w:bookmarkEnd w:id="35"/>
    </w:p>
    <w:tbl>
      <w:tblPr>
        <w:tblStyle w:val="TableGrid"/>
        <w:tblW w:w="0" w:type="auto"/>
        <w:tblLook w:val="04A0" w:firstRow="1" w:lastRow="0" w:firstColumn="1" w:lastColumn="0" w:noHBand="0" w:noVBand="1"/>
      </w:tblPr>
      <w:tblGrid>
        <w:gridCol w:w="4225"/>
        <w:gridCol w:w="1980"/>
        <w:gridCol w:w="2290"/>
      </w:tblGrid>
      <w:tr w:rsidR="00FE6462" w:rsidRPr="006635E4" w14:paraId="1F9EF9F6" w14:textId="77777777" w:rsidTr="0022057B">
        <w:tc>
          <w:tcPr>
            <w:tcW w:w="4225" w:type="dxa"/>
            <w:shd w:val="clear" w:color="auto" w:fill="BFBFBF" w:themeFill="background1" w:themeFillShade="BF"/>
          </w:tcPr>
          <w:p w14:paraId="227283B3" w14:textId="77777777" w:rsidR="00FE6462" w:rsidRPr="006635E4" w:rsidRDefault="00FE6462" w:rsidP="00FB779F">
            <w:pPr>
              <w:spacing w:line="240" w:lineRule="auto"/>
              <w:contextualSpacing/>
              <w:rPr>
                <w:b/>
                <w:lang w:val="en-GB"/>
              </w:rPr>
            </w:pPr>
            <w:r w:rsidRPr="006635E4">
              <w:rPr>
                <w:b/>
                <w:lang w:val="en-GB"/>
              </w:rPr>
              <w:t>Type of cost</w:t>
            </w:r>
          </w:p>
        </w:tc>
        <w:tc>
          <w:tcPr>
            <w:tcW w:w="1980" w:type="dxa"/>
            <w:shd w:val="clear" w:color="auto" w:fill="BFBFBF" w:themeFill="background1" w:themeFillShade="BF"/>
          </w:tcPr>
          <w:p w14:paraId="1E332320" w14:textId="77777777" w:rsidR="00FE6462" w:rsidRPr="006635E4" w:rsidRDefault="00FE6462" w:rsidP="00FB779F">
            <w:pPr>
              <w:spacing w:line="240" w:lineRule="auto"/>
              <w:contextualSpacing/>
              <w:rPr>
                <w:b/>
                <w:lang w:val="en-GB"/>
              </w:rPr>
            </w:pPr>
            <w:r w:rsidRPr="006635E4">
              <w:rPr>
                <w:b/>
                <w:lang w:val="en-GB"/>
              </w:rPr>
              <w:t>Frequency</w:t>
            </w:r>
          </w:p>
        </w:tc>
        <w:tc>
          <w:tcPr>
            <w:tcW w:w="2290" w:type="dxa"/>
            <w:shd w:val="clear" w:color="auto" w:fill="BFBFBF" w:themeFill="background1" w:themeFillShade="BF"/>
          </w:tcPr>
          <w:p w14:paraId="2AD745D6" w14:textId="77777777" w:rsidR="00FE6462" w:rsidRPr="006635E4" w:rsidRDefault="00FE6462" w:rsidP="00FB779F">
            <w:pPr>
              <w:spacing w:line="240" w:lineRule="auto"/>
              <w:contextualSpacing/>
              <w:rPr>
                <w:b/>
                <w:lang w:val="en-GB"/>
              </w:rPr>
            </w:pPr>
            <w:r w:rsidRPr="006635E4">
              <w:rPr>
                <w:b/>
                <w:lang w:val="en-GB"/>
              </w:rPr>
              <w:t>Cost</w:t>
            </w:r>
          </w:p>
        </w:tc>
      </w:tr>
      <w:tr w:rsidR="00FE6462" w:rsidRPr="006635E4" w14:paraId="55E3056D" w14:textId="77777777" w:rsidTr="0022057B">
        <w:tc>
          <w:tcPr>
            <w:tcW w:w="4225" w:type="dxa"/>
            <w:shd w:val="clear" w:color="auto" w:fill="B4DCFA" w:themeFill="background2"/>
          </w:tcPr>
          <w:p w14:paraId="30E81654" w14:textId="77777777" w:rsidR="00FE6462" w:rsidRPr="000874DD" w:rsidRDefault="00FE6462" w:rsidP="00FB779F">
            <w:pPr>
              <w:spacing w:line="240" w:lineRule="auto"/>
              <w:contextualSpacing/>
              <w:rPr>
                <w:lang w:val="en-GB"/>
              </w:rPr>
            </w:pPr>
            <w:r w:rsidRPr="000874DD">
              <w:rPr>
                <w:lang w:val="en-GB"/>
              </w:rPr>
              <w:t>Permissions</w:t>
            </w:r>
          </w:p>
        </w:tc>
        <w:tc>
          <w:tcPr>
            <w:tcW w:w="1980" w:type="dxa"/>
            <w:shd w:val="clear" w:color="auto" w:fill="B4DCFA" w:themeFill="background2"/>
          </w:tcPr>
          <w:p w14:paraId="52AD64B0" w14:textId="77777777" w:rsidR="00FE6462" w:rsidRPr="000874DD" w:rsidRDefault="00FE6462" w:rsidP="00FB779F">
            <w:pPr>
              <w:spacing w:line="240" w:lineRule="auto"/>
              <w:contextualSpacing/>
              <w:rPr>
                <w:lang w:val="en-GB"/>
              </w:rPr>
            </w:pPr>
            <w:r>
              <w:rPr>
                <w:lang w:val="en-GB"/>
              </w:rPr>
              <w:t>1 Year</w:t>
            </w:r>
          </w:p>
        </w:tc>
        <w:tc>
          <w:tcPr>
            <w:tcW w:w="2290" w:type="dxa"/>
            <w:shd w:val="clear" w:color="auto" w:fill="B4DCFA" w:themeFill="background2"/>
          </w:tcPr>
          <w:p w14:paraId="60FC9B69" w14:textId="77777777" w:rsidR="00FE6462" w:rsidRPr="006635E4" w:rsidRDefault="00FE6462" w:rsidP="00FB779F">
            <w:pPr>
              <w:spacing w:line="240" w:lineRule="auto"/>
              <w:contextualSpacing/>
              <w:rPr>
                <w:b/>
                <w:lang w:val="en-GB"/>
              </w:rPr>
            </w:pPr>
          </w:p>
        </w:tc>
      </w:tr>
      <w:tr w:rsidR="00FE6462" w:rsidRPr="006635E4" w14:paraId="7C3EF6B5" w14:textId="77777777" w:rsidTr="0022057B">
        <w:tc>
          <w:tcPr>
            <w:tcW w:w="4225" w:type="dxa"/>
            <w:shd w:val="clear" w:color="auto" w:fill="FFE5D2" w:themeFill="accent5" w:themeFillTint="33"/>
          </w:tcPr>
          <w:p w14:paraId="0154113A" w14:textId="77777777" w:rsidR="00FE6462" w:rsidRPr="000874DD" w:rsidRDefault="00FE6462" w:rsidP="00FB779F">
            <w:pPr>
              <w:spacing w:line="240" w:lineRule="auto"/>
              <w:contextualSpacing/>
              <w:rPr>
                <w:lang w:val="en-GB"/>
              </w:rPr>
            </w:pPr>
            <w:r w:rsidRPr="000874DD">
              <w:rPr>
                <w:lang w:val="en-GB"/>
              </w:rPr>
              <w:t>Accreditation</w:t>
            </w:r>
          </w:p>
        </w:tc>
        <w:tc>
          <w:tcPr>
            <w:tcW w:w="1980" w:type="dxa"/>
            <w:shd w:val="clear" w:color="auto" w:fill="FFE5D2" w:themeFill="accent5" w:themeFillTint="33"/>
          </w:tcPr>
          <w:p w14:paraId="11257D65" w14:textId="77777777" w:rsidR="00FE6462" w:rsidRPr="006635E4" w:rsidRDefault="00FE6462" w:rsidP="00FB779F">
            <w:pPr>
              <w:spacing w:line="240" w:lineRule="auto"/>
              <w:contextualSpacing/>
              <w:rPr>
                <w:b/>
                <w:lang w:val="en-GB"/>
              </w:rPr>
            </w:pPr>
            <w:r>
              <w:rPr>
                <w:lang w:val="en-GB"/>
              </w:rPr>
              <w:t>1 Year</w:t>
            </w:r>
          </w:p>
        </w:tc>
        <w:tc>
          <w:tcPr>
            <w:tcW w:w="2290" w:type="dxa"/>
            <w:shd w:val="clear" w:color="auto" w:fill="FFE5D2" w:themeFill="accent5" w:themeFillTint="33"/>
          </w:tcPr>
          <w:p w14:paraId="66483C52" w14:textId="77777777" w:rsidR="00FE6462" w:rsidRPr="006635E4" w:rsidRDefault="00FE6462" w:rsidP="00FB779F">
            <w:pPr>
              <w:spacing w:line="240" w:lineRule="auto"/>
              <w:contextualSpacing/>
              <w:rPr>
                <w:b/>
                <w:lang w:val="en-GB"/>
              </w:rPr>
            </w:pPr>
          </w:p>
        </w:tc>
      </w:tr>
      <w:tr w:rsidR="00FE6462" w:rsidRPr="006635E4" w14:paraId="4C05E457" w14:textId="77777777" w:rsidTr="0022057B">
        <w:tc>
          <w:tcPr>
            <w:tcW w:w="4225" w:type="dxa"/>
            <w:shd w:val="clear" w:color="auto" w:fill="80D219" w:themeFill="accent3" w:themeFillShade="BF"/>
          </w:tcPr>
          <w:p w14:paraId="168B68E7" w14:textId="77777777" w:rsidR="00FE6462" w:rsidRPr="000874DD" w:rsidRDefault="00FE6462" w:rsidP="00FB779F">
            <w:pPr>
              <w:spacing w:line="240" w:lineRule="auto"/>
              <w:contextualSpacing/>
              <w:rPr>
                <w:lang w:val="en-GB"/>
              </w:rPr>
            </w:pPr>
            <w:r w:rsidRPr="000874DD">
              <w:rPr>
                <w:lang w:val="en-GB"/>
              </w:rPr>
              <w:t>Afforestation implementation plan</w:t>
            </w:r>
          </w:p>
        </w:tc>
        <w:tc>
          <w:tcPr>
            <w:tcW w:w="1980" w:type="dxa"/>
            <w:shd w:val="clear" w:color="auto" w:fill="80D219" w:themeFill="accent3" w:themeFillShade="BF"/>
          </w:tcPr>
          <w:p w14:paraId="7D44362A" w14:textId="77777777" w:rsidR="00FE6462" w:rsidRPr="006635E4" w:rsidRDefault="00FE6462" w:rsidP="00FB779F">
            <w:pPr>
              <w:spacing w:line="240" w:lineRule="auto"/>
              <w:contextualSpacing/>
              <w:rPr>
                <w:b/>
                <w:lang w:val="en-GB"/>
              </w:rPr>
            </w:pPr>
            <w:r>
              <w:rPr>
                <w:lang w:val="en-GB"/>
              </w:rPr>
              <w:t>1 Year</w:t>
            </w:r>
          </w:p>
        </w:tc>
        <w:tc>
          <w:tcPr>
            <w:tcW w:w="2290" w:type="dxa"/>
            <w:shd w:val="clear" w:color="auto" w:fill="80D219" w:themeFill="accent3" w:themeFillShade="BF"/>
          </w:tcPr>
          <w:p w14:paraId="3CDED7B4" w14:textId="77777777" w:rsidR="00FE6462" w:rsidRPr="006635E4" w:rsidRDefault="00FE6462" w:rsidP="00FB779F">
            <w:pPr>
              <w:spacing w:line="240" w:lineRule="auto"/>
              <w:contextualSpacing/>
              <w:rPr>
                <w:b/>
                <w:lang w:val="en-GB"/>
              </w:rPr>
            </w:pPr>
          </w:p>
        </w:tc>
      </w:tr>
      <w:tr w:rsidR="00FE6462" w14:paraId="15F67D29" w14:textId="77777777" w:rsidTr="0022057B">
        <w:tc>
          <w:tcPr>
            <w:tcW w:w="4225" w:type="dxa"/>
            <w:shd w:val="clear" w:color="auto" w:fill="C7CCE4" w:themeFill="text2" w:themeFillTint="33"/>
          </w:tcPr>
          <w:p w14:paraId="1915B02E" w14:textId="77777777" w:rsidR="00FE6462" w:rsidRDefault="00FE6462" w:rsidP="00FB779F">
            <w:pPr>
              <w:spacing w:line="240" w:lineRule="auto"/>
              <w:contextualSpacing/>
              <w:rPr>
                <w:lang w:val="en-GB"/>
              </w:rPr>
            </w:pPr>
            <w:r>
              <w:rPr>
                <w:lang w:val="en-GB"/>
              </w:rPr>
              <w:t>Land Acquisition (per hectare)</w:t>
            </w:r>
          </w:p>
        </w:tc>
        <w:tc>
          <w:tcPr>
            <w:tcW w:w="1980" w:type="dxa"/>
            <w:shd w:val="clear" w:color="auto" w:fill="C7CCE4" w:themeFill="text2" w:themeFillTint="33"/>
          </w:tcPr>
          <w:p w14:paraId="70148EA1" w14:textId="77777777" w:rsidR="00FE6462" w:rsidRDefault="00FE6462" w:rsidP="00FB779F">
            <w:pPr>
              <w:spacing w:line="240" w:lineRule="auto"/>
              <w:contextualSpacing/>
              <w:rPr>
                <w:lang w:val="en-GB"/>
              </w:rPr>
            </w:pPr>
            <w:r>
              <w:rPr>
                <w:lang w:val="en-GB"/>
              </w:rPr>
              <w:t>1 Year</w:t>
            </w:r>
          </w:p>
        </w:tc>
        <w:tc>
          <w:tcPr>
            <w:tcW w:w="2290" w:type="dxa"/>
            <w:shd w:val="clear" w:color="auto" w:fill="C7CCE4" w:themeFill="text2" w:themeFillTint="33"/>
          </w:tcPr>
          <w:p w14:paraId="5FB09FFC" w14:textId="77777777" w:rsidR="00FE6462" w:rsidRDefault="00FE6462" w:rsidP="00FB779F">
            <w:pPr>
              <w:spacing w:line="240" w:lineRule="auto"/>
              <w:contextualSpacing/>
              <w:rPr>
                <w:lang w:val="en-GB"/>
              </w:rPr>
            </w:pPr>
          </w:p>
        </w:tc>
      </w:tr>
      <w:tr w:rsidR="00FE6462" w14:paraId="2663E238" w14:textId="77777777" w:rsidTr="0022057B">
        <w:tc>
          <w:tcPr>
            <w:tcW w:w="4225" w:type="dxa"/>
            <w:shd w:val="clear" w:color="auto" w:fill="C7CCE4" w:themeFill="text2" w:themeFillTint="33"/>
          </w:tcPr>
          <w:p w14:paraId="2C2C55FA" w14:textId="77777777" w:rsidR="00FE6462" w:rsidRDefault="00FE6462" w:rsidP="00FB779F">
            <w:pPr>
              <w:spacing w:line="240" w:lineRule="auto"/>
              <w:contextualSpacing/>
              <w:rPr>
                <w:lang w:val="en-GB"/>
              </w:rPr>
            </w:pPr>
            <w:r>
              <w:rPr>
                <w:lang w:val="en-GB"/>
              </w:rPr>
              <w:t>Land rental (per hectare per year)</w:t>
            </w:r>
          </w:p>
        </w:tc>
        <w:tc>
          <w:tcPr>
            <w:tcW w:w="1980" w:type="dxa"/>
            <w:shd w:val="clear" w:color="auto" w:fill="C7CCE4" w:themeFill="text2" w:themeFillTint="33"/>
          </w:tcPr>
          <w:p w14:paraId="3BEB279F" w14:textId="77777777" w:rsidR="00FE6462" w:rsidRDefault="00FE6462" w:rsidP="00FB779F">
            <w:pPr>
              <w:spacing w:line="240" w:lineRule="auto"/>
              <w:contextualSpacing/>
              <w:rPr>
                <w:lang w:val="en-GB"/>
              </w:rPr>
            </w:pPr>
            <w:r>
              <w:rPr>
                <w:lang w:val="en-GB"/>
              </w:rPr>
              <w:t>1-50 Year</w:t>
            </w:r>
          </w:p>
        </w:tc>
        <w:tc>
          <w:tcPr>
            <w:tcW w:w="2290" w:type="dxa"/>
            <w:shd w:val="clear" w:color="auto" w:fill="C7CCE4" w:themeFill="text2" w:themeFillTint="33"/>
          </w:tcPr>
          <w:p w14:paraId="475BC365" w14:textId="77777777" w:rsidR="00FE6462" w:rsidRDefault="00FE6462" w:rsidP="00FB779F">
            <w:pPr>
              <w:spacing w:line="240" w:lineRule="auto"/>
              <w:contextualSpacing/>
              <w:rPr>
                <w:lang w:val="en-GB"/>
              </w:rPr>
            </w:pPr>
          </w:p>
        </w:tc>
      </w:tr>
      <w:tr w:rsidR="00FE6462" w14:paraId="2A149D0E" w14:textId="77777777" w:rsidTr="0022057B">
        <w:tc>
          <w:tcPr>
            <w:tcW w:w="4225" w:type="dxa"/>
            <w:shd w:val="clear" w:color="auto" w:fill="DBF6B9" w:themeFill="accent3" w:themeFillTint="66"/>
          </w:tcPr>
          <w:p w14:paraId="60EA40BB" w14:textId="77777777" w:rsidR="00FE6462" w:rsidRPr="004366AA" w:rsidRDefault="00FE6462" w:rsidP="00FB779F">
            <w:pPr>
              <w:spacing w:line="240" w:lineRule="auto"/>
              <w:contextualSpacing/>
              <w:rPr>
                <w:b/>
                <w:lang w:val="en-GB"/>
              </w:rPr>
            </w:pPr>
            <w:r w:rsidRPr="004366AA">
              <w:rPr>
                <w:b/>
                <w:lang w:val="en-GB"/>
              </w:rPr>
              <w:t>Establishment costs</w:t>
            </w:r>
          </w:p>
        </w:tc>
        <w:tc>
          <w:tcPr>
            <w:tcW w:w="1980" w:type="dxa"/>
            <w:shd w:val="clear" w:color="auto" w:fill="DBF6B9" w:themeFill="accent3" w:themeFillTint="66"/>
          </w:tcPr>
          <w:p w14:paraId="15C21D3A" w14:textId="77777777" w:rsidR="00FE6462" w:rsidRDefault="00FE6462" w:rsidP="00FB779F">
            <w:pPr>
              <w:spacing w:line="240" w:lineRule="auto"/>
              <w:contextualSpacing/>
              <w:rPr>
                <w:lang w:val="en-GB"/>
              </w:rPr>
            </w:pPr>
          </w:p>
        </w:tc>
        <w:tc>
          <w:tcPr>
            <w:tcW w:w="2290" w:type="dxa"/>
            <w:shd w:val="clear" w:color="auto" w:fill="DBF6B9" w:themeFill="accent3" w:themeFillTint="66"/>
          </w:tcPr>
          <w:p w14:paraId="52E804FF" w14:textId="77777777" w:rsidR="00FE6462" w:rsidRDefault="00FE6462" w:rsidP="00FB779F">
            <w:pPr>
              <w:spacing w:line="240" w:lineRule="auto"/>
              <w:contextualSpacing/>
              <w:rPr>
                <w:lang w:val="en-GB"/>
              </w:rPr>
            </w:pPr>
          </w:p>
        </w:tc>
      </w:tr>
      <w:tr w:rsidR="00FE6462" w14:paraId="76B85D33" w14:textId="77777777" w:rsidTr="0022057B">
        <w:tc>
          <w:tcPr>
            <w:tcW w:w="4225" w:type="dxa"/>
            <w:shd w:val="clear" w:color="auto" w:fill="DBF6B9" w:themeFill="accent3" w:themeFillTint="66"/>
          </w:tcPr>
          <w:p w14:paraId="73D9E392" w14:textId="77777777" w:rsidR="00FE6462" w:rsidRDefault="00FE6462" w:rsidP="00FB779F">
            <w:pPr>
              <w:spacing w:line="240" w:lineRule="auto"/>
              <w:contextualSpacing/>
              <w:rPr>
                <w:lang w:val="en-GB"/>
              </w:rPr>
            </w:pPr>
            <w:r>
              <w:rPr>
                <w:lang w:val="en-GB"/>
              </w:rPr>
              <w:t>Land preparation (per hectare)</w:t>
            </w:r>
          </w:p>
        </w:tc>
        <w:tc>
          <w:tcPr>
            <w:tcW w:w="1980" w:type="dxa"/>
            <w:shd w:val="clear" w:color="auto" w:fill="DBF6B9" w:themeFill="accent3" w:themeFillTint="66"/>
          </w:tcPr>
          <w:p w14:paraId="08FC4ECE" w14:textId="77777777" w:rsidR="00FE6462" w:rsidRDefault="00FE6462" w:rsidP="00FB779F">
            <w:pPr>
              <w:spacing w:line="240" w:lineRule="auto"/>
              <w:contextualSpacing/>
              <w:rPr>
                <w:lang w:val="en-GB"/>
              </w:rPr>
            </w:pPr>
            <w:r>
              <w:rPr>
                <w:lang w:val="en-GB"/>
              </w:rPr>
              <w:t xml:space="preserve">1 Year </w:t>
            </w:r>
          </w:p>
        </w:tc>
        <w:tc>
          <w:tcPr>
            <w:tcW w:w="2290" w:type="dxa"/>
            <w:shd w:val="clear" w:color="auto" w:fill="DBF6B9" w:themeFill="accent3" w:themeFillTint="66"/>
          </w:tcPr>
          <w:p w14:paraId="5267E491" w14:textId="77777777" w:rsidR="00FE6462" w:rsidRDefault="00FE6462" w:rsidP="00FB779F">
            <w:pPr>
              <w:spacing w:line="240" w:lineRule="auto"/>
              <w:contextualSpacing/>
              <w:rPr>
                <w:lang w:val="en-GB"/>
              </w:rPr>
            </w:pPr>
          </w:p>
        </w:tc>
      </w:tr>
      <w:tr w:rsidR="00FE6462" w14:paraId="76D61FA2" w14:textId="77777777" w:rsidTr="0022057B">
        <w:tc>
          <w:tcPr>
            <w:tcW w:w="4225" w:type="dxa"/>
            <w:shd w:val="clear" w:color="auto" w:fill="DBF6B9" w:themeFill="accent3" w:themeFillTint="66"/>
          </w:tcPr>
          <w:p w14:paraId="19DC5528" w14:textId="77777777" w:rsidR="00FE6462" w:rsidRDefault="00FE6462" w:rsidP="00FB779F">
            <w:pPr>
              <w:spacing w:line="240" w:lineRule="auto"/>
              <w:contextualSpacing/>
              <w:rPr>
                <w:lang w:val="en-GB"/>
              </w:rPr>
            </w:pPr>
            <w:r>
              <w:rPr>
                <w:lang w:val="en-GB"/>
              </w:rPr>
              <w:t>Plant acquisition (per plant)</w:t>
            </w:r>
          </w:p>
        </w:tc>
        <w:tc>
          <w:tcPr>
            <w:tcW w:w="1980" w:type="dxa"/>
            <w:shd w:val="clear" w:color="auto" w:fill="DBF6B9" w:themeFill="accent3" w:themeFillTint="66"/>
          </w:tcPr>
          <w:p w14:paraId="34BB9B1A" w14:textId="77777777" w:rsidR="00FE6462" w:rsidRDefault="00FE6462" w:rsidP="00FB779F">
            <w:pPr>
              <w:spacing w:line="240" w:lineRule="auto"/>
              <w:contextualSpacing/>
              <w:rPr>
                <w:lang w:val="en-GB"/>
              </w:rPr>
            </w:pPr>
            <w:r>
              <w:rPr>
                <w:lang w:val="en-GB"/>
              </w:rPr>
              <w:t>1 Year</w:t>
            </w:r>
          </w:p>
        </w:tc>
        <w:tc>
          <w:tcPr>
            <w:tcW w:w="2290" w:type="dxa"/>
            <w:shd w:val="clear" w:color="auto" w:fill="DBF6B9" w:themeFill="accent3" w:themeFillTint="66"/>
          </w:tcPr>
          <w:p w14:paraId="1C39F76F" w14:textId="77777777" w:rsidR="00FE6462" w:rsidRDefault="00FE6462" w:rsidP="00FB779F">
            <w:pPr>
              <w:spacing w:line="240" w:lineRule="auto"/>
              <w:contextualSpacing/>
              <w:rPr>
                <w:lang w:val="en-GB"/>
              </w:rPr>
            </w:pPr>
          </w:p>
        </w:tc>
      </w:tr>
      <w:tr w:rsidR="00FE6462" w14:paraId="1E611421" w14:textId="77777777" w:rsidTr="0022057B">
        <w:tc>
          <w:tcPr>
            <w:tcW w:w="4225" w:type="dxa"/>
            <w:tcBorders>
              <w:bottom w:val="single" w:sz="4" w:space="0" w:color="000000" w:themeColor="text1"/>
            </w:tcBorders>
            <w:shd w:val="clear" w:color="auto" w:fill="DBF6B9" w:themeFill="accent3" w:themeFillTint="66"/>
          </w:tcPr>
          <w:p w14:paraId="0F88808B" w14:textId="77777777" w:rsidR="00FE6462" w:rsidRDefault="00FE6462" w:rsidP="00FB779F">
            <w:pPr>
              <w:spacing w:line="240" w:lineRule="auto"/>
              <w:contextualSpacing/>
              <w:rPr>
                <w:lang w:val="en-GB"/>
              </w:rPr>
            </w:pPr>
            <w:r>
              <w:rPr>
                <w:lang w:val="en-GB"/>
              </w:rPr>
              <w:t>Planting (per hectare)</w:t>
            </w:r>
          </w:p>
        </w:tc>
        <w:tc>
          <w:tcPr>
            <w:tcW w:w="1980" w:type="dxa"/>
            <w:tcBorders>
              <w:bottom w:val="single" w:sz="4" w:space="0" w:color="000000" w:themeColor="text1"/>
            </w:tcBorders>
            <w:shd w:val="clear" w:color="auto" w:fill="DBF6B9" w:themeFill="accent3" w:themeFillTint="66"/>
          </w:tcPr>
          <w:p w14:paraId="02B7FD30" w14:textId="77777777" w:rsidR="00FE6462" w:rsidRDefault="00FE6462" w:rsidP="00FB779F">
            <w:pPr>
              <w:spacing w:line="240" w:lineRule="auto"/>
              <w:contextualSpacing/>
              <w:rPr>
                <w:lang w:val="en-GB"/>
              </w:rPr>
            </w:pPr>
            <w:r>
              <w:rPr>
                <w:lang w:val="en-GB"/>
              </w:rPr>
              <w:t>1 Year</w:t>
            </w:r>
          </w:p>
        </w:tc>
        <w:tc>
          <w:tcPr>
            <w:tcW w:w="2290" w:type="dxa"/>
            <w:tcBorders>
              <w:bottom w:val="single" w:sz="4" w:space="0" w:color="000000" w:themeColor="text1"/>
            </w:tcBorders>
            <w:shd w:val="clear" w:color="auto" w:fill="DBF6B9" w:themeFill="accent3" w:themeFillTint="66"/>
          </w:tcPr>
          <w:p w14:paraId="6778BFC0" w14:textId="77777777" w:rsidR="00FE6462" w:rsidRDefault="00FE6462" w:rsidP="00FB779F">
            <w:pPr>
              <w:spacing w:line="240" w:lineRule="auto"/>
              <w:contextualSpacing/>
              <w:rPr>
                <w:lang w:val="en-GB"/>
              </w:rPr>
            </w:pPr>
          </w:p>
        </w:tc>
      </w:tr>
      <w:tr w:rsidR="00FE6462" w14:paraId="3F7B3792" w14:textId="77777777" w:rsidTr="0022057B">
        <w:tc>
          <w:tcPr>
            <w:tcW w:w="4225" w:type="dxa"/>
            <w:shd w:val="clear" w:color="auto" w:fill="FFFF00"/>
          </w:tcPr>
          <w:p w14:paraId="0D4DE545" w14:textId="77777777" w:rsidR="00FE6462" w:rsidRDefault="00FE6462" w:rsidP="00FB779F">
            <w:pPr>
              <w:spacing w:line="240" w:lineRule="auto"/>
              <w:contextualSpacing/>
              <w:rPr>
                <w:lang w:val="en-GB"/>
              </w:rPr>
            </w:pPr>
            <w:r>
              <w:rPr>
                <w:lang w:val="en-GB"/>
              </w:rPr>
              <w:lastRenderedPageBreak/>
              <w:t>Management/Maintenance costs (per hectare per year)</w:t>
            </w:r>
          </w:p>
        </w:tc>
        <w:tc>
          <w:tcPr>
            <w:tcW w:w="1980" w:type="dxa"/>
            <w:shd w:val="clear" w:color="auto" w:fill="FFFF00"/>
          </w:tcPr>
          <w:p w14:paraId="00615326" w14:textId="77777777" w:rsidR="00FE6462" w:rsidRDefault="00FE6462" w:rsidP="00FB779F">
            <w:pPr>
              <w:spacing w:line="240" w:lineRule="auto"/>
              <w:contextualSpacing/>
              <w:rPr>
                <w:lang w:val="en-GB"/>
              </w:rPr>
            </w:pPr>
            <w:r>
              <w:rPr>
                <w:lang w:val="en-GB"/>
              </w:rPr>
              <w:t>1-50 Year</w:t>
            </w:r>
          </w:p>
        </w:tc>
        <w:tc>
          <w:tcPr>
            <w:tcW w:w="2290" w:type="dxa"/>
            <w:shd w:val="clear" w:color="auto" w:fill="FFFF00"/>
          </w:tcPr>
          <w:p w14:paraId="30BF8C6E" w14:textId="77777777" w:rsidR="00FE6462" w:rsidRDefault="00FE6462" w:rsidP="00FB779F">
            <w:pPr>
              <w:spacing w:line="240" w:lineRule="auto"/>
              <w:contextualSpacing/>
              <w:rPr>
                <w:lang w:val="en-GB"/>
              </w:rPr>
            </w:pPr>
          </w:p>
        </w:tc>
      </w:tr>
      <w:tr w:rsidR="00FE6462" w14:paraId="54B42038" w14:textId="77777777" w:rsidTr="0022057B">
        <w:tc>
          <w:tcPr>
            <w:tcW w:w="4225" w:type="dxa"/>
            <w:shd w:val="clear" w:color="auto" w:fill="FFFF00"/>
          </w:tcPr>
          <w:p w14:paraId="750FBB92" w14:textId="77777777" w:rsidR="00FE6462" w:rsidRDefault="00FE6462" w:rsidP="00FB779F">
            <w:pPr>
              <w:spacing w:line="240" w:lineRule="auto"/>
              <w:contextualSpacing/>
              <w:rPr>
                <w:lang w:val="en-GB"/>
              </w:rPr>
            </w:pPr>
            <w:r>
              <w:rPr>
                <w:lang w:val="en-GB"/>
              </w:rPr>
              <w:t>Forest management plans</w:t>
            </w:r>
          </w:p>
        </w:tc>
        <w:tc>
          <w:tcPr>
            <w:tcW w:w="1980" w:type="dxa"/>
            <w:shd w:val="clear" w:color="auto" w:fill="FFFF00"/>
          </w:tcPr>
          <w:p w14:paraId="779BC094" w14:textId="77777777" w:rsidR="00FE6462" w:rsidRDefault="00FE6462" w:rsidP="00FB779F">
            <w:pPr>
              <w:spacing w:line="240" w:lineRule="auto"/>
              <w:contextualSpacing/>
              <w:rPr>
                <w:lang w:val="en-GB"/>
              </w:rPr>
            </w:pPr>
            <w:r>
              <w:rPr>
                <w:lang w:val="en-GB"/>
              </w:rPr>
              <w:t>Every 10 years</w:t>
            </w:r>
          </w:p>
        </w:tc>
        <w:tc>
          <w:tcPr>
            <w:tcW w:w="2290" w:type="dxa"/>
            <w:shd w:val="clear" w:color="auto" w:fill="FFFF00"/>
          </w:tcPr>
          <w:p w14:paraId="2D37E760" w14:textId="77777777" w:rsidR="00FE6462" w:rsidRDefault="00FE6462" w:rsidP="00FB779F">
            <w:pPr>
              <w:spacing w:line="240" w:lineRule="auto"/>
              <w:contextualSpacing/>
              <w:rPr>
                <w:lang w:val="en-GB"/>
              </w:rPr>
            </w:pPr>
          </w:p>
        </w:tc>
      </w:tr>
    </w:tbl>
    <w:p w14:paraId="04887505" w14:textId="5A6F27BE" w:rsidR="00634DFA" w:rsidRPr="00EE5690" w:rsidRDefault="00634DFA" w:rsidP="00EA2829">
      <w:pPr>
        <w:rPr>
          <w:rFonts w:cs="Arial"/>
          <w:lang w:val="en-GB"/>
        </w:rPr>
      </w:pPr>
      <w:r w:rsidRPr="00EE5690">
        <w:rPr>
          <w:rFonts w:cs="Arial"/>
          <w:lang w:val="en-GB"/>
        </w:rPr>
        <w:t xml:space="preserve">In addition to the costs detailed in </w:t>
      </w:r>
      <w:r w:rsidR="00C2019A" w:rsidRPr="00EE5690">
        <w:rPr>
          <w:rFonts w:cs="Arial"/>
          <w:lang w:val="en-GB"/>
        </w:rPr>
        <w:t xml:space="preserve">the previous table </w:t>
      </w:r>
      <w:r w:rsidRPr="00EE5690">
        <w:rPr>
          <w:rFonts w:cs="Arial"/>
          <w:lang w:val="en-GB"/>
        </w:rPr>
        <w:t xml:space="preserve">one must also consider additional costs linked to the associated risks of an </w:t>
      </w:r>
      <w:r w:rsidR="00D621C0" w:rsidRPr="00EE5690">
        <w:rPr>
          <w:rFonts w:cs="Arial"/>
          <w:lang w:val="en-GB"/>
        </w:rPr>
        <w:t>afforestation</w:t>
      </w:r>
      <w:r w:rsidRPr="00EE5690">
        <w:rPr>
          <w:rFonts w:cs="Arial"/>
          <w:lang w:val="en-GB"/>
        </w:rPr>
        <w:t xml:space="preserve"> projects. Such risk</w:t>
      </w:r>
      <w:r w:rsidR="00FF7673" w:rsidRPr="00EE5690">
        <w:rPr>
          <w:rFonts w:cs="Arial"/>
          <w:lang w:val="en-GB"/>
        </w:rPr>
        <w:t>s</w:t>
      </w:r>
      <w:r w:rsidRPr="00EE5690">
        <w:rPr>
          <w:rFonts w:cs="Arial"/>
          <w:lang w:val="en-GB"/>
        </w:rPr>
        <w:t xml:space="preserve"> include the </w:t>
      </w:r>
      <w:r w:rsidR="00D621C0" w:rsidRPr="00EE5690">
        <w:rPr>
          <w:rFonts w:cs="Arial"/>
          <w:lang w:val="en-GB"/>
        </w:rPr>
        <w:t>damage of the plants by pests, grazing, fires, extreme winds</w:t>
      </w:r>
      <w:r w:rsidR="00A13C36">
        <w:rPr>
          <w:rFonts w:cs="Arial"/>
          <w:lang w:val="en-GB"/>
        </w:rPr>
        <w:t>,</w:t>
      </w:r>
      <w:r w:rsidR="00D621C0" w:rsidRPr="00EE5690">
        <w:rPr>
          <w:rFonts w:cs="Arial"/>
          <w:lang w:val="en-GB"/>
        </w:rPr>
        <w:t xml:space="preserve"> or the unsuccessful planting of the trees. Most of these risks can be mitigated by good forest management plans and a solid monitoring of the plantation that will help to alleviate the dangers</w:t>
      </w:r>
      <w:r w:rsidR="00FF7673" w:rsidRPr="00EE5690">
        <w:rPr>
          <w:rFonts w:cs="Arial"/>
          <w:lang w:val="en-GB"/>
        </w:rPr>
        <w:t xml:space="preserve">. </w:t>
      </w:r>
    </w:p>
    <w:p w14:paraId="704316DE" w14:textId="00DC9DA8" w:rsidR="00FE3698" w:rsidRPr="00EE5690" w:rsidRDefault="0062229C" w:rsidP="00EA2829">
      <w:pPr>
        <w:rPr>
          <w:rFonts w:cs="Arial"/>
          <w:lang w:val="en-GB"/>
        </w:rPr>
      </w:pPr>
      <w:r w:rsidRPr="00EE5690">
        <w:rPr>
          <w:rFonts w:cs="Arial"/>
          <w:lang w:val="en-GB"/>
        </w:rPr>
        <w:t>Since the main objective is to transform marginal lands to carbon sinks the main source of income for such projects will be the price of a carbon unit. A carbon unit is defined as a tonne of CO</w:t>
      </w:r>
      <w:r w:rsidRPr="00A13C36">
        <w:rPr>
          <w:rFonts w:cs="Arial"/>
          <w:vertAlign w:val="subscript"/>
          <w:lang w:val="en-GB"/>
        </w:rPr>
        <w:t>2</w:t>
      </w:r>
      <w:r w:rsidRPr="00EE5690">
        <w:rPr>
          <w:rFonts w:cs="Arial"/>
          <w:lang w:val="en-GB"/>
        </w:rPr>
        <w:t xml:space="preserve"> equivalent tCO</w:t>
      </w:r>
      <w:r w:rsidRPr="00A13C36">
        <w:rPr>
          <w:rFonts w:cs="Arial"/>
          <w:vertAlign w:val="subscript"/>
          <w:lang w:val="en-GB"/>
        </w:rPr>
        <w:t>2</w:t>
      </w:r>
      <w:r w:rsidRPr="00EE5690">
        <w:rPr>
          <w:rFonts w:cs="Arial"/>
          <w:lang w:val="en-GB"/>
        </w:rPr>
        <w:t xml:space="preserve">e. </w:t>
      </w:r>
      <w:r w:rsidR="002431F0" w:rsidRPr="00EE5690">
        <w:rPr>
          <w:rFonts w:cs="Arial"/>
          <w:lang w:val="en-GB"/>
        </w:rPr>
        <w:t>Currently the price for a carbon unit is approximately 20 $ (</w:t>
      </w:r>
      <w:r w:rsidR="002431F0" w:rsidRPr="00EE5690">
        <w:rPr>
          <w:rFonts w:cs="Arial"/>
          <w:lang w:val="en-GB"/>
        </w:rPr>
        <w:fldChar w:fldCharType="begin"/>
      </w:r>
      <w:r w:rsidR="002431F0" w:rsidRPr="00EE5690">
        <w:rPr>
          <w:rFonts w:cs="Arial"/>
          <w:lang w:val="en-GB"/>
        </w:rPr>
        <w:instrText xml:space="preserve"> REF _Ref25053926 \h </w:instrText>
      </w:r>
      <w:r w:rsidR="00EE5690" w:rsidRPr="00EE5690">
        <w:rPr>
          <w:rFonts w:cs="Arial"/>
          <w:lang w:val="en-GB"/>
        </w:rPr>
        <w:instrText xml:space="preserve"> \* MERGEFORMAT </w:instrText>
      </w:r>
      <w:r w:rsidR="002431F0" w:rsidRPr="00EE5690">
        <w:rPr>
          <w:rFonts w:cs="Arial"/>
          <w:lang w:val="en-GB"/>
        </w:rPr>
      </w:r>
      <w:r w:rsidR="002431F0" w:rsidRPr="00EE5690">
        <w:rPr>
          <w:rFonts w:cs="Arial"/>
          <w:lang w:val="en-GB"/>
        </w:rPr>
        <w:fldChar w:fldCharType="separate"/>
      </w:r>
      <w:r w:rsidR="0073710A" w:rsidRPr="00E2138D">
        <w:rPr>
          <w:rFonts w:cs="Arial"/>
        </w:rPr>
        <w:t xml:space="preserve">Figure </w:t>
      </w:r>
      <w:r w:rsidR="0073710A">
        <w:rPr>
          <w:rFonts w:cs="Arial"/>
          <w:noProof/>
        </w:rPr>
        <w:t>5</w:t>
      </w:r>
      <w:r w:rsidR="002431F0" w:rsidRPr="00EE5690">
        <w:rPr>
          <w:rFonts w:cs="Arial"/>
          <w:lang w:val="en-GB"/>
        </w:rPr>
        <w:fldChar w:fldCharType="end"/>
      </w:r>
      <w:r w:rsidR="002431F0" w:rsidRPr="00EE5690">
        <w:rPr>
          <w:rFonts w:cs="Arial"/>
          <w:lang w:val="en-GB"/>
        </w:rPr>
        <w:t>). The total income of an afforestation project</w:t>
      </w:r>
      <w:r w:rsidR="00B14452" w:rsidRPr="00EE5690">
        <w:rPr>
          <w:rFonts w:cs="Arial"/>
          <w:lang w:val="en-GB"/>
        </w:rPr>
        <w:t xml:space="preserve"> dedicated to carbon sequestration</w:t>
      </w:r>
      <w:r w:rsidR="002431F0" w:rsidRPr="00EE5690">
        <w:rPr>
          <w:rFonts w:cs="Arial"/>
          <w:lang w:val="en-GB"/>
        </w:rPr>
        <w:t xml:space="preserve"> could be calculated by its potential carbon sequestration capacity per hectare per year and the predicted carbon prices for each year for the whole lifetime of the project. The carbon sequestration capacity is connected to the type of tree species that are going to be used and their planting density. </w:t>
      </w:r>
      <w:r w:rsidR="00634DFA" w:rsidRPr="00EE5690">
        <w:rPr>
          <w:rFonts w:cs="Arial"/>
          <w:lang w:val="en-GB"/>
        </w:rPr>
        <w:t>Furthermore,</w:t>
      </w:r>
      <w:r w:rsidR="00B14452" w:rsidRPr="00EE5690">
        <w:rPr>
          <w:rFonts w:cs="Arial"/>
          <w:lang w:val="en-GB"/>
        </w:rPr>
        <w:t xml:space="preserve"> there is also a connection between the tree species and their ability to enhance the soil carbon pool. </w:t>
      </w:r>
    </w:p>
    <w:p w14:paraId="1A6BDECC" w14:textId="3F5F1907" w:rsidR="002431F0" w:rsidRPr="00EE5690" w:rsidRDefault="002431F0" w:rsidP="00FB779F">
      <w:pPr>
        <w:jc w:val="center"/>
        <w:rPr>
          <w:rFonts w:cs="Arial"/>
          <w:lang w:val="en-GB"/>
        </w:rPr>
      </w:pPr>
      <w:r w:rsidRPr="00EE5690">
        <w:rPr>
          <w:rFonts w:cs="Arial"/>
          <w:noProof/>
          <w:lang w:val="es-ES" w:eastAsia="es-ES"/>
        </w:rPr>
        <w:drawing>
          <wp:inline distT="0" distB="0" distL="0" distR="0" wp14:anchorId="13D535FE" wp14:editId="3DFD44FE">
            <wp:extent cx="5254293" cy="3231243"/>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9083" t="9405" r="3728" b="9279"/>
                    <a:stretch/>
                  </pic:blipFill>
                  <pic:spPr bwMode="auto">
                    <a:xfrm>
                      <a:off x="0" y="0"/>
                      <a:ext cx="5264316" cy="3237407"/>
                    </a:xfrm>
                    <a:prstGeom prst="rect">
                      <a:avLst/>
                    </a:prstGeom>
                    <a:ln>
                      <a:noFill/>
                    </a:ln>
                    <a:extLst>
                      <a:ext uri="{53640926-AAD7-44D8-BBD7-CCE9431645EC}">
                        <a14:shadowObscured xmlns:a14="http://schemas.microsoft.com/office/drawing/2010/main"/>
                      </a:ext>
                    </a:extLst>
                  </pic:spPr>
                </pic:pic>
              </a:graphicData>
            </a:graphic>
          </wp:inline>
        </w:drawing>
      </w:r>
    </w:p>
    <w:p w14:paraId="6A94C9D7" w14:textId="4715A24D" w:rsidR="00FE3698" w:rsidRPr="00E2138D" w:rsidRDefault="002431F0" w:rsidP="00A13C36">
      <w:pPr>
        <w:pStyle w:val="Caption"/>
        <w:rPr>
          <w:rFonts w:cs="Arial"/>
        </w:rPr>
      </w:pPr>
      <w:bookmarkStart w:id="36" w:name="_Ref25053926"/>
      <w:bookmarkStart w:id="37" w:name="_Toc91752489"/>
      <w:r w:rsidRPr="00E2138D">
        <w:rPr>
          <w:rFonts w:cs="Arial"/>
        </w:rPr>
        <w:t xml:space="preserve">Figure </w:t>
      </w:r>
      <w:r w:rsidRPr="00E2138D">
        <w:rPr>
          <w:rFonts w:cs="Arial"/>
        </w:rPr>
        <w:fldChar w:fldCharType="begin"/>
      </w:r>
      <w:r w:rsidRPr="00E2138D">
        <w:rPr>
          <w:rFonts w:cs="Arial"/>
        </w:rPr>
        <w:instrText xml:space="preserve"> SEQ Figure \* ARABIC </w:instrText>
      </w:r>
      <w:r w:rsidRPr="00E2138D">
        <w:rPr>
          <w:rFonts w:cs="Arial"/>
        </w:rPr>
        <w:fldChar w:fldCharType="separate"/>
      </w:r>
      <w:r w:rsidR="0073710A">
        <w:rPr>
          <w:rFonts w:cs="Arial"/>
          <w:noProof/>
        </w:rPr>
        <w:t>5</w:t>
      </w:r>
      <w:r w:rsidRPr="00E2138D">
        <w:rPr>
          <w:rFonts w:cs="Arial"/>
        </w:rPr>
        <w:fldChar w:fldCharType="end"/>
      </w:r>
      <w:bookmarkEnd w:id="36"/>
      <w:r w:rsidRPr="00E2138D">
        <w:rPr>
          <w:rFonts w:cs="Arial"/>
        </w:rPr>
        <w:t xml:space="preserve"> IHS Markit Global Carbon Index (USD) (Source: </w:t>
      </w:r>
      <w:hyperlink r:id="rId26" w:history="1">
        <w:r w:rsidRPr="00E2138D">
          <w:rPr>
            <w:rStyle w:val="Hyperlink"/>
            <w:rFonts w:cs="Arial"/>
          </w:rPr>
          <w:t>https://indices.ihsmarkit.com/Carbonindex</w:t>
        </w:r>
      </w:hyperlink>
      <w:r w:rsidRPr="00E2138D">
        <w:rPr>
          <w:rFonts w:cs="Arial"/>
        </w:rPr>
        <w:t>)</w:t>
      </w:r>
      <w:bookmarkEnd w:id="37"/>
    </w:p>
    <w:p w14:paraId="6A6EA312" w14:textId="11EFCE29" w:rsidR="00C25F91" w:rsidRPr="00EE5690" w:rsidRDefault="002431F0" w:rsidP="00EA2829">
      <w:pPr>
        <w:rPr>
          <w:rFonts w:cs="Arial"/>
          <w:lang w:val="en-GB"/>
        </w:rPr>
      </w:pPr>
      <w:r w:rsidRPr="00EE5690">
        <w:rPr>
          <w:rFonts w:cs="Arial"/>
          <w:lang w:val="en-GB"/>
        </w:rPr>
        <w:lastRenderedPageBreak/>
        <w:t xml:space="preserve">Additional income of afforestation projects can come from other </w:t>
      </w:r>
      <w:r w:rsidR="00B757E6" w:rsidRPr="00EE5690">
        <w:rPr>
          <w:rFonts w:cs="Arial"/>
          <w:lang w:val="en-GB"/>
        </w:rPr>
        <w:t>non-forest</w:t>
      </w:r>
      <w:r w:rsidRPr="00EE5690">
        <w:rPr>
          <w:rFonts w:cs="Arial"/>
          <w:lang w:val="en-GB"/>
        </w:rPr>
        <w:t xml:space="preserve"> related activities such as hunting licences, mushroom picking licenses, recreational activities, beehives and so on.</w:t>
      </w:r>
      <w:r w:rsidR="00F014EC" w:rsidRPr="00EE5690">
        <w:rPr>
          <w:rFonts w:cs="Arial"/>
          <w:lang w:val="en-GB"/>
        </w:rPr>
        <w:t xml:space="preserve"> </w:t>
      </w:r>
    </w:p>
    <w:p w14:paraId="37C4B50A" w14:textId="208CC013" w:rsidR="00D66F79" w:rsidRPr="00EE5690" w:rsidRDefault="00D66F79" w:rsidP="00EA2829">
      <w:pPr>
        <w:rPr>
          <w:rFonts w:cs="Arial"/>
          <w:lang w:val="en-GB"/>
        </w:rPr>
      </w:pPr>
      <w:r w:rsidRPr="00EE5690">
        <w:rPr>
          <w:rFonts w:cs="Arial"/>
          <w:lang w:val="en-GB"/>
        </w:rPr>
        <w:t xml:space="preserve">According </w:t>
      </w:r>
      <w:r w:rsidR="00A13C36">
        <w:rPr>
          <w:rFonts w:cs="Arial"/>
          <w:lang w:val="en-GB"/>
        </w:rPr>
        <w:t xml:space="preserve">to </w:t>
      </w:r>
      <w:r w:rsidRPr="00EE5690">
        <w:rPr>
          <w:rFonts w:cs="Arial"/>
          <w:lang w:val="en-GB"/>
        </w:rPr>
        <w:t>the Forest Europe, 2015 report the total value of non-wood goods reported by 26 countries was almost 2.28 million €, while the total reported value for marketed services was around 723 million €</w:t>
      </w:r>
      <w:r w:rsidR="00A27049" w:rsidRPr="00EE5690">
        <w:rPr>
          <w:rFonts w:cs="Arial"/>
          <w:lang w:val="en-GB"/>
        </w:rPr>
        <w:t xml:space="preserve"> (</w:t>
      </w:r>
      <w:r w:rsidR="00A27049" w:rsidRPr="00EE5690">
        <w:rPr>
          <w:rFonts w:cs="Arial"/>
          <w:lang w:val="en-GB"/>
        </w:rPr>
        <w:fldChar w:fldCharType="begin"/>
      </w:r>
      <w:r w:rsidR="00A27049" w:rsidRPr="00EE5690">
        <w:rPr>
          <w:rFonts w:cs="Arial"/>
          <w:lang w:val="en-GB"/>
        </w:rPr>
        <w:instrText xml:space="preserve"> REF _Ref25306970 \h </w:instrText>
      </w:r>
      <w:r w:rsidR="00EE5690" w:rsidRPr="00EE5690">
        <w:rPr>
          <w:rFonts w:cs="Arial"/>
          <w:lang w:val="en-GB"/>
        </w:rPr>
        <w:instrText xml:space="preserve"> \* MERGEFORMAT </w:instrText>
      </w:r>
      <w:r w:rsidR="00A27049" w:rsidRPr="00EE5690">
        <w:rPr>
          <w:rFonts w:cs="Arial"/>
          <w:lang w:val="en-GB"/>
        </w:rPr>
      </w:r>
      <w:r w:rsidR="00A27049" w:rsidRPr="00EE5690">
        <w:rPr>
          <w:rFonts w:cs="Arial"/>
          <w:lang w:val="en-GB"/>
        </w:rPr>
        <w:fldChar w:fldCharType="separate"/>
      </w:r>
      <w:r w:rsidR="0073710A" w:rsidRPr="00E2138D">
        <w:rPr>
          <w:rFonts w:cs="Arial"/>
        </w:rPr>
        <w:t xml:space="preserve">Figure </w:t>
      </w:r>
      <w:r w:rsidR="0073710A">
        <w:rPr>
          <w:rFonts w:cs="Arial"/>
          <w:noProof/>
        </w:rPr>
        <w:t>6</w:t>
      </w:r>
      <w:r w:rsidR="00A27049" w:rsidRPr="00EE5690">
        <w:rPr>
          <w:rFonts w:cs="Arial"/>
          <w:lang w:val="en-GB"/>
        </w:rPr>
        <w:fldChar w:fldCharType="end"/>
      </w:r>
      <w:r w:rsidR="00A27049" w:rsidRPr="00EE5690">
        <w:rPr>
          <w:rFonts w:cs="Arial"/>
          <w:lang w:val="en-GB"/>
        </w:rPr>
        <w:t>)</w:t>
      </w:r>
      <w:r w:rsidRPr="00EE5690">
        <w:rPr>
          <w:rFonts w:cs="Arial"/>
          <w:lang w:val="en-GB"/>
        </w:rPr>
        <w:t>.</w:t>
      </w:r>
    </w:p>
    <w:p w14:paraId="422A4CE4" w14:textId="6BD4ADDA" w:rsidR="004366AA" w:rsidRPr="00EE5690" w:rsidRDefault="004366AA" w:rsidP="00EE5690">
      <w:pPr>
        <w:jc w:val="left"/>
        <w:rPr>
          <w:rFonts w:cs="Arial"/>
          <w:lang w:val="en-GB"/>
        </w:rPr>
      </w:pPr>
    </w:p>
    <w:p w14:paraId="591E7B08" w14:textId="1BA04F38" w:rsidR="004366AA" w:rsidRPr="00EE5690" w:rsidRDefault="004366AA" w:rsidP="00A13C36">
      <w:pPr>
        <w:jc w:val="center"/>
        <w:rPr>
          <w:rFonts w:cs="Arial"/>
          <w:lang w:val="en-GB"/>
        </w:rPr>
      </w:pPr>
      <w:r w:rsidRPr="00EE5690">
        <w:rPr>
          <w:rFonts w:cs="Arial"/>
          <w:noProof/>
          <w:lang w:val="es-ES" w:eastAsia="es-ES"/>
        </w:rPr>
        <w:drawing>
          <wp:inline distT="0" distB="0" distL="0" distR="0" wp14:anchorId="13912C08" wp14:editId="384C871C">
            <wp:extent cx="4773168" cy="20604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3168" cy="2060448"/>
                    </a:xfrm>
                    <a:prstGeom prst="rect">
                      <a:avLst/>
                    </a:prstGeom>
                  </pic:spPr>
                </pic:pic>
              </a:graphicData>
            </a:graphic>
          </wp:inline>
        </w:drawing>
      </w:r>
    </w:p>
    <w:p w14:paraId="7D7AC8C9" w14:textId="300AEED9" w:rsidR="00A27049" w:rsidRPr="00E2138D" w:rsidRDefault="00A27049" w:rsidP="00A13C36">
      <w:pPr>
        <w:pStyle w:val="Caption"/>
        <w:rPr>
          <w:rFonts w:cs="Arial"/>
        </w:rPr>
      </w:pPr>
      <w:bookmarkStart w:id="38" w:name="_Ref25306970"/>
      <w:bookmarkStart w:id="39" w:name="_Toc91752490"/>
      <w:r w:rsidRPr="00E2138D">
        <w:rPr>
          <w:rFonts w:cs="Arial"/>
        </w:rPr>
        <w:t xml:space="preserve">Figure </w:t>
      </w:r>
      <w:r w:rsidRPr="00E2138D">
        <w:rPr>
          <w:rFonts w:cs="Arial"/>
        </w:rPr>
        <w:fldChar w:fldCharType="begin"/>
      </w:r>
      <w:r w:rsidRPr="00E2138D">
        <w:rPr>
          <w:rFonts w:cs="Arial"/>
        </w:rPr>
        <w:instrText xml:space="preserve"> SEQ Figure \* ARABIC </w:instrText>
      </w:r>
      <w:r w:rsidRPr="00E2138D">
        <w:rPr>
          <w:rFonts w:cs="Arial"/>
        </w:rPr>
        <w:fldChar w:fldCharType="separate"/>
      </w:r>
      <w:r w:rsidR="0073710A">
        <w:rPr>
          <w:rFonts w:cs="Arial"/>
          <w:noProof/>
        </w:rPr>
        <w:t>6</w:t>
      </w:r>
      <w:r w:rsidRPr="00E2138D">
        <w:rPr>
          <w:rFonts w:cs="Arial"/>
        </w:rPr>
        <w:fldChar w:fldCharType="end"/>
      </w:r>
      <w:bookmarkEnd w:id="38"/>
      <w:r w:rsidRPr="00E2138D">
        <w:rPr>
          <w:rFonts w:cs="Arial"/>
        </w:rPr>
        <w:t xml:space="preserve"> Total value of marketed non-wood goods (Source:  </w:t>
      </w:r>
      <w:r w:rsidR="00E500E5" w:rsidRPr="00E2138D">
        <w:rPr>
          <w:rFonts w:cs="Arial"/>
        </w:rPr>
        <w:t>Forest Europe</w:t>
      </w:r>
      <w:r w:rsidRPr="00E2138D">
        <w:rPr>
          <w:rFonts w:cs="Arial"/>
        </w:rPr>
        <w:t>, 2015)</w:t>
      </w:r>
      <w:bookmarkEnd w:id="39"/>
    </w:p>
    <w:p w14:paraId="39DE2269" w14:textId="0F1A06CD" w:rsidR="00D66F79" w:rsidRPr="00EE5690" w:rsidRDefault="00AC68A0" w:rsidP="00EA2829">
      <w:pPr>
        <w:rPr>
          <w:rFonts w:cs="Arial"/>
          <w:lang w:val="en-GB"/>
        </w:rPr>
      </w:pPr>
      <w:r w:rsidRPr="00EE5690">
        <w:rPr>
          <w:rFonts w:cs="Arial"/>
          <w:lang w:val="en-GB"/>
        </w:rPr>
        <w:t>T</w:t>
      </w:r>
      <w:r w:rsidR="00D66F79" w:rsidRPr="00EE5690">
        <w:rPr>
          <w:rFonts w:cs="Arial"/>
          <w:lang w:val="en-GB"/>
        </w:rPr>
        <w:t xml:space="preserve">he </w:t>
      </w:r>
      <w:proofErr w:type="spellStart"/>
      <w:r w:rsidR="00D66F79" w:rsidRPr="00EE5690">
        <w:rPr>
          <w:rFonts w:cs="Arial"/>
          <w:lang w:val="en-GB"/>
        </w:rPr>
        <w:t>non wood</w:t>
      </w:r>
      <w:proofErr w:type="spellEnd"/>
      <w:r w:rsidR="00D66F79" w:rsidRPr="00EE5690">
        <w:rPr>
          <w:rFonts w:cs="Arial"/>
          <w:lang w:val="en-GB"/>
        </w:rPr>
        <w:t xml:space="preserve"> goods are part of </w:t>
      </w:r>
      <w:r w:rsidRPr="00EE5690">
        <w:rPr>
          <w:rFonts w:cs="Arial"/>
          <w:lang w:val="en-GB"/>
        </w:rPr>
        <w:t>sustainable forest management indicator 3.3. More specifically the following were reported in Forest Europe, 2015:</w:t>
      </w:r>
    </w:p>
    <w:p w14:paraId="42CCF5A9" w14:textId="311585F3" w:rsidR="006212A4" w:rsidRPr="00EE5690" w:rsidRDefault="001373FE" w:rsidP="00A01330">
      <w:pPr>
        <w:pStyle w:val="ListParagraph"/>
        <w:numPr>
          <w:ilvl w:val="0"/>
          <w:numId w:val="7"/>
        </w:numPr>
        <w:rPr>
          <w:rFonts w:cs="Arial"/>
          <w:lang w:val="en-GB"/>
        </w:rPr>
      </w:pPr>
      <w:r w:rsidRPr="00EE5690">
        <w:rPr>
          <w:rFonts w:cs="Arial"/>
          <w:lang w:val="en-GB"/>
        </w:rPr>
        <w:t>“Temperate and boreal forests are a traditional source of not only wood but also many other products that are extracted from forests, including resin, tannin, fodder, litter, medical and aromatic plants, fruits, nuts, roots, mushrooms, seeds, honey, ornamentals and exudates”</w:t>
      </w:r>
    </w:p>
    <w:p w14:paraId="7483A509" w14:textId="55A8ABA0" w:rsidR="00AC68A0" w:rsidRPr="00EE5690" w:rsidRDefault="00AC68A0" w:rsidP="00A01330">
      <w:pPr>
        <w:pStyle w:val="ListParagraph"/>
        <w:numPr>
          <w:ilvl w:val="0"/>
          <w:numId w:val="7"/>
        </w:numPr>
        <w:rPr>
          <w:rFonts w:cs="Arial"/>
          <w:lang w:val="en-GB"/>
        </w:rPr>
      </w:pPr>
      <w:r w:rsidRPr="00EE5690">
        <w:rPr>
          <w:rFonts w:cs="Arial"/>
          <w:lang w:val="en-GB"/>
        </w:rPr>
        <w:t xml:space="preserve">“The value of forest products other than wood is being rediscovered on account of both their price dynamics and the increased demand associated </w:t>
      </w:r>
      <w:proofErr w:type="spellStart"/>
      <w:r w:rsidRPr="00EE5690">
        <w:rPr>
          <w:rFonts w:cs="Arial"/>
          <w:lang w:val="en-GB"/>
        </w:rPr>
        <w:t>wth</w:t>
      </w:r>
      <w:proofErr w:type="spellEnd"/>
      <w:r w:rsidRPr="00EE5690">
        <w:rPr>
          <w:rFonts w:cs="Arial"/>
          <w:lang w:val="en-GB"/>
        </w:rPr>
        <w:t xml:space="preserve"> tourism and recreation”</w:t>
      </w:r>
    </w:p>
    <w:p w14:paraId="1EFB6466" w14:textId="53237D61" w:rsidR="00AC68A0" w:rsidRPr="00EE5690" w:rsidRDefault="00AC68A0" w:rsidP="00A01330">
      <w:pPr>
        <w:pStyle w:val="ListParagraph"/>
        <w:numPr>
          <w:ilvl w:val="0"/>
          <w:numId w:val="7"/>
        </w:numPr>
        <w:rPr>
          <w:rFonts w:cs="Arial"/>
          <w:lang w:val="en-GB"/>
        </w:rPr>
      </w:pPr>
      <w:r w:rsidRPr="00EE5690">
        <w:rPr>
          <w:rFonts w:cs="Arial"/>
          <w:lang w:val="en-GB"/>
        </w:rPr>
        <w:t>“The socio-economic contribution of forests to livelihoods and the impact of their use on the environment are essential components of modern concepts for sustainable forest management. However, the integration of the assessment of Non-Wood Goods (NWGs) in extensive forest surveys causes problems as most NWGs are site-specific, dependent on spatial distribution and may be of solely local importance.”</w:t>
      </w:r>
    </w:p>
    <w:p w14:paraId="138DDA18" w14:textId="4249E2F2" w:rsidR="00AC68A0" w:rsidRPr="00EE5690" w:rsidRDefault="00AC68A0" w:rsidP="00A01330">
      <w:pPr>
        <w:pStyle w:val="ListParagraph"/>
        <w:numPr>
          <w:ilvl w:val="0"/>
          <w:numId w:val="7"/>
        </w:numPr>
        <w:rPr>
          <w:rFonts w:cs="Arial"/>
          <w:lang w:val="en-GB"/>
        </w:rPr>
      </w:pPr>
      <w:r w:rsidRPr="00EE5690">
        <w:rPr>
          <w:rFonts w:cs="Arial"/>
          <w:lang w:val="en-GB"/>
        </w:rPr>
        <w:lastRenderedPageBreak/>
        <w:t xml:space="preserve">“This indicator covers the value and quantity of marketed NWGs from forest and other wooded land. For reasons of consistency, even if they could represent a substantial part of the total harvested NWGs, NWGs harvested for self-consumption and informal use at local level are excluded from the analysis. The main NWGs identified in the available data sets </w:t>
      </w:r>
      <w:proofErr w:type="gramStart"/>
      <w:r w:rsidRPr="00EE5690">
        <w:rPr>
          <w:rFonts w:cs="Arial"/>
          <w:lang w:val="en-GB"/>
        </w:rPr>
        <w:t>are:</w:t>
      </w:r>
      <w:proofErr w:type="gramEnd"/>
      <w:r w:rsidRPr="00EE5690">
        <w:rPr>
          <w:rFonts w:cs="Arial"/>
          <w:lang w:val="en-GB"/>
        </w:rPr>
        <w:t xml:space="preserve"> Christmas trees, mushrooms and truffles, fruits and berries, cork, ornamental plants, medicinal and colorant products, seeds of forest tree species, game products and honey.”</w:t>
      </w:r>
    </w:p>
    <w:p w14:paraId="279444A4" w14:textId="20B9D8BD" w:rsidR="00AC68A0" w:rsidRPr="00EE5690" w:rsidRDefault="00AC68A0" w:rsidP="00A01330">
      <w:pPr>
        <w:pStyle w:val="ListParagraph"/>
        <w:numPr>
          <w:ilvl w:val="0"/>
          <w:numId w:val="7"/>
        </w:numPr>
        <w:rPr>
          <w:rFonts w:cs="Arial"/>
          <w:lang w:val="en-GB"/>
        </w:rPr>
      </w:pPr>
      <w:r w:rsidRPr="00EE5690">
        <w:rPr>
          <w:rFonts w:cs="Arial"/>
          <w:lang w:val="en-GB"/>
        </w:rPr>
        <w:t xml:space="preserve">“Quantities and/or values for marketed NWGs were provided by 28 countries. For food and ornamental </w:t>
      </w:r>
      <w:proofErr w:type="gramStart"/>
      <w:r w:rsidRPr="00EE5690">
        <w:rPr>
          <w:rFonts w:cs="Arial"/>
          <w:lang w:val="en-GB"/>
        </w:rPr>
        <w:t>plants</w:t>
      </w:r>
      <w:proofErr w:type="gramEnd"/>
      <w:r w:rsidRPr="00EE5690">
        <w:rPr>
          <w:rFonts w:cs="Arial"/>
          <w:lang w:val="en-GB"/>
        </w:rPr>
        <w:t xml:space="preserve"> the reported forest area amounts to 61% and 36% respectively; for all other categories of NWGs the reported forest area is far smaller. The available data sets are fragmentary for several reasons: the parameters use to assess quantity are not harmonised and render it difficult to compare data; in addition, the collection of data on NWGs is costly, the number of products is very large and no commonly accepted classification and priority list of NWGs are used by national statistical offices, including for the local significance of many products. For these reasons, it can be difficult to obtain an overview and comparable data for all types of NWGs across Europe. Nevertheless, the reported data clearly show that NWGs can be an important source of income at local level.”</w:t>
      </w:r>
    </w:p>
    <w:p w14:paraId="14BC9A50" w14:textId="7F6DE35C" w:rsidR="00D36929" w:rsidRPr="00EE5690" w:rsidRDefault="00D36929" w:rsidP="00A01330">
      <w:pPr>
        <w:pStyle w:val="ListParagraph"/>
        <w:numPr>
          <w:ilvl w:val="0"/>
          <w:numId w:val="7"/>
        </w:numPr>
        <w:rPr>
          <w:rFonts w:cs="Arial"/>
          <w:lang w:val="en-GB"/>
        </w:rPr>
      </w:pPr>
      <w:r w:rsidRPr="00EE5690">
        <w:rPr>
          <w:rFonts w:cs="Arial"/>
          <w:lang w:val="en-GB"/>
        </w:rPr>
        <w:t>“Game comprises all hunted birds and mammals, such as partridge, pheasant, hare, deer, wild boar and chamois. The presented figures include game species whose habitats are forest-related or forest-dependent. Game that roams on farms is excluded. Data on game meat was reported by 10 countries in relation to quantity and 14 countries in relation to value. The commercial sale of game meat is an important economic activity in many countries. Among the reporting countries, Germany (EUR 195 million) Spain (EUR 73 million) and Austria (EUR 15 million) were by far the highest producers of game meat in terms of value. Finland and Sweden did not provide data on game meat. Among the reported value of non-wood products, game accounted for EUR 321 million (14% of NWGs) for all responding Forest Europe countries.”</w:t>
      </w:r>
    </w:p>
    <w:p w14:paraId="35B82B0C" w14:textId="320DE975" w:rsidR="00C41446" w:rsidRPr="00EE5690" w:rsidRDefault="00C41446" w:rsidP="00EA2829">
      <w:pPr>
        <w:rPr>
          <w:rFonts w:cs="Arial"/>
          <w:lang w:val="en-GB"/>
        </w:rPr>
      </w:pPr>
      <w:r w:rsidRPr="00EE5690">
        <w:rPr>
          <w:rFonts w:cs="Arial"/>
          <w:lang w:val="en-GB"/>
        </w:rPr>
        <w:fldChar w:fldCharType="begin"/>
      </w:r>
      <w:r w:rsidRPr="00EE5690">
        <w:rPr>
          <w:rFonts w:cs="Arial"/>
          <w:lang w:val="en-GB"/>
        </w:rPr>
        <w:instrText xml:space="preserve"> REF _Ref25307137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E2138D">
        <w:rPr>
          <w:rFonts w:cs="Arial"/>
        </w:rPr>
        <w:t xml:space="preserve">Figure </w:t>
      </w:r>
      <w:r w:rsidR="0073710A">
        <w:rPr>
          <w:rFonts w:cs="Arial"/>
          <w:noProof/>
        </w:rPr>
        <w:t>7</w:t>
      </w:r>
      <w:r w:rsidRPr="00EE5690">
        <w:rPr>
          <w:rFonts w:cs="Arial"/>
          <w:lang w:val="en-GB"/>
        </w:rPr>
        <w:fldChar w:fldCharType="end"/>
      </w:r>
      <w:r w:rsidRPr="00EE5690">
        <w:rPr>
          <w:rFonts w:cs="Arial"/>
          <w:lang w:val="en-GB"/>
        </w:rPr>
        <w:t xml:space="preserve"> presents the classification of European countries per region according to the </w:t>
      </w:r>
      <w:r w:rsidR="00E500E5" w:rsidRPr="00EE5690">
        <w:rPr>
          <w:rFonts w:cs="Arial"/>
          <w:lang w:val="en-GB"/>
        </w:rPr>
        <w:t>Forest Europe</w:t>
      </w:r>
      <w:r w:rsidRPr="00EE5690">
        <w:rPr>
          <w:rFonts w:cs="Arial"/>
          <w:lang w:val="en-GB"/>
        </w:rPr>
        <w:t xml:space="preserve"> report. </w:t>
      </w:r>
    </w:p>
    <w:p w14:paraId="2B5616EA" w14:textId="4123A925" w:rsidR="00D36929" w:rsidRPr="00EE5690" w:rsidRDefault="00C41446" w:rsidP="00A13C36">
      <w:pPr>
        <w:jc w:val="center"/>
        <w:rPr>
          <w:rFonts w:cs="Arial"/>
          <w:lang w:val="en-GB"/>
        </w:rPr>
      </w:pPr>
      <w:r w:rsidRPr="00EE5690">
        <w:rPr>
          <w:rFonts w:cs="Arial"/>
          <w:noProof/>
          <w:lang w:val="es-ES" w:eastAsia="es-ES"/>
        </w:rPr>
        <w:lastRenderedPageBreak/>
        <w:drawing>
          <wp:inline distT="0" distB="0" distL="0" distR="0" wp14:anchorId="0D87CAAA" wp14:editId="6AE817E8">
            <wp:extent cx="4759037" cy="3656008"/>
            <wp:effectExtent l="0" t="0" r="381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ullsoef2015-36.jpg"/>
                    <pic:cNvPicPr/>
                  </pic:nvPicPr>
                  <pic:blipFill rotWithShape="1">
                    <a:blip r:embed="rId28" cstate="print">
                      <a:extLst>
                        <a:ext uri="{28A0092B-C50C-407E-A947-70E740481C1C}">
                          <a14:useLocalDpi xmlns:a14="http://schemas.microsoft.com/office/drawing/2010/main" val="0"/>
                        </a:ext>
                      </a:extLst>
                    </a:blip>
                    <a:srcRect l="3174" t="2101" r="2470" b="1945"/>
                    <a:stretch/>
                  </pic:blipFill>
                  <pic:spPr bwMode="auto">
                    <a:xfrm>
                      <a:off x="0" y="0"/>
                      <a:ext cx="4760043" cy="3656781"/>
                    </a:xfrm>
                    <a:prstGeom prst="rect">
                      <a:avLst/>
                    </a:prstGeom>
                    <a:ln>
                      <a:noFill/>
                    </a:ln>
                    <a:extLst>
                      <a:ext uri="{53640926-AAD7-44D8-BBD7-CCE9431645EC}">
                        <a14:shadowObscured xmlns:a14="http://schemas.microsoft.com/office/drawing/2010/main"/>
                      </a:ext>
                    </a:extLst>
                  </pic:spPr>
                </pic:pic>
              </a:graphicData>
            </a:graphic>
          </wp:inline>
        </w:drawing>
      </w:r>
    </w:p>
    <w:p w14:paraId="34CB1131" w14:textId="743FF7F2" w:rsidR="00C41446" w:rsidRPr="00E2138D" w:rsidRDefault="00C41446" w:rsidP="00A13C36">
      <w:pPr>
        <w:pStyle w:val="Caption"/>
        <w:rPr>
          <w:rFonts w:cs="Arial"/>
        </w:rPr>
      </w:pPr>
      <w:bookmarkStart w:id="40" w:name="_Ref25307137"/>
      <w:bookmarkStart w:id="41" w:name="_Toc91752491"/>
      <w:r w:rsidRPr="00E2138D">
        <w:rPr>
          <w:rFonts w:cs="Arial"/>
        </w:rPr>
        <w:t xml:space="preserve">Figure </w:t>
      </w:r>
      <w:r w:rsidRPr="00E2138D">
        <w:rPr>
          <w:rFonts w:cs="Arial"/>
        </w:rPr>
        <w:fldChar w:fldCharType="begin"/>
      </w:r>
      <w:r w:rsidRPr="00E2138D">
        <w:rPr>
          <w:rFonts w:cs="Arial"/>
        </w:rPr>
        <w:instrText xml:space="preserve"> SEQ Figure \* ARABIC </w:instrText>
      </w:r>
      <w:r w:rsidRPr="00E2138D">
        <w:rPr>
          <w:rFonts w:cs="Arial"/>
        </w:rPr>
        <w:fldChar w:fldCharType="separate"/>
      </w:r>
      <w:r w:rsidR="0073710A">
        <w:rPr>
          <w:rFonts w:cs="Arial"/>
          <w:noProof/>
        </w:rPr>
        <w:t>7</w:t>
      </w:r>
      <w:r w:rsidRPr="00E2138D">
        <w:rPr>
          <w:rFonts w:cs="Arial"/>
        </w:rPr>
        <w:fldChar w:fldCharType="end"/>
      </w:r>
      <w:bookmarkEnd w:id="40"/>
      <w:r w:rsidRPr="00E2138D">
        <w:rPr>
          <w:rFonts w:cs="Arial"/>
        </w:rPr>
        <w:t xml:space="preserve"> Classification of European Countries per region according to </w:t>
      </w:r>
      <w:r w:rsidR="00E2138D" w:rsidRPr="00E2138D">
        <w:rPr>
          <w:rFonts w:cs="Arial"/>
        </w:rPr>
        <w:t>The Europe Forest</w:t>
      </w:r>
      <w:r w:rsidRPr="00E2138D">
        <w:rPr>
          <w:rFonts w:cs="Arial"/>
        </w:rPr>
        <w:t xml:space="preserve">, 2015 (Source:  </w:t>
      </w:r>
      <w:r w:rsidR="00E500E5" w:rsidRPr="00E2138D">
        <w:rPr>
          <w:rFonts w:cs="Arial"/>
        </w:rPr>
        <w:t>Forest Europe</w:t>
      </w:r>
      <w:r w:rsidRPr="00E2138D">
        <w:rPr>
          <w:rFonts w:cs="Arial"/>
        </w:rPr>
        <w:t>, 2015)</w:t>
      </w:r>
      <w:bookmarkEnd w:id="41"/>
    </w:p>
    <w:p w14:paraId="3A7C3AD2" w14:textId="01D9D573" w:rsidR="00BD3CF7" w:rsidRPr="00EE5690" w:rsidRDefault="00AC68A0" w:rsidP="00EE5690">
      <w:pPr>
        <w:jc w:val="left"/>
        <w:rPr>
          <w:rFonts w:cs="Arial"/>
          <w:lang w:val="en-GB"/>
        </w:rPr>
      </w:pPr>
      <w:r w:rsidRPr="00EE5690">
        <w:rPr>
          <w:rFonts w:cs="Arial"/>
          <w:lang w:val="en-GB"/>
        </w:rPr>
        <w:t xml:space="preserve">The following figures, and tables present an overview of the </w:t>
      </w:r>
      <w:r w:rsidR="00E500E5" w:rsidRPr="00EE5690">
        <w:rPr>
          <w:rFonts w:cs="Arial"/>
          <w:lang w:val="en-GB"/>
        </w:rPr>
        <w:t>Forest Europe</w:t>
      </w:r>
      <w:r w:rsidRPr="00EE5690">
        <w:rPr>
          <w:rFonts w:cs="Arial"/>
          <w:lang w:val="en-GB"/>
        </w:rPr>
        <w:t>, 2015 report</w:t>
      </w:r>
      <w:r w:rsidR="00BD3CF7" w:rsidRPr="00EE5690">
        <w:rPr>
          <w:rFonts w:cs="Arial"/>
          <w:lang w:val="en-GB"/>
        </w:rPr>
        <w:t xml:space="preserve"> finding related to </w:t>
      </w:r>
      <w:proofErr w:type="spellStart"/>
      <w:r w:rsidR="00BD3CF7" w:rsidRPr="00EE5690">
        <w:rPr>
          <w:rFonts w:cs="Arial"/>
          <w:lang w:val="en-GB"/>
        </w:rPr>
        <w:t>non wood</w:t>
      </w:r>
      <w:proofErr w:type="spellEnd"/>
      <w:r w:rsidR="00BD3CF7" w:rsidRPr="00EE5690">
        <w:rPr>
          <w:rFonts w:cs="Arial"/>
          <w:lang w:val="en-GB"/>
        </w:rPr>
        <w:t xml:space="preserve"> goods.</w:t>
      </w:r>
    </w:p>
    <w:p w14:paraId="6E2BDF2A" w14:textId="2C9E68AD" w:rsidR="00BD3CF7" w:rsidRPr="00EE5690" w:rsidRDefault="00BD3CF7" w:rsidP="00A13C36">
      <w:pPr>
        <w:jc w:val="center"/>
        <w:rPr>
          <w:rFonts w:cs="Arial"/>
          <w:lang w:val="en-GB"/>
        </w:rPr>
      </w:pPr>
      <w:r w:rsidRPr="00EE5690">
        <w:rPr>
          <w:rFonts w:cs="Arial"/>
          <w:noProof/>
          <w:lang w:val="es-ES" w:eastAsia="es-ES"/>
        </w:rPr>
        <w:drawing>
          <wp:inline distT="0" distB="0" distL="0" distR="0" wp14:anchorId="75754DC5" wp14:editId="64EA1E35">
            <wp:extent cx="4602604" cy="2543175"/>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oef2015-121.jpg"/>
                    <pic:cNvPicPr/>
                  </pic:nvPicPr>
                  <pic:blipFill rotWithShape="1">
                    <a:blip r:embed="rId29">
                      <a:extLst>
                        <a:ext uri="{28A0092B-C50C-407E-A947-70E740481C1C}">
                          <a14:useLocalDpi xmlns:a14="http://schemas.microsoft.com/office/drawing/2010/main" val="0"/>
                        </a:ext>
                      </a:extLst>
                    </a:blip>
                    <a:srcRect l="2933" t="13768" r="3767" b="7451"/>
                    <a:stretch/>
                  </pic:blipFill>
                  <pic:spPr bwMode="auto">
                    <a:xfrm>
                      <a:off x="0" y="0"/>
                      <a:ext cx="4618535" cy="2551978"/>
                    </a:xfrm>
                    <a:prstGeom prst="rect">
                      <a:avLst/>
                    </a:prstGeom>
                    <a:ln>
                      <a:noFill/>
                    </a:ln>
                    <a:extLst>
                      <a:ext uri="{53640926-AAD7-44D8-BBD7-CCE9431645EC}">
                        <a14:shadowObscured xmlns:a14="http://schemas.microsoft.com/office/drawing/2010/main"/>
                      </a:ext>
                    </a:extLst>
                  </pic:spPr>
                </pic:pic>
              </a:graphicData>
            </a:graphic>
          </wp:inline>
        </w:drawing>
      </w:r>
    </w:p>
    <w:p w14:paraId="5FB83A4E" w14:textId="46E57F15" w:rsidR="00BD3CF7" w:rsidRPr="00E2138D" w:rsidRDefault="00BD3CF7" w:rsidP="00A13C36">
      <w:pPr>
        <w:pStyle w:val="Caption"/>
        <w:rPr>
          <w:rFonts w:cs="Arial"/>
        </w:rPr>
      </w:pPr>
      <w:bookmarkStart w:id="42" w:name="_Toc91752492"/>
      <w:r w:rsidRPr="00E2138D">
        <w:rPr>
          <w:rFonts w:cs="Arial"/>
        </w:rPr>
        <w:t xml:space="preserve">Figure </w:t>
      </w:r>
      <w:r w:rsidRPr="00E2138D">
        <w:rPr>
          <w:rFonts w:cs="Arial"/>
        </w:rPr>
        <w:fldChar w:fldCharType="begin"/>
      </w:r>
      <w:r w:rsidRPr="00E2138D">
        <w:rPr>
          <w:rFonts w:cs="Arial"/>
        </w:rPr>
        <w:instrText xml:space="preserve"> SEQ Figure \* ARABIC </w:instrText>
      </w:r>
      <w:r w:rsidRPr="00E2138D">
        <w:rPr>
          <w:rFonts w:cs="Arial"/>
        </w:rPr>
        <w:fldChar w:fldCharType="separate"/>
      </w:r>
      <w:r w:rsidR="0073710A">
        <w:rPr>
          <w:rFonts w:cs="Arial"/>
          <w:noProof/>
        </w:rPr>
        <w:t>8</w:t>
      </w:r>
      <w:r w:rsidRPr="00E2138D">
        <w:rPr>
          <w:rFonts w:cs="Arial"/>
        </w:rPr>
        <w:fldChar w:fldCharType="end"/>
      </w:r>
      <w:r w:rsidRPr="00E2138D">
        <w:rPr>
          <w:rFonts w:cs="Arial"/>
        </w:rPr>
        <w:t xml:space="preserve"> Total reported value of marketed NWGs accounted for by plant products (in percent) (Source:  </w:t>
      </w:r>
      <w:r w:rsidR="00E500E5" w:rsidRPr="00E2138D">
        <w:rPr>
          <w:rFonts w:cs="Arial"/>
        </w:rPr>
        <w:t>Forest Europe</w:t>
      </w:r>
      <w:r w:rsidRPr="00E2138D">
        <w:rPr>
          <w:rFonts w:cs="Arial"/>
        </w:rPr>
        <w:t>, 2015)</w:t>
      </w:r>
      <w:bookmarkEnd w:id="42"/>
    </w:p>
    <w:p w14:paraId="4FF9C951" w14:textId="073C951C" w:rsidR="002E11D8" w:rsidRPr="00E2138D" w:rsidRDefault="002E11D8" w:rsidP="00A13C36">
      <w:pPr>
        <w:pStyle w:val="Caption"/>
        <w:keepNext/>
        <w:rPr>
          <w:rFonts w:cs="Arial"/>
          <w:lang w:val="en-US"/>
        </w:rPr>
      </w:pPr>
      <w:bookmarkStart w:id="43" w:name="_Toc91752548"/>
      <w:r w:rsidRPr="00E2138D">
        <w:rPr>
          <w:rFonts w:cs="Arial"/>
        </w:rPr>
        <w:lastRenderedPageBreak/>
        <w:t xml:space="preserve">Table </w:t>
      </w:r>
      <w:r w:rsidRPr="00E2138D">
        <w:rPr>
          <w:rFonts w:cs="Arial"/>
        </w:rPr>
        <w:fldChar w:fldCharType="begin"/>
      </w:r>
      <w:r w:rsidRPr="00E2138D">
        <w:rPr>
          <w:rFonts w:cs="Arial"/>
        </w:rPr>
        <w:instrText xml:space="preserve"> SEQ Table \* ARABIC </w:instrText>
      </w:r>
      <w:r w:rsidRPr="00E2138D">
        <w:rPr>
          <w:rFonts w:cs="Arial"/>
        </w:rPr>
        <w:fldChar w:fldCharType="separate"/>
      </w:r>
      <w:r w:rsidR="0073710A">
        <w:rPr>
          <w:rFonts w:cs="Arial"/>
          <w:noProof/>
        </w:rPr>
        <w:t>9</w:t>
      </w:r>
      <w:r w:rsidRPr="00E2138D">
        <w:rPr>
          <w:rFonts w:cs="Arial"/>
        </w:rPr>
        <w:fldChar w:fldCharType="end"/>
      </w:r>
      <w:r w:rsidRPr="00E2138D">
        <w:rPr>
          <w:rFonts w:cs="Arial"/>
          <w:lang w:val="en-US"/>
        </w:rPr>
        <w:t xml:space="preserve"> Value of marketed NWGs (</w:t>
      </w:r>
      <w:r w:rsidRPr="00E2138D">
        <w:rPr>
          <w:rFonts w:cs="Arial"/>
        </w:rPr>
        <w:t>Source:  Forest Europe, 2015)</w:t>
      </w:r>
      <w:bookmarkEnd w:id="43"/>
    </w:p>
    <w:tbl>
      <w:tblPr>
        <w:tblStyle w:val="List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822"/>
        <w:gridCol w:w="2124"/>
        <w:gridCol w:w="2124"/>
      </w:tblGrid>
      <w:tr w:rsidR="00B76C97" w14:paraId="21BC22FA" w14:textId="77777777" w:rsidTr="002205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val="restart"/>
            <w:tcBorders>
              <w:top w:val="none" w:sz="0" w:space="0" w:color="auto"/>
              <w:left w:val="none" w:sz="0" w:space="0" w:color="auto"/>
              <w:bottom w:val="none" w:sz="0" w:space="0" w:color="auto"/>
            </w:tcBorders>
            <w:shd w:val="clear" w:color="auto" w:fill="BFBFBF" w:themeFill="background1" w:themeFillShade="BF"/>
          </w:tcPr>
          <w:p w14:paraId="5671B256" w14:textId="77777777" w:rsidR="00B76C97" w:rsidRPr="00541A5E" w:rsidRDefault="00B76C97" w:rsidP="0022057B">
            <w:pPr>
              <w:jc w:val="center"/>
              <w:rPr>
                <w:color w:val="auto"/>
                <w:lang w:val="en-GB"/>
              </w:rPr>
            </w:pPr>
            <w:r w:rsidRPr="00541A5E">
              <w:rPr>
                <w:color w:val="auto"/>
                <w:lang w:val="en-GB"/>
              </w:rPr>
              <w:t>Region</w:t>
            </w:r>
          </w:p>
        </w:tc>
        <w:tc>
          <w:tcPr>
            <w:tcW w:w="1822" w:type="dxa"/>
            <w:tcBorders>
              <w:top w:val="none" w:sz="0" w:space="0" w:color="auto"/>
              <w:bottom w:val="none" w:sz="0" w:space="0" w:color="auto"/>
            </w:tcBorders>
            <w:shd w:val="clear" w:color="auto" w:fill="BFBFBF" w:themeFill="background1" w:themeFillShade="BF"/>
          </w:tcPr>
          <w:p w14:paraId="62D36B80" w14:textId="77777777" w:rsidR="00B76C97" w:rsidRPr="00541A5E" w:rsidRDefault="00B76C97" w:rsidP="0022057B">
            <w:pPr>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541A5E">
              <w:rPr>
                <w:color w:val="auto"/>
                <w:lang w:val="en-GB"/>
              </w:rPr>
              <w:t>Plants</w:t>
            </w:r>
          </w:p>
        </w:tc>
        <w:tc>
          <w:tcPr>
            <w:tcW w:w="2124" w:type="dxa"/>
            <w:tcBorders>
              <w:top w:val="none" w:sz="0" w:space="0" w:color="auto"/>
              <w:bottom w:val="none" w:sz="0" w:space="0" w:color="auto"/>
            </w:tcBorders>
            <w:shd w:val="clear" w:color="auto" w:fill="BFBFBF" w:themeFill="background1" w:themeFillShade="BF"/>
          </w:tcPr>
          <w:p w14:paraId="63CFFAAB" w14:textId="77777777" w:rsidR="00B76C97" w:rsidRPr="00541A5E" w:rsidRDefault="00B76C97" w:rsidP="0022057B">
            <w:pPr>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541A5E">
              <w:rPr>
                <w:color w:val="auto"/>
                <w:lang w:val="en-GB"/>
              </w:rPr>
              <w:t>Animals</w:t>
            </w:r>
          </w:p>
        </w:tc>
        <w:tc>
          <w:tcPr>
            <w:tcW w:w="2124" w:type="dxa"/>
            <w:tcBorders>
              <w:top w:val="none" w:sz="0" w:space="0" w:color="auto"/>
              <w:bottom w:val="none" w:sz="0" w:space="0" w:color="auto"/>
              <w:right w:val="none" w:sz="0" w:space="0" w:color="auto"/>
            </w:tcBorders>
            <w:shd w:val="clear" w:color="auto" w:fill="BFBFBF" w:themeFill="background1" w:themeFillShade="BF"/>
          </w:tcPr>
          <w:p w14:paraId="3CD064E9" w14:textId="77777777" w:rsidR="00B76C97" w:rsidRPr="00541A5E" w:rsidRDefault="00B76C97" w:rsidP="0022057B">
            <w:pPr>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541A5E">
              <w:rPr>
                <w:color w:val="auto"/>
                <w:lang w:val="en-GB"/>
              </w:rPr>
              <w:t>Totals</w:t>
            </w:r>
          </w:p>
        </w:tc>
      </w:tr>
      <w:tr w:rsidR="00B76C97" w14:paraId="3DEA7269"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shd w:val="clear" w:color="auto" w:fill="BFBFBF" w:themeFill="background1" w:themeFillShade="BF"/>
          </w:tcPr>
          <w:p w14:paraId="49968C9D" w14:textId="77777777" w:rsidR="00B76C97" w:rsidRPr="00BD3CF7" w:rsidRDefault="00B76C97" w:rsidP="0022057B">
            <w:pPr>
              <w:jc w:val="center"/>
              <w:rPr>
                <w:b w:val="0"/>
                <w:lang w:val="en-GB"/>
              </w:rPr>
            </w:pPr>
          </w:p>
        </w:tc>
        <w:tc>
          <w:tcPr>
            <w:tcW w:w="6070" w:type="dxa"/>
            <w:gridSpan w:val="3"/>
            <w:shd w:val="clear" w:color="auto" w:fill="BFBFBF" w:themeFill="background1" w:themeFillShade="BF"/>
          </w:tcPr>
          <w:p w14:paraId="2F9D3AED" w14:textId="77777777" w:rsidR="00B76C97" w:rsidRPr="00BD3CF7" w:rsidRDefault="00B76C97" w:rsidP="0022057B">
            <w:pPr>
              <w:jc w:val="center"/>
              <w:cnfStyle w:val="000000100000" w:firstRow="0" w:lastRow="0" w:firstColumn="0" w:lastColumn="0" w:oddVBand="0" w:evenVBand="0" w:oddHBand="1" w:evenHBand="0" w:firstRowFirstColumn="0" w:firstRowLastColumn="0" w:lastRowFirstColumn="0" w:lastRowLastColumn="0"/>
              <w:rPr>
                <w:b/>
                <w:lang w:val="en-GB"/>
              </w:rPr>
            </w:pPr>
            <w:r w:rsidRPr="00BD3CF7">
              <w:rPr>
                <w:b/>
                <w:lang w:val="en-GB"/>
              </w:rPr>
              <w:t>1,000 €</w:t>
            </w:r>
          </w:p>
        </w:tc>
      </w:tr>
      <w:tr w:rsidR="00B76C97" w14:paraId="33EB55FA" w14:textId="77777777" w:rsidTr="0022057B">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6633F797" w14:textId="77777777" w:rsidR="00B76C97" w:rsidRDefault="00B76C97" w:rsidP="0022057B">
            <w:pPr>
              <w:rPr>
                <w:lang w:val="en-GB"/>
              </w:rPr>
            </w:pPr>
            <w:r>
              <w:rPr>
                <w:lang w:val="en-GB"/>
              </w:rPr>
              <w:t>North Europe</w:t>
            </w:r>
          </w:p>
        </w:tc>
        <w:tc>
          <w:tcPr>
            <w:tcW w:w="1822" w:type="dxa"/>
            <w:shd w:val="clear" w:color="auto" w:fill="FFFFFF" w:themeFill="background1"/>
          </w:tcPr>
          <w:p w14:paraId="72AE46B3" w14:textId="77777777" w:rsidR="00B76C97" w:rsidRDefault="00B76C97"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237,569</w:t>
            </w:r>
          </w:p>
        </w:tc>
        <w:tc>
          <w:tcPr>
            <w:tcW w:w="2124" w:type="dxa"/>
            <w:shd w:val="clear" w:color="auto" w:fill="FFFFFF" w:themeFill="background1"/>
          </w:tcPr>
          <w:p w14:paraId="22DB41FB" w14:textId="77777777" w:rsidR="00B76C97" w:rsidRDefault="00B76C97"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8,603</w:t>
            </w:r>
          </w:p>
        </w:tc>
        <w:tc>
          <w:tcPr>
            <w:tcW w:w="2124" w:type="dxa"/>
            <w:shd w:val="clear" w:color="auto" w:fill="FFFFFF" w:themeFill="background1"/>
          </w:tcPr>
          <w:p w14:paraId="507F04E3" w14:textId="77777777" w:rsidR="00B76C97" w:rsidRDefault="00B76C97"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246,172</w:t>
            </w:r>
          </w:p>
        </w:tc>
      </w:tr>
      <w:tr w:rsidR="00B76C97" w14:paraId="593F3DA1"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664E25AB" w14:textId="77777777" w:rsidR="00B76C97" w:rsidRDefault="00B76C97" w:rsidP="0022057B">
            <w:pPr>
              <w:rPr>
                <w:lang w:val="en-GB"/>
              </w:rPr>
            </w:pPr>
            <w:r>
              <w:rPr>
                <w:lang w:val="en-GB"/>
              </w:rPr>
              <w:t>Central-West Europe</w:t>
            </w:r>
          </w:p>
        </w:tc>
        <w:tc>
          <w:tcPr>
            <w:tcW w:w="1822" w:type="dxa"/>
            <w:shd w:val="clear" w:color="auto" w:fill="FFFFFF" w:themeFill="background1"/>
          </w:tcPr>
          <w:p w14:paraId="5F0806C2" w14:textId="77777777" w:rsidR="00B76C97" w:rsidRDefault="00B76C97" w:rsidP="0022057B">
            <w:pPr>
              <w:cnfStyle w:val="000000100000" w:firstRow="0" w:lastRow="0" w:firstColumn="0" w:lastColumn="0" w:oddVBand="0" w:evenVBand="0" w:oddHBand="1" w:evenHBand="0" w:firstRowFirstColumn="0" w:firstRowLastColumn="0" w:lastRowFirstColumn="0" w:lastRowLastColumn="0"/>
              <w:rPr>
                <w:lang w:val="en-GB"/>
              </w:rPr>
            </w:pPr>
            <w:r>
              <w:rPr>
                <w:lang w:val="en-GB"/>
              </w:rPr>
              <w:t>717,527</w:t>
            </w:r>
          </w:p>
        </w:tc>
        <w:tc>
          <w:tcPr>
            <w:tcW w:w="2124" w:type="dxa"/>
            <w:shd w:val="clear" w:color="auto" w:fill="FFFFFF" w:themeFill="background1"/>
          </w:tcPr>
          <w:p w14:paraId="51F8210F" w14:textId="77777777" w:rsidR="00B76C97" w:rsidRPr="00352676" w:rsidRDefault="00B76C97" w:rsidP="0022057B">
            <w:pPr>
              <w:cnfStyle w:val="000000100000" w:firstRow="0" w:lastRow="0" w:firstColumn="0" w:lastColumn="0" w:oddVBand="0" w:evenVBand="0" w:oddHBand="1" w:evenHBand="0" w:firstRowFirstColumn="0" w:firstRowLastColumn="0" w:lastRowFirstColumn="0" w:lastRowLastColumn="0"/>
              <w:rPr>
                <w:lang w:val="el-GR"/>
              </w:rPr>
            </w:pPr>
            <w:r>
              <w:rPr>
                <w:lang w:val="el-GR"/>
              </w:rPr>
              <w:t>337,052</w:t>
            </w:r>
          </w:p>
        </w:tc>
        <w:tc>
          <w:tcPr>
            <w:tcW w:w="2124" w:type="dxa"/>
            <w:shd w:val="clear" w:color="auto" w:fill="FFFFFF" w:themeFill="background1"/>
          </w:tcPr>
          <w:p w14:paraId="37191B76" w14:textId="77777777" w:rsidR="00B76C97" w:rsidRPr="00352676" w:rsidRDefault="00B76C97" w:rsidP="0022057B">
            <w:pPr>
              <w:cnfStyle w:val="000000100000" w:firstRow="0" w:lastRow="0" w:firstColumn="0" w:lastColumn="0" w:oddVBand="0" w:evenVBand="0" w:oddHBand="1" w:evenHBand="0" w:firstRowFirstColumn="0" w:firstRowLastColumn="0" w:lastRowFirstColumn="0" w:lastRowLastColumn="0"/>
              <w:rPr>
                <w:lang w:val="el-GR"/>
              </w:rPr>
            </w:pPr>
            <w:r>
              <w:rPr>
                <w:lang w:val="el-GR"/>
              </w:rPr>
              <w:t>1,054,579</w:t>
            </w:r>
          </w:p>
        </w:tc>
      </w:tr>
      <w:tr w:rsidR="00B76C97" w14:paraId="286C2022" w14:textId="77777777" w:rsidTr="0022057B">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6A2C396E" w14:textId="77777777" w:rsidR="00B76C97" w:rsidRDefault="00B76C97" w:rsidP="0022057B">
            <w:pPr>
              <w:rPr>
                <w:lang w:val="en-GB"/>
              </w:rPr>
            </w:pPr>
            <w:r>
              <w:rPr>
                <w:lang w:val="en-GB"/>
              </w:rPr>
              <w:t>Central-East Europe</w:t>
            </w:r>
          </w:p>
        </w:tc>
        <w:tc>
          <w:tcPr>
            <w:tcW w:w="1822" w:type="dxa"/>
            <w:shd w:val="clear" w:color="auto" w:fill="FFFFFF" w:themeFill="background1"/>
          </w:tcPr>
          <w:p w14:paraId="3DA41909" w14:textId="77777777" w:rsidR="00B76C97" w:rsidRDefault="00B76C97"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42,886</w:t>
            </w:r>
          </w:p>
        </w:tc>
        <w:tc>
          <w:tcPr>
            <w:tcW w:w="2124" w:type="dxa"/>
            <w:shd w:val="clear" w:color="auto" w:fill="FFFFFF" w:themeFill="background1"/>
          </w:tcPr>
          <w:p w14:paraId="5B615392" w14:textId="77777777" w:rsidR="00B76C97" w:rsidRPr="00CA7103" w:rsidRDefault="00B76C97" w:rsidP="0022057B">
            <w:pPr>
              <w:cnfStyle w:val="000000000000" w:firstRow="0" w:lastRow="0" w:firstColumn="0" w:lastColumn="0" w:oddVBand="0" w:evenVBand="0" w:oddHBand="0" w:evenHBand="0" w:firstRowFirstColumn="0" w:firstRowLastColumn="0" w:lastRowFirstColumn="0" w:lastRowLastColumn="0"/>
              <w:rPr>
                <w:lang w:val="el-GR"/>
              </w:rPr>
            </w:pPr>
            <w:r>
              <w:rPr>
                <w:lang w:val="el-GR"/>
              </w:rPr>
              <w:t>22,933</w:t>
            </w:r>
          </w:p>
        </w:tc>
        <w:tc>
          <w:tcPr>
            <w:tcW w:w="2124" w:type="dxa"/>
            <w:shd w:val="clear" w:color="auto" w:fill="FFFFFF" w:themeFill="background1"/>
          </w:tcPr>
          <w:p w14:paraId="3FCFF80F" w14:textId="77777777" w:rsidR="00B76C97" w:rsidRPr="00CA7103" w:rsidRDefault="00B76C97" w:rsidP="0022057B">
            <w:pPr>
              <w:cnfStyle w:val="000000000000" w:firstRow="0" w:lastRow="0" w:firstColumn="0" w:lastColumn="0" w:oddVBand="0" w:evenVBand="0" w:oddHBand="0" w:evenHBand="0" w:firstRowFirstColumn="0" w:firstRowLastColumn="0" w:lastRowFirstColumn="0" w:lastRowLastColumn="0"/>
              <w:rPr>
                <w:lang w:val="el-GR"/>
              </w:rPr>
            </w:pPr>
            <w:r>
              <w:rPr>
                <w:lang w:val="el-GR"/>
              </w:rPr>
              <w:t>65,819</w:t>
            </w:r>
          </w:p>
        </w:tc>
      </w:tr>
      <w:tr w:rsidR="00B76C97" w14:paraId="448A14F0"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5719732B" w14:textId="77777777" w:rsidR="00B76C97" w:rsidRDefault="00B76C97" w:rsidP="0022057B">
            <w:pPr>
              <w:rPr>
                <w:lang w:val="en-GB"/>
              </w:rPr>
            </w:pPr>
            <w:r>
              <w:rPr>
                <w:lang w:val="en-GB"/>
              </w:rPr>
              <w:t>South-West Europe</w:t>
            </w:r>
          </w:p>
        </w:tc>
        <w:tc>
          <w:tcPr>
            <w:tcW w:w="1822" w:type="dxa"/>
            <w:shd w:val="clear" w:color="auto" w:fill="FFFFFF" w:themeFill="background1"/>
          </w:tcPr>
          <w:p w14:paraId="06642904" w14:textId="77777777" w:rsidR="00B76C97" w:rsidRDefault="00B76C97" w:rsidP="0022057B">
            <w:pPr>
              <w:cnfStyle w:val="000000100000" w:firstRow="0" w:lastRow="0" w:firstColumn="0" w:lastColumn="0" w:oddVBand="0" w:evenVBand="0" w:oddHBand="1" w:evenHBand="0" w:firstRowFirstColumn="0" w:firstRowLastColumn="0" w:lastRowFirstColumn="0" w:lastRowLastColumn="0"/>
              <w:rPr>
                <w:lang w:val="en-GB"/>
              </w:rPr>
            </w:pPr>
            <w:r>
              <w:rPr>
                <w:lang w:val="en-GB"/>
              </w:rPr>
              <w:t>609,282</w:t>
            </w:r>
          </w:p>
        </w:tc>
        <w:tc>
          <w:tcPr>
            <w:tcW w:w="2124" w:type="dxa"/>
            <w:shd w:val="clear" w:color="auto" w:fill="FFFFFF" w:themeFill="background1"/>
          </w:tcPr>
          <w:p w14:paraId="4B86439D" w14:textId="77777777" w:rsidR="00B76C97" w:rsidRPr="00CA7103" w:rsidRDefault="00B76C97" w:rsidP="0022057B">
            <w:pPr>
              <w:cnfStyle w:val="000000100000" w:firstRow="0" w:lastRow="0" w:firstColumn="0" w:lastColumn="0" w:oddVBand="0" w:evenVBand="0" w:oddHBand="1" w:evenHBand="0" w:firstRowFirstColumn="0" w:firstRowLastColumn="0" w:lastRowFirstColumn="0" w:lastRowLastColumn="0"/>
              <w:rPr>
                <w:lang w:val="el-GR"/>
              </w:rPr>
            </w:pPr>
            <w:r>
              <w:rPr>
                <w:lang w:val="el-GR"/>
              </w:rPr>
              <w:t>197,918</w:t>
            </w:r>
          </w:p>
        </w:tc>
        <w:tc>
          <w:tcPr>
            <w:tcW w:w="2124" w:type="dxa"/>
            <w:shd w:val="clear" w:color="auto" w:fill="FFFFFF" w:themeFill="background1"/>
          </w:tcPr>
          <w:p w14:paraId="78DCAA9C" w14:textId="77777777" w:rsidR="00B76C97" w:rsidRPr="00CA7103" w:rsidRDefault="00B76C97" w:rsidP="0022057B">
            <w:pPr>
              <w:cnfStyle w:val="000000100000" w:firstRow="0" w:lastRow="0" w:firstColumn="0" w:lastColumn="0" w:oddVBand="0" w:evenVBand="0" w:oddHBand="1" w:evenHBand="0" w:firstRowFirstColumn="0" w:firstRowLastColumn="0" w:lastRowFirstColumn="0" w:lastRowLastColumn="0"/>
              <w:rPr>
                <w:lang w:val="el-GR"/>
              </w:rPr>
            </w:pPr>
            <w:r>
              <w:rPr>
                <w:lang w:val="el-GR"/>
              </w:rPr>
              <w:t>807,200</w:t>
            </w:r>
          </w:p>
        </w:tc>
      </w:tr>
      <w:tr w:rsidR="00B76C97" w14:paraId="4596E052" w14:textId="77777777" w:rsidTr="0022057B">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0052152E" w14:textId="77777777" w:rsidR="00B76C97" w:rsidRDefault="00B76C97" w:rsidP="0022057B">
            <w:pPr>
              <w:rPr>
                <w:lang w:val="en-GB"/>
              </w:rPr>
            </w:pPr>
            <w:r>
              <w:rPr>
                <w:lang w:val="en-GB"/>
              </w:rPr>
              <w:t>South-East Europe</w:t>
            </w:r>
          </w:p>
        </w:tc>
        <w:tc>
          <w:tcPr>
            <w:tcW w:w="1822" w:type="dxa"/>
            <w:shd w:val="clear" w:color="auto" w:fill="FFFFFF" w:themeFill="background1"/>
          </w:tcPr>
          <w:p w14:paraId="68033EF4" w14:textId="77777777" w:rsidR="00B76C97" w:rsidRDefault="00B76C97"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51,5111</w:t>
            </w:r>
          </w:p>
        </w:tc>
        <w:tc>
          <w:tcPr>
            <w:tcW w:w="2124" w:type="dxa"/>
            <w:shd w:val="clear" w:color="auto" w:fill="FFFFFF" w:themeFill="background1"/>
          </w:tcPr>
          <w:p w14:paraId="5F930E27" w14:textId="77777777" w:rsidR="00B76C97" w:rsidRPr="00CA7103" w:rsidRDefault="00B76C97" w:rsidP="0022057B">
            <w:pPr>
              <w:cnfStyle w:val="000000000000" w:firstRow="0" w:lastRow="0" w:firstColumn="0" w:lastColumn="0" w:oddVBand="0" w:evenVBand="0" w:oddHBand="0" w:evenHBand="0" w:firstRowFirstColumn="0" w:firstRowLastColumn="0" w:lastRowFirstColumn="0" w:lastRowLastColumn="0"/>
              <w:rPr>
                <w:lang w:val="el-GR"/>
              </w:rPr>
            </w:pPr>
            <w:r>
              <w:rPr>
                <w:lang w:val="el-GR"/>
              </w:rPr>
              <w:t>51,724</w:t>
            </w:r>
          </w:p>
        </w:tc>
        <w:tc>
          <w:tcPr>
            <w:tcW w:w="2124" w:type="dxa"/>
            <w:shd w:val="clear" w:color="auto" w:fill="FFFFFF" w:themeFill="background1"/>
          </w:tcPr>
          <w:p w14:paraId="2792CB88" w14:textId="77777777" w:rsidR="00B76C97" w:rsidRPr="00CA7103" w:rsidRDefault="00B76C97" w:rsidP="0022057B">
            <w:pPr>
              <w:cnfStyle w:val="000000000000" w:firstRow="0" w:lastRow="0" w:firstColumn="0" w:lastColumn="0" w:oddVBand="0" w:evenVBand="0" w:oddHBand="0" w:evenHBand="0" w:firstRowFirstColumn="0" w:firstRowLastColumn="0" w:lastRowFirstColumn="0" w:lastRowLastColumn="0"/>
              <w:rPr>
                <w:lang w:val="el-GR"/>
              </w:rPr>
            </w:pPr>
            <w:r>
              <w:rPr>
                <w:lang w:val="el-GR"/>
              </w:rPr>
              <w:t>103,235</w:t>
            </w:r>
          </w:p>
        </w:tc>
      </w:tr>
      <w:tr w:rsidR="00B76C97" w14:paraId="658377B3"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shd w:val="clear" w:color="auto" w:fill="FFCCA6" w:themeFill="accent5" w:themeFillTint="66"/>
          </w:tcPr>
          <w:p w14:paraId="4828814E" w14:textId="77777777" w:rsidR="00B76C97" w:rsidRDefault="00B76C97" w:rsidP="0022057B">
            <w:pPr>
              <w:rPr>
                <w:lang w:val="en-GB"/>
              </w:rPr>
            </w:pPr>
            <w:r>
              <w:rPr>
                <w:lang w:val="en-GB"/>
              </w:rPr>
              <w:t>EU-28</w:t>
            </w:r>
          </w:p>
        </w:tc>
        <w:tc>
          <w:tcPr>
            <w:tcW w:w="1822" w:type="dxa"/>
            <w:shd w:val="clear" w:color="auto" w:fill="FFCCA6" w:themeFill="accent5" w:themeFillTint="66"/>
          </w:tcPr>
          <w:p w14:paraId="54F56D2B" w14:textId="77777777" w:rsidR="00B76C97" w:rsidRDefault="00B76C97" w:rsidP="0022057B">
            <w:pPr>
              <w:cnfStyle w:val="000000100000" w:firstRow="0" w:lastRow="0" w:firstColumn="0" w:lastColumn="0" w:oddVBand="0" w:evenVBand="0" w:oddHBand="1" w:evenHBand="0" w:firstRowFirstColumn="0" w:firstRowLastColumn="0" w:lastRowFirstColumn="0" w:lastRowLastColumn="0"/>
              <w:rPr>
                <w:lang w:val="en-GB"/>
              </w:rPr>
            </w:pPr>
            <w:r>
              <w:rPr>
                <w:lang w:val="en-GB"/>
              </w:rPr>
              <w:t>1,592,080</w:t>
            </w:r>
          </w:p>
        </w:tc>
        <w:tc>
          <w:tcPr>
            <w:tcW w:w="2124" w:type="dxa"/>
            <w:shd w:val="clear" w:color="auto" w:fill="FFCCA6" w:themeFill="accent5" w:themeFillTint="66"/>
          </w:tcPr>
          <w:p w14:paraId="6669F0AC" w14:textId="77777777" w:rsidR="00B76C97" w:rsidRPr="00CA7103" w:rsidRDefault="00B76C97" w:rsidP="0022057B">
            <w:pPr>
              <w:cnfStyle w:val="000000100000" w:firstRow="0" w:lastRow="0" w:firstColumn="0" w:lastColumn="0" w:oddVBand="0" w:evenVBand="0" w:oddHBand="1" w:evenHBand="0" w:firstRowFirstColumn="0" w:firstRowLastColumn="0" w:lastRowFirstColumn="0" w:lastRowLastColumn="0"/>
              <w:rPr>
                <w:lang w:val="el-GR"/>
              </w:rPr>
            </w:pPr>
            <w:r>
              <w:rPr>
                <w:lang w:val="el-GR"/>
              </w:rPr>
              <w:t>55,611</w:t>
            </w:r>
          </w:p>
        </w:tc>
        <w:tc>
          <w:tcPr>
            <w:tcW w:w="2124" w:type="dxa"/>
            <w:shd w:val="clear" w:color="auto" w:fill="FFCCA6" w:themeFill="accent5" w:themeFillTint="66"/>
          </w:tcPr>
          <w:p w14:paraId="0942DF76" w14:textId="77777777" w:rsidR="00B76C97" w:rsidRPr="00CA7103" w:rsidRDefault="00B76C97" w:rsidP="0022057B">
            <w:pPr>
              <w:cnfStyle w:val="000000100000" w:firstRow="0" w:lastRow="0" w:firstColumn="0" w:lastColumn="0" w:oddVBand="0" w:evenVBand="0" w:oddHBand="1" w:evenHBand="0" w:firstRowFirstColumn="0" w:firstRowLastColumn="0" w:lastRowFirstColumn="0" w:lastRowLastColumn="0"/>
              <w:rPr>
                <w:lang w:val="el-GR"/>
              </w:rPr>
            </w:pPr>
            <w:r>
              <w:rPr>
                <w:lang w:val="el-GR"/>
              </w:rPr>
              <w:t>2,148,199</w:t>
            </w:r>
          </w:p>
        </w:tc>
      </w:tr>
      <w:tr w:rsidR="00B76C97" w14:paraId="36A84355" w14:textId="77777777" w:rsidTr="0022057B">
        <w:tc>
          <w:tcPr>
            <w:cnfStyle w:val="001000000000" w:firstRow="0" w:lastRow="0" w:firstColumn="1" w:lastColumn="0" w:oddVBand="0" w:evenVBand="0" w:oddHBand="0" w:evenHBand="0" w:firstRowFirstColumn="0" w:firstRowLastColumn="0" w:lastRowFirstColumn="0" w:lastRowLastColumn="0"/>
            <w:tcW w:w="2425" w:type="dxa"/>
            <w:shd w:val="clear" w:color="auto" w:fill="FFB279" w:themeFill="accent5" w:themeFillTint="99"/>
          </w:tcPr>
          <w:p w14:paraId="7F93F2F4" w14:textId="77777777" w:rsidR="00B76C97" w:rsidRDefault="00B76C97" w:rsidP="0022057B">
            <w:pPr>
              <w:rPr>
                <w:lang w:val="en-GB"/>
              </w:rPr>
            </w:pPr>
            <w:r>
              <w:rPr>
                <w:lang w:val="en-GB"/>
              </w:rPr>
              <w:t>Europe</w:t>
            </w:r>
          </w:p>
        </w:tc>
        <w:tc>
          <w:tcPr>
            <w:tcW w:w="1822" w:type="dxa"/>
            <w:shd w:val="clear" w:color="auto" w:fill="FFB279" w:themeFill="accent5" w:themeFillTint="99"/>
          </w:tcPr>
          <w:p w14:paraId="69DC6E2E" w14:textId="77777777" w:rsidR="00B76C97" w:rsidRDefault="00B76C97"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1,658,775</w:t>
            </w:r>
          </w:p>
        </w:tc>
        <w:tc>
          <w:tcPr>
            <w:tcW w:w="2124" w:type="dxa"/>
            <w:shd w:val="clear" w:color="auto" w:fill="FFB279" w:themeFill="accent5" w:themeFillTint="99"/>
          </w:tcPr>
          <w:p w14:paraId="487BB825" w14:textId="77777777" w:rsidR="00B76C97" w:rsidRPr="00352676" w:rsidRDefault="00B76C97" w:rsidP="0022057B">
            <w:pPr>
              <w:cnfStyle w:val="000000000000" w:firstRow="0" w:lastRow="0" w:firstColumn="0" w:lastColumn="0" w:oddVBand="0" w:evenVBand="0" w:oddHBand="0" w:evenHBand="0" w:firstRowFirstColumn="0" w:firstRowLastColumn="0" w:lastRowFirstColumn="0" w:lastRowLastColumn="0"/>
              <w:rPr>
                <w:lang w:val="el-GR"/>
              </w:rPr>
            </w:pPr>
            <w:r>
              <w:rPr>
                <w:lang w:val="el-GR"/>
              </w:rPr>
              <w:t>618,229</w:t>
            </w:r>
          </w:p>
        </w:tc>
        <w:tc>
          <w:tcPr>
            <w:tcW w:w="2124" w:type="dxa"/>
            <w:shd w:val="clear" w:color="auto" w:fill="FFB279" w:themeFill="accent5" w:themeFillTint="99"/>
          </w:tcPr>
          <w:p w14:paraId="4D5450B0" w14:textId="77777777" w:rsidR="00B76C97" w:rsidRPr="00CA7103" w:rsidRDefault="00B76C97" w:rsidP="0022057B">
            <w:pPr>
              <w:cnfStyle w:val="000000000000" w:firstRow="0" w:lastRow="0" w:firstColumn="0" w:lastColumn="0" w:oddVBand="0" w:evenVBand="0" w:oddHBand="0" w:evenHBand="0" w:firstRowFirstColumn="0" w:firstRowLastColumn="0" w:lastRowFirstColumn="0" w:lastRowLastColumn="0"/>
              <w:rPr>
                <w:lang w:val="el-GR"/>
              </w:rPr>
            </w:pPr>
            <w:r>
              <w:rPr>
                <w:lang w:val="el-GR"/>
              </w:rPr>
              <w:t>2,277,004</w:t>
            </w:r>
          </w:p>
        </w:tc>
      </w:tr>
    </w:tbl>
    <w:p w14:paraId="69DAB200" w14:textId="77777777" w:rsidR="002E11D8" w:rsidRPr="00EE5690" w:rsidRDefault="002E11D8" w:rsidP="00EE5690">
      <w:pPr>
        <w:jc w:val="left"/>
        <w:rPr>
          <w:rFonts w:cs="Arial"/>
          <w:lang w:val="en-GB"/>
        </w:rPr>
      </w:pPr>
    </w:p>
    <w:p w14:paraId="351F2E4F" w14:textId="53323792" w:rsidR="00CC6F29" w:rsidRPr="00EE5690" w:rsidRDefault="00CC6F29" w:rsidP="00A13C36">
      <w:pPr>
        <w:jc w:val="center"/>
        <w:rPr>
          <w:rFonts w:cs="Arial"/>
          <w:lang w:val="en-GB"/>
        </w:rPr>
      </w:pPr>
      <w:r w:rsidRPr="00EE5690">
        <w:rPr>
          <w:rFonts w:cs="Arial"/>
          <w:noProof/>
          <w:lang w:val="es-ES" w:eastAsia="es-ES"/>
        </w:rPr>
        <w:drawing>
          <wp:inline distT="0" distB="0" distL="0" distR="0" wp14:anchorId="16C99E97" wp14:editId="0495CC12">
            <wp:extent cx="4819650" cy="2933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llsoef2015-121.jpg"/>
                    <pic:cNvPicPr/>
                  </pic:nvPicPr>
                  <pic:blipFill rotWithShape="1">
                    <a:blip r:embed="rId30">
                      <a:extLst>
                        <a:ext uri="{28A0092B-C50C-407E-A947-70E740481C1C}">
                          <a14:useLocalDpi xmlns:a14="http://schemas.microsoft.com/office/drawing/2010/main" val="0"/>
                        </a:ext>
                      </a:extLst>
                    </a:blip>
                    <a:srcRect l="4604" t="3822" r="2198" b="5636"/>
                    <a:stretch/>
                  </pic:blipFill>
                  <pic:spPr bwMode="auto">
                    <a:xfrm>
                      <a:off x="0" y="0"/>
                      <a:ext cx="4825060" cy="2936993"/>
                    </a:xfrm>
                    <a:prstGeom prst="rect">
                      <a:avLst/>
                    </a:prstGeom>
                    <a:ln>
                      <a:noFill/>
                    </a:ln>
                    <a:extLst>
                      <a:ext uri="{53640926-AAD7-44D8-BBD7-CCE9431645EC}">
                        <a14:shadowObscured xmlns:a14="http://schemas.microsoft.com/office/drawing/2010/main"/>
                      </a:ext>
                    </a:extLst>
                  </pic:spPr>
                </pic:pic>
              </a:graphicData>
            </a:graphic>
          </wp:inline>
        </w:drawing>
      </w:r>
    </w:p>
    <w:p w14:paraId="396E2831" w14:textId="1516DDD7" w:rsidR="00AC68A0" w:rsidRPr="00E2138D" w:rsidRDefault="00CC6F29" w:rsidP="00A13C36">
      <w:pPr>
        <w:pStyle w:val="Caption"/>
        <w:rPr>
          <w:rFonts w:cs="Arial"/>
        </w:rPr>
      </w:pPr>
      <w:bookmarkStart w:id="44" w:name="_Toc91752493"/>
      <w:r w:rsidRPr="00E2138D">
        <w:rPr>
          <w:rFonts w:cs="Arial"/>
        </w:rPr>
        <w:t xml:space="preserve">Figure </w:t>
      </w:r>
      <w:r w:rsidRPr="00E2138D">
        <w:rPr>
          <w:rFonts w:cs="Arial"/>
        </w:rPr>
        <w:fldChar w:fldCharType="begin"/>
      </w:r>
      <w:r w:rsidRPr="00E2138D">
        <w:rPr>
          <w:rFonts w:cs="Arial"/>
        </w:rPr>
        <w:instrText xml:space="preserve"> SEQ Figure \* ARABIC </w:instrText>
      </w:r>
      <w:r w:rsidRPr="00E2138D">
        <w:rPr>
          <w:rFonts w:cs="Arial"/>
        </w:rPr>
        <w:fldChar w:fldCharType="separate"/>
      </w:r>
      <w:r w:rsidR="0073710A">
        <w:rPr>
          <w:rFonts w:cs="Arial"/>
          <w:noProof/>
        </w:rPr>
        <w:t>9</w:t>
      </w:r>
      <w:r w:rsidRPr="00E2138D">
        <w:rPr>
          <w:rFonts w:cs="Arial"/>
        </w:rPr>
        <w:fldChar w:fldCharType="end"/>
      </w:r>
      <w:r w:rsidRPr="00E2138D">
        <w:rPr>
          <w:rFonts w:cs="Arial"/>
        </w:rPr>
        <w:t xml:space="preserve"> Shares of total value of marketed NWGs accounted for by animal products; absolute values specified in EUR 1,000 (Source:  </w:t>
      </w:r>
      <w:r w:rsidR="00E500E5" w:rsidRPr="00E2138D">
        <w:rPr>
          <w:rFonts w:cs="Arial"/>
        </w:rPr>
        <w:t>Forest Europe</w:t>
      </w:r>
      <w:r w:rsidRPr="00E2138D">
        <w:rPr>
          <w:rFonts w:cs="Arial"/>
        </w:rPr>
        <w:t>, 2015)</w:t>
      </w:r>
      <w:bookmarkEnd w:id="44"/>
    </w:p>
    <w:p w14:paraId="4444079D" w14:textId="77777777" w:rsidR="00A86627" w:rsidRPr="00EE5690" w:rsidRDefault="00A86627" w:rsidP="00EE5690">
      <w:pPr>
        <w:jc w:val="left"/>
        <w:rPr>
          <w:rFonts w:cs="Arial"/>
          <w:lang w:val="en-GB"/>
        </w:rPr>
      </w:pPr>
    </w:p>
    <w:p w14:paraId="086B7022" w14:textId="777AF6C9" w:rsidR="002E11D8" w:rsidRPr="00E2138D" w:rsidRDefault="002E11D8" w:rsidP="00111BD2">
      <w:pPr>
        <w:pStyle w:val="Caption"/>
        <w:keepNext/>
        <w:rPr>
          <w:rFonts w:cs="Arial"/>
          <w:lang w:val="en-US"/>
        </w:rPr>
      </w:pPr>
      <w:bookmarkStart w:id="45" w:name="_Toc91752549"/>
      <w:r w:rsidRPr="00E2138D">
        <w:rPr>
          <w:rFonts w:cs="Arial"/>
        </w:rPr>
        <w:lastRenderedPageBreak/>
        <w:t xml:space="preserve">Table </w:t>
      </w:r>
      <w:r w:rsidRPr="00E2138D">
        <w:rPr>
          <w:rFonts w:cs="Arial"/>
        </w:rPr>
        <w:fldChar w:fldCharType="begin"/>
      </w:r>
      <w:r w:rsidRPr="00E2138D">
        <w:rPr>
          <w:rFonts w:cs="Arial"/>
        </w:rPr>
        <w:instrText xml:space="preserve"> SEQ Table \* ARABIC </w:instrText>
      </w:r>
      <w:r w:rsidRPr="00E2138D">
        <w:rPr>
          <w:rFonts w:cs="Arial"/>
        </w:rPr>
        <w:fldChar w:fldCharType="separate"/>
      </w:r>
      <w:r w:rsidR="0073710A">
        <w:rPr>
          <w:rFonts w:cs="Arial"/>
          <w:noProof/>
        </w:rPr>
        <w:t>10</w:t>
      </w:r>
      <w:r w:rsidRPr="00E2138D">
        <w:rPr>
          <w:rFonts w:cs="Arial"/>
        </w:rPr>
        <w:fldChar w:fldCharType="end"/>
      </w:r>
      <w:r w:rsidRPr="00E2138D">
        <w:rPr>
          <w:rFonts w:cs="Arial"/>
          <w:lang w:val="en-US"/>
        </w:rPr>
        <w:t xml:space="preserve"> Quantity and value of different types of marketed animal products (Source:  Forest Europe, 2015)</w:t>
      </w:r>
      <w:bookmarkEnd w:id="45"/>
    </w:p>
    <w:tbl>
      <w:tblPr>
        <w:tblStyle w:val="ListTable4-Accent5"/>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
        <w:gridCol w:w="741"/>
        <w:gridCol w:w="795"/>
        <w:gridCol w:w="783"/>
        <w:gridCol w:w="706"/>
        <w:gridCol w:w="928"/>
        <w:gridCol w:w="706"/>
        <w:gridCol w:w="773"/>
        <w:gridCol w:w="795"/>
        <w:gridCol w:w="880"/>
        <w:gridCol w:w="706"/>
        <w:gridCol w:w="901"/>
      </w:tblGrid>
      <w:tr w:rsidR="00111BD2" w:rsidRPr="00EC43C8" w14:paraId="73235279" w14:textId="77777777" w:rsidTr="002205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 w:type="dxa"/>
            <w:vMerge w:val="restart"/>
            <w:tcBorders>
              <w:top w:val="none" w:sz="0" w:space="0" w:color="auto"/>
              <w:left w:val="none" w:sz="0" w:space="0" w:color="auto"/>
              <w:bottom w:val="none" w:sz="0" w:space="0" w:color="auto"/>
            </w:tcBorders>
            <w:shd w:val="clear" w:color="auto" w:fill="BFBFBF" w:themeFill="background1" w:themeFillShade="BF"/>
          </w:tcPr>
          <w:p w14:paraId="3E26D6D7" w14:textId="77777777" w:rsidR="00111BD2" w:rsidRPr="00BE1BD9" w:rsidRDefault="00111BD2" w:rsidP="0022057B">
            <w:pPr>
              <w:jc w:val="center"/>
              <w:rPr>
                <w:color w:val="auto"/>
                <w:sz w:val="16"/>
                <w:szCs w:val="16"/>
                <w:lang w:val="en-GB"/>
              </w:rPr>
            </w:pPr>
            <w:r w:rsidRPr="00BE1BD9">
              <w:rPr>
                <w:color w:val="auto"/>
                <w:sz w:val="16"/>
                <w:szCs w:val="16"/>
                <w:lang w:val="en-GB"/>
              </w:rPr>
              <w:t>Region</w:t>
            </w:r>
          </w:p>
        </w:tc>
        <w:tc>
          <w:tcPr>
            <w:tcW w:w="1536" w:type="dxa"/>
            <w:gridSpan w:val="2"/>
            <w:tcBorders>
              <w:top w:val="none" w:sz="0" w:space="0" w:color="auto"/>
              <w:bottom w:val="none" w:sz="0" w:space="0" w:color="auto"/>
            </w:tcBorders>
            <w:shd w:val="clear" w:color="auto" w:fill="BFBFBF" w:themeFill="background1" w:themeFillShade="BF"/>
          </w:tcPr>
          <w:p w14:paraId="730CBD0F" w14:textId="77777777" w:rsidR="00111BD2" w:rsidRPr="00BE1BD9" w:rsidRDefault="00111BD2" w:rsidP="0022057B">
            <w:pPr>
              <w:jc w:val="center"/>
              <w:cnfStyle w:val="100000000000" w:firstRow="1" w:lastRow="0" w:firstColumn="0" w:lastColumn="0" w:oddVBand="0" w:evenVBand="0" w:oddHBand="0" w:evenHBand="0" w:firstRowFirstColumn="0" w:firstRowLastColumn="0" w:lastRowFirstColumn="0" w:lastRowLastColumn="0"/>
              <w:rPr>
                <w:color w:val="auto"/>
                <w:sz w:val="16"/>
                <w:szCs w:val="16"/>
                <w:lang w:val="en-GB"/>
              </w:rPr>
            </w:pPr>
            <w:r w:rsidRPr="00BE1BD9">
              <w:rPr>
                <w:color w:val="auto"/>
                <w:sz w:val="16"/>
                <w:szCs w:val="16"/>
                <w:lang w:val="en-GB"/>
              </w:rPr>
              <w:t>Game meat</w:t>
            </w:r>
          </w:p>
        </w:tc>
        <w:tc>
          <w:tcPr>
            <w:tcW w:w="1489" w:type="dxa"/>
            <w:gridSpan w:val="2"/>
            <w:tcBorders>
              <w:top w:val="none" w:sz="0" w:space="0" w:color="auto"/>
              <w:bottom w:val="none" w:sz="0" w:space="0" w:color="auto"/>
            </w:tcBorders>
            <w:shd w:val="clear" w:color="auto" w:fill="BFBFBF" w:themeFill="background1" w:themeFillShade="BF"/>
          </w:tcPr>
          <w:p w14:paraId="4ABDE92D" w14:textId="77777777" w:rsidR="00111BD2" w:rsidRPr="00BE1BD9" w:rsidRDefault="00111BD2" w:rsidP="0022057B">
            <w:pPr>
              <w:jc w:val="center"/>
              <w:cnfStyle w:val="100000000000" w:firstRow="1" w:lastRow="0" w:firstColumn="0" w:lastColumn="0" w:oddVBand="0" w:evenVBand="0" w:oddHBand="0" w:evenHBand="0" w:firstRowFirstColumn="0" w:firstRowLastColumn="0" w:lastRowFirstColumn="0" w:lastRowLastColumn="0"/>
              <w:rPr>
                <w:color w:val="auto"/>
                <w:sz w:val="16"/>
                <w:szCs w:val="16"/>
                <w:lang w:val="en-GB"/>
              </w:rPr>
            </w:pPr>
            <w:r w:rsidRPr="00BE1BD9">
              <w:rPr>
                <w:color w:val="auto"/>
                <w:sz w:val="16"/>
                <w:szCs w:val="16"/>
                <w:lang w:val="en-GB"/>
              </w:rPr>
              <w:t>Living Animals</w:t>
            </w:r>
          </w:p>
        </w:tc>
        <w:tc>
          <w:tcPr>
            <w:tcW w:w="1634" w:type="dxa"/>
            <w:gridSpan w:val="2"/>
            <w:tcBorders>
              <w:top w:val="none" w:sz="0" w:space="0" w:color="auto"/>
              <w:bottom w:val="none" w:sz="0" w:space="0" w:color="auto"/>
            </w:tcBorders>
            <w:shd w:val="clear" w:color="auto" w:fill="BFBFBF" w:themeFill="background1" w:themeFillShade="BF"/>
          </w:tcPr>
          <w:p w14:paraId="72A73F95" w14:textId="77777777" w:rsidR="00111BD2" w:rsidRPr="00BE1BD9" w:rsidRDefault="00111BD2" w:rsidP="0022057B">
            <w:pPr>
              <w:jc w:val="center"/>
              <w:cnfStyle w:val="100000000000" w:firstRow="1" w:lastRow="0" w:firstColumn="0" w:lastColumn="0" w:oddVBand="0" w:evenVBand="0" w:oddHBand="0" w:evenHBand="0" w:firstRowFirstColumn="0" w:firstRowLastColumn="0" w:lastRowFirstColumn="0" w:lastRowLastColumn="0"/>
              <w:rPr>
                <w:color w:val="auto"/>
                <w:sz w:val="16"/>
                <w:szCs w:val="16"/>
                <w:lang w:val="en-GB"/>
              </w:rPr>
            </w:pPr>
            <w:r w:rsidRPr="00BE1BD9">
              <w:rPr>
                <w:color w:val="auto"/>
                <w:sz w:val="16"/>
                <w:szCs w:val="16"/>
                <w:lang w:val="en-GB"/>
              </w:rPr>
              <w:t>Pelts, Hide skins and trophies</w:t>
            </w:r>
          </w:p>
        </w:tc>
        <w:tc>
          <w:tcPr>
            <w:tcW w:w="1568" w:type="dxa"/>
            <w:gridSpan w:val="2"/>
            <w:tcBorders>
              <w:top w:val="none" w:sz="0" w:space="0" w:color="auto"/>
              <w:bottom w:val="none" w:sz="0" w:space="0" w:color="auto"/>
            </w:tcBorders>
            <w:shd w:val="clear" w:color="auto" w:fill="BFBFBF" w:themeFill="background1" w:themeFillShade="BF"/>
          </w:tcPr>
          <w:p w14:paraId="153F27F9" w14:textId="77777777" w:rsidR="00111BD2" w:rsidRPr="00BE1BD9" w:rsidRDefault="00111BD2" w:rsidP="0022057B">
            <w:pPr>
              <w:jc w:val="center"/>
              <w:cnfStyle w:val="100000000000" w:firstRow="1" w:lastRow="0" w:firstColumn="0" w:lastColumn="0" w:oddVBand="0" w:evenVBand="0" w:oddHBand="0" w:evenHBand="0" w:firstRowFirstColumn="0" w:firstRowLastColumn="0" w:lastRowFirstColumn="0" w:lastRowLastColumn="0"/>
              <w:rPr>
                <w:color w:val="auto"/>
                <w:sz w:val="16"/>
                <w:szCs w:val="16"/>
              </w:rPr>
            </w:pPr>
            <w:r w:rsidRPr="00BE1BD9">
              <w:rPr>
                <w:color w:val="auto"/>
                <w:sz w:val="16"/>
                <w:szCs w:val="16"/>
              </w:rPr>
              <w:t>Wild Honey and bee wax</w:t>
            </w:r>
          </w:p>
        </w:tc>
        <w:tc>
          <w:tcPr>
            <w:tcW w:w="1586" w:type="dxa"/>
            <w:gridSpan w:val="2"/>
            <w:tcBorders>
              <w:top w:val="none" w:sz="0" w:space="0" w:color="auto"/>
              <w:bottom w:val="none" w:sz="0" w:space="0" w:color="auto"/>
            </w:tcBorders>
            <w:shd w:val="clear" w:color="auto" w:fill="BFBFBF" w:themeFill="background1" w:themeFillShade="BF"/>
          </w:tcPr>
          <w:p w14:paraId="32ED4437" w14:textId="77777777" w:rsidR="00111BD2" w:rsidRPr="00BE1BD9" w:rsidRDefault="00111BD2" w:rsidP="0022057B">
            <w:pPr>
              <w:jc w:val="center"/>
              <w:cnfStyle w:val="100000000000" w:firstRow="1" w:lastRow="0" w:firstColumn="0" w:lastColumn="0" w:oddVBand="0" w:evenVBand="0" w:oddHBand="0" w:evenHBand="0" w:firstRowFirstColumn="0" w:firstRowLastColumn="0" w:lastRowFirstColumn="0" w:lastRowLastColumn="0"/>
              <w:rPr>
                <w:color w:val="auto"/>
                <w:sz w:val="16"/>
                <w:szCs w:val="16"/>
                <w:lang w:val="en-GB"/>
              </w:rPr>
            </w:pPr>
            <w:r w:rsidRPr="00BE1BD9">
              <w:rPr>
                <w:color w:val="auto"/>
                <w:sz w:val="16"/>
                <w:szCs w:val="16"/>
                <w:lang w:val="en-GB"/>
              </w:rPr>
              <w:t>Raw material for medicines, colorants</w:t>
            </w:r>
          </w:p>
        </w:tc>
        <w:tc>
          <w:tcPr>
            <w:tcW w:w="901" w:type="dxa"/>
            <w:tcBorders>
              <w:top w:val="none" w:sz="0" w:space="0" w:color="auto"/>
              <w:bottom w:val="none" w:sz="0" w:space="0" w:color="auto"/>
              <w:right w:val="none" w:sz="0" w:space="0" w:color="auto"/>
            </w:tcBorders>
            <w:shd w:val="clear" w:color="auto" w:fill="BFBFBF" w:themeFill="background1" w:themeFillShade="BF"/>
          </w:tcPr>
          <w:p w14:paraId="535EB3C4" w14:textId="77777777" w:rsidR="00111BD2" w:rsidRPr="00BE1BD9" w:rsidRDefault="00111BD2" w:rsidP="0022057B">
            <w:pPr>
              <w:jc w:val="center"/>
              <w:cnfStyle w:val="100000000000" w:firstRow="1" w:lastRow="0" w:firstColumn="0" w:lastColumn="0" w:oddVBand="0" w:evenVBand="0" w:oddHBand="0" w:evenHBand="0" w:firstRowFirstColumn="0" w:firstRowLastColumn="0" w:lastRowFirstColumn="0" w:lastRowLastColumn="0"/>
              <w:rPr>
                <w:color w:val="auto"/>
                <w:sz w:val="16"/>
                <w:szCs w:val="16"/>
              </w:rPr>
            </w:pPr>
            <w:r w:rsidRPr="00BE1BD9">
              <w:rPr>
                <w:color w:val="auto"/>
                <w:sz w:val="16"/>
                <w:szCs w:val="16"/>
              </w:rPr>
              <w:t>Other animal products</w:t>
            </w:r>
          </w:p>
        </w:tc>
      </w:tr>
      <w:tr w:rsidR="00111BD2" w14:paraId="14462852"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 w:type="dxa"/>
            <w:vMerge/>
            <w:shd w:val="clear" w:color="auto" w:fill="BFBFBF" w:themeFill="background1" w:themeFillShade="BF"/>
          </w:tcPr>
          <w:p w14:paraId="2D1FD7DB" w14:textId="77777777" w:rsidR="00111BD2" w:rsidRPr="00BE1BD9" w:rsidRDefault="00111BD2" w:rsidP="0022057B">
            <w:pPr>
              <w:jc w:val="center"/>
              <w:rPr>
                <w:b w:val="0"/>
                <w:sz w:val="16"/>
                <w:szCs w:val="16"/>
                <w:lang w:val="en-GB"/>
              </w:rPr>
            </w:pPr>
          </w:p>
        </w:tc>
        <w:tc>
          <w:tcPr>
            <w:tcW w:w="741" w:type="dxa"/>
            <w:shd w:val="clear" w:color="auto" w:fill="BFBFBF" w:themeFill="background1" w:themeFillShade="BF"/>
          </w:tcPr>
          <w:p w14:paraId="39A8B59D"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Quan.</w:t>
            </w:r>
          </w:p>
          <w:p w14:paraId="184C25B3"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tonnes</w:t>
            </w:r>
          </w:p>
        </w:tc>
        <w:tc>
          <w:tcPr>
            <w:tcW w:w="795" w:type="dxa"/>
            <w:shd w:val="clear" w:color="auto" w:fill="BFBFBF" w:themeFill="background1" w:themeFillShade="BF"/>
          </w:tcPr>
          <w:p w14:paraId="3C4EF974"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Value</w:t>
            </w:r>
          </w:p>
          <w:p w14:paraId="3CC49E2C"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1,000€</w:t>
            </w:r>
          </w:p>
        </w:tc>
        <w:tc>
          <w:tcPr>
            <w:tcW w:w="783" w:type="dxa"/>
            <w:shd w:val="clear" w:color="auto" w:fill="BFBFBF" w:themeFill="background1" w:themeFillShade="BF"/>
          </w:tcPr>
          <w:p w14:paraId="5DF4DF51"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Quan.</w:t>
            </w:r>
          </w:p>
          <w:p w14:paraId="1627FE65"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tonnes</w:t>
            </w:r>
          </w:p>
        </w:tc>
        <w:tc>
          <w:tcPr>
            <w:tcW w:w="706" w:type="dxa"/>
            <w:shd w:val="clear" w:color="auto" w:fill="BFBFBF" w:themeFill="background1" w:themeFillShade="BF"/>
          </w:tcPr>
          <w:p w14:paraId="1757259C"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Value</w:t>
            </w:r>
          </w:p>
          <w:p w14:paraId="054A9F00"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1,000€</w:t>
            </w:r>
          </w:p>
        </w:tc>
        <w:tc>
          <w:tcPr>
            <w:tcW w:w="928" w:type="dxa"/>
            <w:shd w:val="clear" w:color="auto" w:fill="BFBFBF" w:themeFill="background1" w:themeFillShade="BF"/>
          </w:tcPr>
          <w:p w14:paraId="1AC287DD"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Quan.</w:t>
            </w:r>
          </w:p>
          <w:p w14:paraId="33E2D9FD"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tonnes</w:t>
            </w:r>
          </w:p>
        </w:tc>
        <w:tc>
          <w:tcPr>
            <w:tcW w:w="706" w:type="dxa"/>
            <w:shd w:val="clear" w:color="auto" w:fill="BFBFBF" w:themeFill="background1" w:themeFillShade="BF"/>
          </w:tcPr>
          <w:p w14:paraId="20D19B4D"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Value</w:t>
            </w:r>
          </w:p>
          <w:p w14:paraId="243F8B07"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1,000€</w:t>
            </w:r>
          </w:p>
        </w:tc>
        <w:tc>
          <w:tcPr>
            <w:tcW w:w="773" w:type="dxa"/>
            <w:shd w:val="clear" w:color="auto" w:fill="BFBFBF" w:themeFill="background1" w:themeFillShade="BF"/>
          </w:tcPr>
          <w:p w14:paraId="34C54BE8"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Quan.</w:t>
            </w:r>
          </w:p>
          <w:p w14:paraId="0FFDDE3F"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tonnes</w:t>
            </w:r>
          </w:p>
        </w:tc>
        <w:tc>
          <w:tcPr>
            <w:tcW w:w="795" w:type="dxa"/>
            <w:shd w:val="clear" w:color="auto" w:fill="BFBFBF" w:themeFill="background1" w:themeFillShade="BF"/>
          </w:tcPr>
          <w:p w14:paraId="1943DDFF"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Value</w:t>
            </w:r>
          </w:p>
          <w:p w14:paraId="5BA84192"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1,000€</w:t>
            </w:r>
          </w:p>
        </w:tc>
        <w:tc>
          <w:tcPr>
            <w:tcW w:w="880" w:type="dxa"/>
            <w:shd w:val="clear" w:color="auto" w:fill="BFBFBF" w:themeFill="background1" w:themeFillShade="BF"/>
          </w:tcPr>
          <w:p w14:paraId="60E8783F"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Quan.</w:t>
            </w:r>
          </w:p>
          <w:p w14:paraId="5159EC8A"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tonnes</w:t>
            </w:r>
          </w:p>
        </w:tc>
        <w:tc>
          <w:tcPr>
            <w:tcW w:w="706" w:type="dxa"/>
            <w:shd w:val="clear" w:color="auto" w:fill="BFBFBF" w:themeFill="background1" w:themeFillShade="BF"/>
          </w:tcPr>
          <w:p w14:paraId="01D45A4E"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Value</w:t>
            </w:r>
          </w:p>
          <w:p w14:paraId="4A991297"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1,000€</w:t>
            </w:r>
          </w:p>
        </w:tc>
        <w:tc>
          <w:tcPr>
            <w:tcW w:w="901" w:type="dxa"/>
            <w:shd w:val="clear" w:color="auto" w:fill="BFBFBF" w:themeFill="background1" w:themeFillShade="BF"/>
          </w:tcPr>
          <w:p w14:paraId="6D6B03CC"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Quan.</w:t>
            </w:r>
          </w:p>
          <w:p w14:paraId="3D7D8AE4" w14:textId="77777777" w:rsidR="00111BD2" w:rsidRPr="00BE1BD9" w:rsidRDefault="00111BD2" w:rsidP="0022057B">
            <w:pPr>
              <w:jc w:val="center"/>
              <w:cnfStyle w:val="000000100000" w:firstRow="0" w:lastRow="0" w:firstColumn="0" w:lastColumn="0" w:oddVBand="0" w:evenVBand="0" w:oddHBand="1" w:evenHBand="0" w:firstRowFirstColumn="0" w:firstRowLastColumn="0" w:lastRowFirstColumn="0" w:lastRowLastColumn="0"/>
              <w:rPr>
                <w:b/>
                <w:sz w:val="16"/>
                <w:szCs w:val="16"/>
                <w:lang w:val="en-GB"/>
              </w:rPr>
            </w:pPr>
            <w:r w:rsidRPr="00BE1BD9">
              <w:rPr>
                <w:b/>
                <w:sz w:val="16"/>
                <w:szCs w:val="16"/>
                <w:lang w:val="en-GB"/>
              </w:rPr>
              <w:t>tonnes</w:t>
            </w:r>
          </w:p>
        </w:tc>
      </w:tr>
      <w:tr w:rsidR="00111BD2" w14:paraId="1978C4C6" w14:textId="77777777" w:rsidTr="0022057B">
        <w:tc>
          <w:tcPr>
            <w:cnfStyle w:val="001000000000" w:firstRow="0" w:lastRow="0" w:firstColumn="1" w:lastColumn="0" w:oddVBand="0" w:evenVBand="0" w:oddHBand="0" w:evenHBand="0" w:firstRowFirstColumn="0" w:firstRowLastColumn="0" w:lastRowFirstColumn="0" w:lastRowLastColumn="0"/>
            <w:tcW w:w="821" w:type="dxa"/>
            <w:shd w:val="clear" w:color="auto" w:fill="FFFFFF" w:themeFill="background1"/>
          </w:tcPr>
          <w:p w14:paraId="62857CF2" w14:textId="77777777" w:rsidR="00111BD2" w:rsidRPr="00AE0E46" w:rsidRDefault="00111BD2" w:rsidP="0022057B">
            <w:pPr>
              <w:rPr>
                <w:sz w:val="16"/>
                <w:szCs w:val="16"/>
                <w:lang w:val="en-GB"/>
              </w:rPr>
            </w:pPr>
            <w:r w:rsidRPr="00AE0E46">
              <w:rPr>
                <w:sz w:val="16"/>
                <w:szCs w:val="16"/>
                <w:lang w:val="en-GB"/>
              </w:rPr>
              <w:t>North Europe</w:t>
            </w:r>
          </w:p>
        </w:tc>
        <w:tc>
          <w:tcPr>
            <w:tcW w:w="741" w:type="dxa"/>
            <w:shd w:val="clear" w:color="auto" w:fill="FFFFFF" w:themeFill="background1"/>
          </w:tcPr>
          <w:p w14:paraId="361741BB"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3,117</w:t>
            </w:r>
          </w:p>
        </w:tc>
        <w:tc>
          <w:tcPr>
            <w:tcW w:w="795" w:type="dxa"/>
            <w:shd w:val="clear" w:color="auto" w:fill="FFFFFF" w:themeFill="background1"/>
          </w:tcPr>
          <w:p w14:paraId="35417967"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7,147</w:t>
            </w:r>
          </w:p>
        </w:tc>
        <w:tc>
          <w:tcPr>
            <w:tcW w:w="783" w:type="dxa"/>
            <w:shd w:val="clear" w:color="auto" w:fill="FFFFFF" w:themeFill="background1"/>
          </w:tcPr>
          <w:p w14:paraId="2BDB2F6C"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w:t>
            </w:r>
          </w:p>
        </w:tc>
        <w:tc>
          <w:tcPr>
            <w:tcW w:w="706" w:type="dxa"/>
            <w:shd w:val="clear" w:color="auto" w:fill="FFFFFF" w:themeFill="background1"/>
          </w:tcPr>
          <w:p w14:paraId="12B71542"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w:t>
            </w:r>
          </w:p>
        </w:tc>
        <w:tc>
          <w:tcPr>
            <w:tcW w:w="928" w:type="dxa"/>
            <w:shd w:val="clear" w:color="auto" w:fill="FFFFFF" w:themeFill="background1"/>
          </w:tcPr>
          <w:p w14:paraId="14B74259"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59</w:t>
            </w:r>
          </w:p>
        </w:tc>
        <w:tc>
          <w:tcPr>
            <w:tcW w:w="706" w:type="dxa"/>
            <w:shd w:val="clear" w:color="auto" w:fill="FFFFFF" w:themeFill="background1"/>
          </w:tcPr>
          <w:p w14:paraId="5578FABE"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529</w:t>
            </w:r>
          </w:p>
        </w:tc>
        <w:tc>
          <w:tcPr>
            <w:tcW w:w="773" w:type="dxa"/>
            <w:shd w:val="clear" w:color="auto" w:fill="FFFFFF" w:themeFill="background1"/>
          </w:tcPr>
          <w:p w14:paraId="1D381D86"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141</w:t>
            </w:r>
          </w:p>
        </w:tc>
        <w:tc>
          <w:tcPr>
            <w:tcW w:w="795" w:type="dxa"/>
            <w:shd w:val="clear" w:color="auto" w:fill="FFFFFF" w:themeFill="background1"/>
          </w:tcPr>
          <w:p w14:paraId="0CD150A2"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780</w:t>
            </w:r>
          </w:p>
        </w:tc>
        <w:tc>
          <w:tcPr>
            <w:tcW w:w="880" w:type="dxa"/>
            <w:shd w:val="clear" w:color="auto" w:fill="FFFFFF" w:themeFill="background1"/>
          </w:tcPr>
          <w:p w14:paraId="550F1E1B"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20</w:t>
            </w:r>
          </w:p>
        </w:tc>
        <w:tc>
          <w:tcPr>
            <w:tcW w:w="706" w:type="dxa"/>
            <w:shd w:val="clear" w:color="auto" w:fill="FFFFFF" w:themeFill="background1"/>
          </w:tcPr>
          <w:p w14:paraId="4002E80C"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147</w:t>
            </w:r>
          </w:p>
        </w:tc>
        <w:tc>
          <w:tcPr>
            <w:tcW w:w="901" w:type="dxa"/>
            <w:shd w:val="clear" w:color="auto" w:fill="FFFFFF" w:themeFill="background1"/>
          </w:tcPr>
          <w:p w14:paraId="4A8CDFF6"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w:t>
            </w:r>
          </w:p>
        </w:tc>
      </w:tr>
      <w:tr w:rsidR="00111BD2" w14:paraId="710074E8"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 w:type="dxa"/>
            <w:shd w:val="clear" w:color="auto" w:fill="FFFFFF" w:themeFill="background1"/>
          </w:tcPr>
          <w:p w14:paraId="4921A2B1" w14:textId="77777777" w:rsidR="00111BD2" w:rsidRPr="00AE0E46" w:rsidRDefault="00111BD2" w:rsidP="0022057B">
            <w:pPr>
              <w:rPr>
                <w:sz w:val="16"/>
                <w:szCs w:val="16"/>
                <w:lang w:val="en-GB"/>
              </w:rPr>
            </w:pPr>
            <w:r w:rsidRPr="00AE0E46">
              <w:rPr>
                <w:sz w:val="16"/>
                <w:szCs w:val="16"/>
                <w:lang w:val="en-GB"/>
              </w:rPr>
              <w:t>Central-West Europe</w:t>
            </w:r>
          </w:p>
        </w:tc>
        <w:tc>
          <w:tcPr>
            <w:tcW w:w="741" w:type="dxa"/>
            <w:shd w:val="clear" w:color="auto" w:fill="FFFFFF" w:themeFill="background1"/>
          </w:tcPr>
          <w:p w14:paraId="2A6B3412" w14:textId="77777777" w:rsidR="00111BD2" w:rsidRPr="00AE0E46" w:rsidRDefault="00111BD2" w:rsidP="0022057B">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9,227</w:t>
            </w:r>
          </w:p>
        </w:tc>
        <w:tc>
          <w:tcPr>
            <w:tcW w:w="795" w:type="dxa"/>
            <w:shd w:val="clear" w:color="auto" w:fill="FFFFFF" w:themeFill="background1"/>
          </w:tcPr>
          <w:p w14:paraId="6DB97339"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217,113</w:t>
            </w:r>
          </w:p>
        </w:tc>
        <w:tc>
          <w:tcPr>
            <w:tcW w:w="783" w:type="dxa"/>
            <w:shd w:val="clear" w:color="auto" w:fill="FFFFFF" w:themeFill="background1"/>
          </w:tcPr>
          <w:p w14:paraId="7E8645FE"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706" w:type="dxa"/>
            <w:shd w:val="clear" w:color="auto" w:fill="FFFFFF" w:themeFill="background1"/>
          </w:tcPr>
          <w:p w14:paraId="00381DE2"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928" w:type="dxa"/>
            <w:shd w:val="clear" w:color="auto" w:fill="FFFFFF" w:themeFill="background1"/>
          </w:tcPr>
          <w:p w14:paraId="03DF1D47"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287</w:t>
            </w:r>
          </w:p>
        </w:tc>
        <w:tc>
          <w:tcPr>
            <w:tcW w:w="706" w:type="dxa"/>
            <w:shd w:val="clear" w:color="auto" w:fill="FFFFFF" w:themeFill="background1"/>
          </w:tcPr>
          <w:p w14:paraId="2172ECC9"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6,738</w:t>
            </w:r>
          </w:p>
        </w:tc>
        <w:tc>
          <w:tcPr>
            <w:tcW w:w="773" w:type="dxa"/>
            <w:shd w:val="clear" w:color="auto" w:fill="FFFFFF" w:themeFill="background1"/>
          </w:tcPr>
          <w:p w14:paraId="50F2A183"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15,750</w:t>
            </w:r>
          </w:p>
        </w:tc>
        <w:tc>
          <w:tcPr>
            <w:tcW w:w="795" w:type="dxa"/>
            <w:shd w:val="clear" w:color="auto" w:fill="FFFFFF" w:themeFill="background1"/>
          </w:tcPr>
          <w:p w14:paraId="072B04FC"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111,861</w:t>
            </w:r>
          </w:p>
        </w:tc>
        <w:tc>
          <w:tcPr>
            <w:tcW w:w="880" w:type="dxa"/>
            <w:shd w:val="clear" w:color="auto" w:fill="FFFFFF" w:themeFill="background1"/>
          </w:tcPr>
          <w:p w14:paraId="186AE003"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706" w:type="dxa"/>
            <w:shd w:val="clear" w:color="auto" w:fill="FFFFFF" w:themeFill="background1"/>
          </w:tcPr>
          <w:p w14:paraId="572089DD"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901" w:type="dxa"/>
            <w:shd w:val="clear" w:color="auto" w:fill="FFFFFF" w:themeFill="background1"/>
          </w:tcPr>
          <w:p w14:paraId="1655B4A9"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1,340</w:t>
            </w:r>
          </w:p>
        </w:tc>
      </w:tr>
      <w:tr w:rsidR="00111BD2" w14:paraId="7823E941" w14:textId="77777777" w:rsidTr="0022057B">
        <w:tc>
          <w:tcPr>
            <w:cnfStyle w:val="001000000000" w:firstRow="0" w:lastRow="0" w:firstColumn="1" w:lastColumn="0" w:oddVBand="0" w:evenVBand="0" w:oddHBand="0" w:evenHBand="0" w:firstRowFirstColumn="0" w:firstRowLastColumn="0" w:lastRowFirstColumn="0" w:lastRowLastColumn="0"/>
            <w:tcW w:w="821" w:type="dxa"/>
            <w:shd w:val="clear" w:color="auto" w:fill="FFFFFF" w:themeFill="background1"/>
          </w:tcPr>
          <w:p w14:paraId="3991ED5B" w14:textId="77777777" w:rsidR="00111BD2" w:rsidRPr="00AE0E46" w:rsidRDefault="00111BD2" w:rsidP="0022057B">
            <w:pPr>
              <w:rPr>
                <w:sz w:val="16"/>
                <w:szCs w:val="16"/>
                <w:lang w:val="en-GB"/>
              </w:rPr>
            </w:pPr>
            <w:r w:rsidRPr="00AE0E46">
              <w:rPr>
                <w:sz w:val="16"/>
                <w:szCs w:val="16"/>
                <w:lang w:val="en-GB"/>
              </w:rPr>
              <w:t>Central-East Europe</w:t>
            </w:r>
          </w:p>
        </w:tc>
        <w:tc>
          <w:tcPr>
            <w:tcW w:w="741" w:type="dxa"/>
            <w:shd w:val="clear" w:color="auto" w:fill="FFFFFF" w:themeFill="background1"/>
          </w:tcPr>
          <w:p w14:paraId="2E4B8650"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10,084</w:t>
            </w:r>
          </w:p>
        </w:tc>
        <w:tc>
          <w:tcPr>
            <w:tcW w:w="795" w:type="dxa"/>
            <w:shd w:val="clear" w:color="auto" w:fill="FFFFFF" w:themeFill="background1"/>
          </w:tcPr>
          <w:p w14:paraId="226C8521"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17,959</w:t>
            </w:r>
          </w:p>
        </w:tc>
        <w:tc>
          <w:tcPr>
            <w:tcW w:w="783" w:type="dxa"/>
            <w:shd w:val="clear" w:color="auto" w:fill="FFFFFF" w:themeFill="background1"/>
          </w:tcPr>
          <w:p w14:paraId="383C0334"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w:t>
            </w:r>
          </w:p>
        </w:tc>
        <w:tc>
          <w:tcPr>
            <w:tcW w:w="706" w:type="dxa"/>
            <w:shd w:val="clear" w:color="auto" w:fill="FFFFFF" w:themeFill="background1"/>
          </w:tcPr>
          <w:p w14:paraId="7153AEEA"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528</w:t>
            </w:r>
          </w:p>
        </w:tc>
        <w:tc>
          <w:tcPr>
            <w:tcW w:w="928" w:type="dxa"/>
            <w:shd w:val="clear" w:color="auto" w:fill="FFFFFF" w:themeFill="background1"/>
          </w:tcPr>
          <w:p w14:paraId="326A3CB9"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w:t>
            </w:r>
          </w:p>
        </w:tc>
        <w:tc>
          <w:tcPr>
            <w:tcW w:w="706" w:type="dxa"/>
            <w:shd w:val="clear" w:color="auto" w:fill="FFFFFF" w:themeFill="background1"/>
          </w:tcPr>
          <w:p w14:paraId="30A84679"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4,445</w:t>
            </w:r>
          </w:p>
        </w:tc>
        <w:tc>
          <w:tcPr>
            <w:tcW w:w="773" w:type="dxa"/>
            <w:shd w:val="clear" w:color="auto" w:fill="FFFFFF" w:themeFill="background1"/>
          </w:tcPr>
          <w:p w14:paraId="42A44B73"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95" w:type="dxa"/>
            <w:shd w:val="clear" w:color="auto" w:fill="FFFFFF" w:themeFill="background1"/>
          </w:tcPr>
          <w:p w14:paraId="33EF5D29"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880" w:type="dxa"/>
            <w:shd w:val="clear" w:color="auto" w:fill="FFFFFF" w:themeFill="background1"/>
          </w:tcPr>
          <w:p w14:paraId="00D5B455"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6" w:type="dxa"/>
            <w:shd w:val="clear" w:color="auto" w:fill="FFFFFF" w:themeFill="background1"/>
          </w:tcPr>
          <w:p w14:paraId="2173CA77"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01" w:type="dxa"/>
            <w:shd w:val="clear" w:color="auto" w:fill="FFFFFF" w:themeFill="background1"/>
          </w:tcPr>
          <w:p w14:paraId="722B09CD"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r>
      <w:tr w:rsidR="00111BD2" w14:paraId="5B0697CA"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 w:type="dxa"/>
            <w:shd w:val="clear" w:color="auto" w:fill="FFFFFF" w:themeFill="background1"/>
          </w:tcPr>
          <w:p w14:paraId="14B85AE0" w14:textId="77777777" w:rsidR="00111BD2" w:rsidRPr="00AE0E46" w:rsidRDefault="00111BD2" w:rsidP="0022057B">
            <w:pPr>
              <w:rPr>
                <w:sz w:val="16"/>
                <w:szCs w:val="16"/>
                <w:lang w:val="en-GB"/>
              </w:rPr>
            </w:pPr>
            <w:r w:rsidRPr="00AE0E46">
              <w:rPr>
                <w:sz w:val="16"/>
                <w:szCs w:val="16"/>
                <w:lang w:val="en-GB"/>
              </w:rPr>
              <w:t>South-West Europe</w:t>
            </w:r>
          </w:p>
        </w:tc>
        <w:tc>
          <w:tcPr>
            <w:tcW w:w="741" w:type="dxa"/>
            <w:shd w:val="clear" w:color="auto" w:fill="FFFFFF" w:themeFill="background1"/>
          </w:tcPr>
          <w:p w14:paraId="7F830B61" w14:textId="77777777" w:rsidR="00111BD2" w:rsidRPr="00AE0E46" w:rsidRDefault="00111BD2" w:rsidP="0022057B">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w:t>
            </w:r>
          </w:p>
        </w:tc>
        <w:tc>
          <w:tcPr>
            <w:tcW w:w="795" w:type="dxa"/>
            <w:shd w:val="clear" w:color="auto" w:fill="FFFFFF" w:themeFill="background1"/>
          </w:tcPr>
          <w:p w14:paraId="6158776E"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73,228</w:t>
            </w:r>
          </w:p>
        </w:tc>
        <w:tc>
          <w:tcPr>
            <w:tcW w:w="783" w:type="dxa"/>
            <w:shd w:val="clear" w:color="auto" w:fill="FFFFFF" w:themeFill="background1"/>
          </w:tcPr>
          <w:p w14:paraId="19EAA615"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706" w:type="dxa"/>
            <w:shd w:val="clear" w:color="auto" w:fill="FFFFFF" w:themeFill="background1"/>
          </w:tcPr>
          <w:p w14:paraId="59F2356A"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928" w:type="dxa"/>
            <w:shd w:val="clear" w:color="auto" w:fill="FFFFFF" w:themeFill="background1"/>
          </w:tcPr>
          <w:p w14:paraId="3BF80FC8"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706" w:type="dxa"/>
            <w:shd w:val="clear" w:color="auto" w:fill="FFFFFF" w:themeFill="background1"/>
          </w:tcPr>
          <w:p w14:paraId="36823131"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773" w:type="dxa"/>
            <w:shd w:val="clear" w:color="auto" w:fill="FFFFFF" w:themeFill="background1"/>
          </w:tcPr>
          <w:p w14:paraId="3BA5EDDB"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36,199</w:t>
            </w:r>
          </w:p>
        </w:tc>
        <w:tc>
          <w:tcPr>
            <w:tcW w:w="795" w:type="dxa"/>
            <w:shd w:val="clear" w:color="auto" w:fill="FFFFFF" w:themeFill="background1"/>
          </w:tcPr>
          <w:p w14:paraId="67A2C838"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124,690</w:t>
            </w:r>
          </w:p>
        </w:tc>
        <w:tc>
          <w:tcPr>
            <w:tcW w:w="880" w:type="dxa"/>
            <w:shd w:val="clear" w:color="auto" w:fill="FFFFFF" w:themeFill="background1"/>
          </w:tcPr>
          <w:p w14:paraId="6AE7E821"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706" w:type="dxa"/>
            <w:shd w:val="clear" w:color="auto" w:fill="FFFFFF" w:themeFill="background1"/>
          </w:tcPr>
          <w:p w14:paraId="5DC12762"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901" w:type="dxa"/>
            <w:shd w:val="clear" w:color="auto" w:fill="FFFFFF" w:themeFill="background1"/>
          </w:tcPr>
          <w:p w14:paraId="5610BBEF"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r>
      <w:tr w:rsidR="00111BD2" w14:paraId="7C28E766" w14:textId="77777777" w:rsidTr="0022057B">
        <w:tc>
          <w:tcPr>
            <w:cnfStyle w:val="001000000000" w:firstRow="0" w:lastRow="0" w:firstColumn="1" w:lastColumn="0" w:oddVBand="0" w:evenVBand="0" w:oddHBand="0" w:evenHBand="0" w:firstRowFirstColumn="0" w:firstRowLastColumn="0" w:lastRowFirstColumn="0" w:lastRowLastColumn="0"/>
            <w:tcW w:w="821" w:type="dxa"/>
            <w:shd w:val="clear" w:color="auto" w:fill="FFFFFF" w:themeFill="background1"/>
          </w:tcPr>
          <w:p w14:paraId="26FA03AA" w14:textId="77777777" w:rsidR="00111BD2" w:rsidRPr="00AE0E46" w:rsidRDefault="00111BD2" w:rsidP="0022057B">
            <w:pPr>
              <w:rPr>
                <w:sz w:val="16"/>
                <w:szCs w:val="16"/>
                <w:lang w:val="en-GB"/>
              </w:rPr>
            </w:pPr>
            <w:r w:rsidRPr="00AE0E46">
              <w:rPr>
                <w:sz w:val="16"/>
                <w:szCs w:val="16"/>
                <w:lang w:val="en-GB"/>
              </w:rPr>
              <w:t>South-East Europe</w:t>
            </w:r>
          </w:p>
        </w:tc>
        <w:tc>
          <w:tcPr>
            <w:tcW w:w="741" w:type="dxa"/>
            <w:shd w:val="clear" w:color="auto" w:fill="FFFFFF" w:themeFill="background1"/>
          </w:tcPr>
          <w:p w14:paraId="606B5E15"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700</w:t>
            </w:r>
          </w:p>
        </w:tc>
        <w:tc>
          <w:tcPr>
            <w:tcW w:w="795" w:type="dxa"/>
            <w:shd w:val="clear" w:color="auto" w:fill="FFFFFF" w:themeFill="background1"/>
          </w:tcPr>
          <w:p w14:paraId="120536DB"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5,565</w:t>
            </w:r>
          </w:p>
        </w:tc>
        <w:tc>
          <w:tcPr>
            <w:tcW w:w="783" w:type="dxa"/>
            <w:shd w:val="clear" w:color="auto" w:fill="FFFFFF" w:themeFill="background1"/>
          </w:tcPr>
          <w:p w14:paraId="6D162042"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6" w:type="dxa"/>
            <w:shd w:val="clear" w:color="auto" w:fill="FFFFFF" w:themeFill="background1"/>
          </w:tcPr>
          <w:p w14:paraId="04E086BB"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28" w:type="dxa"/>
            <w:shd w:val="clear" w:color="auto" w:fill="FFFFFF" w:themeFill="background1"/>
          </w:tcPr>
          <w:p w14:paraId="349D6610"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w:t>
            </w:r>
          </w:p>
        </w:tc>
        <w:tc>
          <w:tcPr>
            <w:tcW w:w="706" w:type="dxa"/>
            <w:shd w:val="clear" w:color="auto" w:fill="FFFFFF" w:themeFill="background1"/>
          </w:tcPr>
          <w:p w14:paraId="15613B26"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6,537</w:t>
            </w:r>
          </w:p>
        </w:tc>
        <w:tc>
          <w:tcPr>
            <w:tcW w:w="773" w:type="dxa"/>
            <w:shd w:val="clear" w:color="auto" w:fill="FFFFFF" w:themeFill="background1"/>
          </w:tcPr>
          <w:p w14:paraId="4E26D148"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554</w:t>
            </w:r>
          </w:p>
        </w:tc>
        <w:tc>
          <w:tcPr>
            <w:tcW w:w="795" w:type="dxa"/>
            <w:shd w:val="clear" w:color="auto" w:fill="FFFFFF" w:themeFill="background1"/>
          </w:tcPr>
          <w:p w14:paraId="4237A500"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39,623</w:t>
            </w:r>
          </w:p>
        </w:tc>
        <w:tc>
          <w:tcPr>
            <w:tcW w:w="880" w:type="dxa"/>
            <w:shd w:val="clear" w:color="auto" w:fill="FFFFFF" w:themeFill="background1"/>
          </w:tcPr>
          <w:p w14:paraId="6BC1D5C7"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6" w:type="dxa"/>
            <w:shd w:val="clear" w:color="auto" w:fill="FFFFFF" w:themeFill="background1"/>
          </w:tcPr>
          <w:p w14:paraId="063318E6"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01" w:type="dxa"/>
            <w:shd w:val="clear" w:color="auto" w:fill="FFFFFF" w:themeFill="background1"/>
          </w:tcPr>
          <w:p w14:paraId="714EEEB7"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r>
      <w:tr w:rsidR="00111BD2" w14:paraId="7B650669"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 w:type="dxa"/>
            <w:shd w:val="clear" w:color="auto" w:fill="FFCCA6" w:themeFill="accent5" w:themeFillTint="66"/>
          </w:tcPr>
          <w:p w14:paraId="48423D40" w14:textId="77777777" w:rsidR="00111BD2" w:rsidRPr="00AE0E46" w:rsidRDefault="00111BD2" w:rsidP="0022057B">
            <w:pPr>
              <w:rPr>
                <w:sz w:val="16"/>
                <w:szCs w:val="16"/>
                <w:lang w:val="en-GB"/>
              </w:rPr>
            </w:pPr>
            <w:r w:rsidRPr="00AE0E46">
              <w:rPr>
                <w:sz w:val="16"/>
                <w:szCs w:val="16"/>
                <w:lang w:val="en-GB"/>
              </w:rPr>
              <w:t>EU-28</w:t>
            </w:r>
          </w:p>
        </w:tc>
        <w:tc>
          <w:tcPr>
            <w:tcW w:w="741" w:type="dxa"/>
            <w:shd w:val="clear" w:color="auto" w:fill="FFCCA6" w:themeFill="accent5" w:themeFillTint="66"/>
          </w:tcPr>
          <w:p w14:paraId="30348A35" w14:textId="77777777" w:rsidR="00111BD2" w:rsidRPr="00AE0E46" w:rsidRDefault="00111BD2" w:rsidP="0022057B">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23,080</w:t>
            </w:r>
          </w:p>
        </w:tc>
        <w:tc>
          <w:tcPr>
            <w:tcW w:w="795" w:type="dxa"/>
            <w:shd w:val="clear" w:color="auto" w:fill="FFCCA6" w:themeFill="accent5" w:themeFillTint="66"/>
          </w:tcPr>
          <w:p w14:paraId="6AA6D171"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317,013</w:t>
            </w:r>
          </w:p>
        </w:tc>
        <w:tc>
          <w:tcPr>
            <w:tcW w:w="783" w:type="dxa"/>
            <w:shd w:val="clear" w:color="auto" w:fill="FFCCA6" w:themeFill="accent5" w:themeFillTint="66"/>
          </w:tcPr>
          <w:p w14:paraId="1CBDD31D"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7</w:t>
            </w:r>
          </w:p>
        </w:tc>
        <w:tc>
          <w:tcPr>
            <w:tcW w:w="706" w:type="dxa"/>
            <w:shd w:val="clear" w:color="auto" w:fill="FFCCA6" w:themeFill="accent5" w:themeFillTint="66"/>
          </w:tcPr>
          <w:p w14:paraId="3958CB10"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528</w:t>
            </w:r>
          </w:p>
        </w:tc>
        <w:tc>
          <w:tcPr>
            <w:tcW w:w="928" w:type="dxa"/>
            <w:shd w:val="clear" w:color="auto" w:fill="FFCCA6" w:themeFill="accent5" w:themeFillTint="66"/>
          </w:tcPr>
          <w:p w14:paraId="1E730240"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351</w:t>
            </w:r>
          </w:p>
        </w:tc>
        <w:tc>
          <w:tcPr>
            <w:tcW w:w="706" w:type="dxa"/>
            <w:shd w:val="clear" w:color="auto" w:fill="FFCCA6" w:themeFill="accent5" w:themeFillTint="66"/>
          </w:tcPr>
          <w:p w14:paraId="3D2A1822"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3,312</w:t>
            </w:r>
          </w:p>
        </w:tc>
        <w:tc>
          <w:tcPr>
            <w:tcW w:w="773" w:type="dxa"/>
            <w:shd w:val="clear" w:color="auto" w:fill="FFCCA6" w:themeFill="accent5" w:themeFillTint="66"/>
          </w:tcPr>
          <w:p w14:paraId="12ECA3C0"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52,090</w:t>
            </w:r>
          </w:p>
        </w:tc>
        <w:tc>
          <w:tcPr>
            <w:tcW w:w="795" w:type="dxa"/>
            <w:shd w:val="clear" w:color="auto" w:fill="FFCCA6" w:themeFill="accent5" w:themeFillTint="66"/>
          </w:tcPr>
          <w:p w14:paraId="1B52B699"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237,330</w:t>
            </w:r>
          </w:p>
        </w:tc>
        <w:tc>
          <w:tcPr>
            <w:tcW w:w="880" w:type="dxa"/>
            <w:shd w:val="clear" w:color="auto" w:fill="FFCCA6" w:themeFill="accent5" w:themeFillTint="66"/>
          </w:tcPr>
          <w:p w14:paraId="4F33C7C0"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20</w:t>
            </w:r>
          </w:p>
        </w:tc>
        <w:tc>
          <w:tcPr>
            <w:tcW w:w="706" w:type="dxa"/>
            <w:shd w:val="clear" w:color="auto" w:fill="FFCCA6" w:themeFill="accent5" w:themeFillTint="66"/>
          </w:tcPr>
          <w:p w14:paraId="1082E51F"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147</w:t>
            </w:r>
          </w:p>
        </w:tc>
        <w:tc>
          <w:tcPr>
            <w:tcW w:w="901" w:type="dxa"/>
            <w:shd w:val="clear" w:color="auto" w:fill="FFCCA6" w:themeFill="accent5" w:themeFillTint="66"/>
          </w:tcPr>
          <w:p w14:paraId="089C9DF9" w14:textId="77777777" w:rsidR="00111BD2" w:rsidRPr="00BE1BD9" w:rsidRDefault="00111BD2"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1,340</w:t>
            </w:r>
          </w:p>
        </w:tc>
      </w:tr>
      <w:tr w:rsidR="00111BD2" w14:paraId="43DFA6E8" w14:textId="77777777" w:rsidTr="0022057B">
        <w:tc>
          <w:tcPr>
            <w:cnfStyle w:val="001000000000" w:firstRow="0" w:lastRow="0" w:firstColumn="1" w:lastColumn="0" w:oddVBand="0" w:evenVBand="0" w:oddHBand="0" w:evenHBand="0" w:firstRowFirstColumn="0" w:firstRowLastColumn="0" w:lastRowFirstColumn="0" w:lastRowLastColumn="0"/>
            <w:tcW w:w="821" w:type="dxa"/>
            <w:shd w:val="clear" w:color="auto" w:fill="FFB279" w:themeFill="accent5" w:themeFillTint="99"/>
          </w:tcPr>
          <w:p w14:paraId="6DB3E9BF" w14:textId="77777777" w:rsidR="00111BD2" w:rsidRPr="00AE0E46" w:rsidRDefault="00111BD2" w:rsidP="0022057B">
            <w:pPr>
              <w:rPr>
                <w:sz w:val="16"/>
                <w:szCs w:val="16"/>
                <w:lang w:val="en-GB"/>
              </w:rPr>
            </w:pPr>
            <w:r w:rsidRPr="00AE0E46">
              <w:rPr>
                <w:sz w:val="16"/>
                <w:szCs w:val="16"/>
                <w:lang w:val="en-GB"/>
              </w:rPr>
              <w:t>Europe</w:t>
            </w:r>
          </w:p>
        </w:tc>
        <w:tc>
          <w:tcPr>
            <w:tcW w:w="741" w:type="dxa"/>
            <w:shd w:val="clear" w:color="auto" w:fill="FFB279" w:themeFill="accent5" w:themeFillTint="99"/>
          </w:tcPr>
          <w:p w14:paraId="2A1B2B1D"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23,127</w:t>
            </w:r>
          </w:p>
        </w:tc>
        <w:tc>
          <w:tcPr>
            <w:tcW w:w="795" w:type="dxa"/>
            <w:shd w:val="clear" w:color="auto" w:fill="FFB279" w:themeFill="accent5" w:themeFillTint="99"/>
          </w:tcPr>
          <w:p w14:paraId="6F51D292"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321,012</w:t>
            </w:r>
          </w:p>
        </w:tc>
        <w:tc>
          <w:tcPr>
            <w:tcW w:w="783" w:type="dxa"/>
            <w:shd w:val="clear" w:color="auto" w:fill="FFB279" w:themeFill="accent5" w:themeFillTint="99"/>
          </w:tcPr>
          <w:p w14:paraId="31081F7B"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w:t>
            </w:r>
          </w:p>
        </w:tc>
        <w:tc>
          <w:tcPr>
            <w:tcW w:w="706" w:type="dxa"/>
            <w:shd w:val="clear" w:color="auto" w:fill="FFB279" w:themeFill="accent5" w:themeFillTint="99"/>
          </w:tcPr>
          <w:p w14:paraId="1FAC6FA7" w14:textId="77777777" w:rsidR="00111BD2" w:rsidRPr="00AE0E46" w:rsidRDefault="00111BD2" w:rsidP="0022057B">
            <w:pPr>
              <w:cnfStyle w:val="000000000000" w:firstRow="0" w:lastRow="0" w:firstColumn="0" w:lastColumn="0" w:oddVBand="0" w:evenVBand="0" w:oddHBand="0" w:evenHBand="0" w:firstRowFirstColumn="0" w:firstRowLastColumn="0" w:lastRowFirstColumn="0" w:lastRowLastColumn="0"/>
              <w:rPr>
                <w:sz w:val="16"/>
                <w:szCs w:val="16"/>
                <w:lang w:val="el-GR"/>
              </w:rPr>
            </w:pPr>
            <w:r>
              <w:rPr>
                <w:sz w:val="16"/>
                <w:szCs w:val="16"/>
              </w:rPr>
              <w:t>528</w:t>
            </w:r>
          </w:p>
        </w:tc>
        <w:tc>
          <w:tcPr>
            <w:tcW w:w="928" w:type="dxa"/>
            <w:shd w:val="clear" w:color="auto" w:fill="FFB279" w:themeFill="accent5" w:themeFillTint="99"/>
          </w:tcPr>
          <w:p w14:paraId="35441576"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361</w:t>
            </w:r>
          </w:p>
        </w:tc>
        <w:tc>
          <w:tcPr>
            <w:tcW w:w="706" w:type="dxa"/>
            <w:shd w:val="clear" w:color="auto" w:fill="FFB279" w:themeFill="accent5" w:themeFillTint="99"/>
          </w:tcPr>
          <w:p w14:paraId="0FF827C3"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18,249</w:t>
            </w:r>
          </w:p>
        </w:tc>
        <w:tc>
          <w:tcPr>
            <w:tcW w:w="773" w:type="dxa"/>
            <w:shd w:val="clear" w:color="auto" w:fill="FFB279" w:themeFill="accent5" w:themeFillTint="99"/>
          </w:tcPr>
          <w:p w14:paraId="3E1A19CA"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52,664</w:t>
            </w:r>
          </w:p>
        </w:tc>
        <w:tc>
          <w:tcPr>
            <w:tcW w:w="795" w:type="dxa"/>
            <w:shd w:val="clear" w:color="auto" w:fill="FFB279" w:themeFill="accent5" w:themeFillTint="99"/>
          </w:tcPr>
          <w:p w14:paraId="0A5C2BD5"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276,953</w:t>
            </w:r>
          </w:p>
        </w:tc>
        <w:tc>
          <w:tcPr>
            <w:tcW w:w="880" w:type="dxa"/>
            <w:shd w:val="clear" w:color="auto" w:fill="FFB279" w:themeFill="accent5" w:themeFillTint="99"/>
          </w:tcPr>
          <w:p w14:paraId="0D0A4EDE"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w:t>
            </w:r>
          </w:p>
        </w:tc>
        <w:tc>
          <w:tcPr>
            <w:tcW w:w="706" w:type="dxa"/>
            <w:shd w:val="clear" w:color="auto" w:fill="FFB279" w:themeFill="accent5" w:themeFillTint="99"/>
          </w:tcPr>
          <w:p w14:paraId="5F804EDF"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147</w:t>
            </w:r>
          </w:p>
        </w:tc>
        <w:tc>
          <w:tcPr>
            <w:tcW w:w="901" w:type="dxa"/>
            <w:shd w:val="clear" w:color="auto" w:fill="FFB279" w:themeFill="accent5" w:themeFillTint="99"/>
          </w:tcPr>
          <w:p w14:paraId="585EB201" w14:textId="77777777" w:rsidR="00111BD2" w:rsidRPr="00BE1BD9" w:rsidRDefault="00111BD2"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1,340</w:t>
            </w:r>
          </w:p>
        </w:tc>
      </w:tr>
    </w:tbl>
    <w:p w14:paraId="3D401D81" w14:textId="4A326504" w:rsidR="002E11D8" w:rsidRPr="00E2138D" w:rsidRDefault="002E11D8" w:rsidP="00111BD2">
      <w:pPr>
        <w:pStyle w:val="Caption"/>
        <w:rPr>
          <w:rFonts w:cs="Arial"/>
        </w:rPr>
      </w:pPr>
      <w:bookmarkStart w:id="46" w:name="_Toc91752550"/>
      <w:r w:rsidRPr="00E2138D">
        <w:rPr>
          <w:rFonts w:cs="Arial"/>
        </w:rPr>
        <w:t xml:space="preserve">Table </w:t>
      </w:r>
      <w:r w:rsidRPr="00E2138D">
        <w:rPr>
          <w:rFonts w:cs="Arial"/>
        </w:rPr>
        <w:fldChar w:fldCharType="begin"/>
      </w:r>
      <w:r w:rsidRPr="00E2138D">
        <w:rPr>
          <w:rFonts w:cs="Arial"/>
        </w:rPr>
        <w:instrText xml:space="preserve"> SEQ Table \* ARABIC </w:instrText>
      </w:r>
      <w:r w:rsidRPr="00E2138D">
        <w:rPr>
          <w:rFonts w:cs="Arial"/>
        </w:rPr>
        <w:fldChar w:fldCharType="separate"/>
      </w:r>
      <w:r w:rsidR="0073710A">
        <w:rPr>
          <w:rFonts w:cs="Arial"/>
          <w:noProof/>
        </w:rPr>
        <w:t>11</w:t>
      </w:r>
      <w:r w:rsidRPr="00E2138D">
        <w:rPr>
          <w:rFonts w:cs="Arial"/>
        </w:rPr>
        <w:fldChar w:fldCharType="end"/>
      </w:r>
      <w:r w:rsidRPr="00E2138D">
        <w:rPr>
          <w:rFonts w:cs="Arial"/>
        </w:rPr>
        <w:t xml:space="preserve"> Average value of the marketed services per hectar</w:t>
      </w:r>
      <w:r w:rsidR="00E2138D">
        <w:rPr>
          <w:rFonts w:cs="Arial"/>
        </w:rPr>
        <w:t>e</w:t>
      </w:r>
      <w:r w:rsidRPr="00E2138D">
        <w:rPr>
          <w:rFonts w:cs="Arial"/>
        </w:rPr>
        <w:t xml:space="preserve"> for countries that reported positive values for the various service (Source:  Forest Europe, 2015)</w:t>
      </w:r>
      <w:bookmarkEnd w:id="46"/>
    </w:p>
    <w:tbl>
      <w:tblPr>
        <w:tblStyle w:val="ListTable4-Accent5"/>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4"/>
        <w:gridCol w:w="1169"/>
        <w:gridCol w:w="1251"/>
        <w:gridCol w:w="1359"/>
        <w:gridCol w:w="1292"/>
        <w:gridCol w:w="1673"/>
        <w:gridCol w:w="1387"/>
      </w:tblGrid>
      <w:tr w:rsidR="00111BD2" w14:paraId="0414EA38" w14:textId="77777777" w:rsidTr="0022057B">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404" w:type="dxa"/>
            <w:tcBorders>
              <w:top w:val="none" w:sz="0" w:space="0" w:color="auto"/>
              <w:left w:val="none" w:sz="0" w:space="0" w:color="auto"/>
              <w:bottom w:val="none" w:sz="0" w:space="0" w:color="auto"/>
            </w:tcBorders>
            <w:shd w:val="clear" w:color="auto" w:fill="BFBFBF" w:themeFill="background1" w:themeFillShade="BF"/>
            <w:vAlign w:val="center"/>
          </w:tcPr>
          <w:p w14:paraId="229D2C76" w14:textId="77777777" w:rsidR="00111BD2" w:rsidRPr="00FB2B44" w:rsidRDefault="00111BD2" w:rsidP="0022057B">
            <w:pPr>
              <w:spacing w:before="0" w:line="240" w:lineRule="auto"/>
              <w:jc w:val="left"/>
              <w:rPr>
                <w:rFonts w:cs="Arial"/>
                <w:color w:val="auto"/>
                <w:sz w:val="18"/>
                <w:szCs w:val="18"/>
                <w:lang w:val="en-GB"/>
              </w:rPr>
            </w:pPr>
            <w:r w:rsidRPr="00FB2B44">
              <w:rPr>
                <w:rFonts w:cs="Arial"/>
                <w:color w:val="auto"/>
                <w:sz w:val="18"/>
                <w:szCs w:val="18"/>
                <w:lang w:val="en-GB"/>
              </w:rPr>
              <w:t>Region</w:t>
            </w:r>
          </w:p>
        </w:tc>
        <w:tc>
          <w:tcPr>
            <w:tcW w:w="1169" w:type="dxa"/>
            <w:tcBorders>
              <w:top w:val="none" w:sz="0" w:space="0" w:color="auto"/>
              <w:bottom w:val="none" w:sz="0" w:space="0" w:color="auto"/>
            </w:tcBorders>
            <w:shd w:val="clear" w:color="auto" w:fill="BFBFBF" w:themeFill="background1" w:themeFillShade="BF"/>
            <w:vAlign w:val="center"/>
          </w:tcPr>
          <w:p w14:paraId="02BF68B0" w14:textId="77777777" w:rsidR="00111BD2" w:rsidRPr="00FB2B44" w:rsidRDefault="00111BD2" w:rsidP="0022057B">
            <w:pPr>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lang w:val="en-GB"/>
              </w:rPr>
            </w:pPr>
            <w:r w:rsidRPr="00FB2B44">
              <w:rPr>
                <w:rFonts w:cs="Arial"/>
                <w:color w:val="auto"/>
                <w:sz w:val="18"/>
                <w:szCs w:val="18"/>
                <w:lang w:val="en-GB"/>
              </w:rPr>
              <w:t>Game meat</w:t>
            </w:r>
          </w:p>
          <w:p w14:paraId="041FD5CC" w14:textId="77777777" w:rsidR="00111BD2" w:rsidRPr="00FB2B44" w:rsidRDefault="00111BD2" w:rsidP="0022057B">
            <w:pPr>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lang w:val="en-GB"/>
              </w:rPr>
            </w:pPr>
            <w:r w:rsidRPr="00FB2B44">
              <w:rPr>
                <w:rFonts w:cs="Arial"/>
                <w:color w:val="auto"/>
                <w:sz w:val="18"/>
                <w:szCs w:val="18"/>
                <w:lang w:val="en-GB"/>
              </w:rPr>
              <w:t>Value €/ha</w:t>
            </w:r>
          </w:p>
        </w:tc>
        <w:tc>
          <w:tcPr>
            <w:tcW w:w="1251" w:type="dxa"/>
            <w:tcBorders>
              <w:top w:val="none" w:sz="0" w:space="0" w:color="auto"/>
              <w:bottom w:val="none" w:sz="0" w:space="0" w:color="auto"/>
            </w:tcBorders>
            <w:shd w:val="clear" w:color="auto" w:fill="BFBFBF" w:themeFill="background1" w:themeFillShade="BF"/>
            <w:vAlign w:val="center"/>
          </w:tcPr>
          <w:p w14:paraId="5459ACE1" w14:textId="77777777" w:rsidR="00111BD2" w:rsidRPr="00FB2B44" w:rsidRDefault="00111BD2" w:rsidP="0022057B">
            <w:pPr>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lang w:val="en-GB"/>
              </w:rPr>
            </w:pPr>
            <w:r w:rsidRPr="00FB2B44">
              <w:rPr>
                <w:rFonts w:cs="Arial"/>
                <w:color w:val="auto"/>
                <w:sz w:val="18"/>
                <w:szCs w:val="18"/>
                <w:lang w:val="en-GB"/>
              </w:rPr>
              <w:t>Living animals</w:t>
            </w:r>
          </w:p>
          <w:p w14:paraId="0F4A264C" w14:textId="77777777" w:rsidR="00111BD2" w:rsidRPr="00FB2B44" w:rsidRDefault="00111BD2" w:rsidP="0022057B">
            <w:pPr>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lang w:val="en-GB"/>
              </w:rPr>
            </w:pPr>
            <w:r w:rsidRPr="00FB2B44">
              <w:rPr>
                <w:rFonts w:cs="Arial"/>
                <w:color w:val="auto"/>
                <w:sz w:val="18"/>
                <w:szCs w:val="18"/>
                <w:lang w:val="en-GB"/>
              </w:rPr>
              <w:t>Value €/ha</w:t>
            </w:r>
          </w:p>
        </w:tc>
        <w:tc>
          <w:tcPr>
            <w:tcW w:w="1359" w:type="dxa"/>
            <w:tcBorders>
              <w:top w:val="none" w:sz="0" w:space="0" w:color="auto"/>
              <w:bottom w:val="none" w:sz="0" w:space="0" w:color="auto"/>
            </w:tcBorders>
            <w:shd w:val="clear" w:color="auto" w:fill="BFBFBF" w:themeFill="background1" w:themeFillShade="BF"/>
            <w:vAlign w:val="center"/>
          </w:tcPr>
          <w:p w14:paraId="2AABF1C0" w14:textId="77777777" w:rsidR="00111BD2" w:rsidRPr="00FB2B44" w:rsidRDefault="00111BD2" w:rsidP="0022057B">
            <w:pPr>
              <w:autoSpaceDE w:val="0"/>
              <w:autoSpaceDN w:val="0"/>
              <w:adjustRightInd w:val="0"/>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lang w:val="en-GB"/>
              </w:rPr>
            </w:pPr>
            <w:r w:rsidRPr="00FB2B44">
              <w:rPr>
                <w:rFonts w:cs="Arial"/>
                <w:color w:val="auto"/>
                <w:sz w:val="18"/>
                <w:szCs w:val="18"/>
              </w:rPr>
              <w:t>Pelts, hides skins</w:t>
            </w:r>
            <w:r>
              <w:rPr>
                <w:rFonts w:cs="Arial"/>
                <w:color w:val="auto"/>
                <w:sz w:val="18"/>
                <w:szCs w:val="18"/>
              </w:rPr>
              <w:t xml:space="preserve"> </w:t>
            </w:r>
            <w:r w:rsidRPr="00FB2B44">
              <w:rPr>
                <w:rFonts w:cs="Arial"/>
                <w:color w:val="auto"/>
                <w:sz w:val="18"/>
                <w:szCs w:val="18"/>
              </w:rPr>
              <w:t>and trophies Value</w:t>
            </w:r>
            <w:r>
              <w:rPr>
                <w:rFonts w:cs="Arial"/>
                <w:color w:val="auto"/>
                <w:sz w:val="18"/>
                <w:szCs w:val="18"/>
              </w:rPr>
              <w:t xml:space="preserve"> </w:t>
            </w:r>
            <w:r w:rsidRPr="00FB2B44">
              <w:rPr>
                <w:rFonts w:cs="Arial"/>
                <w:color w:val="auto"/>
                <w:sz w:val="18"/>
                <w:szCs w:val="18"/>
              </w:rPr>
              <w:t>€/ha</w:t>
            </w:r>
          </w:p>
        </w:tc>
        <w:tc>
          <w:tcPr>
            <w:tcW w:w="1292" w:type="dxa"/>
            <w:tcBorders>
              <w:top w:val="none" w:sz="0" w:space="0" w:color="auto"/>
              <w:bottom w:val="none" w:sz="0" w:space="0" w:color="auto"/>
            </w:tcBorders>
            <w:shd w:val="clear" w:color="auto" w:fill="BFBFBF" w:themeFill="background1" w:themeFillShade="BF"/>
            <w:vAlign w:val="center"/>
          </w:tcPr>
          <w:p w14:paraId="216618CF" w14:textId="77777777" w:rsidR="00111BD2" w:rsidRPr="00FB2B44" w:rsidRDefault="00111BD2" w:rsidP="0022057B">
            <w:pPr>
              <w:autoSpaceDE w:val="0"/>
              <w:autoSpaceDN w:val="0"/>
              <w:adjustRightInd w:val="0"/>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rPr>
            </w:pPr>
            <w:r w:rsidRPr="00FB2B44">
              <w:rPr>
                <w:rFonts w:cs="Arial"/>
                <w:color w:val="auto"/>
                <w:sz w:val="18"/>
                <w:szCs w:val="18"/>
              </w:rPr>
              <w:t>Wild honey and bee wax Value €/ha</w:t>
            </w:r>
          </w:p>
        </w:tc>
        <w:tc>
          <w:tcPr>
            <w:tcW w:w="1673" w:type="dxa"/>
            <w:tcBorders>
              <w:top w:val="none" w:sz="0" w:space="0" w:color="auto"/>
              <w:bottom w:val="none" w:sz="0" w:space="0" w:color="auto"/>
            </w:tcBorders>
            <w:shd w:val="clear" w:color="auto" w:fill="BFBFBF" w:themeFill="background1" w:themeFillShade="BF"/>
            <w:vAlign w:val="center"/>
          </w:tcPr>
          <w:p w14:paraId="64D290AB" w14:textId="77777777" w:rsidR="00111BD2" w:rsidRPr="00FB2B44" w:rsidRDefault="00111BD2" w:rsidP="0022057B">
            <w:pPr>
              <w:autoSpaceDE w:val="0"/>
              <w:autoSpaceDN w:val="0"/>
              <w:adjustRightInd w:val="0"/>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rPr>
            </w:pPr>
            <w:r w:rsidRPr="00FB2B44">
              <w:rPr>
                <w:rFonts w:cs="Arial"/>
                <w:color w:val="auto"/>
                <w:sz w:val="18"/>
                <w:szCs w:val="18"/>
              </w:rPr>
              <w:t>Raw material for</w:t>
            </w:r>
          </w:p>
          <w:p w14:paraId="7D04D74B" w14:textId="77777777" w:rsidR="00111BD2" w:rsidRPr="00FB2B44" w:rsidRDefault="00111BD2" w:rsidP="0022057B">
            <w:pPr>
              <w:autoSpaceDE w:val="0"/>
              <w:autoSpaceDN w:val="0"/>
              <w:adjustRightInd w:val="0"/>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rPr>
            </w:pPr>
            <w:r w:rsidRPr="00FB2B44">
              <w:rPr>
                <w:rFonts w:cs="Arial"/>
                <w:color w:val="auto"/>
                <w:sz w:val="18"/>
                <w:szCs w:val="18"/>
              </w:rPr>
              <w:t>medicine,</w:t>
            </w:r>
            <w:r>
              <w:rPr>
                <w:rFonts w:cs="Arial"/>
                <w:color w:val="auto"/>
                <w:sz w:val="18"/>
                <w:szCs w:val="18"/>
              </w:rPr>
              <w:t xml:space="preserve"> </w:t>
            </w:r>
            <w:r w:rsidRPr="00FB2B44">
              <w:rPr>
                <w:rFonts w:cs="Arial"/>
                <w:color w:val="auto"/>
                <w:sz w:val="18"/>
                <w:szCs w:val="18"/>
              </w:rPr>
              <w:t>colorants</w:t>
            </w:r>
          </w:p>
          <w:p w14:paraId="3DC45D05" w14:textId="77777777" w:rsidR="00111BD2" w:rsidRPr="00FB2B44" w:rsidRDefault="00111BD2" w:rsidP="0022057B">
            <w:pPr>
              <w:autoSpaceDE w:val="0"/>
              <w:autoSpaceDN w:val="0"/>
              <w:adjustRightInd w:val="0"/>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rPr>
            </w:pPr>
            <w:r w:rsidRPr="00FB2B44">
              <w:rPr>
                <w:rFonts w:cs="Arial"/>
                <w:color w:val="auto"/>
                <w:sz w:val="18"/>
                <w:szCs w:val="18"/>
              </w:rPr>
              <w:t>Value €/ha</w:t>
            </w:r>
          </w:p>
        </w:tc>
        <w:tc>
          <w:tcPr>
            <w:tcW w:w="1387" w:type="dxa"/>
            <w:tcBorders>
              <w:top w:val="none" w:sz="0" w:space="0" w:color="auto"/>
              <w:bottom w:val="none" w:sz="0" w:space="0" w:color="auto"/>
              <w:right w:val="none" w:sz="0" w:space="0" w:color="auto"/>
            </w:tcBorders>
            <w:shd w:val="clear" w:color="auto" w:fill="BFBFBF" w:themeFill="background1" w:themeFillShade="BF"/>
            <w:vAlign w:val="center"/>
          </w:tcPr>
          <w:p w14:paraId="31315D90" w14:textId="77777777" w:rsidR="00111BD2" w:rsidRPr="00FB2B44" w:rsidRDefault="00111BD2" w:rsidP="0022057B">
            <w:pPr>
              <w:autoSpaceDE w:val="0"/>
              <w:autoSpaceDN w:val="0"/>
              <w:adjustRightInd w:val="0"/>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rPr>
            </w:pPr>
            <w:proofErr w:type="gramStart"/>
            <w:r w:rsidRPr="00FB2B44">
              <w:rPr>
                <w:rFonts w:cs="Arial"/>
                <w:color w:val="auto"/>
                <w:sz w:val="18"/>
                <w:szCs w:val="18"/>
              </w:rPr>
              <w:t>Other</w:t>
            </w:r>
            <w:proofErr w:type="gramEnd"/>
            <w:r w:rsidRPr="00FB2B44">
              <w:rPr>
                <w:rFonts w:cs="Arial"/>
                <w:color w:val="auto"/>
                <w:sz w:val="18"/>
                <w:szCs w:val="18"/>
              </w:rPr>
              <w:t xml:space="preserve"> animal</w:t>
            </w:r>
          </w:p>
          <w:p w14:paraId="4DDF217F" w14:textId="77777777" w:rsidR="00111BD2" w:rsidRPr="00FB2B44" w:rsidRDefault="00111BD2" w:rsidP="0022057B">
            <w:pPr>
              <w:autoSpaceDE w:val="0"/>
              <w:autoSpaceDN w:val="0"/>
              <w:adjustRightInd w:val="0"/>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rPr>
            </w:pPr>
            <w:r w:rsidRPr="00FB2B44">
              <w:rPr>
                <w:rFonts w:cs="Arial"/>
                <w:color w:val="auto"/>
                <w:sz w:val="18"/>
                <w:szCs w:val="18"/>
              </w:rPr>
              <w:t>products Value</w:t>
            </w:r>
            <w:r>
              <w:rPr>
                <w:rFonts w:cs="Arial"/>
                <w:color w:val="auto"/>
                <w:sz w:val="18"/>
                <w:szCs w:val="18"/>
              </w:rPr>
              <w:t xml:space="preserve"> </w:t>
            </w:r>
            <w:r w:rsidRPr="00FB2B44">
              <w:rPr>
                <w:rFonts w:cs="Arial"/>
                <w:color w:val="auto"/>
                <w:sz w:val="18"/>
                <w:szCs w:val="18"/>
              </w:rPr>
              <w:t>€/ha</w:t>
            </w:r>
          </w:p>
        </w:tc>
      </w:tr>
      <w:tr w:rsidR="00111BD2" w14:paraId="2CA97533"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4" w:type="dxa"/>
            <w:shd w:val="clear" w:color="auto" w:fill="FFFFFF" w:themeFill="background1"/>
            <w:vAlign w:val="center"/>
          </w:tcPr>
          <w:p w14:paraId="316A1B18" w14:textId="77777777" w:rsidR="00111BD2" w:rsidRPr="00FB2B44" w:rsidRDefault="00111BD2" w:rsidP="0022057B">
            <w:pPr>
              <w:spacing w:before="0" w:line="240" w:lineRule="auto"/>
              <w:jc w:val="left"/>
              <w:rPr>
                <w:sz w:val="18"/>
                <w:szCs w:val="18"/>
                <w:lang w:val="en-GB"/>
              </w:rPr>
            </w:pPr>
            <w:r w:rsidRPr="00FB2B44">
              <w:rPr>
                <w:sz w:val="18"/>
                <w:szCs w:val="18"/>
                <w:lang w:val="en-GB"/>
              </w:rPr>
              <w:t>North Europe</w:t>
            </w:r>
          </w:p>
        </w:tc>
        <w:tc>
          <w:tcPr>
            <w:tcW w:w="1169" w:type="dxa"/>
            <w:shd w:val="clear" w:color="auto" w:fill="FFFFFF" w:themeFill="background1"/>
            <w:vAlign w:val="center"/>
          </w:tcPr>
          <w:p w14:paraId="4E9E3CC3"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A86627">
              <w:rPr>
                <w:sz w:val="18"/>
                <w:szCs w:val="18"/>
                <w:lang w:val="en-GB"/>
              </w:rPr>
              <w:t>0.92</w:t>
            </w:r>
          </w:p>
        </w:tc>
        <w:tc>
          <w:tcPr>
            <w:tcW w:w="1251" w:type="dxa"/>
            <w:shd w:val="clear" w:color="auto" w:fill="FFFFFF" w:themeFill="background1"/>
            <w:vAlign w:val="center"/>
          </w:tcPr>
          <w:p w14:paraId="278DE4E6"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A86627">
              <w:rPr>
                <w:sz w:val="18"/>
                <w:szCs w:val="18"/>
                <w:lang w:val="en-GB"/>
              </w:rPr>
              <w:t>-</w:t>
            </w:r>
          </w:p>
        </w:tc>
        <w:tc>
          <w:tcPr>
            <w:tcW w:w="1359" w:type="dxa"/>
            <w:shd w:val="clear" w:color="auto" w:fill="FFFFFF" w:themeFill="background1"/>
            <w:vAlign w:val="center"/>
          </w:tcPr>
          <w:p w14:paraId="09932027"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A86627">
              <w:rPr>
                <w:sz w:val="18"/>
                <w:szCs w:val="18"/>
                <w:lang w:val="en-GB"/>
              </w:rPr>
              <w:t>0.04</w:t>
            </w:r>
          </w:p>
        </w:tc>
        <w:tc>
          <w:tcPr>
            <w:tcW w:w="1292" w:type="dxa"/>
            <w:shd w:val="clear" w:color="auto" w:fill="FFFFFF" w:themeFill="background1"/>
            <w:vAlign w:val="center"/>
          </w:tcPr>
          <w:p w14:paraId="6C452E6A"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A86627">
              <w:rPr>
                <w:sz w:val="18"/>
                <w:szCs w:val="18"/>
                <w:lang w:val="en-GB"/>
              </w:rPr>
              <w:t>0.23</w:t>
            </w:r>
          </w:p>
        </w:tc>
        <w:tc>
          <w:tcPr>
            <w:tcW w:w="1673" w:type="dxa"/>
            <w:shd w:val="clear" w:color="auto" w:fill="FFFFFF" w:themeFill="background1"/>
            <w:vAlign w:val="center"/>
          </w:tcPr>
          <w:p w14:paraId="351285D4"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A86627">
              <w:rPr>
                <w:sz w:val="18"/>
                <w:szCs w:val="18"/>
                <w:lang w:val="en-GB"/>
              </w:rPr>
              <w:t>0.07</w:t>
            </w:r>
          </w:p>
        </w:tc>
        <w:tc>
          <w:tcPr>
            <w:tcW w:w="1387" w:type="dxa"/>
            <w:shd w:val="clear" w:color="auto" w:fill="FFFFFF" w:themeFill="background1"/>
            <w:vAlign w:val="center"/>
          </w:tcPr>
          <w:p w14:paraId="22A4F075"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A86627">
              <w:rPr>
                <w:sz w:val="18"/>
                <w:szCs w:val="18"/>
                <w:lang w:val="en-GB"/>
              </w:rPr>
              <w:t>-</w:t>
            </w:r>
          </w:p>
        </w:tc>
      </w:tr>
      <w:tr w:rsidR="00111BD2" w14:paraId="13CC6FE1" w14:textId="77777777" w:rsidTr="0022057B">
        <w:tc>
          <w:tcPr>
            <w:cnfStyle w:val="001000000000" w:firstRow="0" w:lastRow="0" w:firstColumn="1" w:lastColumn="0" w:oddVBand="0" w:evenVBand="0" w:oddHBand="0" w:evenHBand="0" w:firstRowFirstColumn="0" w:firstRowLastColumn="0" w:lastRowFirstColumn="0" w:lastRowLastColumn="0"/>
            <w:tcW w:w="1404" w:type="dxa"/>
            <w:shd w:val="clear" w:color="auto" w:fill="FFFFFF" w:themeFill="background1"/>
            <w:vAlign w:val="center"/>
          </w:tcPr>
          <w:p w14:paraId="7C01DDF2" w14:textId="77777777" w:rsidR="00111BD2" w:rsidRPr="00FB2B44" w:rsidRDefault="00111BD2" w:rsidP="0022057B">
            <w:pPr>
              <w:spacing w:before="0" w:line="240" w:lineRule="auto"/>
              <w:jc w:val="left"/>
              <w:rPr>
                <w:sz w:val="18"/>
                <w:szCs w:val="18"/>
                <w:lang w:val="en-GB"/>
              </w:rPr>
            </w:pPr>
            <w:r w:rsidRPr="00FB2B44">
              <w:rPr>
                <w:sz w:val="18"/>
                <w:szCs w:val="18"/>
                <w:lang w:val="en-GB"/>
              </w:rPr>
              <w:t>Central-West Europe</w:t>
            </w:r>
          </w:p>
        </w:tc>
        <w:tc>
          <w:tcPr>
            <w:tcW w:w="1169" w:type="dxa"/>
            <w:shd w:val="clear" w:color="auto" w:fill="FFFFFF" w:themeFill="background1"/>
            <w:vAlign w:val="center"/>
          </w:tcPr>
          <w:p w14:paraId="6EAC847F"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A86627">
              <w:rPr>
                <w:sz w:val="18"/>
                <w:szCs w:val="18"/>
                <w:lang w:val="en-GB"/>
              </w:rPr>
              <w:t>13.3</w:t>
            </w:r>
          </w:p>
        </w:tc>
        <w:tc>
          <w:tcPr>
            <w:tcW w:w="1251" w:type="dxa"/>
            <w:shd w:val="clear" w:color="auto" w:fill="FFFFFF" w:themeFill="background1"/>
            <w:vAlign w:val="center"/>
          </w:tcPr>
          <w:p w14:paraId="6B63F871"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el-GR"/>
              </w:rPr>
            </w:pPr>
            <w:r w:rsidRPr="00A86627">
              <w:rPr>
                <w:sz w:val="18"/>
                <w:szCs w:val="18"/>
                <w:lang w:val="en-GB"/>
              </w:rPr>
              <w:t>-</w:t>
            </w:r>
          </w:p>
        </w:tc>
        <w:tc>
          <w:tcPr>
            <w:tcW w:w="1359" w:type="dxa"/>
            <w:shd w:val="clear" w:color="auto" w:fill="FFFFFF" w:themeFill="background1"/>
            <w:vAlign w:val="center"/>
          </w:tcPr>
          <w:p w14:paraId="753EEE13"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A86627">
              <w:rPr>
                <w:sz w:val="18"/>
                <w:szCs w:val="18"/>
              </w:rPr>
              <w:t>1.75</w:t>
            </w:r>
          </w:p>
        </w:tc>
        <w:tc>
          <w:tcPr>
            <w:tcW w:w="1292" w:type="dxa"/>
            <w:shd w:val="clear" w:color="auto" w:fill="FFFFFF" w:themeFill="background1"/>
            <w:vAlign w:val="center"/>
          </w:tcPr>
          <w:p w14:paraId="0A4045D1"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A86627">
              <w:rPr>
                <w:sz w:val="18"/>
                <w:szCs w:val="18"/>
              </w:rPr>
              <w:t>3.53</w:t>
            </w:r>
          </w:p>
        </w:tc>
        <w:tc>
          <w:tcPr>
            <w:tcW w:w="1673" w:type="dxa"/>
            <w:shd w:val="clear" w:color="auto" w:fill="FFFFFF" w:themeFill="background1"/>
            <w:vAlign w:val="center"/>
          </w:tcPr>
          <w:p w14:paraId="5EC32097"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el-GR"/>
              </w:rPr>
            </w:pPr>
            <w:r w:rsidRPr="00A86627">
              <w:rPr>
                <w:sz w:val="18"/>
                <w:szCs w:val="18"/>
                <w:lang w:val="en-GB"/>
              </w:rPr>
              <w:t>-</w:t>
            </w:r>
          </w:p>
        </w:tc>
        <w:tc>
          <w:tcPr>
            <w:tcW w:w="1387" w:type="dxa"/>
            <w:shd w:val="clear" w:color="auto" w:fill="FFFFFF" w:themeFill="background1"/>
            <w:vAlign w:val="center"/>
          </w:tcPr>
          <w:p w14:paraId="7EC62D7F"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A86627">
              <w:rPr>
                <w:sz w:val="18"/>
                <w:szCs w:val="18"/>
              </w:rPr>
              <w:t>0.35</w:t>
            </w:r>
          </w:p>
        </w:tc>
      </w:tr>
      <w:tr w:rsidR="00111BD2" w14:paraId="756A35D7"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4" w:type="dxa"/>
            <w:shd w:val="clear" w:color="auto" w:fill="FFFFFF" w:themeFill="background1"/>
            <w:vAlign w:val="center"/>
          </w:tcPr>
          <w:p w14:paraId="24ECBF44" w14:textId="77777777" w:rsidR="00111BD2" w:rsidRPr="00FB2B44" w:rsidRDefault="00111BD2" w:rsidP="0022057B">
            <w:pPr>
              <w:spacing w:before="0" w:line="240" w:lineRule="auto"/>
              <w:jc w:val="left"/>
              <w:rPr>
                <w:sz w:val="18"/>
                <w:szCs w:val="18"/>
                <w:lang w:val="en-GB"/>
              </w:rPr>
            </w:pPr>
            <w:r w:rsidRPr="00FB2B44">
              <w:rPr>
                <w:sz w:val="18"/>
                <w:szCs w:val="18"/>
                <w:lang w:val="en-GB"/>
              </w:rPr>
              <w:t>Central-East Europe</w:t>
            </w:r>
          </w:p>
        </w:tc>
        <w:tc>
          <w:tcPr>
            <w:tcW w:w="1169" w:type="dxa"/>
            <w:shd w:val="clear" w:color="auto" w:fill="FFFFFF" w:themeFill="background1"/>
            <w:vAlign w:val="center"/>
          </w:tcPr>
          <w:p w14:paraId="297253D8"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A86627">
              <w:rPr>
                <w:sz w:val="18"/>
                <w:szCs w:val="18"/>
                <w:lang w:val="en-GB"/>
              </w:rPr>
              <w:t>1.59</w:t>
            </w:r>
          </w:p>
        </w:tc>
        <w:tc>
          <w:tcPr>
            <w:tcW w:w="1251" w:type="dxa"/>
            <w:shd w:val="clear" w:color="auto" w:fill="FFFFFF" w:themeFill="background1"/>
            <w:vAlign w:val="center"/>
          </w:tcPr>
          <w:p w14:paraId="22074B87"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A86627">
              <w:rPr>
                <w:sz w:val="18"/>
                <w:szCs w:val="18"/>
              </w:rPr>
              <w:t>0.27</w:t>
            </w:r>
          </w:p>
        </w:tc>
        <w:tc>
          <w:tcPr>
            <w:tcW w:w="1359" w:type="dxa"/>
            <w:shd w:val="clear" w:color="auto" w:fill="FFFFFF" w:themeFill="background1"/>
            <w:vAlign w:val="center"/>
          </w:tcPr>
          <w:p w14:paraId="0CE94D84"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A86627">
              <w:rPr>
                <w:sz w:val="18"/>
                <w:szCs w:val="18"/>
              </w:rPr>
              <w:t>0.53</w:t>
            </w:r>
          </w:p>
        </w:tc>
        <w:tc>
          <w:tcPr>
            <w:tcW w:w="1292" w:type="dxa"/>
            <w:shd w:val="clear" w:color="auto" w:fill="FFFFFF" w:themeFill="background1"/>
            <w:vAlign w:val="center"/>
          </w:tcPr>
          <w:p w14:paraId="6D4F81C3"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l-GR"/>
              </w:rPr>
            </w:pPr>
            <w:r w:rsidRPr="00A86627">
              <w:rPr>
                <w:sz w:val="18"/>
                <w:szCs w:val="18"/>
                <w:lang w:val="en-GB"/>
              </w:rPr>
              <w:t>-</w:t>
            </w:r>
          </w:p>
        </w:tc>
        <w:tc>
          <w:tcPr>
            <w:tcW w:w="1673" w:type="dxa"/>
            <w:shd w:val="clear" w:color="auto" w:fill="FFFFFF" w:themeFill="background1"/>
            <w:vAlign w:val="center"/>
          </w:tcPr>
          <w:p w14:paraId="1E321A9D"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l-GR"/>
              </w:rPr>
            </w:pPr>
            <w:r w:rsidRPr="00A86627">
              <w:rPr>
                <w:sz w:val="18"/>
                <w:szCs w:val="18"/>
                <w:lang w:val="en-GB"/>
              </w:rPr>
              <w:t>-</w:t>
            </w:r>
          </w:p>
        </w:tc>
        <w:tc>
          <w:tcPr>
            <w:tcW w:w="1387" w:type="dxa"/>
            <w:shd w:val="clear" w:color="auto" w:fill="FFFFFF" w:themeFill="background1"/>
            <w:vAlign w:val="center"/>
          </w:tcPr>
          <w:p w14:paraId="0333CDC8"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l-GR"/>
              </w:rPr>
            </w:pPr>
            <w:r w:rsidRPr="00A86627">
              <w:rPr>
                <w:sz w:val="18"/>
                <w:szCs w:val="18"/>
                <w:lang w:val="en-GB"/>
              </w:rPr>
              <w:t>-</w:t>
            </w:r>
          </w:p>
        </w:tc>
      </w:tr>
      <w:tr w:rsidR="00111BD2" w14:paraId="2EC16B4B" w14:textId="77777777" w:rsidTr="0022057B">
        <w:tc>
          <w:tcPr>
            <w:cnfStyle w:val="001000000000" w:firstRow="0" w:lastRow="0" w:firstColumn="1" w:lastColumn="0" w:oddVBand="0" w:evenVBand="0" w:oddHBand="0" w:evenHBand="0" w:firstRowFirstColumn="0" w:firstRowLastColumn="0" w:lastRowFirstColumn="0" w:lastRowLastColumn="0"/>
            <w:tcW w:w="1404" w:type="dxa"/>
            <w:shd w:val="clear" w:color="auto" w:fill="FFFFFF" w:themeFill="background1"/>
            <w:vAlign w:val="center"/>
          </w:tcPr>
          <w:p w14:paraId="06A05E31" w14:textId="77777777" w:rsidR="00111BD2" w:rsidRPr="00FB2B44" w:rsidRDefault="00111BD2" w:rsidP="0022057B">
            <w:pPr>
              <w:spacing w:before="0" w:line="240" w:lineRule="auto"/>
              <w:jc w:val="left"/>
              <w:rPr>
                <w:sz w:val="18"/>
                <w:szCs w:val="18"/>
                <w:lang w:val="en-GB"/>
              </w:rPr>
            </w:pPr>
            <w:r w:rsidRPr="00FB2B44">
              <w:rPr>
                <w:sz w:val="18"/>
                <w:szCs w:val="18"/>
                <w:lang w:val="en-GB"/>
              </w:rPr>
              <w:t>South-West Europe</w:t>
            </w:r>
          </w:p>
        </w:tc>
        <w:tc>
          <w:tcPr>
            <w:tcW w:w="1169" w:type="dxa"/>
            <w:shd w:val="clear" w:color="auto" w:fill="FFFFFF" w:themeFill="background1"/>
            <w:vAlign w:val="center"/>
          </w:tcPr>
          <w:p w14:paraId="514A2330"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en-GB"/>
              </w:rPr>
            </w:pPr>
            <w:r w:rsidRPr="00A86627">
              <w:rPr>
                <w:sz w:val="18"/>
                <w:szCs w:val="18"/>
                <w:lang w:val="en-GB"/>
              </w:rPr>
              <w:t>4.01</w:t>
            </w:r>
          </w:p>
        </w:tc>
        <w:tc>
          <w:tcPr>
            <w:tcW w:w="1251" w:type="dxa"/>
            <w:shd w:val="clear" w:color="auto" w:fill="FFFFFF" w:themeFill="background1"/>
            <w:vAlign w:val="center"/>
          </w:tcPr>
          <w:p w14:paraId="2434DAC8"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el-GR"/>
              </w:rPr>
            </w:pPr>
            <w:r w:rsidRPr="00A86627">
              <w:rPr>
                <w:sz w:val="18"/>
                <w:szCs w:val="18"/>
                <w:lang w:val="en-GB"/>
              </w:rPr>
              <w:t>-</w:t>
            </w:r>
          </w:p>
        </w:tc>
        <w:tc>
          <w:tcPr>
            <w:tcW w:w="1359" w:type="dxa"/>
            <w:shd w:val="clear" w:color="auto" w:fill="FFFFFF" w:themeFill="background1"/>
            <w:vAlign w:val="center"/>
          </w:tcPr>
          <w:p w14:paraId="1AB9E52E"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el-GR"/>
              </w:rPr>
            </w:pPr>
            <w:r w:rsidRPr="00A86627">
              <w:rPr>
                <w:sz w:val="18"/>
                <w:szCs w:val="18"/>
                <w:lang w:val="en-GB"/>
              </w:rPr>
              <w:t>-</w:t>
            </w:r>
          </w:p>
        </w:tc>
        <w:tc>
          <w:tcPr>
            <w:tcW w:w="1292" w:type="dxa"/>
            <w:shd w:val="clear" w:color="auto" w:fill="FFFFFF" w:themeFill="background1"/>
            <w:vAlign w:val="center"/>
          </w:tcPr>
          <w:p w14:paraId="6899C3DD"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A86627">
              <w:rPr>
                <w:sz w:val="18"/>
                <w:szCs w:val="18"/>
              </w:rPr>
              <w:t>5.8</w:t>
            </w:r>
          </w:p>
        </w:tc>
        <w:tc>
          <w:tcPr>
            <w:tcW w:w="1673" w:type="dxa"/>
            <w:shd w:val="clear" w:color="auto" w:fill="FFFFFF" w:themeFill="background1"/>
            <w:vAlign w:val="center"/>
          </w:tcPr>
          <w:p w14:paraId="6DFBF14A"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el-GR"/>
              </w:rPr>
            </w:pPr>
            <w:r w:rsidRPr="00A86627">
              <w:rPr>
                <w:sz w:val="18"/>
                <w:szCs w:val="18"/>
                <w:lang w:val="en-GB"/>
              </w:rPr>
              <w:t>-</w:t>
            </w:r>
          </w:p>
        </w:tc>
        <w:tc>
          <w:tcPr>
            <w:tcW w:w="1387" w:type="dxa"/>
            <w:shd w:val="clear" w:color="auto" w:fill="FFFFFF" w:themeFill="background1"/>
            <w:vAlign w:val="center"/>
          </w:tcPr>
          <w:p w14:paraId="75649552" w14:textId="77777777" w:rsidR="00111BD2" w:rsidRPr="00A86627" w:rsidRDefault="00111BD2" w:rsidP="0022057B">
            <w:pPr>
              <w:spacing w:before="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el-GR"/>
              </w:rPr>
            </w:pPr>
            <w:r w:rsidRPr="00A86627">
              <w:rPr>
                <w:sz w:val="18"/>
                <w:szCs w:val="18"/>
                <w:lang w:val="en-GB"/>
              </w:rPr>
              <w:t>-</w:t>
            </w:r>
          </w:p>
        </w:tc>
      </w:tr>
      <w:tr w:rsidR="00111BD2" w14:paraId="170D0C2D"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4" w:type="dxa"/>
            <w:shd w:val="clear" w:color="auto" w:fill="FFFFFF" w:themeFill="background1"/>
            <w:vAlign w:val="center"/>
          </w:tcPr>
          <w:p w14:paraId="4D3DE381" w14:textId="77777777" w:rsidR="00111BD2" w:rsidRPr="00FB2B44" w:rsidRDefault="00111BD2" w:rsidP="0022057B">
            <w:pPr>
              <w:spacing w:before="0" w:line="240" w:lineRule="auto"/>
              <w:jc w:val="left"/>
              <w:rPr>
                <w:sz w:val="18"/>
                <w:szCs w:val="18"/>
                <w:lang w:val="en-GB"/>
              </w:rPr>
            </w:pPr>
            <w:r w:rsidRPr="00FB2B44">
              <w:rPr>
                <w:sz w:val="18"/>
                <w:szCs w:val="18"/>
                <w:lang w:val="en-GB"/>
              </w:rPr>
              <w:t>South-East Europe</w:t>
            </w:r>
          </w:p>
        </w:tc>
        <w:tc>
          <w:tcPr>
            <w:tcW w:w="1169" w:type="dxa"/>
            <w:shd w:val="clear" w:color="auto" w:fill="FFFFFF" w:themeFill="background1"/>
            <w:vAlign w:val="center"/>
          </w:tcPr>
          <w:p w14:paraId="5A4D9BBC"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n-GB"/>
              </w:rPr>
            </w:pPr>
            <w:r w:rsidRPr="00A86627">
              <w:rPr>
                <w:sz w:val="18"/>
                <w:szCs w:val="18"/>
                <w:lang w:val="en-GB"/>
              </w:rPr>
              <w:t>0.83</w:t>
            </w:r>
          </w:p>
        </w:tc>
        <w:tc>
          <w:tcPr>
            <w:tcW w:w="1251" w:type="dxa"/>
            <w:shd w:val="clear" w:color="auto" w:fill="FFFFFF" w:themeFill="background1"/>
            <w:vAlign w:val="center"/>
          </w:tcPr>
          <w:p w14:paraId="6E5C6D43"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l-GR"/>
              </w:rPr>
            </w:pPr>
            <w:r w:rsidRPr="00A86627">
              <w:rPr>
                <w:sz w:val="18"/>
                <w:szCs w:val="18"/>
                <w:lang w:val="en-GB"/>
              </w:rPr>
              <w:t>-</w:t>
            </w:r>
          </w:p>
        </w:tc>
        <w:tc>
          <w:tcPr>
            <w:tcW w:w="1359" w:type="dxa"/>
            <w:shd w:val="clear" w:color="auto" w:fill="FFFFFF" w:themeFill="background1"/>
            <w:vAlign w:val="center"/>
          </w:tcPr>
          <w:p w14:paraId="6AD887BE"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A86627">
              <w:rPr>
                <w:sz w:val="18"/>
                <w:szCs w:val="18"/>
              </w:rPr>
              <w:t>0.97</w:t>
            </w:r>
          </w:p>
        </w:tc>
        <w:tc>
          <w:tcPr>
            <w:tcW w:w="1292" w:type="dxa"/>
            <w:shd w:val="clear" w:color="auto" w:fill="FFFFFF" w:themeFill="background1"/>
            <w:vAlign w:val="center"/>
          </w:tcPr>
          <w:p w14:paraId="0FDC6D27"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A86627">
              <w:rPr>
                <w:sz w:val="18"/>
                <w:szCs w:val="18"/>
              </w:rPr>
              <w:t>9.18</w:t>
            </w:r>
          </w:p>
        </w:tc>
        <w:tc>
          <w:tcPr>
            <w:tcW w:w="1673" w:type="dxa"/>
            <w:shd w:val="clear" w:color="auto" w:fill="FFFFFF" w:themeFill="background1"/>
            <w:vAlign w:val="center"/>
          </w:tcPr>
          <w:p w14:paraId="16541EA7"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l-GR"/>
              </w:rPr>
            </w:pPr>
            <w:r w:rsidRPr="00A86627">
              <w:rPr>
                <w:sz w:val="18"/>
                <w:szCs w:val="18"/>
                <w:lang w:val="en-GB"/>
              </w:rPr>
              <w:t>-</w:t>
            </w:r>
          </w:p>
        </w:tc>
        <w:tc>
          <w:tcPr>
            <w:tcW w:w="1387" w:type="dxa"/>
            <w:shd w:val="clear" w:color="auto" w:fill="FFFFFF" w:themeFill="background1"/>
            <w:vAlign w:val="center"/>
          </w:tcPr>
          <w:p w14:paraId="3428A9F6" w14:textId="77777777" w:rsidR="00111BD2" w:rsidRPr="00A86627" w:rsidRDefault="00111BD2" w:rsidP="0022057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el-GR"/>
              </w:rPr>
            </w:pPr>
            <w:r w:rsidRPr="00A86627">
              <w:rPr>
                <w:sz w:val="18"/>
                <w:szCs w:val="18"/>
                <w:lang w:val="en-GB"/>
              </w:rPr>
              <w:t>-</w:t>
            </w:r>
          </w:p>
        </w:tc>
      </w:tr>
    </w:tbl>
    <w:p w14:paraId="704F235A" w14:textId="07A5105E" w:rsidR="00521BB4" w:rsidRPr="00EE5690" w:rsidRDefault="003670E1" w:rsidP="00EA2829">
      <w:pPr>
        <w:rPr>
          <w:rFonts w:cs="Arial"/>
          <w:lang w:val="en-GB"/>
        </w:rPr>
      </w:pPr>
      <w:r w:rsidRPr="00EE5690">
        <w:rPr>
          <w:rFonts w:cs="Arial"/>
          <w:lang w:val="en-GB"/>
        </w:rPr>
        <w:t>Additional income to an afforestation project can also come from other marketed ecosystem services.</w:t>
      </w:r>
      <w:r w:rsidR="00C27F05" w:rsidRPr="00EE5690">
        <w:rPr>
          <w:rFonts w:cs="Arial"/>
          <w:lang w:val="en-GB"/>
        </w:rPr>
        <w:t xml:space="preserve"> According to </w:t>
      </w:r>
      <w:r w:rsidR="00E500E5" w:rsidRPr="00EE5690">
        <w:rPr>
          <w:rFonts w:cs="Arial"/>
          <w:lang w:val="en-GB"/>
        </w:rPr>
        <w:t xml:space="preserve">Forest </w:t>
      </w:r>
      <w:r w:rsidR="00C27F05" w:rsidRPr="00EE5690">
        <w:rPr>
          <w:rFonts w:cs="Arial"/>
          <w:lang w:val="en-GB"/>
        </w:rPr>
        <w:t xml:space="preserve">Europe, 2015 the total reported value for marketed services </w:t>
      </w:r>
      <w:r w:rsidR="001229FE" w:rsidRPr="00EE5690">
        <w:rPr>
          <w:rFonts w:cs="Arial"/>
          <w:lang w:val="en-GB"/>
        </w:rPr>
        <w:t>was around 723 million €</w:t>
      </w:r>
      <w:r w:rsidR="00A86627" w:rsidRPr="00EE5690">
        <w:rPr>
          <w:rFonts w:cs="Arial"/>
          <w:lang w:val="en-GB"/>
        </w:rPr>
        <w:t xml:space="preserve"> (</w:t>
      </w:r>
      <w:r w:rsidR="00A86627" w:rsidRPr="00EE5690">
        <w:rPr>
          <w:rFonts w:cs="Arial"/>
          <w:lang w:val="en-GB"/>
        </w:rPr>
        <w:fldChar w:fldCharType="begin"/>
      </w:r>
      <w:r w:rsidR="00A86627" w:rsidRPr="00EE5690">
        <w:rPr>
          <w:rFonts w:cs="Arial"/>
          <w:lang w:val="en-GB"/>
        </w:rPr>
        <w:instrText xml:space="preserve"> REF _Ref25307379 \h </w:instrText>
      </w:r>
      <w:r w:rsidR="00EE5690" w:rsidRPr="00EE5690">
        <w:rPr>
          <w:rFonts w:cs="Arial"/>
          <w:lang w:val="en-GB"/>
        </w:rPr>
        <w:instrText xml:space="preserve"> \* MERGEFORMAT </w:instrText>
      </w:r>
      <w:r w:rsidR="00A86627" w:rsidRPr="00EE5690">
        <w:rPr>
          <w:rFonts w:cs="Arial"/>
          <w:lang w:val="en-GB"/>
        </w:rPr>
      </w:r>
      <w:r w:rsidR="00A86627" w:rsidRPr="00EE5690">
        <w:rPr>
          <w:rFonts w:cs="Arial"/>
          <w:lang w:val="en-GB"/>
        </w:rPr>
        <w:fldChar w:fldCharType="separate"/>
      </w:r>
      <w:r w:rsidR="0073710A" w:rsidRPr="00A87FA3">
        <w:rPr>
          <w:rFonts w:cs="Arial"/>
        </w:rPr>
        <w:t xml:space="preserve">Figure </w:t>
      </w:r>
      <w:r w:rsidR="0073710A">
        <w:rPr>
          <w:rFonts w:cs="Arial"/>
          <w:noProof/>
        </w:rPr>
        <w:t>10</w:t>
      </w:r>
      <w:r w:rsidR="00A86627" w:rsidRPr="00EE5690">
        <w:rPr>
          <w:rFonts w:cs="Arial"/>
          <w:lang w:val="en-GB"/>
        </w:rPr>
        <w:fldChar w:fldCharType="end"/>
      </w:r>
      <w:r w:rsidR="00A86627" w:rsidRPr="00EE5690">
        <w:rPr>
          <w:rFonts w:cs="Arial"/>
          <w:lang w:val="en-GB"/>
        </w:rPr>
        <w:t>)</w:t>
      </w:r>
      <w:r w:rsidR="001229FE" w:rsidRPr="00EE5690">
        <w:rPr>
          <w:rFonts w:cs="Arial"/>
          <w:lang w:val="en-GB"/>
        </w:rPr>
        <w:t xml:space="preserve">. In general, marketed services </w:t>
      </w:r>
      <w:r w:rsidR="001229FE" w:rsidRPr="00EE5690">
        <w:rPr>
          <w:rFonts w:cs="Arial"/>
          <w:lang w:val="en-GB"/>
        </w:rPr>
        <w:lastRenderedPageBreak/>
        <w:t xml:space="preserve">can fall in one of the following 4 categories: Ecological services, </w:t>
      </w:r>
      <w:proofErr w:type="spellStart"/>
      <w:r w:rsidR="001229FE" w:rsidRPr="00EE5690">
        <w:rPr>
          <w:rFonts w:cs="Arial"/>
          <w:lang w:val="en-GB"/>
        </w:rPr>
        <w:t>Biospheric</w:t>
      </w:r>
      <w:proofErr w:type="spellEnd"/>
      <w:r w:rsidR="001229FE" w:rsidRPr="00EE5690">
        <w:rPr>
          <w:rFonts w:cs="Arial"/>
          <w:lang w:val="en-GB"/>
        </w:rPr>
        <w:t xml:space="preserve"> services, </w:t>
      </w:r>
      <w:proofErr w:type="gramStart"/>
      <w:r w:rsidR="001229FE" w:rsidRPr="00EE5690">
        <w:rPr>
          <w:rFonts w:cs="Arial"/>
          <w:lang w:val="en-GB"/>
        </w:rPr>
        <w:t>Social</w:t>
      </w:r>
      <w:proofErr w:type="gramEnd"/>
      <w:r w:rsidR="001229FE" w:rsidRPr="00EE5690">
        <w:rPr>
          <w:rFonts w:cs="Arial"/>
          <w:lang w:val="en-GB"/>
        </w:rPr>
        <w:t xml:space="preserve"> services, and other services</w:t>
      </w:r>
      <w:r w:rsidR="001463F5" w:rsidRPr="00EE5690">
        <w:rPr>
          <w:rFonts w:cs="Arial"/>
          <w:lang w:val="en-GB"/>
        </w:rPr>
        <w:t xml:space="preserve"> (</w:t>
      </w:r>
      <w:r w:rsidR="00C2019A" w:rsidRPr="00EE5690">
        <w:rPr>
          <w:rFonts w:cs="Arial"/>
          <w:lang w:val="en-GB"/>
        </w:rPr>
        <w:t>Table 12</w:t>
      </w:r>
      <w:r w:rsidR="001463F5" w:rsidRPr="00EE5690">
        <w:rPr>
          <w:rFonts w:cs="Arial"/>
          <w:lang w:val="en-GB"/>
        </w:rPr>
        <w:t>)</w:t>
      </w:r>
      <w:r w:rsidR="001229FE" w:rsidRPr="00EE5690">
        <w:rPr>
          <w:rFonts w:cs="Arial"/>
          <w:lang w:val="en-GB"/>
        </w:rPr>
        <w:t xml:space="preserve">. </w:t>
      </w:r>
    </w:p>
    <w:p w14:paraId="53C18BF5" w14:textId="33E3ECAA" w:rsidR="00A86627" w:rsidRPr="00EE5690" w:rsidRDefault="00A86627" w:rsidP="00111BD2">
      <w:pPr>
        <w:jc w:val="center"/>
        <w:rPr>
          <w:rFonts w:cs="Arial"/>
          <w:lang w:val="en-GB"/>
        </w:rPr>
      </w:pPr>
      <w:r w:rsidRPr="00EE5690">
        <w:rPr>
          <w:rFonts w:cs="Arial"/>
          <w:noProof/>
          <w:lang w:val="es-ES" w:eastAsia="es-ES"/>
        </w:rPr>
        <w:drawing>
          <wp:inline distT="0" distB="0" distL="0" distR="0" wp14:anchorId="5971F445" wp14:editId="01C288D6">
            <wp:extent cx="4133850" cy="297534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2.jpg"/>
                    <pic:cNvPicPr/>
                  </pic:nvPicPr>
                  <pic:blipFill>
                    <a:blip r:embed="rId31">
                      <a:extLst>
                        <a:ext uri="{28A0092B-C50C-407E-A947-70E740481C1C}">
                          <a14:useLocalDpi xmlns:a14="http://schemas.microsoft.com/office/drawing/2010/main" val="0"/>
                        </a:ext>
                      </a:extLst>
                    </a:blip>
                    <a:stretch>
                      <a:fillRect/>
                    </a:stretch>
                  </pic:blipFill>
                  <pic:spPr>
                    <a:xfrm>
                      <a:off x="0" y="0"/>
                      <a:ext cx="4148808" cy="2986113"/>
                    </a:xfrm>
                    <a:prstGeom prst="rect">
                      <a:avLst/>
                    </a:prstGeom>
                  </pic:spPr>
                </pic:pic>
              </a:graphicData>
            </a:graphic>
          </wp:inline>
        </w:drawing>
      </w:r>
    </w:p>
    <w:p w14:paraId="5B662A77" w14:textId="5775FE82" w:rsidR="00A86627" w:rsidRPr="00A87FA3" w:rsidRDefault="00A86627" w:rsidP="00111BD2">
      <w:pPr>
        <w:pStyle w:val="Caption"/>
        <w:rPr>
          <w:rFonts w:cs="Arial"/>
        </w:rPr>
      </w:pPr>
      <w:bookmarkStart w:id="47" w:name="_Ref25307379"/>
      <w:bookmarkStart w:id="48" w:name="_Toc91752494"/>
      <w:r w:rsidRPr="00A87FA3">
        <w:rPr>
          <w:rFonts w:cs="Arial"/>
        </w:rPr>
        <w:t xml:space="preserve">Figure </w:t>
      </w:r>
      <w:r w:rsidRPr="00A87FA3">
        <w:rPr>
          <w:rFonts w:cs="Arial"/>
        </w:rPr>
        <w:fldChar w:fldCharType="begin"/>
      </w:r>
      <w:r w:rsidRPr="00A87FA3">
        <w:rPr>
          <w:rFonts w:cs="Arial"/>
        </w:rPr>
        <w:instrText xml:space="preserve"> SEQ Figure \* ARABIC </w:instrText>
      </w:r>
      <w:r w:rsidRPr="00A87FA3">
        <w:rPr>
          <w:rFonts w:cs="Arial"/>
        </w:rPr>
        <w:fldChar w:fldCharType="separate"/>
      </w:r>
      <w:r w:rsidR="0073710A">
        <w:rPr>
          <w:rFonts w:cs="Arial"/>
          <w:noProof/>
        </w:rPr>
        <w:t>10</w:t>
      </w:r>
      <w:r w:rsidRPr="00A87FA3">
        <w:rPr>
          <w:rFonts w:cs="Arial"/>
        </w:rPr>
        <w:fldChar w:fldCharType="end"/>
      </w:r>
      <w:bookmarkEnd w:id="47"/>
      <w:r w:rsidRPr="00A87FA3">
        <w:rPr>
          <w:rFonts w:cs="Arial"/>
        </w:rPr>
        <w:t xml:space="preserve"> Total </w:t>
      </w:r>
      <w:r w:rsidR="008809AD" w:rsidRPr="00A87FA3">
        <w:rPr>
          <w:rFonts w:cs="Arial"/>
        </w:rPr>
        <w:t>value</w:t>
      </w:r>
      <w:r w:rsidRPr="00A87FA3">
        <w:rPr>
          <w:rFonts w:cs="Arial"/>
        </w:rPr>
        <w:t xml:space="preserve"> of marketed services (Source:  </w:t>
      </w:r>
      <w:r w:rsidR="00E500E5" w:rsidRPr="00A87FA3">
        <w:rPr>
          <w:rFonts w:cs="Arial"/>
        </w:rPr>
        <w:t>Forest Europe</w:t>
      </w:r>
      <w:r w:rsidRPr="00A87FA3">
        <w:rPr>
          <w:rFonts w:cs="Arial"/>
        </w:rPr>
        <w:t>, 2015)</w:t>
      </w:r>
      <w:bookmarkEnd w:id="48"/>
    </w:p>
    <w:p w14:paraId="0700C5C2" w14:textId="07FCF142" w:rsidR="002E11D8" w:rsidRPr="00A87FA3" w:rsidRDefault="002E11D8" w:rsidP="00111BD2">
      <w:pPr>
        <w:pStyle w:val="Caption"/>
        <w:keepNext/>
        <w:rPr>
          <w:rFonts w:cs="Arial"/>
        </w:rPr>
      </w:pPr>
      <w:bookmarkStart w:id="49" w:name="_Toc91752551"/>
      <w:r w:rsidRPr="00A87FA3">
        <w:rPr>
          <w:rFonts w:cs="Arial"/>
        </w:rPr>
        <w:t xml:space="preserve">Table </w:t>
      </w:r>
      <w:r w:rsidRPr="00A87FA3">
        <w:rPr>
          <w:rFonts w:cs="Arial"/>
        </w:rPr>
        <w:fldChar w:fldCharType="begin"/>
      </w:r>
      <w:r w:rsidRPr="00A87FA3">
        <w:rPr>
          <w:rFonts w:cs="Arial"/>
        </w:rPr>
        <w:instrText xml:space="preserve"> SEQ Table \* ARABIC </w:instrText>
      </w:r>
      <w:r w:rsidRPr="00A87FA3">
        <w:rPr>
          <w:rFonts w:cs="Arial"/>
        </w:rPr>
        <w:fldChar w:fldCharType="separate"/>
      </w:r>
      <w:r w:rsidR="0073710A">
        <w:rPr>
          <w:rFonts w:cs="Arial"/>
          <w:noProof/>
        </w:rPr>
        <w:t>12</w:t>
      </w:r>
      <w:r w:rsidRPr="00A87FA3">
        <w:rPr>
          <w:rFonts w:cs="Arial"/>
        </w:rPr>
        <w:fldChar w:fldCharType="end"/>
      </w:r>
      <w:r w:rsidRPr="00A87FA3">
        <w:rPr>
          <w:rFonts w:cs="Arial"/>
          <w:lang w:val="en-US"/>
        </w:rPr>
        <w:t xml:space="preserve"> Definition of forest services (Source:  Forest Europe, 2015)</w:t>
      </w:r>
      <w:bookmarkEnd w:id="49"/>
    </w:p>
    <w:tbl>
      <w:tblPr>
        <w:tblW w:w="8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6390"/>
      </w:tblGrid>
      <w:tr w:rsidR="00521BB4" w:rsidRPr="00EE5690" w14:paraId="6035D04A" w14:textId="77777777" w:rsidTr="00111BD2">
        <w:trPr>
          <w:jc w:val="center"/>
        </w:trPr>
        <w:tc>
          <w:tcPr>
            <w:tcW w:w="2065" w:type="dxa"/>
            <w:shd w:val="clear" w:color="auto" w:fill="BFBFBF" w:themeFill="background1" w:themeFillShade="BF"/>
          </w:tcPr>
          <w:p w14:paraId="6561C0F5" w14:textId="3C65C03B" w:rsidR="00521BB4" w:rsidRPr="00EE5690" w:rsidRDefault="00521BB4" w:rsidP="00EE5690">
            <w:pPr>
              <w:jc w:val="left"/>
              <w:rPr>
                <w:rFonts w:cs="Arial"/>
                <w:b/>
                <w:lang w:val="en-GB"/>
              </w:rPr>
            </w:pPr>
            <w:r w:rsidRPr="00EE5690">
              <w:rPr>
                <w:rFonts w:cs="Arial"/>
                <w:b/>
                <w:lang w:val="en-GB"/>
              </w:rPr>
              <w:t>Ecological Services</w:t>
            </w:r>
          </w:p>
        </w:tc>
        <w:tc>
          <w:tcPr>
            <w:tcW w:w="6390" w:type="dxa"/>
          </w:tcPr>
          <w:p w14:paraId="72346C90" w14:textId="5A04BE6C" w:rsidR="00521BB4" w:rsidRPr="00EE5690" w:rsidRDefault="00521BB4" w:rsidP="002E38EE">
            <w:pPr>
              <w:rPr>
                <w:rFonts w:cs="Arial"/>
                <w:lang w:val="en-GB"/>
              </w:rPr>
            </w:pPr>
            <w:r w:rsidRPr="00EE5690">
              <w:rPr>
                <w:rFonts w:cs="Arial"/>
                <w:lang w:val="en-GB"/>
              </w:rPr>
              <w:t xml:space="preserve">Marketed ecological services include soil, </w:t>
            </w:r>
            <w:proofErr w:type="gramStart"/>
            <w:r w:rsidRPr="00EE5690">
              <w:rPr>
                <w:rFonts w:cs="Arial"/>
                <w:lang w:val="en-GB"/>
              </w:rPr>
              <w:t>water</w:t>
            </w:r>
            <w:proofErr w:type="gramEnd"/>
            <w:r w:rsidRPr="00EE5690">
              <w:rPr>
                <w:rFonts w:cs="Arial"/>
                <w:lang w:val="en-GB"/>
              </w:rPr>
              <w:t xml:space="preserve"> and other environmental functions as well as infrastructure and managed natural resources, which are </w:t>
            </w:r>
            <w:r w:rsidR="00B14452" w:rsidRPr="00EE5690">
              <w:rPr>
                <w:rFonts w:cs="Arial"/>
                <w:lang w:val="en-GB"/>
              </w:rPr>
              <w:t>often</w:t>
            </w:r>
            <w:r w:rsidRPr="00EE5690">
              <w:rPr>
                <w:rFonts w:cs="Arial"/>
                <w:lang w:val="en-GB"/>
              </w:rPr>
              <w:t xml:space="preserve"> on a voluntary contractual basis with compensation or other payments</w:t>
            </w:r>
            <w:r w:rsidR="007E0C35" w:rsidRPr="00EE5690">
              <w:rPr>
                <w:rFonts w:cs="Arial"/>
                <w:lang w:val="en-GB"/>
              </w:rPr>
              <w:t xml:space="preserve"> from private or public bodies</w:t>
            </w:r>
            <w:r w:rsidR="00D62D26" w:rsidRPr="00EE5690">
              <w:rPr>
                <w:rFonts w:cs="Arial"/>
                <w:lang w:val="en-GB"/>
              </w:rPr>
              <w:t>. (</w:t>
            </w:r>
            <w:r w:rsidR="00E500E5" w:rsidRPr="00EE5690">
              <w:rPr>
                <w:rFonts w:cs="Arial"/>
                <w:lang w:val="en-GB"/>
              </w:rPr>
              <w:t>Forest Europe</w:t>
            </w:r>
            <w:r w:rsidR="00D62D26" w:rsidRPr="00EE5690">
              <w:rPr>
                <w:rFonts w:cs="Arial"/>
                <w:lang w:val="en-GB"/>
              </w:rPr>
              <w:t>, 2015)</w:t>
            </w:r>
          </w:p>
        </w:tc>
      </w:tr>
      <w:tr w:rsidR="00521BB4" w:rsidRPr="00EE5690" w14:paraId="45087D92" w14:textId="77777777" w:rsidTr="00111BD2">
        <w:trPr>
          <w:jc w:val="center"/>
        </w:trPr>
        <w:tc>
          <w:tcPr>
            <w:tcW w:w="2065" w:type="dxa"/>
            <w:shd w:val="clear" w:color="auto" w:fill="BFBFBF" w:themeFill="background1" w:themeFillShade="BF"/>
          </w:tcPr>
          <w:p w14:paraId="0B848A04" w14:textId="5DD35BC2" w:rsidR="00521BB4" w:rsidRPr="00EE5690" w:rsidRDefault="00521BB4" w:rsidP="00EE5690">
            <w:pPr>
              <w:jc w:val="left"/>
              <w:rPr>
                <w:rFonts w:cs="Arial"/>
                <w:b/>
                <w:lang w:val="en-GB"/>
              </w:rPr>
            </w:pPr>
            <w:proofErr w:type="spellStart"/>
            <w:r w:rsidRPr="00EE5690">
              <w:rPr>
                <w:rFonts w:cs="Arial"/>
                <w:b/>
                <w:lang w:val="en-GB"/>
              </w:rPr>
              <w:t>BIospheric</w:t>
            </w:r>
            <w:proofErr w:type="spellEnd"/>
            <w:r w:rsidRPr="00EE5690">
              <w:rPr>
                <w:rFonts w:cs="Arial"/>
                <w:b/>
                <w:lang w:val="en-GB"/>
              </w:rPr>
              <w:t xml:space="preserve"> Services</w:t>
            </w:r>
          </w:p>
        </w:tc>
        <w:tc>
          <w:tcPr>
            <w:tcW w:w="6390" w:type="dxa"/>
          </w:tcPr>
          <w:p w14:paraId="76AF7AD7" w14:textId="298EC700" w:rsidR="00521BB4" w:rsidRPr="00EE5690" w:rsidRDefault="00D62D26" w:rsidP="002E38EE">
            <w:pPr>
              <w:rPr>
                <w:rFonts w:cs="Arial"/>
                <w:lang w:val="en-GB"/>
              </w:rPr>
            </w:pPr>
            <w:r w:rsidRPr="00EE5690">
              <w:rPr>
                <w:rFonts w:cs="Arial"/>
                <w:lang w:val="en-GB"/>
              </w:rPr>
              <w:t xml:space="preserve">Marketed </w:t>
            </w:r>
            <w:proofErr w:type="spellStart"/>
            <w:r w:rsidRPr="00EE5690">
              <w:rPr>
                <w:rFonts w:cs="Arial"/>
                <w:lang w:val="en-GB"/>
              </w:rPr>
              <w:t>biospheric</w:t>
            </w:r>
            <w:proofErr w:type="spellEnd"/>
            <w:r w:rsidRPr="00EE5690">
              <w:rPr>
                <w:rFonts w:cs="Arial"/>
                <w:lang w:val="en-GB"/>
              </w:rPr>
              <w:t xml:space="preserve"> services include services related to in-situ or ex-situ gene conservation of genetic resources and protected forest areas, </w:t>
            </w:r>
            <w:proofErr w:type="gramStart"/>
            <w:r w:rsidRPr="00EE5690">
              <w:rPr>
                <w:rFonts w:cs="Arial"/>
                <w:lang w:val="en-GB"/>
              </w:rPr>
              <w:t>e.g.</w:t>
            </w:r>
            <w:proofErr w:type="gramEnd"/>
            <w:r w:rsidRPr="00EE5690">
              <w:rPr>
                <w:rFonts w:cs="Arial"/>
                <w:lang w:val="en-GB"/>
              </w:rPr>
              <w:t xml:space="preserve"> nature protection on a voluntary contractual basis with compensation or other payments from private or public bodies. Nature protection contract schemes are increasingly discussed and applied as a measure for the promotion of ecological services of forests. (</w:t>
            </w:r>
            <w:r w:rsidR="00E500E5" w:rsidRPr="00EE5690">
              <w:rPr>
                <w:rFonts w:cs="Arial"/>
                <w:lang w:val="en-GB"/>
              </w:rPr>
              <w:t>Forest Europe</w:t>
            </w:r>
            <w:r w:rsidRPr="00EE5690">
              <w:rPr>
                <w:rFonts w:cs="Arial"/>
                <w:lang w:val="en-GB"/>
              </w:rPr>
              <w:t>, 2015)</w:t>
            </w:r>
          </w:p>
        </w:tc>
      </w:tr>
      <w:tr w:rsidR="00521BB4" w:rsidRPr="00EE5690" w14:paraId="4C1BCE90" w14:textId="77777777" w:rsidTr="00111BD2">
        <w:trPr>
          <w:jc w:val="center"/>
        </w:trPr>
        <w:tc>
          <w:tcPr>
            <w:tcW w:w="2065" w:type="dxa"/>
            <w:shd w:val="clear" w:color="auto" w:fill="BFBFBF" w:themeFill="background1" w:themeFillShade="BF"/>
          </w:tcPr>
          <w:p w14:paraId="71C6206E" w14:textId="20275D25" w:rsidR="00521BB4" w:rsidRPr="00EE5690" w:rsidRDefault="00521BB4" w:rsidP="00EE5690">
            <w:pPr>
              <w:jc w:val="left"/>
              <w:rPr>
                <w:rFonts w:cs="Arial"/>
                <w:b/>
                <w:lang w:val="en-GB"/>
              </w:rPr>
            </w:pPr>
            <w:r w:rsidRPr="00EE5690">
              <w:rPr>
                <w:rFonts w:cs="Arial"/>
                <w:b/>
                <w:lang w:val="en-GB"/>
              </w:rPr>
              <w:lastRenderedPageBreak/>
              <w:t>Social Services</w:t>
            </w:r>
          </w:p>
        </w:tc>
        <w:tc>
          <w:tcPr>
            <w:tcW w:w="6390" w:type="dxa"/>
          </w:tcPr>
          <w:p w14:paraId="58D7065C" w14:textId="11930EFB" w:rsidR="00521BB4" w:rsidRPr="00EE5690" w:rsidRDefault="00043F49" w:rsidP="002E38EE">
            <w:pPr>
              <w:rPr>
                <w:rFonts w:cs="Arial"/>
                <w:lang w:val="en-GB"/>
              </w:rPr>
            </w:pPr>
            <w:r w:rsidRPr="00EE5690">
              <w:rPr>
                <w:rFonts w:cs="Arial"/>
                <w:lang w:val="en-GB"/>
              </w:rPr>
              <w:t>Marketed social services include hunting and fishing licenses, the renting of huts and houses, forest-based leisure, sports, and outdoor activities, and educational activities that are not free of charge to the consumers (</w:t>
            </w:r>
            <w:proofErr w:type="gramStart"/>
            <w:r w:rsidRPr="00EE5690">
              <w:rPr>
                <w:rFonts w:cs="Arial"/>
                <w:lang w:val="en-GB"/>
              </w:rPr>
              <w:t>e.g.</w:t>
            </w:r>
            <w:proofErr w:type="gramEnd"/>
            <w:r w:rsidRPr="00EE5690">
              <w:rPr>
                <w:rFonts w:cs="Arial"/>
                <w:lang w:val="en-GB"/>
              </w:rPr>
              <w:t xml:space="preserve"> public and schools). Amenity services include those related to spiritual, cultural and historical functions, </w:t>
            </w:r>
            <w:proofErr w:type="gramStart"/>
            <w:r w:rsidRPr="00EE5690">
              <w:rPr>
                <w:rFonts w:cs="Arial"/>
                <w:lang w:val="en-GB"/>
              </w:rPr>
              <w:t>e.g.</w:t>
            </w:r>
            <w:proofErr w:type="gramEnd"/>
            <w:r w:rsidRPr="00EE5690">
              <w:rPr>
                <w:rFonts w:cs="Arial"/>
                <w:lang w:val="en-GB"/>
              </w:rPr>
              <w:t xml:space="preserve"> sacred, religious or other forms of spiritual inspiration, sites of worship, landscape features (mountains and waterfalls), ‘memories’’ in the landscape from past cultural ties, aesthetic enjoyment and inspiration, and historical artefacts. (</w:t>
            </w:r>
            <w:r w:rsidR="00E500E5" w:rsidRPr="00EE5690">
              <w:rPr>
                <w:rFonts w:cs="Arial"/>
                <w:lang w:val="en-GB"/>
              </w:rPr>
              <w:t>Forest Europe</w:t>
            </w:r>
            <w:r w:rsidRPr="00EE5690">
              <w:rPr>
                <w:rFonts w:cs="Arial"/>
                <w:lang w:val="en-GB"/>
              </w:rPr>
              <w:t>, 2015)</w:t>
            </w:r>
          </w:p>
        </w:tc>
      </w:tr>
      <w:tr w:rsidR="00521BB4" w:rsidRPr="00EE5690" w14:paraId="35B2629C" w14:textId="77777777" w:rsidTr="00111BD2">
        <w:trPr>
          <w:jc w:val="center"/>
        </w:trPr>
        <w:tc>
          <w:tcPr>
            <w:tcW w:w="2065" w:type="dxa"/>
            <w:shd w:val="clear" w:color="auto" w:fill="BFBFBF" w:themeFill="background1" w:themeFillShade="BF"/>
          </w:tcPr>
          <w:p w14:paraId="61D04DAA" w14:textId="53C1052D" w:rsidR="00521BB4" w:rsidRPr="00EE5690" w:rsidRDefault="00521BB4" w:rsidP="00EE5690">
            <w:pPr>
              <w:jc w:val="left"/>
              <w:rPr>
                <w:rFonts w:cs="Arial"/>
                <w:b/>
                <w:lang w:val="en-GB"/>
              </w:rPr>
            </w:pPr>
            <w:r w:rsidRPr="00EE5690">
              <w:rPr>
                <w:rFonts w:cs="Arial"/>
                <w:b/>
                <w:lang w:val="en-GB"/>
              </w:rPr>
              <w:t>Other services</w:t>
            </w:r>
          </w:p>
        </w:tc>
        <w:tc>
          <w:tcPr>
            <w:tcW w:w="6390" w:type="dxa"/>
          </w:tcPr>
          <w:p w14:paraId="0F406D6B" w14:textId="522FDC67" w:rsidR="00521BB4" w:rsidRPr="00EE5690" w:rsidRDefault="005D77AA" w:rsidP="002E38EE">
            <w:pPr>
              <w:rPr>
                <w:rFonts w:cs="Arial"/>
                <w:lang w:val="en-GB"/>
              </w:rPr>
            </w:pPr>
            <w:r w:rsidRPr="00EE5690">
              <w:rPr>
                <w:rFonts w:cs="Arial"/>
                <w:lang w:val="en-GB"/>
              </w:rPr>
              <w:t>Other marketed services include payments to woodland owners for licenses that regulate land use for gravel extraction, telecommunication masts, wind farms and electricity distribution, among others. Depending on national laws, these marketed services of the forest may add directly to the income of forest owners and thus contribute to the economic viability of sustainable forest management. (</w:t>
            </w:r>
            <w:r w:rsidR="00E500E5" w:rsidRPr="00EE5690">
              <w:rPr>
                <w:rFonts w:cs="Arial"/>
                <w:lang w:val="en-GB"/>
              </w:rPr>
              <w:t>Forest Europe</w:t>
            </w:r>
            <w:r w:rsidRPr="00EE5690">
              <w:rPr>
                <w:rFonts w:cs="Arial"/>
                <w:lang w:val="en-GB"/>
              </w:rPr>
              <w:t>, 2015)</w:t>
            </w:r>
          </w:p>
        </w:tc>
      </w:tr>
    </w:tbl>
    <w:p w14:paraId="4640B2FA" w14:textId="49B7F24D" w:rsidR="003670E1" w:rsidRPr="00EE5690" w:rsidRDefault="001F32FB" w:rsidP="00EE5690">
      <w:pPr>
        <w:jc w:val="left"/>
        <w:rPr>
          <w:rFonts w:cs="Arial"/>
          <w:lang w:val="en-GB"/>
        </w:rPr>
      </w:pPr>
      <w:r w:rsidRPr="00EE5690">
        <w:rPr>
          <w:rFonts w:cs="Arial"/>
          <w:lang w:val="en-GB"/>
        </w:rPr>
        <w:fldChar w:fldCharType="begin"/>
      </w:r>
      <w:r w:rsidRPr="00EE5690">
        <w:rPr>
          <w:rFonts w:cs="Arial"/>
          <w:lang w:val="en-GB"/>
        </w:rPr>
        <w:instrText xml:space="preserve"> REF _Ref25220465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A87FA3">
        <w:rPr>
          <w:rFonts w:cs="Arial"/>
        </w:rPr>
        <w:t xml:space="preserve">Figure </w:t>
      </w:r>
      <w:r w:rsidR="0073710A">
        <w:rPr>
          <w:rFonts w:cs="Arial"/>
          <w:noProof/>
        </w:rPr>
        <w:t>11</w:t>
      </w:r>
      <w:r w:rsidRPr="00EE5690">
        <w:rPr>
          <w:rFonts w:cs="Arial"/>
          <w:lang w:val="en-GB"/>
        </w:rPr>
        <w:fldChar w:fldCharType="end"/>
      </w:r>
      <w:r w:rsidRPr="00EE5690">
        <w:rPr>
          <w:rFonts w:cs="Arial"/>
          <w:lang w:val="en-GB"/>
        </w:rPr>
        <w:t xml:space="preserve"> </w:t>
      </w:r>
      <w:r w:rsidR="000A1AD4" w:rsidRPr="00EE5690">
        <w:rPr>
          <w:rFonts w:cs="Arial"/>
          <w:lang w:val="en-GB"/>
        </w:rPr>
        <w:t>pr</w:t>
      </w:r>
      <w:r w:rsidRPr="00EE5690">
        <w:rPr>
          <w:rFonts w:cs="Arial"/>
          <w:lang w:val="en-GB"/>
        </w:rPr>
        <w:t>esents the proportion of the marketed services provided b</w:t>
      </w:r>
      <w:r w:rsidR="000A1AD4" w:rsidRPr="00EE5690">
        <w:rPr>
          <w:rFonts w:cs="Arial"/>
          <w:lang w:val="en-GB"/>
        </w:rPr>
        <w:t>y</w:t>
      </w:r>
      <w:r w:rsidRPr="00EE5690">
        <w:rPr>
          <w:rFonts w:cs="Arial"/>
          <w:lang w:val="en-GB"/>
        </w:rPr>
        <w:t xml:space="preserve"> the reporting countries</w:t>
      </w:r>
      <w:r w:rsidR="00B14452" w:rsidRPr="00EE5690">
        <w:rPr>
          <w:rFonts w:cs="Arial"/>
          <w:lang w:val="en-GB"/>
        </w:rPr>
        <w:t>.</w:t>
      </w:r>
    </w:p>
    <w:p w14:paraId="48ABF74F" w14:textId="69BA6590" w:rsidR="006C6C73" w:rsidRPr="00EE5690" w:rsidRDefault="006C6C73" w:rsidP="00111BD2">
      <w:pPr>
        <w:jc w:val="center"/>
        <w:rPr>
          <w:rFonts w:cs="Arial"/>
          <w:lang w:val="en-GB"/>
        </w:rPr>
      </w:pPr>
      <w:r w:rsidRPr="00EE5690">
        <w:rPr>
          <w:rFonts w:cs="Arial"/>
          <w:noProof/>
          <w:lang w:val="es-ES" w:eastAsia="es-ES"/>
        </w:rPr>
        <w:drawing>
          <wp:inline distT="0" distB="0" distL="0" distR="0" wp14:anchorId="61C337D5" wp14:editId="1F08395C">
            <wp:extent cx="4587365" cy="2756487"/>
            <wp:effectExtent l="0" t="0" r="381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ullsoef2015-123.jpg"/>
                    <pic:cNvPicPr/>
                  </pic:nvPicPr>
                  <pic:blipFill rotWithShape="1">
                    <a:blip r:embed="rId32">
                      <a:extLst>
                        <a:ext uri="{28A0092B-C50C-407E-A947-70E740481C1C}">
                          <a14:useLocalDpi xmlns:a14="http://schemas.microsoft.com/office/drawing/2010/main" val="0"/>
                        </a:ext>
                      </a:extLst>
                    </a:blip>
                    <a:srcRect l="4509" t="12685" r="7083" b="7350"/>
                    <a:stretch/>
                  </pic:blipFill>
                  <pic:spPr bwMode="auto">
                    <a:xfrm>
                      <a:off x="0" y="0"/>
                      <a:ext cx="4605164" cy="2767182"/>
                    </a:xfrm>
                    <a:prstGeom prst="rect">
                      <a:avLst/>
                    </a:prstGeom>
                    <a:ln>
                      <a:noFill/>
                    </a:ln>
                    <a:extLst>
                      <a:ext uri="{53640926-AAD7-44D8-BBD7-CCE9431645EC}">
                        <a14:shadowObscured xmlns:a14="http://schemas.microsoft.com/office/drawing/2010/main"/>
                      </a:ext>
                    </a:extLst>
                  </pic:spPr>
                </pic:pic>
              </a:graphicData>
            </a:graphic>
          </wp:inline>
        </w:drawing>
      </w:r>
    </w:p>
    <w:p w14:paraId="3148F720" w14:textId="53D47B3B" w:rsidR="003670E1" w:rsidRPr="00A87FA3" w:rsidRDefault="003D7781" w:rsidP="00111BD2">
      <w:pPr>
        <w:pStyle w:val="Caption"/>
        <w:rPr>
          <w:rFonts w:cs="Arial"/>
        </w:rPr>
      </w:pPr>
      <w:bookmarkStart w:id="50" w:name="_Ref25220465"/>
      <w:bookmarkStart w:id="51" w:name="_Toc91752495"/>
      <w:r w:rsidRPr="00A87FA3">
        <w:rPr>
          <w:rFonts w:cs="Arial"/>
        </w:rPr>
        <w:t xml:space="preserve">Figure </w:t>
      </w:r>
      <w:r w:rsidRPr="00A87FA3">
        <w:rPr>
          <w:rFonts w:cs="Arial"/>
        </w:rPr>
        <w:fldChar w:fldCharType="begin"/>
      </w:r>
      <w:r w:rsidRPr="00A87FA3">
        <w:rPr>
          <w:rFonts w:cs="Arial"/>
        </w:rPr>
        <w:instrText xml:space="preserve"> SEQ Figure \* ARABIC </w:instrText>
      </w:r>
      <w:r w:rsidRPr="00A87FA3">
        <w:rPr>
          <w:rFonts w:cs="Arial"/>
        </w:rPr>
        <w:fldChar w:fldCharType="separate"/>
      </w:r>
      <w:r w:rsidR="0073710A">
        <w:rPr>
          <w:rFonts w:cs="Arial"/>
          <w:noProof/>
        </w:rPr>
        <w:t>11</w:t>
      </w:r>
      <w:r w:rsidRPr="00A87FA3">
        <w:rPr>
          <w:rFonts w:cs="Arial"/>
        </w:rPr>
        <w:fldChar w:fldCharType="end"/>
      </w:r>
      <w:bookmarkEnd w:id="50"/>
      <w:r w:rsidRPr="00A87FA3">
        <w:rPr>
          <w:rFonts w:cs="Arial"/>
        </w:rPr>
        <w:t xml:space="preserve"> Proportion of marketed services provided by reporting countries (Source:  </w:t>
      </w:r>
      <w:r w:rsidR="00E500E5" w:rsidRPr="00A87FA3">
        <w:rPr>
          <w:rFonts w:cs="Arial"/>
        </w:rPr>
        <w:t>Forest Europe, 2015</w:t>
      </w:r>
      <w:r w:rsidRPr="00A87FA3">
        <w:rPr>
          <w:rFonts w:cs="Arial"/>
        </w:rPr>
        <w:t>)</w:t>
      </w:r>
      <w:bookmarkEnd w:id="51"/>
    </w:p>
    <w:p w14:paraId="7BA6AD59" w14:textId="1D8F24C7" w:rsidR="003670E1" w:rsidRPr="00EE5690" w:rsidRDefault="005C1ED4" w:rsidP="00EA2829">
      <w:pPr>
        <w:rPr>
          <w:rFonts w:cs="Arial"/>
          <w:lang w:val="en-GB"/>
        </w:rPr>
      </w:pPr>
      <w:r w:rsidRPr="00EE5690">
        <w:rPr>
          <w:rFonts w:cs="Arial"/>
          <w:lang w:val="en-GB"/>
        </w:rPr>
        <w:lastRenderedPageBreak/>
        <w:t>According to the same report “Although the marketed forest-related services are well identified, the volume of income derived from these services is not known or registered or covers only part of the forest sector (</w:t>
      </w:r>
      <w:proofErr w:type="gramStart"/>
      <w:r w:rsidRPr="00EE5690">
        <w:rPr>
          <w:rFonts w:cs="Arial"/>
          <w:lang w:val="en-GB"/>
        </w:rPr>
        <w:t>e.g.</w:t>
      </w:r>
      <w:proofErr w:type="gramEnd"/>
      <w:r w:rsidRPr="00EE5690">
        <w:rPr>
          <w:rFonts w:cs="Arial"/>
          <w:lang w:val="en-GB"/>
        </w:rPr>
        <w:t xml:space="preserve"> private versus public ownership). As we can see, the </w:t>
      </w:r>
      <w:proofErr w:type="spellStart"/>
      <w:r w:rsidRPr="00EE5690">
        <w:rPr>
          <w:rFonts w:cs="Arial"/>
          <w:lang w:val="en-GB"/>
        </w:rPr>
        <w:t>biospheric</w:t>
      </w:r>
      <w:proofErr w:type="spellEnd"/>
      <w:r w:rsidRPr="00EE5690">
        <w:rPr>
          <w:rFonts w:cs="Arial"/>
          <w:lang w:val="en-GB"/>
        </w:rPr>
        <w:t xml:space="preserve"> and social services dominate the reported data as does the residual category of ‘other </w:t>
      </w:r>
      <w:proofErr w:type="gramStart"/>
      <w:r w:rsidRPr="00EE5690">
        <w:rPr>
          <w:rFonts w:cs="Arial"/>
          <w:lang w:val="en-GB"/>
        </w:rPr>
        <w:t>services’</w:t>
      </w:r>
      <w:proofErr w:type="gramEnd"/>
      <w:r w:rsidRPr="00EE5690">
        <w:rPr>
          <w:rFonts w:cs="Arial"/>
          <w:lang w:val="en-GB"/>
        </w:rPr>
        <w:t>.”</w:t>
      </w:r>
      <w:r w:rsidR="00F13E20" w:rsidRPr="00EE5690">
        <w:rPr>
          <w:rFonts w:cs="Arial"/>
          <w:lang w:val="en-GB"/>
        </w:rPr>
        <w:t xml:space="preserve"> It also denotes that </w:t>
      </w:r>
      <w:r w:rsidR="003175E6" w:rsidRPr="00EE5690">
        <w:rPr>
          <w:rFonts w:cs="Arial"/>
          <w:lang w:val="en-GB"/>
        </w:rPr>
        <w:t xml:space="preserve">hunting and fishing licenses are the best documented marketed services, although data are missing from several countries. Data about hunting licenses and other income related to hunting was reported by approximately half of the reporting countries, since it is one of the most traditional services. </w:t>
      </w:r>
      <w:r w:rsidR="003F6575" w:rsidRPr="00EE5690">
        <w:rPr>
          <w:rFonts w:cs="Arial"/>
          <w:lang w:val="en-GB"/>
        </w:rPr>
        <w:t xml:space="preserve">It is obvious that hunting licenses and related products can provide a significant income to for both public and private landowners. </w:t>
      </w:r>
      <w:r w:rsidR="00C2019A" w:rsidRPr="00EE5690">
        <w:rPr>
          <w:rFonts w:cs="Arial"/>
          <w:lang w:val="en-GB"/>
        </w:rPr>
        <w:t xml:space="preserve">Table 13 </w:t>
      </w:r>
      <w:r w:rsidR="003F6575" w:rsidRPr="00EE5690">
        <w:rPr>
          <w:rFonts w:cs="Arial"/>
          <w:lang w:val="en-GB"/>
        </w:rPr>
        <w:t xml:space="preserve">presents the values for other forest ecosystem services reported by country groups. In addition to hunting licensing, mushroom picking license can also provide a significant source of income to landowners. </w:t>
      </w:r>
      <w:r w:rsidR="003175E6" w:rsidRPr="00EE5690">
        <w:rPr>
          <w:rFonts w:cs="Arial"/>
          <w:lang w:val="en-GB"/>
        </w:rPr>
        <w:t xml:space="preserve"> </w:t>
      </w:r>
    </w:p>
    <w:p w14:paraId="79B24081" w14:textId="532A9009" w:rsidR="002E11D8" w:rsidRPr="00A87FA3" w:rsidRDefault="002E11D8" w:rsidP="00FE6462">
      <w:pPr>
        <w:pStyle w:val="Caption"/>
        <w:keepNext/>
        <w:rPr>
          <w:rFonts w:cs="Arial"/>
          <w:lang w:val="en-US"/>
        </w:rPr>
      </w:pPr>
      <w:bookmarkStart w:id="52" w:name="_Toc91752552"/>
      <w:r w:rsidRPr="00A87FA3">
        <w:rPr>
          <w:rFonts w:cs="Arial"/>
        </w:rPr>
        <w:t xml:space="preserve">Table </w:t>
      </w:r>
      <w:r w:rsidRPr="00A87FA3">
        <w:rPr>
          <w:rFonts w:cs="Arial"/>
        </w:rPr>
        <w:fldChar w:fldCharType="begin"/>
      </w:r>
      <w:r w:rsidRPr="00A87FA3">
        <w:rPr>
          <w:rFonts w:cs="Arial"/>
        </w:rPr>
        <w:instrText xml:space="preserve"> SEQ Table \* ARABIC </w:instrText>
      </w:r>
      <w:r w:rsidRPr="00A87FA3">
        <w:rPr>
          <w:rFonts w:cs="Arial"/>
        </w:rPr>
        <w:fldChar w:fldCharType="separate"/>
      </w:r>
      <w:r w:rsidR="0073710A">
        <w:rPr>
          <w:rFonts w:cs="Arial"/>
          <w:noProof/>
        </w:rPr>
        <w:t>13</w:t>
      </w:r>
      <w:r w:rsidRPr="00A87FA3">
        <w:rPr>
          <w:rFonts w:cs="Arial"/>
        </w:rPr>
        <w:fldChar w:fldCharType="end"/>
      </w:r>
      <w:r w:rsidRPr="00A87FA3">
        <w:rPr>
          <w:rFonts w:cs="Arial"/>
          <w:lang w:val="en-US"/>
        </w:rPr>
        <w:t xml:space="preserve"> Total values for other marketed forest ecosystem services reported by country groups (Source:  Forest Europe, 2015)</w:t>
      </w:r>
      <w:bookmarkEnd w:id="52"/>
    </w:p>
    <w:tbl>
      <w:tblPr>
        <w:tblStyle w:val="ListTable4-Accent5"/>
        <w:tblW w:w="8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5310"/>
      </w:tblGrid>
      <w:tr w:rsidR="003D1ACD" w14:paraId="3548B48C" w14:textId="77777777" w:rsidTr="0022057B">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145" w:type="dxa"/>
            <w:tcBorders>
              <w:top w:val="none" w:sz="0" w:space="0" w:color="auto"/>
              <w:left w:val="none" w:sz="0" w:space="0" w:color="auto"/>
              <w:bottom w:val="none" w:sz="0" w:space="0" w:color="auto"/>
            </w:tcBorders>
            <w:shd w:val="clear" w:color="auto" w:fill="BFBFBF" w:themeFill="background1" w:themeFillShade="BF"/>
            <w:vAlign w:val="center"/>
          </w:tcPr>
          <w:p w14:paraId="001C065F" w14:textId="77777777" w:rsidR="003D1ACD" w:rsidRPr="00947F2C" w:rsidRDefault="003D1ACD" w:rsidP="0022057B">
            <w:pPr>
              <w:spacing w:before="0" w:line="240" w:lineRule="auto"/>
              <w:jc w:val="left"/>
              <w:rPr>
                <w:rFonts w:cs="Arial"/>
                <w:color w:val="auto"/>
                <w:sz w:val="18"/>
                <w:szCs w:val="18"/>
                <w:lang w:val="en-GB"/>
              </w:rPr>
            </w:pPr>
            <w:r w:rsidRPr="00947F2C">
              <w:rPr>
                <w:rFonts w:cs="Arial"/>
                <w:color w:val="auto"/>
                <w:sz w:val="18"/>
                <w:szCs w:val="18"/>
                <w:lang w:val="en-GB"/>
              </w:rPr>
              <w:t>Region</w:t>
            </w:r>
          </w:p>
        </w:tc>
        <w:tc>
          <w:tcPr>
            <w:tcW w:w="5310" w:type="dxa"/>
            <w:tcBorders>
              <w:top w:val="none" w:sz="0" w:space="0" w:color="auto"/>
              <w:bottom w:val="none" w:sz="0" w:space="0" w:color="auto"/>
              <w:right w:val="none" w:sz="0" w:space="0" w:color="auto"/>
            </w:tcBorders>
            <w:shd w:val="clear" w:color="auto" w:fill="BFBFBF" w:themeFill="background1" w:themeFillShade="BF"/>
          </w:tcPr>
          <w:p w14:paraId="4E2D2747" w14:textId="77777777" w:rsidR="003D1ACD" w:rsidRPr="00947F2C" w:rsidRDefault="003D1ACD" w:rsidP="0022057B">
            <w:pPr>
              <w:autoSpaceDE w:val="0"/>
              <w:autoSpaceDN w:val="0"/>
              <w:adjustRightInd w:val="0"/>
              <w:spacing w:before="0" w:line="240" w:lineRule="auto"/>
              <w:jc w:val="left"/>
              <w:cnfStyle w:val="100000000000" w:firstRow="1" w:lastRow="0" w:firstColumn="0" w:lastColumn="0" w:oddVBand="0" w:evenVBand="0" w:oddHBand="0" w:evenHBand="0" w:firstRowFirstColumn="0" w:firstRowLastColumn="0" w:lastRowFirstColumn="0" w:lastRowLastColumn="0"/>
              <w:rPr>
                <w:rFonts w:cs="Arial"/>
                <w:color w:val="auto"/>
                <w:sz w:val="18"/>
                <w:szCs w:val="18"/>
              </w:rPr>
            </w:pPr>
            <w:r w:rsidRPr="00947F2C">
              <w:rPr>
                <w:rFonts w:cs="Arial"/>
                <w:color w:val="auto"/>
                <w:sz w:val="18"/>
                <w:szCs w:val="18"/>
              </w:rPr>
              <w:t>Total reported across services Value 1,000 €</w:t>
            </w:r>
          </w:p>
        </w:tc>
      </w:tr>
      <w:tr w:rsidR="003D1ACD" w14:paraId="7B125202" w14:textId="77777777" w:rsidTr="0022057B">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145" w:type="dxa"/>
            <w:shd w:val="clear" w:color="auto" w:fill="FFFFFF" w:themeFill="background1"/>
            <w:vAlign w:val="center"/>
          </w:tcPr>
          <w:p w14:paraId="41433A59" w14:textId="77777777" w:rsidR="003D1ACD" w:rsidRPr="00FB2B44" w:rsidRDefault="003D1ACD" w:rsidP="0022057B">
            <w:pPr>
              <w:jc w:val="left"/>
              <w:rPr>
                <w:sz w:val="18"/>
                <w:szCs w:val="18"/>
                <w:lang w:val="en-GB"/>
              </w:rPr>
            </w:pPr>
            <w:r w:rsidRPr="00FB2B44">
              <w:rPr>
                <w:sz w:val="18"/>
                <w:szCs w:val="18"/>
                <w:lang w:val="en-GB"/>
              </w:rPr>
              <w:t>North Europe</w:t>
            </w:r>
          </w:p>
        </w:tc>
        <w:tc>
          <w:tcPr>
            <w:tcW w:w="5310" w:type="dxa"/>
            <w:shd w:val="clear" w:color="auto" w:fill="FFFFFF" w:themeFill="background1"/>
            <w:vAlign w:val="center"/>
          </w:tcPr>
          <w:p w14:paraId="4B2239DB" w14:textId="77777777" w:rsidR="003D1ACD" w:rsidRDefault="003D1ACD" w:rsidP="0022057B">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171,118</w:t>
            </w:r>
          </w:p>
        </w:tc>
      </w:tr>
      <w:tr w:rsidR="003D1ACD" w14:paraId="5BB46667" w14:textId="77777777" w:rsidTr="0022057B">
        <w:trPr>
          <w:trHeight w:val="474"/>
        </w:trPr>
        <w:tc>
          <w:tcPr>
            <w:cnfStyle w:val="001000000000" w:firstRow="0" w:lastRow="0" w:firstColumn="1" w:lastColumn="0" w:oddVBand="0" w:evenVBand="0" w:oddHBand="0" w:evenHBand="0" w:firstRowFirstColumn="0" w:firstRowLastColumn="0" w:lastRowFirstColumn="0" w:lastRowLastColumn="0"/>
            <w:tcW w:w="3145" w:type="dxa"/>
            <w:shd w:val="clear" w:color="auto" w:fill="FFFFFF" w:themeFill="background1"/>
            <w:vAlign w:val="center"/>
          </w:tcPr>
          <w:p w14:paraId="08E11390" w14:textId="77777777" w:rsidR="003D1ACD" w:rsidRPr="00FB2B44" w:rsidRDefault="003D1ACD" w:rsidP="0022057B">
            <w:pPr>
              <w:jc w:val="left"/>
              <w:rPr>
                <w:sz w:val="18"/>
                <w:szCs w:val="18"/>
                <w:lang w:val="en-GB"/>
              </w:rPr>
            </w:pPr>
            <w:r w:rsidRPr="00FB2B44">
              <w:rPr>
                <w:sz w:val="18"/>
                <w:szCs w:val="18"/>
                <w:lang w:val="en-GB"/>
              </w:rPr>
              <w:t>Central-West Europe</w:t>
            </w:r>
          </w:p>
        </w:tc>
        <w:tc>
          <w:tcPr>
            <w:tcW w:w="5310" w:type="dxa"/>
            <w:shd w:val="clear" w:color="auto" w:fill="FFFFFF" w:themeFill="background1"/>
          </w:tcPr>
          <w:p w14:paraId="3DB8201A" w14:textId="77777777" w:rsidR="003D1ACD" w:rsidRPr="00FB2B44" w:rsidRDefault="003D1ACD" w:rsidP="0022057B">
            <w:pPr>
              <w:jc w:val="left"/>
              <w:cnfStyle w:val="000000000000" w:firstRow="0" w:lastRow="0" w:firstColumn="0" w:lastColumn="0" w:oddVBand="0" w:evenVBand="0" w:oddHBand="0" w:evenHBand="0" w:firstRowFirstColumn="0" w:firstRowLastColumn="0" w:lastRowFirstColumn="0" w:lastRowLastColumn="0"/>
            </w:pPr>
            <w:r>
              <w:t>204,864</w:t>
            </w:r>
          </w:p>
        </w:tc>
      </w:tr>
      <w:tr w:rsidR="003D1ACD" w14:paraId="39A0E34A" w14:textId="77777777" w:rsidTr="0022057B">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3145" w:type="dxa"/>
            <w:shd w:val="clear" w:color="auto" w:fill="FFFFFF" w:themeFill="background1"/>
            <w:vAlign w:val="center"/>
          </w:tcPr>
          <w:p w14:paraId="32C958E8" w14:textId="77777777" w:rsidR="003D1ACD" w:rsidRPr="00FB2B44" w:rsidRDefault="003D1ACD" w:rsidP="0022057B">
            <w:pPr>
              <w:jc w:val="left"/>
              <w:rPr>
                <w:sz w:val="18"/>
                <w:szCs w:val="18"/>
                <w:lang w:val="en-GB"/>
              </w:rPr>
            </w:pPr>
            <w:r w:rsidRPr="00FB2B44">
              <w:rPr>
                <w:sz w:val="18"/>
                <w:szCs w:val="18"/>
                <w:lang w:val="en-GB"/>
              </w:rPr>
              <w:t>Central-East Europe</w:t>
            </w:r>
          </w:p>
        </w:tc>
        <w:tc>
          <w:tcPr>
            <w:tcW w:w="5310" w:type="dxa"/>
            <w:shd w:val="clear" w:color="auto" w:fill="FFFFFF" w:themeFill="background1"/>
            <w:vAlign w:val="center"/>
          </w:tcPr>
          <w:p w14:paraId="71648DCD" w14:textId="77777777" w:rsidR="003D1ACD" w:rsidRDefault="003D1ACD" w:rsidP="0022057B">
            <w:pPr>
              <w:jc w:val="left"/>
              <w:cnfStyle w:val="000000100000" w:firstRow="0" w:lastRow="0" w:firstColumn="0" w:lastColumn="0" w:oddVBand="0" w:evenVBand="0" w:oddHBand="1" w:evenHBand="0" w:firstRowFirstColumn="0" w:firstRowLastColumn="0" w:lastRowFirstColumn="0" w:lastRowLastColumn="0"/>
              <w:rPr>
                <w:lang w:val="el-GR"/>
              </w:rPr>
            </w:pPr>
            <w:r>
              <w:rPr>
                <w:lang w:val="el-GR"/>
              </w:rPr>
              <w:t>185,582</w:t>
            </w:r>
          </w:p>
        </w:tc>
      </w:tr>
      <w:tr w:rsidR="003D1ACD" w14:paraId="75C25F16" w14:textId="77777777" w:rsidTr="0022057B">
        <w:trPr>
          <w:trHeight w:val="474"/>
        </w:trPr>
        <w:tc>
          <w:tcPr>
            <w:cnfStyle w:val="001000000000" w:firstRow="0" w:lastRow="0" w:firstColumn="1" w:lastColumn="0" w:oddVBand="0" w:evenVBand="0" w:oddHBand="0" w:evenHBand="0" w:firstRowFirstColumn="0" w:firstRowLastColumn="0" w:lastRowFirstColumn="0" w:lastRowLastColumn="0"/>
            <w:tcW w:w="3145" w:type="dxa"/>
            <w:shd w:val="clear" w:color="auto" w:fill="FFFFFF" w:themeFill="background1"/>
            <w:vAlign w:val="center"/>
          </w:tcPr>
          <w:p w14:paraId="6C3C646C" w14:textId="77777777" w:rsidR="003D1ACD" w:rsidRPr="00FB2B44" w:rsidRDefault="003D1ACD" w:rsidP="0022057B">
            <w:pPr>
              <w:jc w:val="left"/>
              <w:rPr>
                <w:sz w:val="18"/>
                <w:szCs w:val="18"/>
                <w:lang w:val="en-GB"/>
              </w:rPr>
            </w:pPr>
            <w:r w:rsidRPr="00FB2B44">
              <w:rPr>
                <w:sz w:val="18"/>
                <w:szCs w:val="18"/>
                <w:lang w:val="en-GB"/>
              </w:rPr>
              <w:t>South-West Europe</w:t>
            </w:r>
          </w:p>
        </w:tc>
        <w:tc>
          <w:tcPr>
            <w:tcW w:w="5310" w:type="dxa"/>
            <w:shd w:val="clear" w:color="auto" w:fill="FFFFFF" w:themeFill="background1"/>
            <w:vAlign w:val="center"/>
          </w:tcPr>
          <w:p w14:paraId="63E57B91" w14:textId="77777777" w:rsidR="003D1ACD" w:rsidRDefault="003D1ACD" w:rsidP="0022057B">
            <w:pPr>
              <w:jc w:val="left"/>
              <w:cnfStyle w:val="000000000000" w:firstRow="0" w:lastRow="0" w:firstColumn="0" w:lastColumn="0" w:oddVBand="0" w:evenVBand="0" w:oddHBand="0" w:evenHBand="0" w:firstRowFirstColumn="0" w:firstRowLastColumn="0" w:lastRowFirstColumn="0" w:lastRowLastColumn="0"/>
              <w:rPr>
                <w:lang w:val="el-GR"/>
              </w:rPr>
            </w:pPr>
            <w:r>
              <w:rPr>
                <w:lang w:val="en-GB"/>
              </w:rPr>
              <w:t>29,636</w:t>
            </w:r>
          </w:p>
        </w:tc>
      </w:tr>
      <w:tr w:rsidR="003D1ACD" w14:paraId="7B3CB789" w14:textId="77777777" w:rsidTr="0022057B">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3145" w:type="dxa"/>
            <w:shd w:val="clear" w:color="auto" w:fill="FFFFFF" w:themeFill="background1"/>
            <w:vAlign w:val="center"/>
          </w:tcPr>
          <w:p w14:paraId="3CC6C109" w14:textId="77777777" w:rsidR="003D1ACD" w:rsidRPr="00FB2B44" w:rsidRDefault="003D1ACD" w:rsidP="0022057B">
            <w:pPr>
              <w:jc w:val="left"/>
              <w:rPr>
                <w:sz w:val="18"/>
                <w:szCs w:val="18"/>
                <w:lang w:val="en-GB"/>
              </w:rPr>
            </w:pPr>
            <w:r w:rsidRPr="00FB2B44">
              <w:rPr>
                <w:sz w:val="18"/>
                <w:szCs w:val="18"/>
                <w:lang w:val="en-GB"/>
              </w:rPr>
              <w:t>South-East Europe</w:t>
            </w:r>
          </w:p>
        </w:tc>
        <w:tc>
          <w:tcPr>
            <w:tcW w:w="5310" w:type="dxa"/>
            <w:shd w:val="clear" w:color="auto" w:fill="FFFFFF" w:themeFill="background1"/>
            <w:vAlign w:val="center"/>
          </w:tcPr>
          <w:p w14:paraId="2FE83B6E" w14:textId="77777777" w:rsidR="003D1ACD" w:rsidRDefault="003D1ACD" w:rsidP="0022057B">
            <w:pPr>
              <w:jc w:val="left"/>
              <w:cnfStyle w:val="000000100000" w:firstRow="0" w:lastRow="0" w:firstColumn="0" w:lastColumn="0" w:oddVBand="0" w:evenVBand="0" w:oddHBand="1" w:evenHBand="0" w:firstRowFirstColumn="0" w:firstRowLastColumn="0" w:lastRowFirstColumn="0" w:lastRowLastColumn="0"/>
              <w:rPr>
                <w:lang w:val="el-GR"/>
              </w:rPr>
            </w:pPr>
            <w:r>
              <w:rPr>
                <w:lang w:val="el-GR"/>
              </w:rPr>
              <w:t>22,215</w:t>
            </w:r>
          </w:p>
        </w:tc>
      </w:tr>
      <w:tr w:rsidR="003D1ACD" w14:paraId="4153A796" w14:textId="77777777" w:rsidTr="0022057B">
        <w:trPr>
          <w:trHeight w:val="474"/>
        </w:trPr>
        <w:tc>
          <w:tcPr>
            <w:cnfStyle w:val="001000000000" w:firstRow="0" w:lastRow="0" w:firstColumn="1" w:lastColumn="0" w:oddVBand="0" w:evenVBand="0" w:oddHBand="0" w:evenHBand="0" w:firstRowFirstColumn="0" w:firstRowLastColumn="0" w:lastRowFirstColumn="0" w:lastRowLastColumn="0"/>
            <w:tcW w:w="3145" w:type="dxa"/>
            <w:shd w:val="clear" w:color="auto" w:fill="FFCCA6" w:themeFill="accent5" w:themeFillTint="66"/>
            <w:vAlign w:val="center"/>
          </w:tcPr>
          <w:p w14:paraId="6359F509" w14:textId="77777777" w:rsidR="003D1ACD" w:rsidRPr="00FB2B44" w:rsidRDefault="003D1ACD" w:rsidP="0022057B">
            <w:pPr>
              <w:jc w:val="left"/>
              <w:rPr>
                <w:sz w:val="18"/>
                <w:szCs w:val="18"/>
                <w:lang w:val="en-GB"/>
              </w:rPr>
            </w:pPr>
            <w:r>
              <w:rPr>
                <w:sz w:val="18"/>
                <w:szCs w:val="18"/>
                <w:lang w:val="en-GB"/>
              </w:rPr>
              <w:t>EU-28</w:t>
            </w:r>
          </w:p>
        </w:tc>
        <w:tc>
          <w:tcPr>
            <w:tcW w:w="5310" w:type="dxa"/>
            <w:shd w:val="clear" w:color="auto" w:fill="FFCCA6" w:themeFill="accent5" w:themeFillTint="66"/>
            <w:vAlign w:val="center"/>
          </w:tcPr>
          <w:p w14:paraId="0D1A3443" w14:textId="77777777" w:rsidR="003D1ACD" w:rsidRDefault="003D1ACD" w:rsidP="0022057B">
            <w:pPr>
              <w:jc w:val="left"/>
              <w:cnfStyle w:val="000000000000" w:firstRow="0" w:lastRow="0" w:firstColumn="0" w:lastColumn="0" w:oddVBand="0" w:evenVBand="0" w:oddHBand="0" w:evenHBand="0" w:firstRowFirstColumn="0" w:firstRowLastColumn="0" w:lastRowFirstColumn="0" w:lastRowLastColumn="0"/>
              <w:rPr>
                <w:lang w:val="en-GB"/>
              </w:rPr>
            </w:pPr>
            <w:r>
              <w:rPr>
                <w:lang w:val="en-GB"/>
              </w:rPr>
              <w:t>546,341</w:t>
            </w:r>
          </w:p>
        </w:tc>
      </w:tr>
      <w:tr w:rsidR="003D1ACD" w14:paraId="1C71CC4C" w14:textId="77777777" w:rsidTr="0022057B">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3145" w:type="dxa"/>
            <w:shd w:val="clear" w:color="auto" w:fill="FFB279" w:themeFill="accent5" w:themeFillTint="99"/>
            <w:vAlign w:val="center"/>
          </w:tcPr>
          <w:p w14:paraId="4150F6A4" w14:textId="77777777" w:rsidR="003D1ACD" w:rsidRPr="00FB2B44" w:rsidRDefault="003D1ACD" w:rsidP="0022057B">
            <w:pPr>
              <w:jc w:val="left"/>
              <w:rPr>
                <w:sz w:val="18"/>
                <w:szCs w:val="18"/>
                <w:lang w:val="en-GB"/>
              </w:rPr>
            </w:pPr>
            <w:r>
              <w:rPr>
                <w:sz w:val="18"/>
                <w:szCs w:val="18"/>
                <w:lang w:val="en-GB"/>
              </w:rPr>
              <w:t>Europe</w:t>
            </w:r>
          </w:p>
        </w:tc>
        <w:tc>
          <w:tcPr>
            <w:tcW w:w="5310" w:type="dxa"/>
            <w:shd w:val="clear" w:color="auto" w:fill="FFB279" w:themeFill="accent5" w:themeFillTint="99"/>
            <w:vAlign w:val="center"/>
          </w:tcPr>
          <w:p w14:paraId="5A12C08D" w14:textId="77777777" w:rsidR="003D1ACD" w:rsidRDefault="003D1ACD" w:rsidP="0022057B">
            <w:pPr>
              <w:jc w:val="left"/>
              <w:cnfStyle w:val="000000100000" w:firstRow="0" w:lastRow="0" w:firstColumn="0" w:lastColumn="0" w:oddVBand="0" w:evenVBand="0" w:oddHBand="1" w:evenHBand="0" w:firstRowFirstColumn="0" w:firstRowLastColumn="0" w:lastRowFirstColumn="0" w:lastRowLastColumn="0"/>
              <w:rPr>
                <w:lang w:val="en-GB"/>
              </w:rPr>
            </w:pPr>
            <w:r>
              <w:rPr>
                <w:lang w:val="en-GB"/>
              </w:rPr>
              <w:t>619,415</w:t>
            </w:r>
          </w:p>
        </w:tc>
      </w:tr>
    </w:tbl>
    <w:p w14:paraId="5EB0BF66" w14:textId="674D20E4" w:rsidR="00B14452" w:rsidRPr="00EE5690" w:rsidRDefault="00B14452" w:rsidP="00EE5690">
      <w:pPr>
        <w:jc w:val="left"/>
        <w:rPr>
          <w:rFonts w:cs="Arial"/>
          <w:lang w:val="en-GB"/>
        </w:rPr>
      </w:pPr>
      <w:r w:rsidRPr="00EE5690">
        <w:rPr>
          <w:rFonts w:cs="Arial"/>
          <w:lang w:val="en-GB"/>
        </w:rPr>
        <w:t>The following table summarize</w:t>
      </w:r>
      <w:r w:rsidR="009F32FE" w:rsidRPr="00EE5690">
        <w:rPr>
          <w:rFonts w:cs="Arial"/>
          <w:lang w:val="en-GB"/>
        </w:rPr>
        <w:t>s</w:t>
      </w:r>
      <w:r w:rsidRPr="00EE5690">
        <w:rPr>
          <w:rFonts w:cs="Arial"/>
          <w:lang w:val="en-GB"/>
        </w:rPr>
        <w:t xml:space="preserve"> the potential sources of income for an afforestation project dedicated to carbon sequestration.</w:t>
      </w:r>
    </w:p>
    <w:p w14:paraId="1D99D676" w14:textId="002FFC2F" w:rsidR="000042EC" w:rsidRPr="00A87FA3" w:rsidRDefault="000042EC" w:rsidP="00FE6462">
      <w:pPr>
        <w:pStyle w:val="Caption"/>
        <w:keepNext/>
        <w:rPr>
          <w:rFonts w:cs="Arial"/>
        </w:rPr>
      </w:pPr>
      <w:bookmarkStart w:id="53" w:name="_Toc91752553"/>
      <w:r w:rsidRPr="00A87FA3">
        <w:rPr>
          <w:rFonts w:cs="Arial"/>
        </w:rPr>
        <w:t xml:space="preserve">Table </w:t>
      </w:r>
      <w:r w:rsidRPr="00A87FA3">
        <w:rPr>
          <w:rFonts w:cs="Arial"/>
        </w:rPr>
        <w:fldChar w:fldCharType="begin"/>
      </w:r>
      <w:r w:rsidRPr="00A87FA3">
        <w:rPr>
          <w:rFonts w:cs="Arial"/>
        </w:rPr>
        <w:instrText xml:space="preserve"> SEQ Table \* ARABIC </w:instrText>
      </w:r>
      <w:r w:rsidRPr="00A87FA3">
        <w:rPr>
          <w:rFonts w:cs="Arial"/>
        </w:rPr>
        <w:fldChar w:fldCharType="separate"/>
      </w:r>
      <w:r w:rsidR="0073710A">
        <w:rPr>
          <w:rFonts w:cs="Arial"/>
          <w:noProof/>
        </w:rPr>
        <w:t>14</w:t>
      </w:r>
      <w:r w:rsidRPr="00A87FA3">
        <w:rPr>
          <w:rFonts w:cs="Arial"/>
        </w:rPr>
        <w:fldChar w:fldCharType="end"/>
      </w:r>
      <w:r w:rsidRPr="00A87FA3">
        <w:rPr>
          <w:rFonts w:cs="Arial"/>
          <w:lang w:val="en-US"/>
        </w:rPr>
        <w:t xml:space="preserve"> Potential Sources of Income</w:t>
      </w:r>
      <w:bookmarkEnd w:id="53"/>
    </w:p>
    <w:tbl>
      <w:tblPr>
        <w:tblStyle w:val="TableGrid"/>
        <w:tblW w:w="0" w:type="auto"/>
        <w:tblLook w:val="04A0" w:firstRow="1" w:lastRow="0" w:firstColumn="1" w:lastColumn="0" w:noHBand="0" w:noVBand="1"/>
      </w:tblPr>
      <w:tblGrid>
        <w:gridCol w:w="4225"/>
        <w:gridCol w:w="1980"/>
        <w:gridCol w:w="2290"/>
      </w:tblGrid>
      <w:tr w:rsidR="00FE6462" w:rsidRPr="006635E4" w14:paraId="266F4485" w14:textId="77777777" w:rsidTr="0022057B">
        <w:tc>
          <w:tcPr>
            <w:tcW w:w="4225" w:type="dxa"/>
            <w:shd w:val="clear" w:color="auto" w:fill="BFBFBF" w:themeFill="background1" w:themeFillShade="BF"/>
          </w:tcPr>
          <w:p w14:paraId="11FF661F" w14:textId="77777777" w:rsidR="00FE6462" w:rsidRPr="006635E4" w:rsidRDefault="00FE6462" w:rsidP="0022057B">
            <w:pPr>
              <w:rPr>
                <w:b/>
                <w:lang w:val="en-GB"/>
              </w:rPr>
            </w:pPr>
            <w:r>
              <w:rPr>
                <w:b/>
                <w:lang w:val="en-GB"/>
              </w:rPr>
              <w:t>Potential Income</w:t>
            </w:r>
          </w:p>
        </w:tc>
        <w:tc>
          <w:tcPr>
            <w:tcW w:w="1980" w:type="dxa"/>
            <w:shd w:val="clear" w:color="auto" w:fill="BFBFBF" w:themeFill="background1" w:themeFillShade="BF"/>
          </w:tcPr>
          <w:p w14:paraId="0DFD7461" w14:textId="77777777" w:rsidR="00FE6462" w:rsidRPr="006635E4" w:rsidRDefault="00FE6462" w:rsidP="0022057B">
            <w:pPr>
              <w:rPr>
                <w:b/>
                <w:lang w:val="en-GB"/>
              </w:rPr>
            </w:pPr>
            <w:r w:rsidRPr="006635E4">
              <w:rPr>
                <w:b/>
                <w:lang w:val="en-GB"/>
              </w:rPr>
              <w:t>Frequency</w:t>
            </w:r>
          </w:p>
        </w:tc>
        <w:tc>
          <w:tcPr>
            <w:tcW w:w="2290" w:type="dxa"/>
            <w:shd w:val="clear" w:color="auto" w:fill="BFBFBF" w:themeFill="background1" w:themeFillShade="BF"/>
          </w:tcPr>
          <w:p w14:paraId="4F66664C" w14:textId="77777777" w:rsidR="00FE6462" w:rsidRPr="006635E4" w:rsidRDefault="00FE6462" w:rsidP="0022057B">
            <w:pPr>
              <w:rPr>
                <w:b/>
                <w:lang w:val="en-GB"/>
              </w:rPr>
            </w:pPr>
            <w:r>
              <w:rPr>
                <w:b/>
                <w:lang w:val="en-GB"/>
              </w:rPr>
              <w:t>Income</w:t>
            </w:r>
          </w:p>
        </w:tc>
      </w:tr>
      <w:tr w:rsidR="00FE6462" w:rsidRPr="006635E4" w14:paraId="14F4830F" w14:textId="77777777" w:rsidTr="0022057B">
        <w:tc>
          <w:tcPr>
            <w:tcW w:w="4225" w:type="dxa"/>
            <w:shd w:val="clear" w:color="auto" w:fill="B4DCFA" w:themeFill="background2"/>
          </w:tcPr>
          <w:p w14:paraId="15A46874" w14:textId="77777777" w:rsidR="00FE6462" w:rsidRPr="000874DD" w:rsidRDefault="00FE6462" w:rsidP="0022057B">
            <w:pPr>
              <w:rPr>
                <w:lang w:val="en-GB"/>
              </w:rPr>
            </w:pPr>
            <w:r>
              <w:rPr>
                <w:lang w:val="en-GB"/>
              </w:rPr>
              <w:t>Carbon Units</w:t>
            </w:r>
          </w:p>
        </w:tc>
        <w:tc>
          <w:tcPr>
            <w:tcW w:w="1980" w:type="dxa"/>
            <w:shd w:val="clear" w:color="auto" w:fill="B4DCFA" w:themeFill="background2"/>
          </w:tcPr>
          <w:p w14:paraId="5F47DE37" w14:textId="77777777" w:rsidR="00FE6462" w:rsidRPr="000874DD" w:rsidRDefault="00FE6462" w:rsidP="0022057B">
            <w:pPr>
              <w:rPr>
                <w:lang w:val="en-GB"/>
              </w:rPr>
            </w:pPr>
            <w:r>
              <w:rPr>
                <w:lang w:val="en-GB"/>
              </w:rPr>
              <w:t>Project lifetime</w:t>
            </w:r>
          </w:p>
        </w:tc>
        <w:tc>
          <w:tcPr>
            <w:tcW w:w="2290" w:type="dxa"/>
            <w:shd w:val="clear" w:color="auto" w:fill="B4DCFA" w:themeFill="background2"/>
          </w:tcPr>
          <w:p w14:paraId="6324C709" w14:textId="77777777" w:rsidR="00FE6462" w:rsidRPr="006635E4" w:rsidRDefault="00FE6462" w:rsidP="0022057B">
            <w:pPr>
              <w:rPr>
                <w:b/>
                <w:lang w:val="en-GB"/>
              </w:rPr>
            </w:pPr>
          </w:p>
        </w:tc>
      </w:tr>
      <w:tr w:rsidR="00FE6462" w:rsidRPr="006635E4" w14:paraId="41A424EA" w14:textId="77777777" w:rsidTr="0022057B">
        <w:tc>
          <w:tcPr>
            <w:tcW w:w="4225" w:type="dxa"/>
            <w:shd w:val="clear" w:color="auto" w:fill="80D219" w:themeFill="accent3" w:themeFillShade="BF"/>
          </w:tcPr>
          <w:p w14:paraId="03548150" w14:textId="77777777" w:rsidR="00FE6462" w:rsidRPr="000874DD" w:rsidRDefault="00FE6462" w:rsidP="0022057B">
            <w:pPr>
              <w:rPr>
                <w:lang w:val="en-GB"/>
              </w:rPr>
            </w:pPr>
            <w:r>
              <w:rPr>
                <w:lang w:val="en-GB"/>
              </w:rPr>
              <w:t>Non-Wood Goods</w:t>
            </w:r>
          </w:p>
        </w:tc>
        <w:tc>
          <w:tcPr>
            <w:tcW w:w="1980" w:type="dxa"/>
            <w:shd w:val="clear" w:color="auto" w:fill="80D219" w:themeFill="accent3" w:themeFillShade="BF"/>
          </w:tcPr>
          <w:p w14:paraId="5BF189A4" w14:textId="77777777" w:rsidR="00FE6462" w:rsidRPr="009F32FE" w:rsidRDefault="00FE6462" w:rsidP="0022057B">
            <w:pPr>
              <w:rPr>
                <w:lang w:val="en-GB"/>
              </w:rPr>
            </w:pPr>
            <w:r w:rsidRPr="009F32FE">
              <w:rPr>
                <w:lang w:val="en-GB"/>
              </w:rPr>
              <w:t>Yearly</w:t>
            </w:r>
          </w:p>
        </w:tc>
        <w:tc>
          <w:tcPr>
            <w:tcW w:w="2290" w:type="dxa"/>
            <w:shd w:val="clear" w:color="auto" w:fill="80D219" w:themeFill="accent3" w:themeFillShade="BF"/>
          </w:tcPr>
          <w:p w14:paraId="5C3A3F88" w14:textId="77777777" w:rsidR="00FE6462" w:rsidRPr="006635E4" w:rsidRDefault="00FE6462" w:rsidP="0022057B">
            <w:pPr>
              <w:rPr>
                <w:b/>
                <w:lang w:val="en-GB"/>
              </w:rPr>
            </w:pPr>
          </w:p>
        </w:tc>
      </w:tr>
      <w:tr w:rsidR="00FE6462" w14:paraId="5CC738F8" w14:textId="77777777" w:rsidTr="0022057B">
        <w:tc>
          <w:tcPr>
            <w:tcW w:w="4225" w:type="dxa"/>
            <w:shd w:val="clear" w:color="auto" w:fill="DBF6B9" w:themeFill="accent3" w:themeFillTint="66"/>
          </w:tcPr>
          <w:p w14:paraId="5128FD0C" w14:textId="77777777" w:rsidR="00FE6462" w:rsidRPr="004366AA" w:rsidRDefault="00FE6462" w:rsidP="0022057B">
            <w:pPr>
              <w:rPr>
                <w:b/>
                <w:lang w:val="en-GB"/>
              </w:rPr>
            </w:pPr>
            <w:r>
              <w:rPr>
                <w:b/>
                <w:lang w:val="en-GB"/>
              </w:rPr>
              <w:t>Services</w:t>
            </w:r>
          </w:p>
        </w:tc>
        <w:tc>
          <w:tcPr>
            <w:tcW w:w="1980" w:type="dxa"/>
            <w:shd w:val="clear" w:color="auto" w:fill="DBF6B9" w:themeFill="accent3" w:themeFillTint="66"/>
          </w:tcPr>
          <w:p w14:paraId="2C809F9C" w14:textId="77777777" w:rsidR="00FE6462" w:rsidRPr="009F32FE" w:rsidRDefault="00FE6462" w:rsidP="0022057B">
            <w:pPr>
              <w:rPr>
                <w:lang w:val="en-GB"/>
              </w:rPr>
            </w:pPr>
            <w:r w:rsidRPr="009F32FE">
              <w:rPr>
                <w:lang w:val="en-GB"/>
              </w:rPr>
              <w:t>Yearly</w:t>
            </w:r>
          </w:p>
        </w:tc>
        <w:tc>
          <w:tcPr>
            <w:tcW w:w="2290" w:type="dxa"/>
            <w:shd w:val="clear" w:color="auto" w:fill="DBF6B9" w:themeFill="accent3" w:themeFillTint="66"/>
          </w:tcPr>
          <w:p w14:paraId="5D77ECE0" w14:textId="77777777" w:rsidR="00FE6462" w:rsidRDefault="00FE6462" w:rsidP="0022057B">
            <w:pPr>
              <w:rPr>
                <w:lang w:val="en-GB"/>
              </w:rPr>
            </w:pPr>
          </w:p>
        </w:tc>
      </w:tr>
      <w:tr w:rsidR="00FE6462" w14:paraId="4CF9D60D" w14:textId="77777777" w:rsidTr="0022057B">
        <w:tc>
          <w:tcPr>
            <w:tcW w:w="4225" w:type="dxa"/>
            <w:shd w:val="clear" w:color="auto" w:fill="DBF6B9" w:themeFill="accent3" w:themeFillTint="66"/>
          </w:tcPr>
          <w:p w14:paraId="61E17C00" w14:textId="77777777" w:rsidR="00FE6462" w:rsidRDefault="00FE6462" w:rsidP="0022057B">
            <w:pPr>
              <w:rPr>
                <w:lang w:val="en-GB"/>
              </w:rPr>
            </w:pPr>
            <w:proofErr w:type="spellStart"/>
            <w:r>
              <w:rPr>
                <w:lang w:val="en-GB"/>
              </w:rPr>
              <w:t>Biospheric</w:t>
            </w:r>
            <w:proofErr w:type="spellEnd"/>
          </w:p>
        </w:tc>
        <w:tc>
          <w:tcPr>
            <w:tcW w:w="1980" w:type="dxa"/>
            <w:shd w:val="clear" w:color="auto" w:fill="DBF6B9" w:themeFill="accent3" w:themeFillTint="66"/>
          </w:tcPr>
          <w:p w14:paraId="225EFA26" w14:textId="77777777" w:rsidR="00FE6462" w:rsidRDefault="00FE6462" w:rsidP="0022057B">
            <w:pPr>
              <w:rPr>
                <w:lang w:val="en-GB"/>
              </w:rPr>
            </w:pPr>
            <w:r w:rsidRPr="009F32FE">
              <w:rPr>
                <w:lang w:val="en-GB"/>
              </w:rPr>
              <w:t>Yearly</w:t>
            </w:r>
          </w:p>
        </w:tc>
        <w:tc>
          <w:tcPr>
            <w:tcW w:w="2290" w:type="dxa"/>
            <w:shd w:val="clear" w:color="auto" w:fill="DBF6B9" w:themeFill="accent3" w:themeFillTint="66"/>
          </w:tcPr>
          <w:p w14:paraId="30AF37BB" w14:textId="77777777" w:rsidR="00FE6462" w:rsidRDefault="00FE6462" w:rsidP="0022057B">
            <w:pPr>
              <w:rPr>
                <w:lang w:val="en-GB"/>
              </w:rPr>
            </w:pPr>
          </w:p>
        </w:tc>
      </w:tr>
      <w:tr w:rsidR="00FE6462" w14:paraId="2980941A" w14:textId="77777777" w:rsidTr="0022057B">
        <w:tc>
          <w:tcPr>
            <w:tcW w:w="4225" w:type="dxa"/>
            <w:shd w:val="clear" w:color="auto" w:fill="DBF6B9" w:themeFill="accent3" w:themeFillTint="66"/>
          </w:tcPr>
          <w:p w14:paraId="279597C0" w14:textId="77777777" w:rsidR="00FE6462" w:rsidRDefault="00FE6462" w:rsidP="0022057B">
            <w:pPr>
              <w:rPr>
                <w:lang w:val="en-GB"/>
              </w:rPr>
            </w:pPr>
            <w:r>
              <w:rPr>
                <w:lang w:val="en-GB"/>
              </w:rPr>
              <w:lastRenderedPageBreak/>
              <w:t xml:space="preserve">Social </w:t>
            </w:r>
          </w:p>
        </w:tc>
        <w:tc>
          <w:tcPr>
            <w:tcW w:w="1980" w:type="dxa"/>
            <w:shd w:val="clear" w:color="auto" w:fill="DBF6B9" w:themeFill="accent3" w:themeFillTint="66"/>
          </w:tcPr>
          <w:p w14:paraId="30EB7139" w14:textId="77777777" w:rsidR="00FE6462" w:rsidRDefault="00FE6462" w:rsidP="0022057B">
            <w:pPr>
              <w:rPr>
                <w:lang w:val="en-GB"/>
              </w:rPr>
            </w:pPr>
            <w:r w:rsidRPr="009F32FE">
              <w:rPr>
                <w:lang w:val="en-GB"/>
              </w:rPr>
              <w:t>Yearly</w:t>
            </w:r>
          </w:p>
        </w:tc>
        <w:tc>
          <w:tcPr>
            <w:tcW w:w="2290" w:type="dxa"/>
            <w:shd w:val="clear" w:color="auto" w:fill="DBF6B9" w:themeFill="accent3" w:themeFillTint="66"/>
          </w:tcPr>
          <w:p w14:paraId="536374B1" w14:textId="77777777" w:rsidR="00FE6462" w:rsidRDefault="00FE6462" w:rsidP="0022057B">
            <w:pPr>
              <w:rPr>
                <w:lang w:val="en-GB"/>
              </w:rPr>
            </w:pPr>
          </w:p>
        </w:tc>
      </w:tr>
      <w:tr w:rsidR="00FE6462" w14:paraId="31BDDDB0" w14:textId="77777777" w:rsidTr="0022057B">
        <w:tc>
          <w:tcPr>
            <w:tcW w:w="4225" w:type="dxa"/>
            <w:shd w:val="clear" w:color="auto" w:fill="DBF6B9" w:themeFill="accent3" w:themeFillTint="66"/>
          </w:tcPr>
          <w:p w14:paraId="44BE6F34" w14:textId="77777777" w:rsidR="00FE6462" w:rsidRDefault="00FE6462" w:rsidP="0022057B">
            <w:pPr>
              <w:rPr>
                <w:lang w:val="en-GB"/>
              </w:rPr>
            </w:pPr>
            <w:r>
              <w:rPr>
                <w:lang w:val="en-GB"/>
              </w:rPr>
              <w:t>Ecological</w:t>
            </w:r>
          </w:p>
        </w:tc>
        <w:tc>
          <w:tcPr>
            <w:tcW w:w="1980" w:type="dxa"/>
            <w:shd w:val="clear" w:color="auto" w:fill="DBF6B9" w:themeFill="accent3" w:themeFillTint="66"/>
          </w:tcPr>
          <w:p w14:paraId="58BCFBD9" w14:textId="77777777" w:rsidR="00FE6462" w:rsidRDefault="00FE6462" w:rsidP="0022057B">
            <w:pPr>
              <w:rPr>
                <w:lang w:val="en-GB"/>
              </w:rPr>
            </w:pPr>
            <w:r w:rsidRPr="009F32FE">
              <w:rPr>
                <w:lang w:val="en-GB"/>
              </w:rPr>
              <w:t>Yearly</w:t>
            </w:r>
          </w:p>
        </w:tc>
        <w:tc>
          <w:tcPr>
            <w:tcW w:w="2290" w:type="dxa"/>
            <w:shd w:val="clear" w:color="auto" w:fill="DBF6B9" w:themeFill="accent3" w:themeFillTint="66"/>
          </w:tcPr>
          <w:p w14:paraId="6516AB7E" w14:textId="77777777" w:rsidR="00FE6462" w:rsidRDefault="00FE6462" w:rsidP="0022057B">
            <w:pPr>
              <w:rPr>
                <w:lang w:val="en-GB"/>
              </w:rPr>
            </w:pPr>
          </w:p>
        </w:tc>
      </w:tr>
      <w:tr w:rsidR="00FE6462" w14:paraId="092B7202" w14:textId="77777777" w:rsidTr="0022057B">
        <w:tc>
          <w:tcPr>
            <w:tcW w:w="4225" w:type="dxa"/>
            <w:tcBorders>
              <w:bottom w:val="single" w:sz="4" w:space="0" w:color="000000" w:themeColor="text1"/>
            </w:tcBorders>
            <w:shd w:val="clear" w:color="auto" w:fill="DBF6B9" w:themeFill="accent3" w:themeFillTint="66"/>
          </w:tcPr>
          <w:p w14:paraId="5BEE6567" w14:textId="77777777" w:rsidR="00FE6462" w:rsidRDefault="00FE6462" w:rsidP="0022057B">
            <w:pPr>
              <w:rPr>
                <w:lang w:val="en-GB"/>
              </w:rPr>
            </w:pPr>
            <w:r>
              <w:rPr>
                <w:lang w:val="en-GB"/>
              </w:rPr>
              <w:t>Other services</w:t>
            </w:r>
          </w:p>
        </w:tc>
        <w:tc>
          <w:tcPr>
            <w:tcW w:w="1980" w:type="dxa"/>
            <w:tcBorders>
              <w:bottom w:val="single" w:sz="4" w:space="0" w:color="000000" w:themeColor="text1"/>
            </w:tcBorders>
            <w:shd w:val="clear" w:color="auto" w:fill="DBF6B9" w:themeFill="accent3" w:themeFillTint="66"/>
          </w:tcPr>
          <w:p w14:paraId="63B510A9" w14:textId="77777777" w:rsidR="00FE6462" w:rsidRDefault="00FE6462" w:rsidP="0022057B">
            <w:pPr>
              <w:rPr>
                <w:lang w:val="en-GB"/>
              </w:rPr>
            </w:pPr>
            <w:r w:rsidRPr="009F32FE">
              <w:rPr>
                <w:lang w:val="en-GB"/>
              </w:rPr>
              <w:t>Yearly</w:t>
            </w:r>
          </w:p>
        </w:tc>
        <w:tc>
          <w:tcPr>
            <w:tcW w:w="2290" w:type="dxa"/>
            <w:tcBorders>
              <w:bottom w:val="single" w:sz="4" w:space="0" w:color="000000" w:themeColor="text1"/>
            </w:tcBorders>
            <w:shd w:val="clear" w:color="auto" w:fill="DBF6B9" w:themeFill="accent3" w:themeFillTint="66"/>
          </w:tcPr>
          <w:p w14:paraId="344D00FB" w14:textId="77777777" w:rsidR="00FE6462" w:rsidRDefault="00FE6462" w:rsidP="0022057B">
            <w:pPr>
              <w:rPr>
                <w:lang w:val="en-GB"/>
              </w:rPr>
            </w:pPr>
          </w:p>
        </w:tc>
      </w:tr>
    </w:tbl>
    <w:p w14:paraId="74357487" w14:textId="2F434A72" w:rsidR="00A95D5D" w:rsidRPr="00EE5690" w:rsidRDefault="00634DFA" w:rsidP="00EE5690">
      <w:pPr>
        <w:jc w:val="left"/>
        <w:rPr>
          <w:rFonts w:cs="Arial"/>
          <w:lang w:val="en-GB"/>
        </w:rPr>
      </w:pPr>
      <w:r w:rsidRPr="00EE5690">
        <w:rPr>
          <w:rFonts w:cs="Arial"/>
          <w:lang w:val="en-GB"/>
        </w:rPr>
        <w:t xml:space="preserve">The following table presents a generic financial assessment calculation and monitoring for the implementation of an afforestation project. </w:t>
      </w:r>
    </w:p>
    <w:p w14:paraId="17732C10" w14:textId="6871377C" w:rsidR="000042EC" w:rsidRPr="00A87FA3" w:rsidRDefault="000042EC" w:rsidP="00FE6462">
      <w:pPr>
        <w:pStyle w:val="Caption"/>
        <w:keepNext/>
        <w:rPr>
          <w:rFonts w:cs="Arial"/>
          <w:lang w:val="el-GR"/>
        </w:rPr>
      </w:pPr>
      <w:bookmarkStart w:id="54" w:name="_Toc91752554"/>
      <w:r w:rsidRPr="00A87FA3">
        <w:rPr>
          <w:rFonts w:cs="Arial"/>
        </w:rPr>
        <w:t xml:space="preserve">Table </w:t>
      </w:r>
      <w:r w:rsidRPr="00A87FA3">
        <w:rPr>
          <w:rFonts w:cs="Arial"/>
        </w:rPr>
        <w:fldChar w:fldCharType="begin"/>
      </w:r>
      <w:r w:rsidRPr="00A87FA3">
        <w:rPr>
          <w:rFonts w:cs="Arial"/>
        </w:rPr>
        <w:instrText xml:space="preserve"> SEQ Table \* ARABIC </w:instrText>
      </w:r>
      <w:r w:rsidRPr="00A87FA3">
        <w:rPr>
          <w:rFonts w:cs="Arial"/>
        </w:rPr>
        <w:fldChar w:fldCharType="separate"/>
      </w:r>
      <w:r w:rsidR="0073710A">
        <w:rPr>
          <w:rFonts w:cs="Arial"/>
          <w:noProof/>
        </w:rPr>
        <w:t>15</w:t>
      </w:r>
      <w:r w:rsidRPr="00A87FA3">
        <w:rPr>
          <w:rFonts w:cs="Arial"/>
        </w:rPr>
        <w:fldChar w:fldCharType="end"/>
      </w:r>
      <w:r w:rsidRPr="00A87FA3">
        <w:rPr>
          <w:rFonts w:cs="Arial"/>
          <w:lang w:val="el-GR"/>
        </w:rPr>
        <w:t xml:space="preserve"> </w:t>
      </w:r>
      <w:proofErr w:type="spellStart"/>
      <w:r w:rsidRPr="00A87FA3">
        <w:rPr>
          <w:rFonts w:cs="Arial"/>
          <w:lang w:val="el-GR"/>
        </w:rPr>
        <w:t>Generic</w:t>
      </w:r>
      <w:proofErr w:type="spellEnd"/>
      <w:r w:rsidRPr="00A87FA3">
        <w:rPr>
          <w:rFonts w:cs="Arial"/>
          <w:lang w:val="el-GR"/>
        </w:rPr>
        <w:t xml:space="preserve"> </w:t>
      </w:r>
      <w:proofErr w:type="spellStart"/>
      <w:r w:rsidRPr="00A87FA3">
        <w:rPr>
          <w:rFonts w:cs="Arial"/>
          <w:lang w:val="el-GR"/>
        </w:rPr>
        <w:t>Financial</w:t>
      </w:r>
      <w:proofErr w:type="spellEnd"/>
      <w:r w:rsidRPr="00A87FA3">
        <w:rPr>
          <w:rFonts w:cs="Arial"/>
          <w:lang w:val="el-GR"/>
        </w:rPr>
        <w:t xml:space="preserve"> </w:t>
      </w:r>
      <w:proofErr w:type="spellStart"/>
      <w:r w:rsidRPr="00A87FA3">
        <w:rPr>
          <w:rFonts w:cs="Arial"/>
          <w:lang w:val="el-GR"/>
        </w:rPr>
        <w:t>Assessment</w:t>
      </w:r>
      <w:bookmarkEnd w:id="54"/>
      <w:proofErr w:type="spellEnd"/>
    </w:p>
    <w:tbl>
      <w:tblPr>
        <w:tblStyle w:val="TableGrid"/>
        <w:tblW w:w="0" w:type="auto"/>
        <w:jc w:val="center"/>
        <w:tblLook w:val="04A0" w:firstRow="1" w:lastRow="0" w:firstColumn="1" w:lastColumn="0" w:noHBand="0" w:noVBand="1"/>
      </w:tblPr>
      <w:tblGrid>
        <w:gridCol w:w="3505"/>
        <w:gridCol w:w="1080"/>
        <w:gridCol w:w="2340"/>
        <w:gridCol w:w="1228"/>
      </w:tblGrid>
      <w:tr w:rsidR="00B76C97" w14:paraId="0BCCEDAC" w14:textId="77777777" w:rsidTr="0022057B">
        <w:trPr>
          <w:jc w:val="center"/>
        </w:trPr>
        <w:tc>
          <w:tcPr>
            <w:tcW w:w="4585" w:type="dxa"/>
            <w:gridSpan w:val="2"/>
            <w:shd w:val="clear" w:color="auto" w:fill="FF0000"/>
          </w:tcPr>
          <w:p w14:paraId="1AAF57F1" w14:textId="77777777" w:rsidR="00B76C97" w:rsidRPr="00732D1D" w:rsidRDefault="00B76C97" w:rsidP="0022057B">
            <w:pPr>
              <w:jc w:val="center"/>
              <w:rPr>
                <w:b/>
                <w:lang w:val="en-GB"/>
              </w:rPr>
            </w:pPr>
            <w:r w:rsidRPr="00732D1D">
              <w:rPr>
                <w:b/>
                <w:lang w:val="en-GB"/>
              </w:rPr>
              <w:t>Costs (-)</w:t>
            </w:r>
          </w:p>
        </w:tc>
        <w:tc>
          <w:tcPr>
            <w:tcW w:w="3568" w:type="dxa"/>
            <w:gridSpan w:val="2"/>
            <w:shd w:val="clear" w:color="auto" w:fill="92D050"/>
          </w:tcPr>
          <w:p w14:paraId="53CD734B" w14:textId="77777777" w:rsidR="00B76C97" w:rsidRPr="00732D1D" w:rsidRDefault="00B76C97" w:rsidP="0022057B">
            <w:pPr>
              <w:jc w:val="center"/>
              <w:rPr>
                <w:b/>
                <w:lang w:val="en-GB"/>
              </w:rPr>
            </w:pPr>
            <w:r w:rsidRPr="00732D1D">
              <w:rPr>
                <w:b/>
                <w:lang w:val="en-GB"/>
              </w:rPr>
              <w:t>Income (+)</w:t>
            </w:r>
          </w:p>
        </w:tc>
      </w:tr>
      <w:tr w:rsidR="00B76C97" w:rsidRPr="00FE2243" w14:paraId="192813EA" w14:textId="77777777" w:rsidTr="0022057B">
        <w:trPr>
          <w:jc w:val="center"/>
        </w:trPr>
        <w:tc>
          <w:tcPr>
            <w:tcW w:w="3505" w:type="dxa"/>
            <w:shd w:val="clear" w:color="auto" w:fill="D9D9D9" w:themeFill="background1" w:themeFillShade="D9"/>
          </w:tcPr>
          <w:p w14:paraId="4FC6A8C3" w14:textId="77777777" w:rsidR="00B76C97" w:rsidRPr="00FE2243" w:rsidRDefault="00B76C97" w:rsidP="0022057B">
            <w:pPr>
              <w:rPr>
                <w:b/>
                <w:lang w:val="en-GB"/>
              </w:rPr>
            </w:pPr>
            <w:r w:rsidRPr="00FE2243">
              <w:rPr>
                <w:b/>
                <w:lang w:val="en-GB"/>
              </w:rPr>
              <w:t>Type</w:t>
            </w:r>
          </w:p>
        </w:tc>
        <w:tc>
          <w:tcPr>
            <w:tcW w:w="1080" w:type="dxa"/>
            <w:shd w:val="clear" w:color="auto" w:fill="D9D9D9" w:themeFill="background1" w:themeFillShade="D9"/>
          </w:tcPr>
          <w:p w14:paraId="13453369" w14:textId="77777777" w:rsidR="00B76C97" w:rsidRPr="00FE2243" w:rsidRDefault="00B76C97" w:rsidP="0022057B">
            <w:pPr>
              <w:rPr>
                <w:b/>
                <w:lang w:val="en-GB"/>
              </w:rPr>
            </w:pPr>
            <w:r w:rsidRPr="00FE2243">
              <w:rPr>
                <w:b/>
                <w:lang w:val="en-GB"/>
              </w:rPr>
              <w:t>Value</w:t>
            </w:r>
          </w:p>
        </w:tc>
        <w:tc>
          <w:tcPr>
            <w:tcW w:w="2340" w:type="dxa"/>
            <w:shd w:val="clear" w:color="auto" w:fill="D9D9D9" w:themeFill="background1" w:themeFillShade="D9"/>
          </w:tcPr>
          <w:p w14:paraId="60D1EC34" w14:textId="77777777" w:rsidR="00B76C97" w:rsidRPr="00FE2243" w:rsidRDefault="00B76C97" w:rsidP="0022057B">
            <w:pPr>
              <w:rPr>
                <w:b/>
                <w:lang w:val="en-GB"/>
              </w:rPr>
            </w:pPr>
            <w:r w:rsidRPr="00FE2243">
              <w:rPr>
                <w:b/>
                <w:lang w:val="en-GB"/>
              </w:rPr>
              <w:t>Type</w:t>
            </w:r>
          </w:p>
        </w:tc>
        <w:tc>
          <w:tcPr>
            <w:tcW w:w="1228" w:type="dxa"/>
            <w:shd w:val="clear" w:color="auto" w:fill="D9D9D9" w:themeFill="background1" w:themeFillShade="D9"/>
          </w:tcPr>
          <w:p w14:paraId="705F7568" w14:textId="77777777" w:rsidR="00B76C97" w:rsidRPr="00FE2243" w:rsidRDefault="00B76C97" w:rsidP="0022057B">
            <w:pPr>
              <w:rPr>
                <w:b/>
                <w:lang w:val="en-GB"/>
              </w:rPr>
            </w:pPr>
            <w:r w:rsidRPr="00FE2243">
              <w:rPr>
                <w:b/>
                <w:lang w:val="en-GB"/>
              </w:rPr>
              <w:t>Value</w:t>
            </w:r>
          </w:p>
        </w:tc>
      </w:tr>
      <w:tr w:rsidR="00B76C97" w14:paraId="288343E1" w14:textId="77777777" w:rsidTr="0022057B">
        <w:trPr>
          <w:jc w:val="center"/>
        </w:trPr>
        <w:tc>
          <w:tcPr>
            <w:tcW w:w="3505" w:type="dxa"/>
          </w:tcPr>
          <w:p w14:paraId="3190B8AC" w14:textId="77777777" w:rsidR="00B76C97" w:rsidRDefault="00B76C97" w:rsidP="0022057B">
            <w:pPr>
              <w:rPr>
                <w:lang w:val="en-GB"/>
              </w:rPr>
            </w:pPr>
            <w:r w:rsidRPr="00FE2243">
              <w:rPr>
                <w:lang w:val="en-GB"/>
              </w:rPr>
              <w:t>Permissions</w:t>
            </w:r>
          </w:p>
        </w:tc>
        <w:tc>
          <w:tcPr>
            <w:tcW w:w="1080" w:type="dxa"/>
          </w:tcPr>
          <w:p w14:paraId="18096EF6" w14:textId="77777777" w:rsidR="00B76C97" w:rsidRDefault="00B76C97" w:rsidP="0022057B">
            <w:pPr>
              <w:rPr>
                <w:lang w:val="en-GB"/>
              </w:rPr>
            </w:pPr>
          </w:p>
        </w:tc>
        <w:tc>
          <w:tcPr>
            <w:tcW w:w="2340" w:type="dxa"/>
          </w:tcPr>
          <w:p w14:paraId="3CF289FE" w14:textId="77777777" w:rsidR="00B76C97" w:rsidRDefault="00B76C97" w:rsidP="0022057B">
            <w:pPr>
              <w:rPr>
                <w:lang w:val="en-GB"/>
              </w:rPr>
            </w:pPr>
            <w:r>
              <w:rPr>
                <w:lang w:val="en-GB"/>
              </w:rPr>
              <w:t>Carbon Units</w:t>
            </w:r>
          </w:p>
        </w:tc>
        <w:tc>
          <w:tcPr>
            <w:tcW w:w="1228" w:type="dxa"/>
          </w:tcPr>
          <w:p w14:paraId="3FA498B6" w14:textId="77777777" w:rsidR="00B76C97" w:rsidRDefault="00B76C97" w:rsidP="0022057B">
            <w:pPr>
              <w:rPr>
                <w:lang w:val="en-GB"/>
              </w:rPr>
            </w:pPr>
          </w:p>
        </w:tc>
      </w:tr>
      <w:tr w:rsidR="00B76C97" w14:paraId="060443E6" w14:textId="77777777" w:rsidTr="0022057B">
        <w:trPr>
          <w:jc w:val="center"/>
        </w:trPr>
        <w:tc>
          <w:tcPr>
            <w:tcW w:w="3505" w:type="dxa"/>
          </w:tcPr>
          <w:p w14:paraId="4ECFC656" w14:textId="77777777" w:rsidR="00B76C97" w:rsidRDefault="00B76C97" w:rsidP="0022057B">
            <w:pPr>
              <w:rPr>
                <w:lang w:val="en-GB"/>
              </w:rPr>
            </w:pPr>
            <w:r w:rsidRPr="00FE2243">
              <w:rPr>
                <w:lang w:val="en-GB"/>
              </w:rPr>
              <w:t>Accreditation</w:t>
            </w:r>
          </w:p>
        </w:tc>
        <w:tc>
          <w:tcPr>
            <w:tcW w:w="1080" w:type="dxa"/>
          </w:tcPr>
          <w:p w14:paraId="13F8A28B" w14:textId="77777777" w:rsidR="00B76C97" w:rsidRDefault="00B76C97" w:rsidP="0022057B">
            <w:pPr>
              <w:rPr>
                <w:lang w:val="en-GB"/>
              </w:rPr>
            </w:pPr>
          </w:p>
        </w:tc>
        <w:tc>
          <w:tcPr>
            <w:tcW w:w="2340" w:type="dxa"/>
          </w:tcPr>
          <w:p w14:paraId="4480650B" w14:textId="77777777" w:rsidR="00B76C97" w:rsidRDefault="00B76C97" w:rsidP="0022057B">
            <w:pPr>
              <w:rPr>
                <w:lang w:val="en-GB"/>
              </w:rPr>
            </w:pPr>
            <w:r>
              <w:rPr>
                <w:lang w:val="en-GB"/>
              </w:rPr>
              <w:t>Non-Wood Goods</w:t>
            </w:r>
          </w:p>
        </w:tc>
        <w:tc>
          <w:tcPr>
            <w:tcW w:w="1228" w:type="dxa"/>
          </w:tcPr>
          <w:p w14:paraId="0CB139D4" w14:textId="77777777" w:rsidR="00B76C97" w:rsidRDefault="00B76C97" w:rsidP="0022057B">
            <w:pPr>
              <w:rPr>
                <w:lang w:val="en-GB"/>
              </w:rPr>
            </w:pPr>
          </w:p>
        </w:tc>
      </w:tr>
      <w:tr w:rsidR="00B76C97" w14:paraId="79B6BFD3" w14:textId="77777777" w:rsidTr="0022057B">
        <w:trPr>
          <w:jc w:val="center"/>
        </w:trPr>
        <w:tc>
          <w:tcPr>
            <w:tcW w:w="3505" w:type="dxa"/>
          </w:tcPr>
          <w:p w14:paraId="6CAD85C6" w14:textId="77777777" w:rsidR="00B76C97" w:rsidRDefault="00B76C97" w:rsidP="0022057B">
            <w:pPr>
              <w:rPr>
                <w:lang w:val="en-GB"/>
              </w:rPr>
            </w:pPr>
            <w:r w:rsidRPr="00FE2243">
              <w:rPr>
                <w:lang w:val="en-GB"/>
              </w:rPr>
              <w:t>Afforestation implementation plan</w:t>
            </w:r>
          </w:p>
        </w:tc>
        <w:tc>
          <w:tcPr>
            <w:tcW w:w="1080" w:type="dxa"/>
          </w:tcPr>
          <w:p w14:paraId="57F1F81C" w14:textId="77777777" w:rsidR="00B76C97" w:rsidRDefault="00B76C97" w:rsidP="0022057B">
            <w:pPr>
              <w:rPr>
                <w:lang w:val="en-GB"/>
              </w:rPr>
            </w:pPr>
          </w:p>
        </w:tc>
        <w:tc>
          <w:tcPr>
            <w:tcW w:w="2340" w:type="dxa"/>
          </w:tcPr>
          <w:p w14:paraId="78C83BAF" w14:textId="77777777" w:rsidR="00B76C97" w:rsidRDefault="00B76C97" w:rsidP="0022057B">
            <w:pPr>
              <w:rPr>
                <w:lang w:val="en-GB"/>
              </w:rPr>
            </w:pPr>
            <w:proofErr w:type="spellStart"/>
            <w:r>
              <w:rPr>
                <w:lang w:val="en-GB"/>
              </w:rPr>
              <w:t>Biospheric</w:t>
            </w:r>
            <w:proofErr w:type="spellEnd"/>
            <w:r>
              <w:rPr>
                <w:lang w:val="en-GB"/>
              </w:rPr>
              <w:t xml:space="preserve"> Services</w:t>
            </w:r>
          </w:p>
        </w:tc>
        <w:tc>
          <w:tcPr>
            <w:tcW w:w="1228" w:type="dxa"/>
          </w:tcPr>
          <w:p w14:paraId="34A6AFE5" w14:textId="77777777" w:rsidR="00B76C97" w:rsidRDefault="00B76C97" w:rsidP="0022057B">
            <w:pPr>
              <w:rPr>
                <w:lang w:val="en-GB"/>
              </w:rPr>
            </w:pPr>
          </w:p>
        </w:tc>
      </w:tr>
      <w:tr w:rsidR="00B76C97" w14:paraId="2EFD1277" w14:textId="77777777" w:rsidTr="0022057B">
        <w:trPr>
          <w:jc w:val="center"/>
        </w:trPr>
        <w:tc>
          <w:tcPr>
            <w:tcW w:w="3505" w:type="dxa"/>
          </w:tcPr>
          <w:p w14:paraId="72EA0779" w14:textId="77777777" w:rsidR="00B76C97" w:rsidRDefault="00B76C97" w:rsidP="0022057B">
            <w:pPr>
              <w:rPr>
                <w:lang w:val="en-GB"/>
              </w:rPr>
            </w:pPr>
            <w:r w:rsidRPr="00FE2243">
              <w:rPr>
                <w:lang w:val="en-GB"/>
              </w:rPr>
              <w:t xml:space="preserve">Land </w:t>
            </w:r>
            <w:r>
              <w:rPr>
                <w:lang w:val="en-GB"/>
              </w:rPr>
              <w:t>Cost</w:t>
            </w:r>
          </w:p>
        </w:tc>
        <w:tc>
          <w:tcPr>
            <w:tcW w:w="1080" w:type="dxa"/>
          </w:tcPr>
          <w:p w14:paraId="172D96AF" w14:textId="77777777" w:rsidR="00B76C97" w:rsidRDefault="00B76C97" w:rsidP="0022057B">
            <w:pPr>
              <w:rPr>
                <w:lang w:val="en-GB"/>
              </w:rPr>
            </w:pPr>
          </w:p>
        </w:tc>
        <w:tc>
          <w:tcPr>
            <w:tcW w:w="2340" w:type="dxa"/>
          </w:tcPr>
          <w:p w14:paraId="4AFA7670" w14:textId="77777777" w:rsidR="00B76C97" w:rsidRDefault="00B76C97" w:rsidP="0022057B">
            <w:pPr>
              <w:rPr>
                <w:lang w:val="en-GB"/>
              </w:rPr>
            </w:pPr>
            <w:r>
              <w:rPr>
                <w:lang w:val="en-GB"/>
              </w:rPr>
              <w:t>Social Services</w:t>
            </w:r>
          </w:p>
        </w:tc>
        <w:tc>
          <w:tcPr>
            <w:tcW w:w="1228" w:type="dxa"/>
          </w:tcPr>
          <w:p w14:paraId="059E8FBE" w14:textId="77777777" w:rsidR="00B76C97" w:rsidRDefault="00B76C97" w:rsidP="0022057B">
            <w:pPr>
              <w:rPr>
                <w:lang w:val="en-GB"/>
              </w:rPr>
            </w:pPr>
          </w:p>
        </w:tc>
      </w:tr>
      <w:tr w:rsidR="00B76C97" w14:paraId="7452A4C8" w14:textId="77777777" w:rsidTr="0022057B">
        <w:trPr>
          <w:jc w:val="center"/>
        </w:trPr>
        <w:tc>
          <w:tcPr>
            <w:tcW w:w="3505" w:type="dxa"/>
          </w:tcPr>
          <w:p w14:paraId="3DBA19AD" w14:textId="77777777" w:rsidR="00B76C97" w:rsidRDefault="00B76C97" w:rsidP="0022057B">
            <w:pPr>
              <w:rPr>
                <w:lang w:val="en-GB"/>
              </w:rPr>
            </w:pPr>
            <w:r>
              <w:rPr>
                <w:lang w:val="en-GB"/>
              </w:rPr>
              <w:t>E</w:t>
            </w:r>
            <w:r w:rsidRPr="00FE2243">
              <w:rPr>
                <w:lang w:val="en-GB"/>
              </w:rPr>
              <w:t>stablishment</w:t>
            </w:r>
          </w:p>
        </w:tc>
        <w:tc>
          <w:tcPr>
            <w:tcW w:w="1080" w:type="dxa"/>
          </w:tcPr>
          <w:p w14:paraId="2777CF66" w14:textId="77777777" w:rsidR="00B76C97" w:rsidRDefault="00B76C97" w:rsidP="0022057B">
            <w:pPr>
              <w:rPr>
                <w:lang w:val="en-GB"/>
              </w:rPr>
            </w:pPr>
          </w:p>
        </w:tc>
        <w:tc>
          <w:tcPr>
            <w:tcW w:w="2340" w:type="dxa"/>
          </w:tcPr>
          <w:p w14:paraId="3A5C55D2" w14:textId="77777777" w:rsidR="00B76C97" w:rsidRDefault="00B76C97" w:rsidP="0022057B">
            <w:pPr>
              <w:rPr>
                <w:lang w:val="en-GB"/>
              </w:rPr>
            </w:pPr>
            <w:r>
              <w:rPr>
                <w:lang w:val="en-GB"/>
              </w:rPr>
              <w:t>Ecological Services</w:t>
            </w:r>
          </w:p>
        </w:tc>
        <w:tc>
          <w:tcPr>
            <w:tcW w:w="1228" w:type="dxa"/>
          </w:tcPr>
          <w:p w14:paraId="035523FF" w14:textId="77777777" w:rsidR="00B76C97" w:rsidRDefault="00B76C97" w:rsidP="0022057B">
            <w:pPr>
              <w:rPr>
                <w:lang w:val="en-GB"/>
              </w:rPr>
            </w:pPr>
          </w:p>
        </w:tc>
      </w:tr>
      <w:tr w:rsidR="00B76C97" w14:paraId="6AF96597" w14:textId="77777777" w:rsidTr="0022057B">
        <w:trPr>
          <w:jc w:val="center"/>
        </w:trPr>
        <w:tc>
          <w:tcPr>
            <w:tcW w:w="3505" w:type="dxa"/>
          </w:tcPr>
          <w:p w14:paraId="218880E0" w14:textId="77777777" w:rsidR="00B76C97" w:rsidRDefault="00B76C97" w:rsidP="0022057B">
            <w:pPr>
              <w:rPr>
                <w:lang w:val="en-GB"/>
              </w:rPr>
            </w:pPr>
            <w:r w:rsidRPr="00FE2243">
              <w:rPr>
                <w:lang w:val="en-GB"/>
              </w:rPr>
              <w:t>Management/Maintenance cost</w:t>
            </w:r>
            <w:r>
              <w:rPr>
                <w:lang w:val="en-GB"/>
              </w:rPr>
              <w:t>s</w:t>
            </w:r>
          </w:p>
        </w:tc>
        <w:tc>
          <w:tcPr>
            <w:tcW w:w="1080" w:type="dxa"/>
          </w:tcPr>
          <w:p w14:paraId="0CC4D14B" w14:textId="77777777" w:rsidR="00B76C97" w:rsidRDefault="00B76C97" w:rsidP="0022057B">
            <w:pPr>
              <w:rPr>
                <w:lang w:val="en-GB"/>
              </w:rPr>
            </w:pPr>
          </w:p>
        </w:tc>
        <w:tc>
          <w:tcPr>
            <w:tcW w:w="2340" w:type="dxa"/>
          </w:tcPr>
          <w:p w14:paraId="759DDB65" w14:textId="77777777" w:rsidR="00B76C97" w:rsidRDefault="00B76C97" w:rsidP="0022057B">
            <w:pPr>
              <w:rPr>
                <w:lang w:val="en-GB"/>
              </w:rPr>
            </w:pPr>
            <w:r>
              <w:rPr>
                <w:lang w:val="en-GB"/>
              </w:rPr>
              <w:t>Other Services</w:t>
            </w:r>
          </w:p>
        </w:tc>
        <w:tc>
          <w:tcPr>
            <w:tcW w:w="1228" w:type="dxa"/>
          </w:tcPr>
          <w:p w14:paraId="43F6B7E3" w14:textId="77777777" w:rsidR="00B76C97" w:rsidRDefault="00B76C97" w:rsidP="0022057B">
            <w:pPr>
              <w:rPr>
                <w:lang w:val="en-GB"/>
              </w:rPr>
            </w:pPr>
          </w:p>
        </w:tc>
      </w:tr>
      <w:tr w:rsidR="00B76C97" w14:paraId="5B2ED12B" w14:textId="77777777" w:rsidTr="0022057B">
        <w:trPr>
          <w:jc w:val="center"/>
        </w:trPr>
        <w:tc>
          <w:tcPr>
            <w:tcW w:w="3505" w:type="dxa"/>
            <w:shd w:val="clear" w:color="auto" w:fill="BFBFBF" w:themeFill="background1" w:themeFillShade="BF"/>
          </w:tcPr>
          <w:p w14:paraId="7CBB41CC" w14:textId="77777777" w:rsidR="00B76C97" w:rsidRPr="00FE2243" w:rsidRDefault="00B76C97" w:rsidP="0022057B">
            <w:pPr>
              <w:rPr>
                <w:b/>
                <w:sz w:val="24"/>
                <w:szCs w:val="24"/>
                <w:lang w:val="en-GB"/>
              </w:rPr>
            </w:pPr>
            <w:r w:rsidRPr="00FE2243">
              <w:rPr>
                <w:b/>
                <w:sz w:val="24"/>
                <w:szCs w:val="24"/>
                <w:lang w:val="en-GB"/>
              </w:rPr>
              <w:t>Total</w:t>
            </w:r>
          </w:p>
        </w:tc>
        <w:tc>
          <w:tcPr>
            <w:tcW w:w="1080" w:type="dxa"/>
            <w:shd w:val="clear" w:color="auto" w:fill="FF0000"/>
          </w:tcPr>
          <w:p w14:paraId="36D81756" w14:textId="77777777" w:rsidR="00B76C97" w:rsidRDefault="00B76C97" w:rsidP="0022057B">
            <w:pPr>
              <w:rPr>
                <w:lang w:val="en-GB"/>
              </w:rPr>
            </w:pPr>
          </w:p>
        </w:tc>
        <w:tc>
          <w:tcPr>
            <w:tcW w:w="2340" w:type="dxa"/>
            <w:shd w:val="clear" w:color="auto" w:fill="BFBFBF" w:themeFill="background1" w:themeFillShade="BF"/>
          </w:tcPr>
          <w:p w14:paraId="1B040B32" w14:textId="77777777" w:rsidR="00B76C97" w:rsidRDefault="00B76C97" w:rsidP="0022057B">
            <w:pPr>
              <w:rPr>
                <w:lang w:val="en-GB"/>
              </w:rPr>
            </w:pPr>
          </w:p>
        </w:tc>
        <w:tc>
          <w:tcPr>
            <w:tcW w:w="1228" w:type="dxa"/>
            <w:shd w:val="clear" w:color="auto" w:fill="92D050"/>
          </w:tcPr>
          <w:p w14:paraId="052E458C" w14:textId="77777777" w:rsidR="00B76C97" w:rsidRDefault="00B76C97" w:rsidP="0022057B">
            <w:pPr>
              <w:rPr>
                <w:lang w:val="en-GB"/>
              </w:rPr>
            </w:pPr>
          </w:p>
        </w:tc>
      </w:tr>
      <w:tr w:rsidR="00B76C97" w14:paraId="4DAC736E" w14:textId="77777777" w:rsidTr="0022057B">
        <w:trPr>
          <w:jc w:val="center"/>
        </w:trPr>
        <w:tc>
          <w:tcPr>
            <w:tcW w:w="3505" w:type="dxa"/>
          </w:tcPr>
          <w:p w14:paraId="2E1B3923" w14:textId="77777777" w:rsidR="00B76C97" w:rsidRPr="00FE2243" w:rsidRDefault="00B76C97" w:rsidP="0022057B">
            <w:pPr>
              <w:rPr>
                <w:lang w:val="en-GB"/>
              </w:rPr>
            </w:pPr>
          </w:p>
        </w:tc>
        <w:tc>
          <w:tcPr>
            <w:tcW w:w="1080" w:type="dxa"/>
          </w:tcPr>
          <w:p w14:paraId="656BB760" w14:textId="77777777" w:rsidR="00B76C97" w:rsidRDefault="00B76C97" w:rsidP="0022057B">
            <w:pPr>
              <w:rPr>
                <w:lang w:val="en-GB"/>
              </w:rPr>
            </w:pPr>
          </w:p>
        </w:tc>
        <w:tc>
          <w:tcPr>
            <w:tcW w:w="2340" w:type="dxa"/>
          </w:tcPr>
          <w:p w14:paraId="7066B889" w14:textId="77777777" w:rsidR="00B76C97" w:rsidRDefault="00B76C97" w:rsidP="0022057B">
            <w:pPr>
              <w:rPr>
                <w:lang w:val="en-GB"/>
              </w:rPr>
            </w:pPr>
          </w:p>
        </w:tc>
        <w:tc>
          <w:tcPr>
            <w:tcW w:w="1228" w:type="dxa"/>
          </w:tcPr>
          <w:p w14:paraId="2FC257BB" w14:textId="77777777" w:rsidR="00B76C97" w:rsidRDefault="00B76C97" w:rsidP="0022057B">
            <w:pPr>
              <w:rPr>
                <w:lang w:val="en-GB"/>
              </w:rPr>
            </w:pPr>
          </w:p>
        </w:tc>
      </w:tr>
      <w:tr w:rsidR="00B76C97" w:rsidRPr="00FE2243" w14:paraId="5FE7D35E" w14:textId="77777777" w:rsidTr="0022057B">
        <w:trPr>
          <w:jc w:val="center"/>
        </w:trPr>
        <w:tc>
          <w:tcPr>
            <w:tcW w:w="3505" w:type="dxa"/>
          </w:tcPr>
          <w:p w14:paraId="6BD51C46" w14:textId="77777777" w:rsidR="00B76C97" w:rsidRPr="00FE2243" w:rsidRDefault="00B76C97" w:rsidP="0022057B">
            <w:pPr>
              <w:rPr>
                <w:b/>
                <w:sz w:val="28"/>
                <w:szCs w:val="28"/>
                <w:lang w:val="en-GB"/>
              </w:rPr>
            </w:pPr>
            <w:r w:rsidRPr="00FE2243">
              <w:rPr>
                <w:b/>
                <w:sz w:val="28"/>
                <w:szCs w:val="28"/>
                <w:lang w:val="en-GB"/>
              </w:rPr>
              <w:t>Project Income</w:t>
            </w:r>
          </w:p>
        </w:tc>
        <w:tc>
          <w:tcPr>
            <w:tcW w:w="1080" w:type="dxa"/>
          </w:tcPr>
          <w:p w14:paraId="69AA970C" w14:textId="77777777" w:rsidR="00B76C97" w:rsidRPr="00FE2243" w:rsidRDefault="00B76C97" w:rsidP="0022057B">
            <w:pPr>
              <w:rPr>
                <w:b/>
                <w:sz w:val="28"/>
                <w:szCs w:val="28"/>
                <w:lang w:val="en-GB"/>
              </w:rPr>
            </w:pPr>
          </w:p>
        </w:tc>
        <w:tc>
          <w:tcPr>
            <w:tcW w:w="2340" w:type="dxa"/>
          </w:tcPr>
          <w:p w14:paraId="50719DAC" w14:textId="77777777" w:rsidR="00B76C97" w:rsidRPr="00FE2243" w:rsidRDefault="00B76C97" w:rsidP="0022057B">
            <w:pPr>
              <w:rPr>
                <w:b/>
                <w:sz w:val="28"/>
                <w:szCs w:val="28"/>
                <w:lang w:val="en-GB"/>
              </w:rPr>
            </w:pPr>
          </w:p>
        </w:tc>
        <w:tc>
          <w:tcPr>
            <w:tcW w:w="1228" w:type="dxa"/>
            <w:shd w:val="clear" w:color="auto" w:fill="00B050"/>
          </w:tcPr>
          <w:p w14:paraId="31BAA20E" w14:textId="77777777" w:rsidR="00B76C97" w:rsidRPr="00FE2243" w:rsidRDefault="00B76C97" w:rsidP="0022057B">
            <w:pPr>
              <w:rPr>
                <w:b/>
                <w:sz w:val="28"/>
                <w:szCs w:val="28"/>
                <w:lang w:val="en-GB"/>
              </w:rPr>
            </w:pPr>
          </w:p>
        </w:tc>
      </w:tr>
    </w:tbl>
    <w:p w14:paraId="437F59BC" w14:textId="39606CB0" w:rsidR="00766C02" w:rsidRPr="00EE5690" w:rsidRDefault="005271D4" w:rsidP="005D4B20">
      <w:pPr>
        <w:pStyle w:val="MAIL1"/>
      </w:pPr>
      <w:bookmarkStart w:id="55" w:name="_Toc91752387"/>
      <w:r w:rsidRPr="00EE5690">
        <w:t>Social Aspects of sustainability</w:t>
      </w:r>
      <w:bookmarkEnd w:id="55"/>
    </w:p>
    <w:p w14:paraId="50CB2DDF" w14:textId="4A970E2C" w:rsidR="001D5AC3" w:rsidRPr="00EE5690" w:rsidRDefault="007856E5" w:rsidP="00EA2829">
      <w:pPr>
        <w:rPr>
          <w:rFonts w:cs="Arial"/>
        </w:rPr>
      </w:pPr>
      <w:r w:rsidRPr="00EE5690">
        <w:rPr>
          <w:rFonts w:cs="Arial"/>
          <w:lang w:val="en-GB"/>
        </w:rPr>
        <w:t>The social aspects of sustainability are closely related to both environmental and financial aspects. The</w:t>
      </w:r>
      <w:r w:rsidR="00B76C97">
        <w:rPr>
          <w:rFonts w:cs="Arial"/>
          <w:lang w:val="en-GB"/>
        </w:rPr>
        <w:t>y</w:t>
      </w:r>
      <w:r w:rsidRPr="00EE5690">
        <w:rPr>
          <w:rFonts w:cs="Arial"/>
          <w:lang w:val="en-GB"/>
        </w:rPr>
        <w:t xml:space="preserve"> include among others employment, health and well-being, recreation, education, etc.</w:t>
      </w:r>
      <w:r w:rsidR="009636BD" w:rsidRPr="00EE5690">
        <w:rPr>
          <w:rFonts w:cs="Arial"/>
          <w:lang w:val="en-GB"/>
        </w:rPr>
        <w:t xml:space="preserve"> </w:t>
      </w:r>
      <w:r w:rsidRPr="00EE5690">
        <w:rPr>
          <w:rFonts w:cs="Arial"/>
          <w:lang w:val="en-GB"/>
        </w:rPr>
        <w:t>Some of the social sustainability aspects were presented in section 4, under services (</w:t>
      </w:r>
      <w:r w:rsidR="00C2019A" w:rsidRPr="00EE5690">
        <w:rPr>
          <w:rFonts w:cs="Arial"/>
          <w:lang w:val="en-GB"/>
        </w:rPr>
        <w:t>Table 12</w:t>
      </w:r>
      <w:r w:rsidRPr="00EE5690">
        <w:rPr>
          <w:rFonts w:cs="Arial"/>
          <w:lang w:val="en-GB"/>
        </w:rPr>
        <w:t>). Such series can include hunting, fishing, outdoor activities,</w:t>
      </w:r>
      <w:r w:rsidR="009636BD" w:rsidRPr="00EE5690">
        <w:rPr>
          <w:rFonts w:cs="Arial"/>
        </w:rPr>
        <w:t xml:space="preserve"> forest-based</w:t>
      </w:r>
      <w:r w:rsidRPr="00EE5690">
        <w:rPr>
          <w:rFonts w:cs="Arial"/>
          <w:lang w:val="en-GB"/>
        </w:rPr>
        <w:t xml:space="preserve"> leisure, </w:t>
      </w:r>
      <w:r w:rsidR="009636BD" w:rsidRPr="00EE5690">
        <w:rPr>
          <w:rFonts w:cs="Arial"/>
          <w:lang w:val="en-GB"/>
        </w:rPr>
        <w:t xml:space="preserve">mushroom picking etc. The main social aspects/benefits of implementing an afforestation project are shown in </w:t>
      </w:r>
      <w:r w:rsidR="009636BD" w:rsidRPr="00EE5690">
        <w:rPr>
          <w:rFonts w:cs="Arial"/>
          <w:lang w:val="en-GB"/>
        </w:rPr>
        <w:fldChar w:fldCharType="begin"/>
      </w:r>
      <w:r w:rsidR="009636BD" w:rsidRPr="00EE5690">
        <w:rPr>
          <w:rFonts w:cs="Arial"/>
          <w:lang w:val="en-GB"/>
        </w:rPr>
        <w:instrText xml:space="preserve"> REF _Ref26183038 \h </w:instrText>
      </w:r>
      <w:r w:rsidR="00EE5690" w:rsidRPr="00EE5690">
        <w:rPr>
          <w:rFonts w:cs="Arial"/>
          <w:lang w:val="en-GB"/>
        </w:rPr>
        <w:instrText xml:space="preserve"> \* MERGEFORMAT </w:instrText>
      </w:r>
      <w:r w:rsidR="009636BD" w:rsidRPr="00EE5690">
        <w:rPr>
          <w:rFonts w:cs="Arial"/>
          <w:lang w:val="en-GB"/>
        </w:rPr>
      </w:r>
      <w:r w:rsidR="009636BD" w:rsidRPr="00EE5690">
        <w:rPr>
          <w:rFonts w:cs="Arial"/>
          <w:lang w:val="en-GB"/>
        </w:rPr>
        <w:fldChar w:fldCharType="separate"/>
      </w:r>
      <w:r w:rsidR="0073710A" w:rsidRPr="00A87FA3">
        <w:rPr>
          <w:rFonts w:cs="Arial"/>
        </w:rPr>
        <w:t xml:space="preserve">Figure </w:t>
      </w:r>
      <w:r w:rsidR="0073710A">
        <w:rPr>
          <w:rFonts w:cs="Arial"/>
          <w:noProof/>
        </w:rPr>
        <w:t>12</w:t>
      </w:r>
      <w:r w:rsidR="009636BD" w:rsidRPr="00EE5690">
        <w:rPr>
          <w:rFonts w:cs="Arial"/>
          <w:lang w:val="en-GB"/>
        </w:rPr>
        <w:fldChar w:fldCharType="end"/>
      </w:r>
      <w:r w:rsidR="009636BD" w:rsidRPr="00EE5690">
        <w:rPr>
          <w:rFonts w:cs="Arial"/>
          <w:lang w:val="en-GB"/>
        </w:rPr>
        <w:t>.</w:t>
      </w:r>
    </w:p>
    <w:p w14:paraId="1DAB9FA7" w14:textId="4C370117" w:rsidR="001D5AC3" w:rsidRPr="00EE5690" w:rsidRDefault="001D5AC3" w:rsidP="00B76C97">
      <w:pPr>
        <w:jc w:val="center"/>
        <w:rPr>
          <w:rFonts w:cs="Arial"/>
          <w:lang w:val="en-GB"/>
        </w:rPr>
      </w:pPr>
      <w:r w:rsidRPr="00EE5690">
        <w:rPr>
          <w:rFonts w:cs="Arial"/>
          <w:noProof/>
          <w:lang w:val="es-ES" w:eastAsia="es-ES"/>
        </w:rPr>
        <w:lastRenderedPageBreak/>
        <w:drawing>
          <wp:inline distT="0" distB="0" distL="0" distR="0" wp14:anchorId="335D5C6A" wp14:editId="198D3A12">
            <wp:extent cx="2838090" cy="2975573"/>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ocial.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46049" cy="2983918"/>
                    </a:xfrm>
                    <a:prstGeom prst="rect">
                      <a:avLst/>
                    </a:prstGeom>
                  </pic:spPr>
                </pic:pic>
              </a:graphicData>
            </a:graphic>
          </wp:inline>
        </w:drawing>
      </w:r>
    </w:p>
    <w:p w14:paraId="5C1882C3" w14:textId="5589CE74" w:rsidR="001D5AC3" w:rsidRPr="00A87FA3" w:rsidRDefault="001D5AC3" w:rsidP="00B76C97">
      <w:pPr>
        <w:pStyle w:val="Caption"/>
        <w:rPr>
          <w:rFonts w:cs="Arial"/>
        </w:rPr>
      </w:pPr>
      <w:bookmarkStart w:id="56" w:name="_Ref26183038"/>
      <w:bookmarkStart w:id="57" w:name="_Toc91752496"/>
      <w:r w:rsidRPr="00A87FA3">
        <w:rPr>
          <w:rFonts w:cs="Arial"/>
        </w:rPr>
        <w:t xml:space="preserve">Figure </w:t>
      </w:r>
      <w:r w:rsidRPr="00A87FA3">
        <w:rPr>
          <w:rFonts w:cs="Arial"/>
        </w:rPr>
        <w:fldChar w:fldCharType="begin"/>
      </w:r>
      <w:r w:rsidRPr="00A87FA3">
        <w:rPr>
          <w:rFonts w:cs="Arial"/>
        </w:rPr>
        <w:instrText xml:space="preserve"> SEQ Figure \* ARABIC </w:instrText>
      </w:r>
      <w:r w:rsidRPr="00A87FA3">
        <w:rPr>
          <w:rFonts w:cs="Arial"/>
        </w:rPr>
        <w:fldChar w:fldCharType="separate"/>
      </w:r>
      <w:r w:rsidR="0073710A">
        <w:rPr>
          <w:rFonts w:cs="Arial"/>
          <w:noProof/>
        </w:rPr>
        <w:t>12</w:t>
      </w:r>
      <w:r w:rsidRPr="00A87FA3">
        <w:rPr>
          <w:rFonts w:cs="Arial"/>
        </w:rPr>
        <w:fldChar w:fldCharType="end"/>
      </w:r>
      <w:bookmarkEnd w:id="56"/>
      <w:r w:rsidRPr="00A87FA3">
        <w:rPr>
          <w:rFonts w:cs="Arial"/>
        </w:rPr>
        <w:t xml:space="preserve"> Social aspects of sustainability</w:t>
      </w:r>
      <w:bookmarkEnd w:id="57"/>
    </w:p>
    <w:p w14:paraId="46F27007" w14:textId="00D2594C" w:rsidR="005271D4" w:rsidRPr="00EE5690" w:rsidRDefault="009636BD" w:rsidP="002D2FB4">
      <w:pPr>
        <w:rPr>
          <w:rFonts w:cs="Arial"/>
          <w:lang w:val="en-GB"/>
        </w:rPr>
      </w:pPr>
      <w:r w:rsidRPr="00EE5690">
        <w:rPr>
          <w:rFonts w:cs="Arial"/>
          <w:lang w:val="en-GB"/>
        </w:rPr>
        <w:t xml:space="preserve">According to </w:t>
      </w:r>
      <w:r w:rsidR="00E02AD8" w:rsidRPr="00EE5690">
        <w:rPr>
          <w:rFonts w:cs="Arial"/>
          <w:lang w:val="en-GB"/>
        </w:rPr>
        <w:t>FOREST EUROPE, 2015:</w:t>
      </w:r>
    </w:p>
    <w:p w14:paraId="3296657E" w14:textId="63B2AC73" w:rsidR="00E02AD8" w:rsidRPr="00EE5690" w:rsidRDefault="00E02AD8" w:rsidP="00A01330">
      <w:pPr>
        <w:pStyle w:val="ListParagraph"/>
        <w:numPr>
          <w:ilvl w:val="0"/>
          <w:numId w:val="9"/>
        </w:numPr>
        <w:rPr>
          <w:rFonts w:cs="Arial"/>
          <w:lang w:val="en-GB"/>
        </w:rPr>
      </w:pPr>
      <w:r w:rsidRPr="00EE5690">
        <w:rPr>
          <w:rFonts w:cs="Arial"/>
          <w:lang w:val="en-GB"/>
        </w:rPr>
        <w:t>“The socio-economic contribution of forests to livelihoods and the impact of their use on the environment are essential components of modern concepts for sustainable forest management.”</w:t>
      </w:r>
    </w:p>
    <w:p w14:paraId="588E9104" w14:textId="5D171472" w:rsidR="00E02AD8" w:rsidRPr="00EE5690" w:rsidRDefault="00E02AD8" w:rsidP="00A01330">
      <w:pPr>
        <w:pStyle w:val="ListParagraph"/>
        <w:numPr>
          <w:ilvl w:val="0"/>
          <w:numId w:val="9"/>
        </w:numPr>
        <w:rPr>
          <w:rFonts w:cs="Arial"/>
          <w:lang w:val="en-GB"/>
        </w:rPr>
      </w:pPr>
      <w:r w:rsidRPr="00EE5690">
        <w:rPr>
          <w:rFonts w:cs="Arial"/>
          <w:lang w:val="en-GB"/>
        </w:rPr>
        <w:t>“High numbers of public forests management employees are employed in countries with large public forests and in which citizens expect extensive social services from forests.”</w:t>
      </w:r>
    </w:p>
    <w:p w14:paraId="59783CFE" w14:textId="6CE5DEE2" w:rsidR="00E02AD8" w:rsidRPr="00EE5690" w:rsidRDefault="00E02AD8" w:rsidP="00A01330">
      <w:pPr>
        <w:pStyle w:val="ListParagraph"/>
        <w:numPr>
          <w:ilvl w:val="0"/>
          <w:numId w:val="9"/>
        </w:numPr>
        <w:rPr>
          <w:rFonts w:cs="Arial"/>
          <w:lang w:val="en-GB"/>
        </w:rPr>
      </w:pPr>
      <w:r w:rsidRPr="00EE5690">
        <w:rPr>
          <w:rFonts w:cs="Arial"/>
          <w:lang w:val="en-GB"/>
        </w:rPr>
        <w:t xml:space="preserve">“Higher numbers of public staff per ha tend to be employed in countries in which citizens expect extensive social and environmental services, particularly </w:t>
      </w:r>
      <w:proofErr w:type="gramStart"/>
      <w:r w:rsidRPr="00EE5690">
        <w:rPr>
          <w:rFonts w:cs="Arial"/>
          <w:lang w:val="en-GB"/>
        </w:rPr>
        <w:t>recreation,...</w:t>
      </w:r>
      <w:proofErr w:type="gramEnd"/>
      <w:r w:rsidRPr="00EE5690">
        <w:rPr>
          <w:rFonts w:cs="Arial"/>
          <w:lang w:val="en-GB"/>
        </w:rPr>
        <w:t>.”</w:t>
      </w:r>
    </w:p>
    <w:p w14:paraId="49A47FBC" w14:textId="65B32B87" w:rsidR="00E02AD8" w:rsidRPr="00EE5690" w:rsidRDefault="00E02AD8" w:rsidP="00A01330">
      <w:pPr>
        <w:pStyle w:val="ListParagraph"/>
        <w:numPr>
          <w:ilvl w:val="0"/>
          <w:numId w:val="9"/>
        </w:numPr>
        <w:rPr>
          <w:rFonts w:cs="Arial"/>
          <w:lang w:val="en-GB"/>
        </w:rPr>
      </w:pPr>
      <w:r w:rsidRPr="00EE5690">
        <w:rPr>
          <w:rFonts w:cs="Arial"/>
          <w:lang w:val="en-GB"/>
        </w:rPr>
        <w:t xml:space="preserve">“Regarding policy objectives, around 70% of countries reported “no changes”. Only 4 signatories reported positive changes, </w:t>
      </w:r>
      <w:proofErr w:type="gramStart"/>
      <w:r w:rsidRPr="00EE5690">
        <w:rPr>
          <w:rFonts w:cs="Arial"/>
          <w:lang w:val="en-GB"/>
        </w:rPr>
        <w:t>e.g.</w:t>
      </w:r>
      <w:proofErr w:type="gramEnd"/>
      <w:r w:rsidRPr="00EE5690">
        <w:rPr>
          <w:rFonts w:cs="Arial"/>
          <w:lang w:val="en-GB"/>
        </w:rPr>
        <w:t xml:space="preserve"> a systematic vision, strategic goals, priorities and activities which will lead to sustainable schemes for the development and management of tourism activities (Bulgaria); clearly defined objectives (Cyprus); new Monumental Trees Protection Act (Portugal); and boosting the social use of forest areas by promoting rural tourism, natural green paths and other cultural elements (Spain). However, the absence of changes does not necessarily imply a low level of interest if the country already has appropriate policies in place as is the case, for example, in Norway.”</w:t>
      </w:r>
    </w:p>
    <w:p w14:paraId="2599BF0C" w14:textId="5CBE0B32" w:rsidR="00E02AD8" w:rsidRPr="00EE5690" w:rsidRDefault="00EF29F4" w:rsidP="00A01330">
      <w:pPr>
        <w:pStyle w:val="ListParagraph"/>
        <w:numPr>
          <w:ilvl w:val="0"/>
          <w:numId w:val="9"/>
        </w:numPr>
        <w:rPr>
          <w:rFonts w:cs="Arial"/>
          <w:lang w:val="en-GB"/>
        </w:rPr>
      </w:pPr>
      <w:r w:rsidRPr="00EE5690">
        <w:rPr>
          <w:rFonts w:cs="Arial"/>
          <w:lang w:val="en-GB"/>
        </w:rPr>
        <w:lastRenderedPageBreak/>
        <w:t>“</w:t>
      </w:r>
      <w:r w:rsidR="00E367D5" w:rsidRPr="00EE5690">
        <w:rPr>
          <w:rFonts w:cs="Arial"/>
          <w:lang w:val="en-GB"/>
        </w:rPr>
        <w:t xml:space="preserve">Privately-owned forest area has slowly but steadily increased. The number of </w:t>
      </w:r>
      <w:proofErr w:type="spellStart"/>
      <w:r w:rsidR="00E367D5" w:rsidRPr="00EE5690">
        <w:rPr>
          <w:rFonts w:cs="Arial"/>
          <w:lang w:val="en-GB"/>
        </w:rPr>
        <w:t>publically</w:t>
      </w:r>
      <w:proofErr w:type="spellEnd"/>
      <w:r w:rsidR="00E367D5" w:rsidRPr="00EE5690">
        <w:rPr>
          <w:rFonts w:cs="Arial"/>
          <w:lang w:val="en-GB"/>
        </w:rPr>
        <w:t xml:space="preserve">-owned forest holdings has been relatively constant or decreasing. While the number of private forest holdings is much higher than public holdings, </w:t>
      </w:r>
      <w:proofErr w:type="gramStart"/>
      <w:r w:rsidR="00E367D5" w:rsidRPr="00EE5690">
        <w:rPr>
          <w:rFonts w:cs="Arial"/>
          <w:lang w:val="en-GB"/>
        </w:rPr>
        <w:t>the majority of</w:t>
      </w:r>
      <w:proofErr w:type="gramEnd"/>
      <w:r w:rsidR="00E367D5" w:rsidRPr="00EE5690">
        <w:rPr>
          <w:rFonts w:cs="Arial"/>
          <w:lang w:val="en-GB"/>
        </w:rPr>
        <w:t xml:space="preserve"> private holdings are forests of less than 10 ha in size.</w:t>
      </w:r>
      <w:r w:rsidR="00A87FA3">
        <w:rPr>
          <w:rFonts w:cs="Arial"/>
          <w:lang w:val="en-GB"/>
        </w:rPr>
        <w:t xml:space="preserve"> </w:t>
      </w:r>
      <w:r w:rsidR="00433EDF" w:rsidRPr="00EE5690">
        <w:rPr>
          <w:rFonts w:cs="Arial"/>
          <w:lang w:val="en-GB"/>
        </w:rPr>
        <w:t>(</w:t>
      </w:r>
      <w:r w:rsidR="00433EDF" w:rsidRPr="00EE5690">
        <w:rPr>
          <w:rFonts w:cs="Arial"/>
          <w:lang w:val="en-GB"/>
        </w:rPr>
        <w:fldChar w:fldCharType="begin"/>
      </w:r>
      <w:r w:rsidR="00433EDF" w:rsidRPr="00EE5690">
        <w:rPr>
          <w:rFonts w:cs="Arial"/>
          <w:lang w:val="en-GB"/>
        </w:rPr>
        <w:instrText xml:space="preserve"> REF _Ref26430129 \h </w:instrText>
      </w:r>
      <w:r w:rsidR="00EE5690" w:rsidRPr="00EE5690">
        <w:rPr>
          <w:rFonts w:cs="Arial"/>
          <w:lang w:val="en-GB"/>
        </w:rPr>
        <w:instrText xml:space="preserve"> \* MERGEFORMAT </w:instrText>
      </w:r>
      <w:r w:rsidR="00433EDF" w:rsidRPr="00EE5690">
        <w:rPr>
          <w:rFonts w:cs="Arial"/>
          <w:lang w:val="en-GB"/>
        </w:rPr>
      </w:r>
      <w:r w:rsidR="00433EDF" w:rsidRPr="00EE5690">
        <w:rPr>
          <w:rFonts w:cs="Arial"/>
          <w:lang w:val="en-GB"/>
        </w:rPr>
        <w:fldChar w:fldCharType="separate"/>
      </w:r>
      <w:r w:rsidR="0073710A" w:rsidRPr="00A87FA3">
        <w:rPr>
          <w:rFonts w:cs="Arial"/>
        </w:rPr>
        <w:t xml:space="preserve">Figure </w:t>
      </w:r>
      <w:r w:rsidR="0073710A">
        <w:rPr>
          <w:rFonts w:cs="Arial"/>
          <w:noProof/>
        </w:rPr>
        <w:t>13</w:t>
      </w:r>
      <w:r w:rsidR="00433EDF" w:rsidRPr="00EE5690">
        <w:rPr>
          <w:rFonts w:cs="Arial"/>
          <w:lang w:val="en-GB"/>
        </w:rPr>
        <w:fldChar w:fldCharType="end"/>
      </w:r>
      <w:r w:rsidR="00433EDF" w:rsidRPr="00EE5690">
        <w:rPr>
          <w:rFonts w:cs="Arial"/>
          <w:lang w:val="en-GB"/>
        </w:rPr>
        <w:t>)</w:t>
      </w:r>
      <w:r w:rsidR="00A87FA3">
        <w:rPr>
          <w:rFonts w:cs="Arial"/>
          <w:lang w:val="en-GB"/>
        </w:rPr>
        <w:t>”</w:t>
      </w:r>
    </w:p>
    <w:p w14:paraId="7E15051E" w14:textId="0B7DC057" w:rsidR="00E367D5" w:rsidRPr="00EE5690" w:rsidRDefault="00EF29F4" w:rsidP="00A01330">
      <w:pPr>
        <w:pStyle w:val="ListParagraph"/>
        <w:numPr>
          <w:ilvl w:val="0"/>
          <w:numId w:val="9"/>
        </w:numPr>
        <w:rPr>
          <w:rFonts w:cs="Arial"/>
          <w:lang w:val="en-GB"/>
        </w:rPr>
      </w:pPr>
      <w:r w:rsidRPr="00EE5690">
        <w:rPr>
          <w:rFonts w:cs="Arial"/>
          <w:lang w:val="en-GB"/>
        </w:rPr>
        <w:t>“Expenditures for services remain constant, while revenues from services are increasing. Governments in Europe currently spend more than €3 billion on forest services, with an average of €37 per ha. Expenditures were stable during the period 2000-2010. However, there is considerable variability across individual regions. Government revenue from forest products and services reached at least €1.8 billion in 2010, with an average of €40 per ha. Revenue steadily increased during the decade 2000-2010 in all regions of Europe.”</w:t>
      </w:r>
    </w:p>
    <w:p w14:paraId="72488B8A" w14:textId="2C2914D5" w:rsidR="00EF29F4" w:rsidRPr="00EE5690" w:rsidRDefault="00EF29F4" w:rsidP="00A01330">
      <w:pPr>
        <w:pStyle w:val="ListParagraph"/>
        <w:numPr>
          <w:ilvl w:val="0"/>
          <w:numId w:val="9"/>
        </w:numPr>
        <w:rPr>
          <w:rFonts w:cs="Arial"/>
          <w:lang w:val="en-GB"/>
        </w:rPr>
      </w:pPr>
      <w:r w:rsidRPr="00EE5690">
        <w:rPr>
          <w:rFonts w:cs="Arial"/>
          <w:lang w:val="en-GB"/>
        </w:rPr>
        <w:t>“Forest sector still plays an important role in relation to employment. In most European countries, the number of people employed in the forest sector has decreased. There is a huge diversity of qualifications, with pronounced differences between regions. Despite that, the forest sector in Europe provided jobs and income for at least 3 million people, plus an unaccounted number of people in informal employment, which is not reflected in the reported data. Therefore, the forest sector plays an enormous role in the livelihood of rural areas. The forest sector is still a “male domain”.”</w:t>
      </w:r>
    </w:p>
    <w:p w14:paraId="3F110612" w14:textId="7933A08B" w:rsidR="001D2629" w:rsidRPr="00EE5690" w:rsidRDefault="001D2629" w:rsidP="00A01330">
      <w:pPr>
        <w:pStyle w:val="ListParagraph"/>
        <w:numPr>
          <w:ilvl w:val="0"/>
          <w:numId w:val="9"/>
        </w:numPr>
        <w:rPr>
          <w:rFonts w:cs="Arial"/>
          <w:lang w:val="en-GB"/>
        </w:rPr>
      </w:pPr>
      <w:r w:rsidRPr="00EE5690">
        <w:rPr>
          <w:rFonts w:cs="Arial"/>
          <w:lang w:val="en-GB"/>
        </w:rPr>
        <w:t>“Most forests in Europe are accessible for recreation. 75% of countries report that in 2010, at least 90% of their forests and other wooded land provided access to the public for recreational purposes. Two thirds of countries report that less than 6% of their forests and other wooded land has recreational use as a main management goal.”</w:t>
      </w:r>
    </w:p>
    <w:p w14:paraId="4CA2F932" w14:textId="72F2ED86" w:rsidR="001D2629" w:rsidRPr="00EE5690" w:rsidRDefault="0064172E" w:rsidP="00A01330">
      <w:pPr>
        <w:pStyle w:val="ListParagraph"/>
        <w:numPr>
          <w:ilvl w:val="0"/>
          <w:numId w:val="9"/>
        </w:numPr>
        <w:rPr>
          <w:rFonts w:cs="Arial"/>
          <w:lang w:val="en-GB"/>
        </w:rPr>
      </w:pPr>
      <w:r w:rsidRPr="00EE5690">
        <w:rPr>
          <w:rFonts w:cs="Arial"/>
          <w:lang w:val="en-GB"/>
        </w:rPr>
        <w:t>“Ownership is assumed to be a key factor that influences forest land management and protection (</w:t>
      </w:r>
      <w:proofErr w:type="spellStart"/>
      <w:r w:rsidRPr="00EE5690">
        <w:rPr>
          <w:rFonts w:cs="Arial"/>
          <w:lang w:val="en-GB"/>
        </w:rPr>
        <w:t>Siry</w:t>
      </w:r>
      <w:proofErr w:type="spellEnd"/>
      <w:r w:rsidRPr="00EE5690">
        <w:rPr>
          <w:rFonts w:cs="Arial"/>
          <w:lang w:val="en-GB"/>
        </w:rPr>
        <w:t xml:space="preserve"> et al. 2010). The number of forest holdings, the size of landholdings and nature of ownership are assumed to have implications for forest management and various other socio-economic circumstances.”</w:t>
      </w:r>
    </w:p>
    <w:p w14:paraId="6C8F1A66" w14:textId="16E785E8" w:rsidR="0064172E" w:rsidRPr="00EE5690" w:rsidRDefault="00554358" w:rsidP="00A01330">
      <w:pPr>
        <w:pStyle w:val="ListParagraph"/>
        <w:numPr>
          <w:ilvl w:val="0"/>
          <w:numId w:val="9"/>
        </w:numPr>
        <w:rPr>
          <w:rFonts w:cs="Arial"/>
          <w:lang w:val="en-GB"/>
        </w:rPr>
      </w:pPr>
      <w:r w:rsidRPr="00EE5690">
        <w:rPr>
          <w:rFonts w:cs="Arial"/>
          <w:lang w:val="en-GB"/>
        </w:rPr>
        <w:t xml:space="preserve">“For many countries, the number of forest holdings is unavailable completely or in part, which makes it difficult to describe the exact status of the various regions. Generally, the number of private forest holdings is much higher than that of public holdings, especially in the smaller size classes. The number of private forest holdings is especially high in some countries, </w:t>
      </w:r>
      <w:proofErr w:type="gramStart"/>
      <w:r w:rsidRPr="00EE5690">
        <w:rPr>
          <w:rFonts w:cs="Arial"/>
          <w:lang w:val="en-GB"/>
        </w:rPr>
        <w:t>e.g.</w:t>
      </w:r>
      <w:proofErr w:type="gramEnd"/>
      <w:r w:rsidRPr="00EE5690">
        <w:rPr>
          <w:rFonts w:cs="Arial"/>
          <w:lang w:val="en-GB"/>
        </w:rPr>
        <w:t xml:space="preserve"> France, Poland and Croatia. By far </w:t>
      </w:r>
      <w:proofErr w:type="gramStart"/>
      <w:r w:rsidRPr="00EE5690">
        <w:rPr>
          <w:rFonts w:cs="Arial"/>
          <w:lang w:val="en-GB"/>
        </w:rPr>
        <w:t>the majority of</w:t>
      </w:r>
      <w:proofErr w:type="gramEnd"/>
      <w:r w:rsidRPr="00EE5690">
        <w:rPr>
          <w:rFonts w:cs="Arial"/>
          <w:lang w:val="en-GB"/>
        </w:rPr>
        <w:t xml:space="preserve"> these holdings are in the size class of less than 10 ha. The </w:t>
      </w:r>
      <w:r w:rsidRPr="00EE5690">
        <w:rPr>
          <w:rFonts w:cs="Arial"/>
          <w:lang w:val="en-GB"/>
        </w:rPr>
        <w:lastRenderedPageBreak/>
        <w:t>lack of a harmonised minimum holding size in the national statistics also makes it difficult to compare countries directly.”</w:t>
      </w:r>
    </w:p>
    <w:p w14:paraId="4B08DC63" w14:textId="6FEAA194" w:rsidR="00323569" w:rsidRPr="00EE5690" w:rsidRDefault="00323569" w:rsidP="00A01330">
      <w:pPr>
        <w:pStyle w:val="ListParagraph"/>
        <w:numPr>
          <w:ilvl w:val="0"/>
          <w:numId w:val="9"/>
        </w:numPr>
        <w:rPr>
          <w:rFonts w:cs="Arial"/>
          <w:lang w:val="en-GB"/>
        </w:rPr>
      </w:pPr>
      <w:r w:rsidRPr="00EE5690">
        <w:rPr>
          <w:rFonts w:cs="Arial"/>
          <w:lang w:val="en-GB"/>
        </w:rPr>
        <w:t>“Although the numbers of people employed in the forest sector have been reduced in recent decades, the sector still plays an important role in relation to employment. In the reference year 2010, the entire forestry sector in Europe provided jobs and income for at least three million people, plus the unknown number of people in informal employment who are not covered by the reported data. Hence, the forest sector makes a huge contribution to the livelihood of rural areas.”</w:t>
      </w:r>
    </w:p>
    <w:p w14:paraId="1745AB32" w14:textId="5D4A75FD" w:rsidR="00593806" w:rsidRPr="00EE5690" w:rsidRDefault="00593806" w:rsidP="00A01330">
      <w:pPr>
        <w:pStyle w:val="ListParagraph"/>
        <w:numPr>
          <w:ilvl w:val="0"/>
          <w:numId w:val="9"/>
        </w:numPr>
        <w:rPr>
          <w:rFonts w:cs="Arial"/>
          <w:lang w:val="en-GB"/>
        </w:rPr>
      </w:pPr>
      <w:r w:rsidRPr="00EE5690">
        <w:rPr>
          <w:rFonts w:cs="Arial"/>
          <w:lang w:val="en-GB"/>
        </w:rPr>
        <w:t xml:space="preserve">“The following analysis shows that the forestry workforce in many parts of Europe, which is mainly employed in micro-enterprises, has achieved a very high level of productivity. The efficient organisation of labour and technological development is leading to lower labour intensity in all branches of the forest sector. A very high degree of variability between regions in Europe can be observed in this regard. While regions exist in which the level of mechanisation is up to 100%, the potential for further rationalisation remains very high in other regions. This will be accompanied by an increasing demand for the competencies and skills of workers, </w:t>
      </w:r>
      <w:proofErr w:type="gramStart"/>
      <w:r w:rsidR="001173DB" w:rsidRPr="00EE5690">
        <w:rPr>
          <w:rFonts w:cs="Arial"/>
          <w:lang w:val="en-GB"/>
        </w:rPr>
        <w:t>staff</w:t>
      </w:r>
      <w:proofErr w:type="gramEnd"/>
      <w:r w:rsidRPr="00EE5690">
        <w:rPr>
          <w:rFonts w:cs="Arial"/>
          <w:lang w:val="en-GB"/>
        </w:rPr>
        <w:t xml:space="preserve"> and entrepreneurs. The biggest challenge for the forest sector in overcoming the threat of a lack of workers with the necessary skills and desire to work in the sector lies in maintaining the necessary capacities in the workforce and motivating young entrants.”</w:t>
      </w:r>
    </w:p>
    <w:p w14:paraId="04DECD1C" w14:textId="3420B343" w:rsidR="00593806" w:rsidRPr="00EE5690" w:rsidRDefault="00C02358" w:rsidP="00A01330">
      <w:pPr>
        <w:pStyle w:val="ListParagraph"/>
        <w:numPr>
          <w:ilvl w:val="0"/>
          <w:numId w:val="9"/>
        </w:numPr>
        <w:rPr>
          <w:rFonts w:cs="Arial"/>
          <w:lang w:val="en-GB"/>
        </w:rPr>
      </w:pPr>
      <w:r w:rsidRPr="00EE5690">
        <w:rPr>
          <w:rFonts w:cs="Arial"/>
          <w:lang w:val="en-GB"/>
        </w:rPr>
        <w:t>“Based on the officially reported figures for 2010, the entire forest sector in Europe</w:t>
      </w:r>
      <w:r w:rsidR="001173DB" w:rsidRPr="00EE5690">
        <w:rPr>
          <w:rStyle w:val="FootnoteReference"/>
          <w:rFonts w:cs="Arial"/>
          <w:lang w:val="en-GB"/>
        </w:rPr>
        <w:footnoteReference w:id="10"/>
      </w:r>
      <w:r w:rsidRPr="00EE5690">
        <w:rPr>
          <w:rFonts w:cs="Arial"/>
          <w:lang w:val="en-GB"/>
        </w:rPr>
        <w:t xml:space="preserve"> provides employment and income for around 3 million people in the forestry, wood manufacturing and paper industries. At 1.4 million, the biggest share of the jobs is provided by the wood manufacturing sector. The paper industry accounts for 790,000 jobs, and 620,000 jobs are reported for forestry itself. In the case of forestry</w:t>
      </w:r>
      <w:proofErr w:type="gramStart"/>
      <w:r w:rsidRPr="00EE5690">
        <w:rPr>
          <w:rFonts w:cs="Arial"/>
          <w:lang w:val="en-GB"/>
        </w:rPr>
        <w:t>, in particular, the</w:t>
      </w:r>
      <w:proofErr w:type="gramEnd"/>
      <w:r w:rsidRPr="00EE5690">
        <w:rPr>
          <w:rFonts w:cs="Arial"/>
          <w:lang w:val="en-GB"/>
        </w:rPr>
        <w:t xml:space="preserve"> reported figures are obviously not indicative of the total number of people working in the sector. A huge amount of forest work is carried out by private forest owners and their family members and by members of local communities, none of whom feature in the official employment statistics. Hence, the sector provides income and jobs for a considerably higher number of people than indicated by the statistics.”</w:t>
      </w:r>
    </w:p>
    <w:p w14:paraId="6589EE66" w14:textId="77523B5D" w:rsidR="005C7D6D" w:rsidRPr="00EE5690" w:rsidRDefault="005C7D6D" w:rsidP="00A01330">
      <w:pPr>
        <w:pStyle w:val="ListParagraph"/>
        <w:numPr>
          <w:ilvl w:val="0"/>
          <w:numId w:val="9"/>
        </w:numPr>
        <w:rPr>
          <w:rFonts w:cs="Arial"/>
          <w:lang w:val="en-GB"/>
        </w:rPr>
      </w:pPr>
      <w:r w:rsidRPr="00EE5690">
        <w:rPr>
          <w:rFonts w:cs="Arial"/>
          <w:lang w:val="en-GB"/>
        </w:rPr>
        <w:lastRenderedPageBreak/>
        <w:t xml:space="preserve">“Access to forests enables people to benefit from the recreational value of forests, which, in turn, contributes to the quality of life. This value includes health benefits (both physical and mental) and the enjoyment of recreational activities. Accessibility for recreation is granted through a legal right of access, customary </w:t>
      </w:r>
      <w:proofErr w:type="gramStart"/>
      <w:r w:rsidRPr="00EE5690">
        <w:rPr>
          <w:rFonts w:cs="Arial"/>
          <w:lang w:val="en-GB"/>
        </w:rPr>
        <w:t>rights</w:t>
      </w:r>
      <w:proofErr w:type="gramEnd"/>
      <w:r w:rsidRPr="00EE5690">
        <w:rPr>
          <w:rFonts w:cs="Arial"/>
          <w:lang w:val="en-GB"/>
        </w:rPr>
        <w:t xml:space="preserve"> and other de facto forms of access. The intensity of use (measured in million visits per annum) can provide an indication of the value of these benefits, however the value may also depend on the nature and duration of the visits.”</w:t>
      </w:r>
    </w:p>
    <w:p w14:paraId="28BC68A8" w14:textId="3A1455A7" w:rsidR="007F613C" w:rsidRPr="00EE5690" w:rsidRDefault="007F613C" w:rsidP="00A01330">
      <w:pPr>
        <w:pStyle w:val="ListParagraph"/>
        <w:numPr>
          <w:ilvl w:val="0"/>
          <w:numId w:val="9"/>
        </w:numPr>
        <w:rPr>
          <w:rFonts w:cs="Arial"/>
          <w:lang w:val="en-GB"/>
        </w:rPr>
      </w:pPr>
      <w:r w:rsidRPr="00EE5690">
        <w:rPr>
          <w:rFonts w:cs="Arial"/>
          <w:lang w:val="en-GB"/>
        </w:rPr>
        <w:t xml:space="preserve">“A total of 32 countries out of 43 reported on the area of forest and other wooded land available to the public for recreational purposes. In </w:t>
      </w:r>
      <w:proofErr w:type="gramStart"/>
      <w:r w:rsidRPr="00EE5690">
        <w:rPr>
          <w:rFonts w:cs="Arial"/>
          <w:lang w:val="en-GB"/>
        </w:rPr>
        <w:t>the majority of</w:t>
      </w:r>
      <w:proofErr w:type="gramEnd"/>
      <w:r w:rsidRPr="00EE5690">
        <w:rPr>
          <w:rFonts w:cs="Arial"/>
          <w:lang w:val="en-GB"/>
        </w:rPr>
        <w:t xml:space="preserve"> these countries, the public had access to at least 90% of their forest and other wooded land for recreational purposes in 2010. In terms of regional distribution, the reported data provide quite an accurate reflection of the situation in North and Central-West Europe where </w:t>
      </w:r>
      <w:proofErr w:type="gramStart"/>
      <w:r w:rsidRPr="00EE5690">
        <w:rPr>
          <w:rFonts w:cs="Arial"/>
          <w:lang w:val="en-GB"/>
        </w:rPr>
        <w:t>the majority of</w:t>
      </w:r>
      <w:proofErr w:type="gramEnd"/>
      <w:r w:rsidRPr="00EE5690">
        <w:rPr>
          <w:rFonts w:cs="Arial"/>
          <w:lang w:val="en-GB"/>
        </w:rPr>
        <w:t xml:space="preserve"> countries reported these data. In contrast, the data for Central- East, South-East and, particularly, South-West Europe are incomplete and should be treated with caution. (</w:t>
      </w:r>
      <w:r w:rsidR="00C2019A" w:rsidRPr="00EE5690">
        <w:rPr>
          <w:rFonts w:cs="Arial"/>
          <w:lang w:val="en-GB"/>
        </w:rPr>
        <w:t>Table 1</w:t>
      </w:r>
      <w:r w:rsidR="00E412B7" w:rsidRPr="00EE5690">
        <w:rPr>
          <w:rFonts w:cs="Arial"/>
          <w:lang w:val="en-GB"/>
        </w:rPr>
        <w:t>4</w:t>
      </w:r>
      <w:r w:rsidRPr="00EE5690">
        <w:rPr>
          <w:rFonts w:cs="Arial"/>
          <w:lang w:val="en-GB"/>
        </w:rPr>
        <w:t>).</w:t>
      </w:r>
      <w:r w:rsidR="00B44F1F" w:rsidRPr="00EE5690">
        <w:rPr>
          <w:rFonts w:cs="Arial"/>
          <w:lang w:val="en-GB"/>
        </w:rPr>
        <w:t>”</w:t>
      </w:r>
    </w:p>
    <w:p w14:paraId="17DAF077" w14:textId="636D8049" w:rsidR="00B44F1F" w:rsidRPr="00EE5690" w:rsidRDefault="00B44F1F" w:rsidP="00A01330">
      <w:pPr>
        <w:pStyle w:val="ListParagraph"/>
        <w:numPr>
          <w:ilvl w:val="0"/>
          <w:numId w:val="9"/>
        </w:numPr>
        <w:rPr>
          <w:rFonts w:cs="Arial"/>
          <w:lang w:val="en-GB"/>
        </w:rPr>
      </w:pPr>
      <w:r w:rsidRPr="00EE5690">
        <w:rPr>
          <w:rFonts w:cs="Arial"/>
          <w:lang w:val="en-GB"/>
        </w:rPr>
        <w:t>“Forest area with public access for recreational purposes has been increasing steadily since 1990 in most countries, however the changes in the period 2005- 2010 were very marginal. The forest area with recreational use as a main management goal has steadily increased since the 1990s in most countries; the increase has been more pronounced since 2005, particularly in countries in the North Europe and South-East Europe regions. The data on the intensity of use (number of visits) relies on different sources, methodologies and reference years, hence it is difficult to draw reliable conclusions about the related trends.”</w:t>
      </w:r>
    </w:p>
    <w:p w14:paraId="7ADF5751" w14:textId="5F8EF7D0" w:rsidR="00A53A47" w:rsidRPr="00EE5690" w:rsidRDefault="00525FD5" w:rsidP="00A01330">
      <w:pPr>
        <w:pStyle w:val="ListParagraph"/>
        <w:numPr>
          <w:ilvl w:val="0"/>
          <w:numId w:val="9"/>
        </w:numPr>
        <w:rPr>
          <w:rFonts w:cs="Arial"/>
          <w:lang w:val="en-GB"/>
        </w:rPr>
      </w:pPr>
      <w:r w:rsidRPr="00EE5690">
        <w:rPr>
          <w:rFonts w:cs="Arial"/>
          <w:lang w:val="en-GB"/>
        </w:rPr>
        <w:t>“</w:t>
      </w:r>
      <w:r w:rsidR="00A53A47" w:rsidRPr="00EE5690">
        <w:rPr>
          <w:rFonts w:cs="Arial"/>
          <w:lang w:val="en-GB"/>
        </w:rPr>
        <w:t xml:space="preserve">According to the national data on employment reported by the Forest Europe signatories, maintaining and/or increasing employment levels in the forest sector are the main forest policy objectives in over the half of the reporting countries (18 of 34) for the years to come. Several countries adopted forest policy objectives that support the more sustainable development of the labour force, including the improvement of working conditions (Croatia, </w:t>
      </w:r>
      <w:proofErr w:type="gramStart"/>
      <w:r w:rsidR="00A53A47" w:rsidRPr="00EE5690">
        <w:rPr>
          <w:rFonts w:cs="Arial"/>
          <w:lang w:val="en-GB"/>
        </w:rPr>
        <w:t>Italy</w:t>
      </w:r>
      <w:proofErr w:type="gramEnd"/>
      <w:r w:rsidR="00A53A47" w:rsidRPr="00EE5690">
        <w:rPr>
          <w:rFonts w:cs="Arial"/>
          <w:lang w:val="en-GB"/>
        </w:rPr>
        <w:t xml:space="preserve"> and Slovak Republic) and maintenance of safety and health conditions in the forest sector (Latvia, Sweden and Switzerland). Other countries (Bulgaria, </w:t>
      </w:r>
      <w:proofErr w:type="gramStart"/>
      <w:r w:rsidR="00A53A47" w:rsidRPr="00EE5690">
        <w:rPr>
          <w:rFonts w:cs="Arial"/>
          <w:lang w:val="en-GB"/>
        </w:rPr>
        <w:t>Portugal</w:t>
      </w:r>
      <w:proofErr w:type="gramEnd"/>
      <w:r w:rsidR="00A53A47" w:rsidRPr="00EE5690">
        <w:rPr>
          <w:rFonts w:cs="Arial"/>
          <w:lang w:val="en-GB"/>
        </w:rPr>
        <w:t xml:space="preserve"> and United Kingdom) are targeting the improvement of qualifications and professional skills. Compared to previous </w:t>
      </w:r>
      <w:proofErr w:type="spellStart"/>
      <w:r w:rsidR="00A53A47" w:rsidRPr="00EE5690">
        <w:rPr>
          <w:rFonts w:cs="Arial"/>
          <w:lang w:val="en-GB"/>
        </w:rPr>
        <w:t>SoEF</w:t>
      </w:r>
      <w:proofErr w:type="spellEnd"/>
      <w:r w:rsidR="00A53A47" w:rsidRPr="00EE5690">
        <w:rPr>
          <w:rFonts w:cs="Arial"/>
          <w:lang w:val="en-GB"/>
        </w:rPr>
        <w:t xml:space="preserve"> reports, the current data suggest that maintaining and/or increasing the levels of employment in the forest sector have become a priority and have overtaken the quality issues that predominated in 2011 and 2007. The </w:t>
      </w:r>
      <w:r w:rsidR="00A53A47" w:rsidRPr="00EE5690">
        <w:rPr>
          <w:rFonts w:cs="Arial"/>
          <w:lang w:val="en-GB"/>
        </w:rPr>
        <w:lastRenderedPageBreak/>
        <w:t xml:space="preserve">current trend in forest policy objectives is to tackle the decline in employment numbers triggered by the recent financial crises and economic decline, which have had a negative impact on </w:t>
      </w:r>
      <w:proofErr w:type="gramStart"/>
      <w:r w:rsidR="00A53A47" w:rsidRPr="00EE5690">
        <w:rPr>
          <w:rFonts w:cs="Arial"/>
          <w:lang w:val="en-GB"/>
        </w:rPr>
        <w:t>the majority of</w:t>
      </w:r>
      <w:proofErr w:type="gramEnd"/>
      <w:r w:rsidR="00A53A47" w:rsidRPr="00EE5690">
        <w:rPr>
          <w:rFonts w:cs="Arial"/>
          <w:lang w:val="en-GB"/>
        </w:rPr>
        <w:t xml:space="preserve"> countries.</w:t>
      </w:r>
      <w:r w:rsidRPr="00EE5690">
        <w:rPr>
          <w:rFonts w:cs="Arial"/>
          <w:lang w:val="en-GB"/>
        </w:rPr>
        <w:t>”</w:t>
      </w:r>
    </w:p>
    <w:p w14:paraId="0AC5DA68" w14:textId="065F9A2F" w:rsidR="00525FD5" w:rsidRPr="00EE5690" w:rsidRDefault="00525FD5" w:rsidP="00A01330">
      <w:pPr>
        <w:pStyle w:val="ListParagraph"/>
        <w:numPr>
          <w:ilvl w:val="0"/>
          <w:numId w:val="9"/>
        </w:numPr>
        <w:rPr>
          <w:rFonts w:cs="Arial"/>
          <w:lang w:val="en-GB"/>
        </w:rPr>
      </w:pPr>
      <w:r w:rsidRPr="00EE5690">
        <w:rPr>
          <w:rFonts w:cs="Arial"/>
          <w:lang w:val="en-GB"/>
        </w:rPr>
        <w:t xml:space="preserve">“Most signatories (26 of 34) reported specifically formulated objectives in relation to research, </w:t>
      </w:r>
      <w:proofErr w:type="gramStart"/>
      <w:r w:rsidRPr="00EE5690">
        <w:rPr>
          <w:rFonts w:cs="Arial"/>
          <w:lang w:val="en-GB"/>
        </w:rPr>
        <w:t>training</w:t>
      </w:r>
      <w:proofErr w:type="gramEnd"/>
      <w:r w:rsidRPr="00EE5690">
        <w:rPr>
          <w:rFonts w:cs="Arial"/>
          <w:lang w:val="en-GB"/>
        </w:rPr>
        <w:t xml:space="preserve"> and education. As was the case in 2010, many countries7 (17 of 34) explicitly highlighted the further promotion and intensification of research activities, particularly in relation to the competitiveness of the forest sector, ecosystem monitoring, forest and climate change, sustainable forest management, close-to-nature forest management, and forest-related ecological, technological, and social issues. Compared to the 2011 report, a slight trend towards greater emphasis on cross-sector research, technological development, </w:t>
      </w:r>
      <w:proofErr w:type="gramStart"/>
      <w:r w:rsidRPr="00EE5690">
        <w:rPr>
          <w:rFonts w:cs="Arial"/>
          <w:lang w:val="en-GB"/>
        </w:rPr>
        <w:t>innovation</w:t>
      </w:r>
      <w:proofErr w:type="gramEnd"/>
      <w:r w:rsidRPr="00EE5690">
        <w:rPr>
          <w:rFonts w:cs="Arial"/>
          <w:lang w:val="en-GB"/>
        </w:rPr>
        <w:t xml:space="preserve"> and knowledge management can be observed. Several countries currently aim to improve the international transfer of knowledge and technology relating to sustainable forest management (Austria), technological developments relating to the competitiveness of the forest sector (Czech Republic, Slovak Republic), the streamlining of forest-related research and scientific innovation (Romania, United Kingdom), and integration of cross-sectoral disciplines such as agriculture, fisheries, natural resources (Finland, Hungary, Slovenia).</w:t>
      </w:r>
      <w:r w:rsidR="000C0626" w:rsidRPr="00EE5690">
        <w:rPr>
          <w:rFonts w:cs="Arial"/>
          <w:lang w:val="en-GB"/>
        </w:rPr>
        <w:t>”</w:t>
      </w:r>
    </w:p>
    <w:p w14:paraId="3F396C14" w14:textId="6C05FA16" w:rsidR="005271D4" w:rsidRPr="00EE5690" w:rsidRDefault="009636BD" w:rsidP="002D2FB4">
      <w:pPr>
        <w:rPr>
          <w:rFonts w:cs="Arial"/>
          <w:lang w:val="en-GB"/>
        </w:rPr>
      </w:pPr>
      <w:proofErr w:type="gramStart"/>
      <w:r w:rsidRPr="00EE5690">
        <w:rPr>
          <w:rFonts w:cs="Arial"/>
          <w:lang w:val="en-GB"/>
        </w:rPr>
        <w:t>Furthermore</w:t>
      </w:r>
      <w:proofErr w:type="gramEnd"/>
      <w:r w:rsidRPr="00EE5690">
        <w:rPr>
          <w:rFonts w:cs="Arial"/>
          <w:lang w:val="en-GB"/>
        </w:rPr>
        <w:t xml:space="preserve"> </w:t>
      </w:r>
      <w:r w:rsidR="00B92754" w:rsidRPr="00EE5690">
        <w:rPr>
          <w:rFonts w:cs="Arial"/>
          <w:lang w:val="en-GB"/>
        </w:rPr>
        <w:t>according to FOREST EUROPE, 2019 forest have a significant impact in improving health:</w:t>
      </w:r>
    </w:p>
    <w:p w14:paraId="3DF36B38" w14:textId="77777777" w:rsidR="00B92754" w:rsidRPr="00EE5690" w:rsidRDefault="00B92754" w:rsidP="00A01330">
      <w:pPr>
        <w:pStyle w:val="ListParagraph"/>
        <w:numPr>
          <w:ilvl w:val="0"/>
          <w:numId w:val="11"/>
        </w:numPr>
        <w:rPr>
          <w:rFonts w:cs="Arial"/>
        </w:rPr>
      </w:pPr>
      <w:r w:rsidRPr="00EE5690">
        <w:rPr>
          <w:rFonts w:cs="Arial"/>
        </w:rPr>
        <w:t xml:space="preserve">Health and well-being benefits and other social functions of forests, such as recreation, tourism, forest education, aesthetic </w:t>
      </w:r>
      <w:proofErr w:type="gramStart"/>
      <w:r w:rsidRPr="00EE5690">
        <w:rPr>
          <w:rFonts w:cs="Arial"/>
        </w:rPr>
        <w:t>appreciation</w:t>
      </w:r>
      <w:proofErr w:type="gramEnd"/>
      <w:r w:rsidRPr="00EE5690">
        <w:rPr>
          <w:rFonts w:cs="Arial"/>
        </w:rPr>
        <w:t xml:space="preserve"> or spiritual experience, are today an increasingly important part of the values people derive from forests.</w:t>
      </w:r>
    </w:p>
    <w:p w14:paraId="3C580BFD" w14:textId="4C2D2BA1" w:rsidR="00B92754" w:rsidRPr="00EE5690" w:rsidRDefault="00B92754" w:rsidP="00A01330">
      <w:pPr>
        <w:pStyle w:val="ListParagraph"/>
        <w:numPr>
          <w:ilvl w:val="0"/>
          <w:numId w:val="10"/>
        </w:numPr>
        <w:rPr>
          <w:rFonts w:cs="Arial"/>
          <w:lang w:val="en-GB"/>
        </w:rPr>
      </w:pPr>
      <w:r w:rsidRPr="00EE5690">
        <w:rPr>
          <w:rFonts w:cs="Arial"/>
        </w:rPr>
        <w:t>Forests and trees have a positive impact on air quality through the deposition of pollutants to the vegetation canopy, reduction of summertime air temperatures, and a decrease in ultraviolet radiation.</w:t>
      </w:r>
    </w:p>
    <w:p w14:paraId="0109DE21" w14:textId="77777777" w:rsidR="00B92754" w:rsidRPr="00EE5690" w:rsidRDefault="00B92754" w:rsidP="00A01330">
      <w:pPr>
        <w:pStyle w:val="ListParagraph"/>
        <w:numPr>
          <w:ilvl w:val="0"/>
          <w:numId w:val="10"/>
        </w:numPr>
        <w:rPr>
          <w:rFonts w:cs="Arial"/>
          <w:lang w:val="en-GB"/>
        </w:rPr>
      </w:pPr>
      <w:r w:rsidRPr="00EE5690">
        <w:rPr>
          <w:rFonts w:cs="Arial"/>
          <w:lang w:val="en-GB"/>
        </w:rPr>
        <w:t>The contribution of forests and other types of natural and semi-natural habitats to human health and well-being is increasingly understood within science. In the literature, five key mechanisms for the health benefits of forests have been identified and discussed within the research field:</w:t>
      </w:r>
    </w:p>
    <w:p w14:paraId="729B55BA" w14:textId="670B8E05" w:rsidR="00B92754" w:rsidRPr="00EE5690" w:rsidRDefault="00B92754" w:rsidP="00A01330">
      <w:pPr>
        <w:pStyle w:val="ListParagraph"/>
        <w:numPr>
          <w:ilvl w:val="1"/>
          <w:numId w:val="10"/>
        </w:numPr>
        <w:rPr>
          <w:rFonts w:cs="Arial"/>
        </w:rPr>
      </w:pPr>
      <w:r w:rsidRPr="00EE5690">
        <w:rPr>
          <w:rFonts w:cs="Arial"/>
        </w:rPr>
        <w:t>Reduced exposure to noise and air pollution</w:t>
      </w:r>
    </w:p>
    <w:p w14:paraId="4C34B42F" w14:textId="312301AA" w:rsidR="00B92754" w:rsidRPr="00EE5690" w:rsidRDefault="00B92754" w:rsidP="00A01330">
      <w:pPr>
        <w:pStyle w:val="ListParagraph"/>
        <w:numPr>
          <w:ilvl w:val="1"/>
          <w:numId w:val="10"/>
        </w:numPr>
        <w:rPr>
          <w:rFonts w:cs="Arial"/>
        </w:rPr>
      </w:pPr>
      <w:r w:rsidRPr="00EE5690">
        <w:rPr>
          <w:rFonts w:cs="Arial"/>
        </w:rPr>
        <w:t>Stress reduction and psychological and physiological restoration</w:t>
      </w:r>
    </w:p>
    <w:p w14:paraId="1CF15EF2" w14:textId="3AE6290A" w:rsidR="00B92754" w:rsidRPr="00EE5690" w:rsidRDefault="00B92754" w:rsidP="00A01330">
      <w:pPr>
        <w:pStyle w:val="ListParagraph"/>
        <w:numPr>
          <w:ilvl w:val="1"/>
          <w:numId w:val="10"/>
        </w:numPr>
        <w:rPr>
          <w:rFonts w:cs="Arial"/>
        </w:rPr>
      </w:pPr>
      <w:r w:rsidRPr="00EE5690">
        <w:rPr>
          <w:rFonts w:cs="Arial"/>
        </w:rPr>
        <w:t>Strengthening the immune system through contact with nature</w:t>
      </w:r>
    </w:p>
    <w:p w14:paraId="72D424A8" w14:textId="461A2C58" w:rsidR="00B92754" w:rsidRPr="00EE5690" w:rsidRDefault="00B92754" w:rsidP="00A01330">
      <w:pPr>
        <w:pStyle w:val="ListParagraph"/>
        <w:numPr>
          <w:ilvl w:val="1"/>
          <w:numId w:val="10"/>
        </w:numPr>
        <w:rPr>
          <w:rFonts w:cs="Arial"/>
        </w:rPr>
      </w:pPr>
      <w:r w:rsidRPr="00EE5690">
        <w:rPr>
          <w:rFonts w:cs="Arial"/>
        </w:rPr>
        <w:lastRenderedPageBreak/>
        <w:t>Increased physical activity and reduction in obesity rates</w:t>
      </w:r>
    </w:p>
    <w:p w14:paraId="7BEF8E4F" w14:textId="07F7C7A3" w:rsidR="00B92754" w:rsidRPr="00EE5690" w:rsidRDefault="00B92754" w:rsidP="00A01330">
      <w:pPr>
        <w:pStyle w:val="ListParagraph"/>
        <w:numPr>
          <w:ilvl w:val="1"/>
          <w:numId w:val="10"/>
        </w:numPr>
        <w:rPr>
          <w:rFonts w:cs="Arial"/>
        </w:rPr>
      </w:pPr>
      <w:r w:rsidRPr="00EE5690">
        <w:rPr>
          <w:rFonts w:cs="Arial"/>
        </w:rPr>
        <w:t>Better social contacts</w:t>
      </w:r>
    </w:p>
    <w:p w14:paraId="7137E08E" w14:textId="0F938680" w:rsidR="00E75551" w:rsidRPr="00EE5690" w:rsidRDefault="00383641" w:rsidP="002D2FB4">
      <w:pPr>
        <w:rPr>
          <w:rFonts w:cs="Arial"/>
          <w:lang w:val="en-GB"/>
        </w:rPr>
      </w:pPr>
      <w:r w:rsidRPr="00EE5690">
        <w:rPr>
          <w:rFonts w:cs="Arial"/>
          <w:lang w:val="en-GB"/>
        </w:rPr>
        <w:fldChar w:fldCharType="begin"/>
      </w:r>
      <w:r w:rsidRPr="00EE5690">
        <w:rPr>
          <w:rFonts w:cs="Arial"/>
          <w:lang w:val="en-GB"/>
        </w:rPr>
        <w:instrText xml:space="preserve"> REF _Ref26430129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A87FA3">
        <w:rPr>
          <w:rFonts w:cs="Arial"/>
        </w:rPr>
        <w:t xml:space="preserve">Figure </w:t>
      </w:r>
      <w:r w:rsidR="0073710A">
        <w:rPr>
          <w:rFonts w:cs="Arial"/>
          <w:noProof/>
        </w:rPr>
        <w:t>13</w:t>
      </w:r>
      <w:r w:rsidRPr="00EE5690">
        <w:rPr>
          <w:rFonts w:cs="Arial"/>
          <w:lang w:val="en-GB"/>
        </w:rPr>
        <w:fldChar w:fldCharType="end"/>
      </w:r>
      <w:r w:rsidRPr="00EE5690">
        <w:rPr>
          <w:rFonts w:cs="Arial"/>
          <w:lang w:val="en-GB"/>
        </w:rPr>
        <w:t xml:space="preserve">, </w:t>
      </w:r>
      <w:r w:rsidRPr="00EE5690">
        <w:rPr>
          <w:rFonts w:cs="Arial"/>
          <w:lang w:val="en-GB"/>
        </w:rPr>
        <w:fldChar w:fldCharType="begin"/>
      </w:r>
      <w:r w:rsidRPr="00EE5690">
        <w:rPr>
          <w:rFonts w:cs="Arial"/>
          <w:lang w:val="en-GB"/>
        </w:rPr>
        <w:instrText xml:space="preserve"> REF _Ref26430608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A87FA3">
        <w:rPr>
          <w:rFonts w:cs="Arial"/>
        </w:rPr>
        <w:t xml:space="preserve">Figure </w:t>
      </w:r>
      <w:r w:rsidR="0073710A">
        <w:rPr>
          <w:rFonts w:cs="Arial"/>
          <w:noProof/>
        </w:rPr>
        <w:t>14</w:t>
      </w:r>
      <w:r w:rsidRPr="00EE5690">
        <w:rPr>
          <w:rFonts w:cs="Arial"/>
          <w:lang w:val="en-GB"/>
        </w:rPr>
        <w:fldChar w:fldCharType="end"/>
      </w:r>
      <w:r w:rsidRPr="00EE5690">
        <w:rPr>
          <w:rFonts w:cs="Arial"/>
          <w:lang w:val="en-GB"/>
        </w:rPr>
        <w:t xml:space="preserve">, </w:t>
      </w:r>
      <w:r w:rsidRPr="00EE5690">
        <w:rPr>
          <w:rFonts w:cs="Arial"/>
          <w:lang w:val="en-GB"/>
        </w:rPr>
        <w:fldChar w:fldCharType="begin"/>
      </w:r>
      <w:r w:rsidRPr="00EE5690">
        <w:rPr>
          <w:rFonts w:cs="Arial"/>
          <w:lang w:val="en-GB"/>
        </w:rPr>
        <w:instrText xml:space="preserve"> REF _Ref26430620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A87FA3">
        <w:rPr>
          <w:rFonts w:cs="Arial"/>
        </w:rPr>
        <w:t xml:space="preserve">Figure </w:t>
      </w:r>
      <w:r w:rsidR="0073710A">
        <w:rPr>
          <w:rFonts w:cs="Arial"/>
          <w:noProof/>
        </w:rPr>
        <w:t>15</w:t>
      </w:r>
      <w:r w:rsidRPr="00EE5690">
        <w:rPr>
          <w:rFonts w:cs="Arial"/>
          <w:lang w:val="en-GB"/>
        </w:rPr>
        <w:fldChar w:fldCharType="end"/>
      </w:r>
      <w:r w:rsidRPr="00EE5690">
        <w:rPr>
          <w:rFonts w:cs="Arial"/>
          <w:lang w:val="en-GB"/>
        </w:rPr>
        <w:t xml:space="preserve">, and </w:t>
      </w:r>
      <w:r w:rsidRPr="00EE5690">
        <w:rPr>
          <w:rFonts w:cs="Arial"/>
          <w:lang w:val="en-GB"/>
        </w:rPr>
        <w:fldChar w:fldCharType="begin"/>
      </w:r>
      <w:r w:rsidRPr="00EE5690">
        <w:rPr>
          <w:rFonts w:cs="Arial"/>
          <w:lang w:val="en-GB"/>
        </w:rPr>
        <w:instrText xml:space="preserve"> REF _Ref26430658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A87FA3">
        <w:rPr>
          <w:rFonts w:cs="Arial"/>
        </w:rPr>
        <w:t xml:space="preserve">Figure </w:t>
      </w:r>
      <w:r w:rsidR="0073710A">
        <w:rPr>
          <w:rFonts w:cs="Arial"/>
          <w:noProof/>
        </w:rPr>
        <w:t>16</w:t>
      </w:r>
      <w:r w:rsidRPr="00EE5690">
        <w:rPr>
          <w:rFonts w:cs="Arial"/>
          <w:lang w:val="en-GB"/>
        </w:rPr>
        <w:fldChar w:fldCharType="end"/>
      </w:r>
      <w:r w:rsidRPr="00EE5690">
        <w:rPr>
          <w:rFonts w:cs="Arial"/>
          <w:lang w:val="en-GB"/>
        </w:rPr>
        <w:t xml:space="preserve"> present the status and the trends in forest ownership in Europe. </w:t>
      </w:r>
    </w:p>
    <w:p w14:paraId="06BC9996" w14:textId="5406D111" w:rsidR="00EF29F4" w:rsidRPr="00A87FA3" w:rsidRDefault="00E367D5" w:rsidP="00B76C97">
      <w:pPr>
        <w:keepNext/>
        <w:jc w:val="center"/>
        <w:rPr>
          <w:rFonts w:cs="Arial"/>
          <w:sz w:val="20"/>
          <w:szCs w:val="20"/>
        </w:rPr>
      </w:pPr>
      <w:r w:rsidRPr="00A87FA3">
        <w:rPr>
          <w:rFonts w:cs="Arial"/>
          <w:noProof/>
          <w:sz w:val="20"/>
          <w:szCs w:val="20"/>
          <w:lang w:val="es-ES" w:eastAsia="es-ES"/>
        </w:rPr>
        <w:drawing>
          <wp:inline distT="0" distB="0" distL="0" distR="0" wp14:anchorId="09BE6969" wp14:editId="59F97F22">
            <wp:extent cx="3357880" cy="2371974"/>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ullsoef2015-31.jpg"/>
                    <pic:cNvPicPr/>
                  </pic:nvPicPr>
                  <pic:blipFill rotWithShape="1">
                    <a:blip r:embed="rId34" cstate="print">
                      <a:extLst>
                        <a:ext uri="{28A0092B-C50C-407E-A947-70E740481C1C}">
                          <a14:useLocalDpi xmlns:a14="http://schemas.microsoft.com/office/drawing/2010/main" val="0"/>
                        </a:ext>
                      </a:extLst>
                    </a:blip>
                    <a:srcRect t="1846" b="13583"/>
                    <a:stretch/>
                  </pic:blipFill>
                  <pic:spPr bwMode="auto">
                    <a:xfrm>
                      <a:off x="0" y="0"/>
                      <a:ext cx="3363300" cy="2375803"/>
                    </a:xfrm>
                    <a:prstGeom prst="rect">
                      <a:avLst/>
                    </a:prstGeom>
                    <a:ln>
                      <a:noFill/>
                    </a:ln>
                    <a:extLst>
                      <a:ext uri="{53640926-AAD7-44D8-BBD7-CCE9431645EC}">
                        <a14:shadowObscured xmlns:a14="http://schemas.microsoft.com/office/drawing/2010/main"/>
                      </a:ext>
                    </a:extLst>
                  </pic:spPr>
                </pic:pic>
              </a:graphicData>
            </a:graphic>
          </wp:inline>
        </w:drawing>
      </w:r>
    </w:p>
    <w:p w14:paraId="00C7C4F3" w14:textId="4FB3A4D7" w:rsidR="00B53912" w:rsidRPr="00A87FA3" w:rsidRDefault="00EF29F4" w:rsidP="00B76C97">
      <w:pPr>
        <w:pStyle w:val="Caption"/>
        <w:rPr>
          <w:rFonts w:cs="Arial"/>
        </w:rPr>
      </w:pPr>
      <w:bookmarkStart w:id="58" w:name="_Ref26430129"/>
      <w:bookmarkStart w:id="59" w:name="_Toc91752497"/>
      <w:r w:rsidRPr="00A87FA3">
        <w:rPr>
          <w:rFonts w:cs="Arial"/>
        </w:rPr>
        <w:t xml:space="preserve">Figure </w:t>
      </w:r>
      <w:r w:rsidRPr="00A87FA3">
        <w:rPr>
          <w:rFonts w:cs="Arial"/>
        </w:rPr>
        <w:fldChar w:fldCharType="begin"/>
      </w:r>
      <w:r w:rsidRPr="00A87FA3">
        <w:rPr>
          <w:rFonts w:cs="Arial"/>
        </w:rPr>
        <w:instrText xml:space="preserve"> SEQ Figure \* ARABIC </w:instrText>
      </w:r>
      <w:r w:rsidRPr="00A87FA3">
        <w:rPr>
          <w:rFonts w:cs="Arial"/>
        </w:rPr>
        <w:fldChar w:fldCharType="separate"/>
      </w:r>
      <w:r w:rsidR="0073710A">
        <w:rPr>
          <w:rFonts w:cs="Arial"/>
          <w:noProof/>
        </w:rPr>
        <w:t>13</w:t>
      </w:r>
      <w:r w:rsidRPr="00A87FA3">
        <w:rPr>
          <w:rFonts w:cs="Arial"/>
        </w:rPr>
        <w:fldChar w:fldCharType="end"/>
      </w:r>
      <w:bookmarkEnd w:id="58"/>
      <w:r w:rsidRPr="00A87FA3">
        <w:rPr>
          <w:rFonts w:cs="Arial"/>
        </w:rPr>
        <w:t xml:space="preserve"> Forest ownership in Europe (Source:  Forest Europe, 2015)</w:t>
      </w:r>
      <w:bookmarkEnd w:id="59"/>
    </w:p>
    <w:p w14:paraId="3673EE3F" w14:textId="26D3112A" w:rsidR="0022349E" w:rsidRPr="00EE5690" w:rsidRDefault="0022349E" w:rsidP="00B76C97">
      <w:pPr>
        <w:jc w:val="center"/>
        <w:rPr>
          <w:rFonts w:cs="Arial"/>
          <w:lang w:val="en-GB"/>
        </w:rPr>
      </w:pPr>
      <w:r w:rsidRPr="00EE5690">
        <w:rPr>
          <w:rFonts w:cs="Arial"/>
          <w:noProof/>
          <w:lang w:val="es-ES" w:eastAsia="es-ES"/>
        </w:rPr>
        <w:drawing>
          <wp:inline distT="0" distB="0" distL="0" distR="0" wp14:anchorId="27813935" wp14:editId="538F16D7">
            <wp:extent cx="4588336" cy="3225165"/>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ullsoef2015-178.jpg"/>
                    <pic:cNvPicPr/>
                  </pic:nvPicPr>
                  <pic:blipFill rotWithShape="1">
                    <a:blip r:embed="rId35" cstate="print">
                      <a:extLst>
                        <a:ext uri="{28A0092B-C50C-407E-A947-70E740481C1C}">
                          <a14:useLocalDpi xmlns:a14="http://schemas.microsoft.com/office/drawing/2010/main" val="0"/>
                        </a:ext>
                      </a:extLst>
                    </a:blip>
                    <a:srcRect l="6869" t="2309" r="8136" b="1730"/>
                    <a:stretch/>
                  </pic:blipFill>
                  <pic:spPr bwMode="auto">
                    <a:xfrm>
                      <a:off x="0" y="0"/>
                      <a:ext cx="4590251" cy="3226511"/>
                    </a:xfrm>
                    <a:prstGeom prst="rect">
                      <a:avLst/>
                    </a:prstGeom>
                    <a:ln>
                      <a:noFill/>
                    </a:ln>
                    <a:extLst>
                      <a:ext uri="{53640926-AAD7-44D8-BBD7-CCE9431645EC}">
                        <a14:shadowObscured xmlns:a14="http://schemas.microsoft.com/office/drawing/2010/main"/>
                      </a:ext>
                    </a:extLst>
                  </pic:spPr>
                </pic:pic>
              </a:graphicData>
            </a:graphic>
          </wp:inline>
        </w:drawing>
      </w:r>
    </w:p>
    <w:p w14:paraId="1887A993" w14:textId="2D4A6939" w:rsidR="0022349E" w:rsidRPr="00A87FA3" w:rsidRDefault="0022349E" w:rsidP="00B76C97">
      <w:pPr>
        <w:pStyle w:val="Caption"/>
        <w:rPr>
          <w:rFonts w:cs="Arial"/>
        </w:rPr>
      </w:pPr>
      <w:bookmarkStart w:id="60" w:name="_Ref26430608"/>
      <w:bookmarkStart w:id="61" w:name="_Toc91752498"/>
      <w:r w:rsidRPr="00A87FA3">
        <w:rPr>
          <w:rFonts w:cs="Arial"/>
        </w:rPr>
        <w:t xml:space="preserve">Figure </w:t>
      </w:r>
      <w:r w:rsidRPr="00A87FA3">
        <w:rPr>
          <w:rFonts w:cs="Arial"/>
        </w:rPr>
        <w:fldChar w:fldCharType="begin"/>
      </w:r>
      <w:r w:rsidRPr="00A87FA3">
        <w:rPr>
          <w:rFonts w:cs="Arial"/>
        </w:rPr>
        <w:instrText xml:space="preserve"> SEQ Figure \* ARABIC </w:instrText>
      </w:r>
      <w:r w:rsidRPr="00A87FA3">
        <w:rPr>
          <w:rFonts w:cs="Arial"/>
        </w:rPr>
        <w:fldChar w:fldCharType="separate"/>
      </w:r>
      <w:r w:rsidR="0073710A">
        <w:rPr>
          <w:rFonts w:cs="Arial"/>
          <w:noProof/>
        </w:rPr>
        <w:t>14</w:t>
      </w:r>
      <w:r w:rsidRPr="00A87FA3">
        <w:rPr>
          <w:rFonts w:cs="Arial"/>
        </w:rPr>
        <w:fldChar w:fldCharType="end"/>
      </w:r>
      <w:bookmarkEnd w:id="60"/>
      <w:r w:rsidRPr="00A87FA3">
        <w:rPr>
          <w:rFonts w:cs="Arial"/>
        </w:rPr>
        <w:t xml:space="preserve"> Area of privately owned forest as a percentage of total forest (2010) (Source:  Forest Europe, 2015)</w:t>
      </w:r>
      <w:bookmarkEnd w:id="61"/>
    </w:p>
    <w:p w14:paraId="4F172DF3" w14:textId="386DCC19" w:rsidR="0022349E" w:rsidRPr="00EE5690" w:rsidRDefault="0022349E" w:rsidP="00B76C97">
      <w:pPr>
        <w:jc w:val="center"/>
        <w:rPr>
          <w:rFonts w:cs="Arial"/>
          <w:lang w:val="en-GB"/>
        </w:rPr>
      </w:pPr>
      <w:r w:rsidRPr="00EE5690">
        <w:rPr>
          <w:rFonts w:cs="Arial"/>
          <w:noProof/>
          <w:lang w:val="es-ES" w:eastAsia="es-ES"/>
        </w:rPr>
        <w:lastRenderedPageBreak/>
        <w:drawing>
          <wp:inline distT="0" distB="0" distL="0" distR="0" wp14:anchorId="13B122A0" wp14:editId="336C07A1">
            <wp:extent cx="4623758" cy="1877497"/>
            <wp:effectExtent l="0" t="0" r="571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ullsoef2015-179.jpg"/>
                    <pic:cNvPicPr/>
                  </pic:nvPicPr>
                  <pic:blipFill rotWithShape="1">
                    <a:blip r:embed="rId36" cstate="print">
                      <a:extLst>
                        <a:ext uri="{28A0092B-C50C-407E-A947-70E740481C1C}">
                          <a14:useLocalDpi xmlns:a14="http://schemas.microsoft.com/office/drawing/2010/main" val="0"/>
                        </a:ext>
                      </a:extLst>
                    </a:blip>
                    <a:srcRect l="3674" t="4917" r="7820" b="62553"/>
                    <a:stretch/>
                  </pic:blipFill>
                  <pic:spPr bwMode="auto">
                    <a:xfrm>
                      <a:off x="0" y="0"/>
                      <a:ext cx="4629379" cy="1879780"/>
                    </a:xfrm>
                    <a:prstGeom prst="rect">
                      <a:avLst/>
                    </a:prstGeom>
                    <a:ln>
                      <a:noFill/>
                    </a:ln>
                    <a:extLst>
                      <a:ext uri="{53640926-AAD7-44D8-BBD7-CCE9431645EC}">
                        <a14:shadowObscured xmlns:a14="http://schemas.microsoft.com/office/drawing/2010/main"/>
                      </a:ext>
                    </a:extLst>
                  </pic:spPr>
                </pic:pic>
              </a:graphicData>
            </a:graphic>
          </wp:inline>
        </w:drawing>
      </w:r>
    </w:p>
    <w:p w14:paraId="474A97DF" w14:textId="3967751B" w:rsidR="0022349E" w:rsidRPr="00A87FA3" w:rsidRDefault="0022349E" w:rsidP="00B76C97">
      <w:pPr>
        <w:pStyle w:val="Caption"/>
        <w:rPr>
          <w:rFonts w:cs="Arial"/>
        </w:rPr>
      </w:pPr>
      <w:bookmarkStart w:id="62" w:name="_Ref26430620"/>
      <w:bookmarkStart w:id="63" w:name="_Toc91752499"/>
      <w:r w:rsidRPr="00A87FA3">
        <w:rPr>
          <w:rFonts w:cs="Arial"/>
        </w:rPr>
        <w:t xml:space="preserve">Figure </w:t>
      </w:r>
      <w:r w:rsidRPr="00A87FA3">
        <w:rPr>
          <w:rFonts w:cs="Arial"/>
        </w:rPr>
        <w:fldChar w:fldCharType="begin"/>
      </w:r>
      <w:r w:rsidRPr="00A87FA3">
        <w:rPr>
          <w:rFonts w:cs="Arial"/>
        </w:rPr>
        <w:instrText xml:space="preserve"> SEQ Figure \* ARABIC </w:instrText>
      </w:r>
      <w:r w:rsidRPr="00A87FA3">
        <w:rPr>
          <w:rFonts w:cs="Arial"/>
        </w:rPr>
        <w:fldChar w:fldCharType="separate"/>
      </w:r>
      <w:r w:rsidR="0073710A">
        <w:rPr>
          <w:rFonts w:cs="Arial"/>
          <w:noProof/>
        </w:rPr>
        <w:t>15</w:t>
      </w:r>
      <w:r w:rsidRPr="00A87FA3">
        <w:rPr>
          <w:rFonts w:cs="Arial"/>
        </w:rPr>
        <w:fldChar w:fldCharType="end"/>
      </w:r>
      <w:bookmarkEnd w:id="62"/>
      <w:r w:rsidRPr="00A87FA3">
        <w:rPr>
          <w:rFonts w:cs="Arial"/>
        </w:rPr>
        <w:t xml:space="preserve"> Distribution of forest area in 2010 by ownership classes and region (Forest Europe, 2015)</w:t>
      </w:r>
      <w:bookmarkEnd w:id="63"/>
    </w:p>
    <w:p w14:paraId="10420A41" w14:textId="765880AD" w:rsidR="0022349E" w:rsidRPr="00EE5690" w:rsidRDefault="0022349E" w:rsidP="00B76C97">
      <w:pPr>
        <w:jc w:val="center"/>
        <w:rPr>
          <w:rFonts w:cs="Arial"/>
          <w:lang w:val="en-GB"/>
        </w:rPr>
      </w:pPr>
      <w:r w:rsidRPr="00EE5690">
        <w:rPr>
          <w:rFonts w:cs="Arial"/>
          <w:noProof/>
          <w:lang w:val="es-ES" w:eastAsia="es-ES"/>
        </w:rPr>
        <w:drawing>
          <wp:inline distT="0" distB="0" distL="0" distR="0" wp14:anchorId="4186F30C" wp14:editId="526D76F1">
            <wp:extent cx="4347440" cy="2493046"/>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ullsoef2015-179.jpg"/>
                    <pic:cNvPicPr/>
                  </pic:nvPicPr>
                  <pic:blipFill rotWithShape="1">
                    <a:blip r:embed="rId37" cstate="print">
                      <a:extLst>
                        <a:ext uri="{28A0092B-C50C-407E-A947-70E740481C1C}">
                          <a14:useLocalDpi xmlns:a14="http://schemas.microsoft.com/office/drawing/2010/main" val="0"/>
                        </a:ext>
                      </a:extLst>
                    </a:blip>
                    <a:srcRect l="4633" t="51470" r="5099" b="1674"/>
                    <a:stretch/>
                  </pic:blipFill>
                  <pic:spPr bwMode="auto">
                    <a:xfrm>
                      <a:off x="0" y="0"/>
                      <a:ext cx="4356804" cy="2498416"/>
                    </a:xfrm>
                    <a:prstGeom prst="rect">
                      <a:avLst/>
                    </a:prstGeom>
                    <a:ln>
                      <a:noFill/>
                    </a:ln>
                    <a:extLst>
                      <a:ext uri="{53640926-AAD7-44D8-BBD7-CCE9431645EC}">
                        <a14:shadowObscured xmlns:a14="http://schemas.microsoft.com/office/drawing/2010/main"/>
                      </a:ext>
                    </a:extLst>
                  </pic:spPr>
                </pic:pic>
              </a:graphicData>
            </a:graphic>
          </wp:inline>
        </w:drawing>
      </w:r>
    </w:p>
    <w:p w14:paraId="50900E71" w14:textId="796A58EE" w:rsidR="0022349E" w:rsidRPr="00A87FA3" w:rsidRDefault="0022349E" w:rsidP="00B76C97">
      <w:pPr>
        <w:pStyle w:val="Caption"/>
        <w:rPr>
          <w:rFonts w:cs="Arial"/>
        </w:rPr>
      </w:pPr>
      <w:bookmarkStart w:id="64" w:name="_Ref26430658"/>
      <w:bookmarkStart w:id="65" w:name="_Toc91752500"/>
      <w:r w:rsidRPr="00A87FA3">
        <w:rPr>
          <w:rFonts w:cs="Arial"/>
        </w:rPr>
        <w:t xml:space="preserve">Figure </w:t>
      </w:r>
      <w:r w:rsidRPr="00A87FA3">
        <w:rPr>
          <w:rFonts w:cs="Arial"/>
        </w:rPr>
        <w:fldChar w:fldCharType="begin"/>
      </w:r>
      <w:r w:rsidRPr="00A87FA3">
        <w:rPr>
          <w:rFonts w:cs="Arial"/>
        </w:rPr>
        <w:instrText xml:space="preserve"> SEQ Figure \* ARABIC </w:instrText>
      </w:r>
      <w:r w:rsidRPr="00A87FA3">
        <w:rPr>
          <w:rFonts w:cs="Arial"/>
        </w:rPr>
        <w:fldChar w:fldCharType="separate"/>
      </w:r>
      <w:r w:rsidR="0073710A">
        <w:rPr>
          <w:rFonts w:cs="Arial"/>
          <w:noProof/>
        </w:rPr>
        <w:t>16</w:t>
      </w:r>
      <w:r w:rsidRPr="00A87FA3">
        <w:rPr>
          <w:rFonts w:cs="Arial"/>
        </w:rPr>
        <w:fldChar w:fldCharType="end"/>
      </w:r>
      <w:bookmarkEnd w:id="64"/>
      <w:r w:rsidRPr="00A87FA3">
        <w:rPr>
          <w:rFonts w:cs="Arial"/>
        </w:rPr>
        <w:t xml:space="preserve"> </w:t>
      </w:r>
      <w:r w:rsidR="00A87FA3" w:rsidRPr="00A87FA3">
        <w:rPr>
          <w:rFonts w:cs="Arial"/>
        </w:rPr>
        <w:t>Private Forest</w:t>
      </w:r>
      <w:r w:rsidRPr="00A87FA3">
        <w:rPr>
          <w:rFonts w:cs="Arial"/>
        </w:rPr>
        <w:t xml:space="preserve"> area 1990 - 2010 by region (Forest Europe, 2015)</w:t>
      </w:r>
      <w:bookmarkEnd w:id="65"/>
    </w:p>
    <w:p w14:paraId="4E07B063" w14:textId="5D4D40C4" w:rsidR="00EF29F4" w:rsidRPr="00A87FA3" w:rsidRDefault="00EF29F4" w:rsidP="00B76C97">
      <w:pPr>
        <w:jc w:val="center"/>
        <w:rPr>
          <w:rFonts w:cs="Arial"/>
          <w:sz w:val="20"/>
          <w:szCs w:val="20"/>
          <w:lang w:val="en-GB"/>
        </w:rPr>
      </w:pPr>
      <w:r w:rsidRPr="00A87FA3">
        <w:rPr>
          <w:rFonts w:cs="Arial"/>
          <w:noProof/>
          <w:sz w:val="20"/>
          <w:szCs w:val="20"/>
          <w:lang w:val="es-ES" w:eastAsia="es-ES"/>
        </w:rPr>
        <w:drawing>
          <wp:inline distT="0" distB="0" distL="0" distR="0" wp14:anchorId="0946E0F5" wp14:editId="4C78D205">
            <wp:extent cx="2382628" cy="218409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ullsoef2015-32.jpg"/>
                    <pic:cNvPicPr/>
                  </pic:nvPicPr>
                  <pic:blipFill rotWithShape="1">
                    <a:blip r:embed="rId38" cstate="print">
                      <a:extLst>
                        <a:ext uri="{28A0092B-C50C-407E-A947-70E740481C1C}">
                          <a14:useLocalDpi xmlns:a14="http://schemas.microsoft.com/office/drawing/2010/main" val="0"/>
                        </a:ext>
                      </a:extLst>
                    </a:blip>
                    <a:srcRect l="3433" t="5846" r="5626" b="5391"/>
                    <a:stretch/>
                  </pic:blipFill>
                  <pic:spPr bwMode="auto">
                    <a:xfrm>
                      <a:off x="0" y="0"/>
                      <a:ext cx="2394294" cy="2194789"/>
                    </a:xfrm>
                    <a:prstGeom prst="rect">
                      <a:avLst/>
                    </a:prstGeom>
                    <a:ln>
                      <a:noFill/>
                    </a:ln>
                    <a:extLst>
                      <a:ext uri="{53640926-AAD7-44D8-BBD7-CCE9431645EC}">
                        <a14:shadowObscured xmlns:a14="http://schemas.microsoft.com/office/drawing/2010/main"/>
                      </a:ext>
                    </a:extLst>
                  </pic:spPr>
                </pic:pic>
              </a:graphicData>
            </a:graphic>
          </wp:inline>
        </w:drawing>
      </w:r>
    </w:p>
    <w:p w14:paraId="634F203C" w14:textId="258A3CB4" w:rsidR="00A05F48" w:rsidRPr="00A87FA3" w:rsidRDefault="000871CD" w:rsidP="00B76C97">
      <w:pPr>
        <w:pStyle w:val="Caption"/>
        <w:rPr>
          <w:rFonts w:cs="Arial"/>
        </w:rPr>
      </w:pPr>
      <w:bookmarkStart w:id="66" w:name="_Ref26430704"/>
      <w:bookmarkStart w:id="67" w:name="_Toc91752501"/>
      <w:r w:rsidRPr="00A87FA3">
        <w:rPr>
          <w:rFonts w:cs="Arial"/>
        </w:rPr>
        <w:t xml:space="preserve">Figure </w:t>
      </w:r>
      <w:r w:rsidRPr="00A87FA3">
        <w:rPr>
          <w:rFonts w:cs="Arial"/>
        </w:rPr>
        <w:fldChar w:fldCharType="begin"/>
      </w:r>
      <w:r w:rsidRPr="00A87FA3">
        <w:rPr>
          <w:rFonts w:cs="Arial"/>
        </w:rPr>
        <w:instrText xml:space="preserve"> SEQ Figure \* ARABIC </w:instrText>
      </w:r>
      <w:r w:rsidRPr="00A87FA3">
        <w:rPr>
          <w:rFonts w:cs="Arial"/>
        </w:rPr>
        <w:fldChar w:fldCharType="separate"/>
      </w:r>
      <w:r w:rsidR="0073710A">
        <w:rPr>
          <w:rFonts w:cs="Arial"/>
          <w:noProof/>
        </w:rPr>
        <w:t>17</w:t>
      </w:r>
      <w:r w:rsidRPr="00A87FA3">
        <w:rPr>
          <w:rFonts w:cs="Arial"/>
        </w:rPr>
        <w:fldChar w:fldCharType="end"/>
      </w:r>
      <w:bookmarkEnd w:id="66"/>
      <w:r w:rsidRPr="00A87FA3">
        <w:rPr>
          <w:rFonts w:cs="Arial"/>
        </w:rPr>
        <w:t xml:space="preserve"> Forest employment distribution (Source:  Forest Europe, 2015)</w:t>
      </w:r>
      <w:bookmarkEnd w:id="67"/>
    </w:p>
    <w:p w14:paraId="2D22A18A" w14:textId="086A3937" w:rsidR="00E367D5" w:rsidRPr="00EE5690" w:rsidRDefault="000B6065" w:rsidP="00B76C97">
      <w:pPr>
        <w:jc w:val="center"/>
        <w:rPr>
          <w:rFonts w:cs="Arial"/>
          <w:noProof/>
          <w:lang w:val="en-GB"/>
        </w:rPr>
      </w:pPr>
      <w:r w:rsidRPr="00EE5690">
        <w:rPr>
          <w:rFonts w:cs="Arial"/>
          <w:noProof/>
          <w:lang w:val="es-ES" w:eastAsia="es-ES"/>
        </w:rPr>
        <w:lastRenderedPageBreak/>
        <w:drawing>
          <wp:inline distT="0" distB="0" distL="0" distR="0" wp14:anchorId="7B101D66" wp14:editId="521DD4D2">
            <wp:extent cx="4315402" cy="182930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ullsoef2015-190.jpg"/>
                    <pic:cNvPicPr/>
                  </pic:nvPicPr>
                  <pic:blipFill rotWithShape="1">
                    <a:blip r:embed="rId39" cstate="print">
                      <a:extLst>
                        <a:ext uri="{28A0092B-C50C-407E-A947-70E740481C1C}">
                          <a14:useLocalDpi xmlns:a14="http://schemas.microsoft.com/office/drawing/2010/main" val="0"/>
                        </a:ext>
                      </a:extLst>
                    </a:blip>
                    <a:srcRect l="2396" t="11105" r="6398" b="7444"/>
                    <a:stretch/>
                  </pic:blipFill>
                  <pic:spPr bwMode="auto">
                    <a:xfrm>
                      <a:off x="0" y="0"/>
                      <a:ext cx="4335610" cy="1837875"/>
                    </a:xfrm>
                    <a:prstGeom prst="rect">
                      <a:avLst/>
                    </a:prstGeom>
                    <a:ln>
                      <a:noFill/>
                    </a:ln>
                    <a:extLst>
                      <a:ext uri="{53640926-AAD7-44D8-BBD7-CCE9431645EC}">
                        <a14:shadowObscured xmlns:a14="http://schemas.microsoft.com/office/drawing/2010/main"/>
                      </a:ext>
                    </a:extLst>
                  </pic:spPr>
                </pic:pic>
              </a:graphicData>
            </a:graphic>
          </wp:inline>
        </w:drawing>
      </w:r>
    </w:p>
    <w:p w14:paraId="34C167A4" w14:textId="0E7F3075" w:rsidR="000B6065" w:rsidRPr="00206437" w:rsidRDefault="000B6065" w:rsidP="00B76C97">
      <w:pPr>
        <w:pStyle w:val="Caption"/>
        <w:rPr>
          <w:rFonts w:cs="Arial"/>
        </w:rPr>
      </w:pPr>
      <w:bookmarkStart w:id="68" w:name="_Ref26430712"/>
      <w:bookmarkStart w:id="69" w:name="_Toc91752502"/>
      <w:r w:rsidRPr="00206437">
        <w:rPr>
          <w:rFonts w:cs="Arial"/>
        </w:rPr>
        <w:t xml:space="preserve">Figure </w:t>
      </w:r>
      <w:r w:rsidRPr="00206437">
        <w:rPr>
          <w:rFonts w:cs="Arial"/>
        </w:rPr>
        <w:fldChar w:fldCharType="begin"/>
      </w:r>
      <w:r w:rsidRPr="00206437">
        <w:rPr>
          <w:rFonts w:cs="Arial"/>
        </w:rPr>
        <w:instrText xml:space="preserve"> SEQ Figure \* ARABIC </w:instrText>
      </w:r>
      <w:r w:rsidRPr="00206437">
        <w:rPr>
          <w:rFonts w:cs="Arial"/>
        </w:rPr>
        <w:fldChar w:fldCharType="separate"/>
      </w:r>
      <w:r w:rsidR="0073710A">
        <w:rPr>
          <w:rFonts w:cs="Arial"/>
          <w:noProof/>
        </w:rPr>
        <w:t>18</w:t>
      </w:r>
      <w:r w:rsidRPr="00206437">
        <w:rPr>
          <w:rFonts w:cs="Arial"/>
        </w:rPr>
        <w:fldChar w:fldCharType="end"/>
      </w:r>
      <w:bookmarkEnd w:id="68"/>
      <w:r w:rsidRPr="00206437">
        <w:rPr>
          <w:rFonts w:cs="Arial"/>
        </w:rPr>
        <w:t xml:space="preserve"> Development of forest-related employment from 2000-2010 (Forest Europe, 2015)</w:t>
      </w:r>
      <w:bookmarkEnd w:id="69"/>
    </w:p>
    <w:p w14:paraId="546F80DF" w14:textId="63ECE975" w:rsidR="00383641" w:rsidRPr="00EE5690" w:rsidRDefault="00383641" w:rsidP="00EE5690">
      <w:pPr>
        <w:jc w:val="left"/>
        <w:rPr>
          <w:rFonts w:cs="Arial"/>
          <w:lang w:val="en-GB"/>
        </w:rPr>
      </w:pPr>
      <w:r w:rsidRPr="00EE5690">
        <w:rPr>
          <w:rFonts w:cs="Arial"/>
          <w:lang w:val="en-GB"/>
        </w:rPr>
        <w:fldChar w:fldCharType="begin"/>
      </w:r>
      <w:r w:rsidRPr="00EE5690">
        <w:rPr>
          <w:rFonts w:cs="Arial"/>
          <w:lang w:val="en-GB"/>
        </w:rPr>
        <w:instrText xml:space="preserve"> REF _Ref26430704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A87FA3">
        <w:rPr>
          <w:rFonts w:cs="Arial"/>
        </w:rPr>
        <w:t xml:space="preserve">Figure </w:t>
      </w:r>
      <w:r w:rsidR="0073710A">
        <w:rPr>
          <w:rFonts w:cs="Arial"/>
          <w:noProof/>
        </w:rPr>
        <w:t>17</w:t>
      </w:r>
      <w:r w:rsidRPr="00EE5690">
        <w:rPr>
          <w:rFonts w:cs="Arial"/>
          <w:lang w:val="en-GB"/>
        </w:rPr>
        <w:fldChar w:fldCharType="end"/>
      </w:r>
      <w:r w:rsidRPr="00EE5690">
        <w:rPr>
          <w:rFonts w:cs="Arial"/>
          <w:lang w:val="en-GB"/>
        </w:rPr>
        <w:t xml:space="preserve">, and </w:t>
      </w:r>
      <w:r w:rsidRPr="00EE5690">
        <w:rPr>
          <w:rFonts w:cs="Arial"/>
          <w:lang w:val="en-GB"/>
        </w:rPr>
        <w:fldChar w:fldCharType="begin"/>
      </w:r>
      <w:r w:rsidRPr="00EE5690">
        <w:rPr>
          <w:rFonts w:cs="Arial"/>
          <w:lang w:val="en-GB"/>
        </w:rPr>
        <w:instrText xml:space="preserve"> REF _Ref26430712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206437">
        <w:rPr>
          <w:rFonts w:cs="Arial"/>
        </w:rPr>
        <w:t xml:space="preserve">Figure </w:t>
      </w:r>
      <w:r w:rsidR="0073710A">
        <w:rPr>
          <w:rFonts w:cs="Arial"/>
          <w:noProof/>
        </w:rPr>
        <w:t>18</w:t>
      </w:r>
      <w:r w:rsidRPr="00EE5690">
        <w:rPr>
          <w:rFonts w:cs="Arial"/>
          <w:lang w:val="en-GB"/>
        </w:rPr>
        <w:fldChar w:fldCharType="end"/>
      </w:r>
      <w:r w:rsidRPr="00EE5690">
        <w:rPr>
          <w:rFonts w:cs="Arial"/>
          <w:lang w:val="en-GB"/>
        </w:rPr>
        <w:t xml:space="preserve"> present the forest related employment status in Europe. </w:t>
      </w:r>
    </w:p>
    <w:p w14:paraId="2518D2A7" w14:textId="5AE57FFC" w:rsidR="000042EC" w:rsidRPr="00206437" w:rsidRDefault="000042EC" w:rsidP="00EE5690">
      <w:pPr>
        <w:pStyle w:val="Caption"/>
        <w:jc w:val="left"/>
        <w:rPr>
          <w:rFonts w:cs="Arial"/>
        </w:rPr>
      </w:pPr>
      <w:bookmarkStart w:id="70" w:name="_Toc91752555"/>
      <w:r w:rsidRPr="00206437">
        <w:rPr>
          <w:rFonts w:cs="Arial"/>
        </w:rPr>
        <w:t xml:space="preserve">Table </w:t>
      </w:r>
      <w:r w:rsidRPr="00206437">
        <w:rPr>
          <w:rFonts w:cs="Arial"/>
        </w:rPr>
        <w:fldChar w:fldCharType="begin"/>
      </w:r>
      <w:r w:rsidRPr="00206437">
        <w:rPr>
          <w:rFonts w:cs="Arial"/>
        </w:rPr>
        <w:instrText xml:space="preserve"> SEQ Table \* ARABIC </w:instrText>
      </w:r>
      <w:r w:rsidRPr="00206437">
        <w:rPr>
          <w:rFonts w:cs="Arial"/>
        </w:rPr>
        <w:fldChar w:fldCharType="separate"/>
      </w:r>
      <w:r w:rsidR="0073710A">
        <w:rPr>
          <w:rFonts w:cs="Arial"/>
          <w:noProof/>
        </w:rPr>
        <w:t>16</w:t>
      </w:r>
      <w:r w:rsidRPr="00206437">
        <w:rPr>
          <w:rFonts w:cs="Arial"/>
        </w:rPr>
        <w:fldChar w:fldCharType="end"/>
      </w:r>
      <w:r w:rsidRPr="00206437">
        <w:rPr>
          <w:rFonts w:cs="Arial"/>
          <w:lang w:val="en-US"/>
        </w:rPr>
        <w:t xml:space="preserve"> </w:t>
      </w:r>
      <w:r w:rsidRPr="00206437">
        <w:rPr>
          <w:rFonts w:cs="Arial"/>
        </w:rPr>
        <w:t>Area with public access and area managed for recreational use by region</w:t>
      </w:r>
      <w:r w:rsidRPr="00206437">
        <w:rPr>
          <w:rStyle w:val="FootnoteReference"/>
          <w:rFonts w:cs="Arial"/>
        </w:rPr>
        <w:footnoteReference w:id="11"/>
      </w:r>
      <w:r w:rsidRPr="00206437">
        <w:rPr>
          <w:rFonts w:cs="Arial"/>
        </w:rPr>
        <w:t xml:space="preserve"> (Forest Europe, 2015)</w:t>
      </w:r>
      <w:bookmarkEnd w:id="70"/>
    </w:p>
    <w:tbl>
      <w:tblPr>
        <w:tblStyle w:val="ListTable4-Accent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2542"/>
        <w:gridCol w:w="2408"/>
        <w:gridCol w:w="1840"/>
      </w:tblGrid>
      <w:tr w:rsidR="00B76C97" w:rsidRPr="00805C6F" w14:paraId="0C5FCF3D" w14:textId="77777777" w:rsidTr="002205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vMerge w:val="restart"/>
            <w:shd w:val="clear" w:color="auto" w:fill="BFBFBF" w:themeFill="background1" w:themeFillShade="BF"/>
          </w:tcPr>
          <w:p w14:paraId="13BDF9A9" w14:textId="77777777" w:rsidR="00B76C97" w:rsidRPr="00805C6F" w:rsidRDefault="00B76C97" w:rsidP="0022057B">
            <w:pPr>
              <w:jc w:val="center"/>
              <w:rPr>
                <w:color w:val="auto"/>
                <w:sz w:val="18"/>
                <w:szCs w:val="18"/>
                <w:lang w:val="en-GB"/>
              </w:rPr>
            </w:pPr>
            <w:r w:rsidRPr="00805C6F">
              <w:rPr>
                <w:color w:val="auto"/>
                <w:sz w:val="18"/>
                <w:szCs w:val="18"/>
                <w:lang w:val="en-GB"/>
              </w:rPr>
              <w:t>Region</w:t>
            </w:r>
          </w:p>
        </w:tc>
        <w:tc>
          <w:tcPr>
            <w:tcW w:w="4950" w:type="dxa"/>
            <w:gridSpan w:val="2"/>
            <w:shd w:val="clear" w:color="auto" w:fill="BFBFBF" w:themeFill="background1" w:themeFillShade="BF"/>
          </w:tcPr>
          <w:p w14:paraId="7A1F72E0" w14:textId="77777777" w:rsidR="00B76C97" w:rsidRPr="00805C6F" w:rsidRDefault="00B76C97" w:rsidP="0022057B">
            <w:pPr>
              <w:jc w:val="center"/>
              <w:cnfStyle w:val="100000000000" w:firstRow="1" w:lastRow="0" w:firstColumn="0" w:lastColumn="0" w:oddVBand="0" w:evenVBand="0" w:oddHBand="0" w:evenHBand="0" w:firstRowFirstColumn="0" w:firstRowLastColumn="0" w:lastRowFirstColumn="0" w:lastRowLastColumn="0"/>
              <w:rPr>
                <w:color w:val="auto"/>
                <w:sz w:val="18"/>
                <w:szCs w:val="18"/>
                <w:lang w:val="en-GB"/>
              </w:rPr>
            </w:pPr>
            <w:r w:rsidRPr="00805C6F">
              <w:rPr>
                <w:color w:val="auto"/>
                <w:sz w:val="18"/>
                <w:szCs w:val="18"/>
                <w:lang w:val="en-GB"/>
              </w:rPr>
              <w:t>Area with access available to the public for recreational purposes (2010)</w:t>
            </w:r>
          </w:p>
        </w:tc>
        <w:tc>
          <w:tcPr>
            <w:tcW w:w="1840" w:type="dxa"/>
            <w:vMerge w:val="restart"/>
            <w:shd w:val="clear" w:color="auto" w:fill="BFBFBF" w:themeFill="background1" w:themeFillShade="BF"/>
          </w:tcPr>
          <w:p w14:paraId="2386FB34" w14:textId="77777777" w:rsidR="00B76C97" w:rsidRPr="00805C6F" w:rsidRDefault="00B76C97" w:rsidP="0022057B">
            <w:pPr>
              <w:jc w:val="center"/>
              <w:cnfStyle w:val="100000000000" w:firstRow="1" w:lastRow="0" w:firstColumn="0" w:lastColumn="0" w:oddVBand="0" w:evenVBand="0" w:oddHBand="0" w:evenHBand="0" w:firstRowFirstColumn="0" w:firstRowLastColumn="0" w:lastRowFirstColumn="0" w:lastRowLastColumn="0"/>
              <w:rPr>
                <w:color w:val="auto"/>
                <w:sz w:val="18"/>
                <w:szCs w:val="18"/>
                <w:lang w:val="en-GB"/>
              </w:rPr>
            </w:pPr>
            <w:r w:rsidRPr="00805C6F">
              <w:rPr>
                <w:color w:val="auto"/>
                <w:sz w:val="18"/>
                <w:szCs w:val="18"/>
                <w:lang w:val="en-GB"/>
              </w:rPr>
              <w:t>Percentage of forest and other wooded land area with recreational use as a main management goal (2010)</w:t>
            </w:r>
          </w:p>
        </w:tc>
      </w:tr>
      <w:tr w:rsidR="00B76C97" w:rsidRPr="00805C6F" w14:paraId="1DB29ED1"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vMerge/>
            <w:shd w:val="clear" w:color="auto" w:fill="FFC000"/>
          </w:tcPr>
          <w:p w14:paraId="529E065D" w14:textId="77777777" w:rsidR="00B76C97" w:rsidRPr="00805C6F" w:rsidRDefault="00B76C97" w:rsidP="0022057B">
            <w:pPr>
              <w:jc w:val="center"/>
              <w:rPr>
                <w:b w:val="0"/>
                <w:sz w:val="18"/>
                <w:szCs w:val="18"/>
                <w:lang w:val="en-GB"/>
              </w:rPr>
            </w:pPr>
          </w:p>
        </w:tc>
        <w:tc>
          <w:tcPr>
            <w:tcW w:w="2542" w:type="dxa"/>
            <w:shd w:val="clear" w:color="auto" w:fill="BFBFBF" w:themeFill="background1" w:themeFillShade="BF"/>
          </w:tcPr>
          <w:p w14:paraId="13670843" w14:textId="77777777" w:rsidR="00B76C97" w:rsidRPr="00805C6F" w:rsidRDefault="00B76C97" w:rsidP="0022057B">
            <w:pPr>
              <w:jc w:val="center"/>
              <w:cnfStyle w:val="000000100000" w:firstRow="0" w:lastRow="0" w:firstColumn="0" w:lastColumn="0" w:oddVBand="0" w:evenVBand="0" w:oddHBand="1" w:evenHBand="0" w:firstRowFirstColumn="0" w:firstRowLastColumn="0" w:lastRowFirstColumn="0" w:lastRowLastColumn="0"/>
              <w:rPr>
                <w:b/>
                <w:sz w:val="18"/>
                <w:szCs w:val="18"/>
                <w:lang w:val="en-GB"/>
              </w:rPr>
            </w:pPr>
            <w:r w:rsidRPr="00805C6F">
              <w:rPr>
                <w:b/>
                <w:sz w:val="18"/>
                <w:szCs w:val="18"/>
                <w:lang w:val="en-GB"/>
              </w:rPr>
              <w:t>Percentage of forest and other wooded land area with access available to the public for recreational purposes (2010)</w:t>
            </w:r>
          </w:p>
        </w:tc>
        <w:tc>
          <w:tcPr>
            <w:tcW w:w="2408" w:type="dxa"/>
            <w:shd w:val="clear" w:color="auto" w:fill="BFBFBF" w:themeFill="background1" w:themeFillShade="BF"/>
          </w:tcPr>
          <w:p w14:paraId="72B4AA15" w14:textId="77777777" w:rsidR="00B76C97" w:rsidRPr="00805C6F" w:rsidRDefault="00B76C97" w:rsidP="0022057B">
            <w:pPr>
              <w:jc w:val="center"/>
              <w:cnfStyle w:val="000000100000" w:firstRow="0" w:lastRow="0" w:firstColumn="0" w:lastColumn="0" w:oddVBand="0" w:evenVBand="0" w:oddHBand="1" w:evenHBand="0" w:firstRowFirstColumn="0" w:firstRowLastColumn="0" w:lastRowFirstColumn="0" w:lastRowLastColumn="0"/>
              <w:rPr>
                <w:b/>
                <w:sz w:val="18"/>
                <w:szCs w:val="18"/>
                <w:lang w:val="en-GB"/>
              </w:rPr>
            </w:pPr>
            <w:r w:rsidRPr="00805C6F">
              <w:rPr>
                <w:b/>
                <w:sz w:val="18"/>
                <w:szCs w:val="18"/>
                <w:lang w:val="en-GB"/>
              </w:rPr>
              <w:t>Data coverage expressed as percentage of total forest and other woodland area of the region</w:t>
            </w:r>
          </w:p>
        </w:tc>
        <w:tc>
          <w:tcPr>
            <w:tcW w:w="1840" w:type="dxa"/>
            <w:vMerge/>
            <w:shd w:val="clear" w:color="auto" w:fill="FFC000"/>
          </w:tcPr>
          <w:p w14:paraId="17EDED3B" w14:textId="77777777" w:rsidR="00B76C97" w:rsidRPr="00805C6F" w:rsidRDefault="00B76C97" w:rsidP="0022057B">
            <w:pPr>
              <w:jc w:val="center"/>
              <w:cnfStyle w:val="000000100000" w:firstRow="0" w:lastRow="0" w:firstColumn="0" w:lastColumn="0" w:oddVBand="0" w:evenVBand="0" w:oddHBand="1" w:evenHBand="0" w:firstRowFirstColumn="0" w:firstRowLastColumn="0" w:lastRowFirstColumn="0" w:lastRowLastColumn="0"/>
              <w:rPr>
                <w:b/>
                <w:sz w:val="18"/>
                <w:szCs w:val="18"/>
                <w:lang w:val="en-GB"/>
              </w:rPr>
            </w:pPr>
          </w:p>
        </w:tc>
      </w:tr>
      <w:tr w:rsidR="00B76C97" w:rsidRPr="00805C6F" w14:paraId="62510A12"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FFFFFF" w:themeFill="background1"/>
          </w:tcPr>
          <w:p w14:paraId="68837C1C" w14:textId="77777777" w:rsidR="00B76C97" w:rsidRPr="00805C6F" w:rsidRDefault="00B76C97" w:rsidP="0022057B">
            <w:pPr>
              <w:rPr>
                <w:sz w:val="18"/>
                <w:szCs w:val="18"/>
                <w:lang w:val="en-GB"/>
              </w:rPr>
            </w:pPr>
            <w:r w:rsidRPr="00805C6F">
              <w:rPr>
                <w:sz w:val="18"/>
                <w:szCs w:val="18"/>
                <w:lang w:val="en-GB"/>
              </w:rPr>
              <w:t>North Europe</w:t>
            </w:r>
          </w:p>
        </w:tc>
        <w:tc>
          <w:tcPr>
            <w:tcW w:w="2542" w:type="dxa"/>
            <w:shd w:val="clear" w:color="auto" w:fill="FFFFFF" w:themeFill="background1"/>
          </w:tcPr>
          <w:p w14:paraId="173D2341" w14:textId="77777777" w:rsidR="00B76C97" w:rsidRPr="00805C6F" w:rsidRDefault="00B76C97" w:rsidP="0022057B">
            <w:pPr>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98.0</w:t>
            </w:r>
          </w:p>
        </w:tc>
        <w:tc>
          <w:tcPr>
            <w:tcW w:w="2408" w:type="dxa"/>
            <w:shd w:val="clear" w:color="auto" w:fill="FFFFFF" w:themeFill="background1"/>
          </w:tcPr>
          <w:p w14:paraId="1F7E295D" w14:textId="77777777" w:rsidR="00B76C97" w:rsidRPr="00805C6F" w:rsidRDefault="00B76C97" w:rsidP="0022057B">
            <w:pPr>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100</w:t>
            </w:r>
          </w:p>
        </w:tc>
        <w:tc>
          <w:tcPr>
            <w:tcW w:w="1840" w:type="dxa"/>
            <w:shd w:val="clear" w:color="auto" w:fill="FFFFFF" w:themeFill="background1"/>
          </w:tcPr>
          <w:p w14:paraId="4605A9D4" w14:textId="77777777" w:rsidR="00B76C97" w:rsidRPr="00805C6F" w:rsidRDefault="00B76C97" w:rsidP="0022057B">
            <w:pPr>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4.6</w:t>
            </w:r>
          </w:p>
        </w:tc>
      </w:tr>
      <w:tr w:rsidR="00B76C97" w:rsidRPr="00805C6F" w14:paraId="14330BFD"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FFFFFF" w:themeFill="background1"/>
          </w:tcPr>
          <w:p w14:paraId="59FC4F7F" w14:textId="77777777" w:rsidR="00B76C97" w:rsidRPr="00805C6F" w:rsidRDefault="00B76C97" w:rsidP="0022057B">
            <w:pPr>
              <w:rPr>
                <w:sz w:val="18"/>
                <w:szCs w:val="18"/>
                <w:lang w:val="en-GB"/>
              </w:rPr>
            </w:pPr>
            <w:r w:rsidRPr="00805C6F">
              <w:rPr>
                <w:sz w:val="18"/>
                <w:szCs w:val="18"/>
                <w:lang w:val="en-GB"/>
              </w:rPr>
              <w:t>Central-West Europe</w:t>
            </w:r>
          </w:p>
        </w:tc>
        <w:tc>
          <w:tcPr>
            <w:tcW w:w="2542" w:type="dxa"/>
            <w:shd w:val="clear" w:color="auto" w:fill="FFFFFF" w:themeFill="background1"/>
          </w:tcPr>
          <w:p w14:paraId="3F8297C0" w14:textId="77777777" w:rsidR="00B76C97" w:rsidRPr="00805C6F" w:rsidRDefault="00B76C97" w:rsidP="0022057B">
            <w:pPr>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57.3</w:t>
            </w:r>
          </w:p>
        </w:tc>
        <w:tc>
          <w:tcPr>
            <w:tcW w:w="2408" w:type="dxa"/>
            <w:shd w:val="clear" w:color="auto" w:fill="FFFFFF" w:themeFill="background1"/>
          </w:tcPr>
          <w:p w14:paraId="100467B6" w14:textId="77777777" w:rsidR="00B76C97" w:rsidRPr="0048600B" w:rsidRDefault="00B76C97" w:rsidP="0022057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96.6</w:t>
            </w:r>
          </w:p>
        </w:tc>
        <w:tc>
          <w:tcPr>
            <w:tcW w:w="1840" w:type="dxa"/>
            <w:shd w:val="clear" w:color="auto" w:fill="FFFFFF" w:themeFill="background1"/>
          </w:tcPr>
          <w:p w14:paraId="140B651F" w14:textId="77777777" w:rsidR="00B76C97" w:rsidRPr="0048600B" w:rsidRDefault="00B76C97" w:rsidP="0022057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w:t>
            </w:r>
          </w:p>
        </w:tc>
      </w:tr>
      <w:tr w:rsidR="00B76C97" w:rsidRPr="00805C6F" w14:paraId="23349C2C"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FFFFFF" w:themeFill="background1"/>
          </w:tcPr>
          <w:p w14:paraId="055FA575" w14:textId="77777777" w:rsidR="00B76C97" w:rsidRPr="00805C6F" w:rsidRDefault="00B76C97" w:rsidP="0022057B">
            <w:pPr>
              <w:rPr>
                <w:sz w:val="18"/>
                <w:szCs w:val="18"/>
                <w:lang w:val="en-GB"/>
              </w:rPr>
            </w:pPr>
            <w:r w:rsidRPr="00805C6F">
              <w:rPr>
                <w:sz w:val="18"/>
                <w:szCs w:val="18"/>
                <w:lang w:val="en-GB"/>
              </w:rPr>
              <w:t>Central-East Europe</w:t>
            </w:r>
          </w:p>
        </w:tc>
        <w:tc>
          <w:tcPr>
            <w:tcW w:w="2542" w:type="dxa"/>
            <w:shd w:val="clear" w:color="auto" w:fill="FFFFFF" w:themeFill="background1"/>
          </w:tcPr>
          <w:p w14:paraId="415B23FD" w14:textId="77777777" w:rsidR="00B76C97" w:rsidRPr="00805C6F" w:rsidRDefault="00B76C97" w:rsidP="0022057B">
            <w:pPr>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69.1</w:t>
            </w:r>
          </w:p>
        </w:tc>
        <w:tc>
          <w:tcPr>
            <w:tcW w:w="2408" w:type="dxa"/>
            <w:shd w:val="clear" w:color="auto" w:fill="FFFFFF" w:themeFill="background1"/>
          </w:tcPr>
          <w:p w14:paraId="60807A5F" w14:textId="77777777" w:rsidR="00B76C97" w:rsidRPr="0048600B" w:rsidRDefault="00B76C97" w:rsidP="0022057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77.3</w:t>
            </w:r>
          </w:p>
        </w:tc>
        <w:tc>
          <w:tcPr>
            <w:tcW w:w="1840" w:type="dxa"/>
            <w:shd w:val="clear" w:color="auto" w:fill="FFFFFF" w:themeFill="background1"/>
          </w:tcPr>
          <w:p w14:paraId="3BE38A12" w14:textId="77777777" w:rsidR="00B76C97" w:rsidRPr="0048600B" w:rsidRDefault="00B76C97" w:rsidP="0022057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8.3</w:t>
            </w:r>
          </w:p>
        </w:tc>
      </w:tr>
      <w:tr w:rsidR="00B76C97" w:rsidRPr="00805C6F" w14:paraId="130D1E8B"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FFFFFF" w:themeFill="background1"/>
          </w:tcPr>
          <w:p w14:paraId="34581056" w14:textId="77777777" w:rsidR="00B76C97" w:rsidRPr="00805C6F" w:rsidRDefault="00B76C97" w:rsidP="0022057B">
            <w:pPr>
              <w:rPr>
                <w:sz w:val="18"/>
                <w:szCs w:val="18"/>
                <w:lang w:val="en-GB"/>
              </w:rPr>
            </w:pPr>
            <w:r w:rsidRPr="00805C6F">
              <w:rPr>
                <w:sz w:val="18"/>
                <w:szCs w:val="18"/>
                <w:lang w:val="en-GB"/>
              </w:rPr>
              <w:t>South-West Europe</w:t>
            </w:r>
          </w:p>
        </w:tc>
        <w:tc>
          <w:tcPr>
            <w:tcW w:w="2542" w:type="dxa"/>
            <w:shd w:val="clear" w:color="auto" w:fill="FFFFFF" w:themeFill="background1"/>
          </w:tcPr>
          <w:p w14:paraId="3177909B" w14:textId="77777777" w:rsidR="00B76C97" w:rsidRPr="00805C6F" w:rsidRDefault="00B76C97" w:rsidP="0022057B">
            <w:pPr>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N/A</w:t>
            </w:r>
          </w:p>
        </w:tc>
        <w:tc>
          <w:tcPr>
            <w:tcW w:w="2408" w:type="dxa"/>
            <w:shd w:val="clear" w:color="auto" w:fill="FFFFFF" w:themeFill="background1"/>
          </w:tcPr>
          <w:p w14:paraId="52F34A39" w14:textId="77777777" w:rsidR="00B76C97" w:rsidRPr="0048600B" w:rsidRDefault="00B76C97" w:rsidP="0022057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w:t>
            </w:r>
          </w:p>
        </w:tc>
        <w:tc>
          <w:tcPr>
            <w:tcW w:w="1840" w:type="dxa"/>
            <w:shd w:val="clear" w:color="auto" w:fill="FFFFFF" w:themeFill="background1"/>
          </w:tcPr>
          <w:p w14:paraId="5A734439" w14:textId="77777777" w:rsidR="00B76C97" w:rsidRPr="0048600B" w:rsidRDefault="00B76C97" w:rsidP="0022057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N/A</w:t>
            </w:r>
          </w:p>
        </w:tc>
      </w:tr>
      <w:tr w:rsidR="00B76C97" w:rsidRPr="00805C6F" w14:paraId="67E8B0E3"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FFFFFF" w:themeFill="background1"/>
          </w:tcPr>
          <w:p w14:paraId="79597A2F" w14:textId="77777777" w:rsidR="00B76C97" w:rsidRPr="00805C6F" w:rsidRDefault="00B76C97" w:rsidP="0022057B">
            <w:pPr>
              <w:rPr>
                <w:sz w:val="18"/>
                <w:szCs w:val="18"/>
                <w:lang w:val="en-GB"/>
              </w:rPr>
            </w:pPr>
            <w:r w:rsidRPr="00805C6F">
              <w:rPr>
                <w:sz w:val="18"/>
                <w:szCs w:val="18"/>
                <w:lang w:val="en-GB"/>
              </w:rPr>
              <w:t>South-East Europe</w:t>
            </w:r>
          </w:p>
        </w:tc>
        <w:tc>
          <w:tcPr>
            <w:tcW w:w="2542" w:type="dxa"/>
            <w:shd w:val="clear" w:color="auto" w:fill="FFFFFF" w:themeFill="background1"/>
          </w:tcPr>
          <w:p w14:paraId="78B1460C" w14:textId="77777777" w:rsidR="00B76C97" w:rsidRPr="00805C6F" w:rsidRDefault="00B76C97" w:rsidP="0022057B">
            <w:pPr>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95.8</w:t>
            </w:r>
          </w:p>
        </w:tc>
        <w:tc>
          <w:tcPr>
            <w:tcW w:w="2408" w:type="dxa"/>
            <w:shd w:val="clear" w:color="auto" w:fill="FFFFFF" w:themeFill="background1"/>
          </w:tcPr>
          <w:p w14:paraId="43D926A1" w14:textId="77777777" w:rsidR="00B76C97" w:rsidRPr="0048600B" w:rsidRDefault="00B76C97" w:rsidP="0022057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32.8</w:t>
            </w:r>
          </w:p>
        </w:tc>
        <w:tc>
          <w:tcPr>
            <w:tcW w:w="1840" w:type="dxa"/>
            <w:shd w:val="clear" w:color="auto" w:fill="FFFFFF" w:themeFill="background1"/>
          </w:tcPr>
          <w:p w14:paraId="7CABDA75" w14:textId="77777777" w:rsidR="00B76C97" w:rsidRPr="0048600B" w:rsidRDefault="00B76C97" w:rsidP="0022057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7.7</w:t>
            </w:r>
          </w:p>
        </w:tc>
      </w:tr>
      <w:tr w:rsidR="00B76C97" w:rsidRPr="00805C6F" w14:paraId="489F7DD4"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FFCCA6" w:themeFill="accent5" w:themeFillTint="66"/>
          </w:tcPr>
          <w:p w14:paraId="64D6F45E" w14:textId="77777777" w:rsidR="00B76C97" w:rsidRPr="00805C6F" w:rsidRDefault="00B76C97" w:rsidP="0022057B">
            <w:pPr>
              <w:rPr>
                <w:sz w:val="18"/>
                <w:szCs w:val="18"/>
                <w:lang w:val="en-GB"/>
              </w:rPr>
            </w:pPr>
            <w:r w:rsidRPr="00805C6F">
              <w:rPr>
                <w:sz w:val="18"/>
                <w:szCs w:val="18"/>
                <w:lang w:val="en-GB"/>
              </w:rPr>
              <w:t>EU-28</w:t>
            </w:r>
          </w:p>
        </w:tc>
        <w:tc>
          <w:tcPr>
            <w:tcW w:w="2542" w:type="dxa"/>
            <w:shd w:val="clear" w:color="auto" w:fill="FFCCA6" w:themeFill="accent5" w:themeFillTint="66"/>
          </w:tcPr>
          <w:p w14:paraId="25699650" w14:textId="77777777" w:rsidR="00B76C97" w:rsidRPr="00805C6F" w:rsidRDefault="00B76C97" w:rsidP="0022057B">
            <w:pPr>
              <w:cnfStyle w:val="000000100000" w:firstRow="0" w:lastRow="0" w:firstColumn="0" w:lastColumn="0" w:oddVBand="0" w:evenVBand="0" w:oddHBand="1" w:evenHBand="0" w:firstRowFirstColumn="0" w:firstRowLastColumn="0" w:lastRowFirstColumn="0" w:lastRowLastColumn="0"/>
              <w:rPr>
                <w:sz w:val="18"/>
                <w:szCs w:val="18"/>
                <w:lang w:val="en-GB"/>
              </w:rPr>
            </w:pPr>
            <w:r>
              <w:rPr>
                <w:sz w:val="18"/>
                <w:szCs w:val="18"/>
                <w:lang w:val="en-GB"/>
              </w:rPr>
              <w:t>68.6</w:t>
            </w:r>
          </w:p>
        </w:tc>
        <w:tc>
          <w:tcPr>
            <w:tcW w:w="2408" w:type="dxa"/>
            <w:shd w:val="clear" w:color="auto" w:fill="FFCCA6" w:themeFill="accent5" w:themeFillTint="66"/>
          </w:tcPr>
          <w:p w14:paraId="5EB83E92" w14:textId="77777777" w:rsidR="00B76C97" w:rsidRPr="0048600B" w:rsidRDefault="00B76C97" w:rsidP="0022057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83.9</w:t>
            </w:r>
          </w:p>
        </w:tc>
        <w:tc>
          <w:tcPr>
            <w:tcW w:w="1840" w:type="dxa"/>
            <w:shd w:val="clear" w:color="auto" w:fill="FFCCA6" w:themeFill="accent5" w:themeFillTint="66"/>
          </w:tcPr>
          <w:p w14:paraId="5D455A21" w14:textId="77777777" w:rsidR="00B76C97" w:rsidRPr="0048600B" w:rsidRDefault="00B76C97" w:rsidP="0022057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4.6</w:t>
            </w:r>
          </w:p>
        </w:tc>
      </w:tr>
      <w:tr w:rsidR="00B76C97" w:rsidRPr="00805C6F" w14:paraId="13832246"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FFB279" w:themeFill="accent5" w:themeFillTint="99"/>
          </w:tcPr>
          <w:p w14:paraId="29AAFFB0" w14:textId="77777777" w:rsidR="00B76C97" w:rsidRPr="00805C6F" w:rsidRDefault="00B76C97" w:rsidP="0022057B">
            <w:pPr>
              <w:rPr>
                <w:sz w:val="18"/>
                <w:szCs w:val="18"/>
                <w:lang w:val="en-GB"/>
              </w:rPr>
            </w:pPr>
            <w:r w:rsidRPr="00805C6F">
              <w:rPr>
                <w:sz w:val="18"/>
                <w:szCs w:val="18"/>
                <w:lang w:val="en-GB"/>
              </w:rPr>
              <w:t>Europe</w:t>
            </w:r>
          </w:p>
        </w:tc>
        <w:tc>
          <w:tcPr>
            <w:tcW w:w="2542" w:type="dxa"/>
            <w:shd w:val="clear" w:color="auto" w:fill="FFB279" w:themeFill="accent5" w:themeFillTint="99"/>
          </w:tcPr>
          <w:p w14:paraId="201FDC54" w14:textId="77777777" w:rsidR="00B76C97" w:rsidRPr="00805C6F" w:rsidRDefault="00B76C97" w:rsidP="0022057B">
            <w:pPr>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82.3</w:t>
            </w:r>
          </w:p>
        </w:tc>
        <w:tc>
          <w:tcPr>
            <w:tcW w:w="2408" w:type="dxa"/>
            <w:shd w:val="clear" w:color="auto" w:fill="FFB279" w:themeFill="accent5" w:themeFillTint="99"/>
          </w:tcPr>
          <w:p w14:paraId="015450BF" w14:textId="77777777" w:rsidR="00B76C97" w:rsidRPr="0048600B" w:rsidRDefault="00B76C97" w:rsidP="0022057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65.9</w:t>
            </w:r>
          </w:p>
        </w:tc>
        <w:tc>
          <w:tcPr>
            <w:tcW w:w="1840" w:type="dxa"/>
            <w:shd w:val="clear" w:color="auto" w:fill="FFB279" w:themeFill="accent5" w:themeFillTint="99"/>
          </w:tcPr>
          <w:p w14:paraId="1AAA54C7" w14:textId="77777777" w:rsidR="00B76C97" w:rsidRPr="0048600B" w:rsidRDefault="00B76C97" w:rsidP="0022057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5.7</w:t>
            </w:r>
          </w:p>
        </w:tc>
      </w:tr>
    </w:tbl>
    <w:p w14:paraId="640FB2BF" w14:textId="212132FC" w:rsidR="0022349E" w:rsidRPr="00EE5690" w:rsidRDefault="0022349E" w:rsidP="002D2FB4">
      <w:pPr>
        <w:rPr>
          <w:rFonts w:cs="Arial"/>
          <w:lang w:val="en-GB"/>
        </w:rPr>
      </w:pPr>
      <w:r w:rsidRPr="00EE5690">
        <w:rPr>
          <w:rFonts w:cs="Arial"/>
          <w:lang w:val="en-GB"/>
        </w:rPr>
        <w:lastRenderedPageBreak/>
        <w:t>The implementation of an afforestation project can provide new working position</w:t>
      </w:r>
      <w:r w:rsidR="00264135" w:rsidRPr="00EE5690">
        <w:rPr>
          <w:rFonts w:cs="Arial"/>
          <w:lang w:val="en-GB"/>
        </w:rPr>
        <w:t>s</w:t>
      </w:r>
      <w:r w:rsidRPr="00EE5690">
        <w:rPr>
          <w:rFonts w:cs="Arial"/>
          <w:lang w:val="en-GB"/>
        </w:rPr>
        <w:t xml:space="preserve"> in the area. The new positions could be related directly to forestry operations or to </w:t>
      </w:r>
      <w:r w:rsidR="00863D17" w:rsidRPr="00EE5690">
        <w:rPr>
          <w:rFonts w:cs="Arial"/>
          <w:lang w:val="en-GB"/>
        </w:rPr>
        <w:t>other</w:t>
      </w:r>
      <w:r w:rsidRPr="00EE5690">
        <w:rPr>
          <w:rFonts w:cs="Arial"/>
          <w:lang w:val="en-GB"/>
        </w:rPr>
        <w:t xml:space="preserve"> activities that might get a boost from the afforestation project</w:t>
      </w:r>
      <w:r w:rsidR="007D072A" w:rsidRPr="00EE5690">
        <w:rPr>
          <w:rFonts w:cs="Arial"/>
          <w:lang w:val="en-GB"/>
        </w:rPr>
        <w:t>, like tourism, hunting or fruit picking services</w:t>
      </w:r>
      <w:r w:rsidRPr="00EE5690">
        <w:rPr>
          <w:rFonts w:cs="Arial"/>
          <w:lang w:val="en-GB"/>
        </w:rPr>
        <w:t>. For the implementation of a project an initial study and plan will have to be created which will result in providing work opportunities for forest service companies in the area. Furthermore</w:t>
      </w:r>
      <w:r w:rsidR="00206437">
        <w:rPr>
          <w:rFonts w:cs="Arial"/>
          <w:lang w:val="en-GB"/>
        </w:rPr>
        <w:t>,</w:t>
      </w:r>
      <w:r w:rsidRPr="00EE5690">
        <w:rPr>
          <w:rFonts w:cs="Arial"/>
          <w:lang w:val="en-GB"/>
        </w:rPr>
        <w:t xml:space="preserve"> during the initial phase of the project jobs will be created that have to do with the preparation of the area and the actual planting of the trees. </w:t>
      </w:r>
    </w:p>
    <w:p w14:paraId="49493D3A" w14:textId="64B029A2" w:rsidR="0022349E" w:rsidRPr="00EE5690" w:rsidRDefault="0022349E" w:rsidP="002D2FB4">
      <w:pPr>
        <w:rPr>
          <w:rFonts w:cs="Arial"/>
          <w:lang w:val="en-GB"/>
        </w:rPr>
      </w:pPr>
      <w:r w:rsidRPr="00EE5690">
        <w:rPr>
          <w:rFonts w:cs="Arial"/>
          <w:lang w:val="en-GB"/>
        </w:rPr>
        <w:t xml:space="preserve">The implementation of a forest management dedicated to leaving the forest to grow without any major interventions like harvesting can create the potential for the development of forest tourism in the implementation areas. Recent studies have shown that under certain circumstances the financial benefits from a forest tourism driven approach can be more for the benefits gained from the exploitation of the forest. </w:t>
      </w:r>
      <w:proofErr w:type="spellStart"/>
      <w:r w:rsidRPr="00EE5690">
        <w:rPr>
          <w:rFonts w:cs="Arial"/>
          <w:lang w:val="en-GB"/>
        </w:rPr>
        <w:t>Ahtikoski</w:t>
      </w:r>
      <w:proofErr w:type="spellEnd"/>
      <w:r w:rsidRPr="00EE5690">
        <w:rPr>
          <w:rFonts w:cs="Arial"/>
          <w:lang w:val="en-GB"/>
        </w:rPr>
        <w:t xml:space="preserve"> et all, 2011 performed a study in Finland comparing the benefits of </w:t>
      </w:r>
      <w:proofErr w:type="gramStart"/>
      <w:r w:rsidRPr="00EE5690">
        <w:rPr>
          <w:rFonts w:cs="Arial"/>
          <w:lang w:val="en-GB"/>
        </w:rPr>
        <w:t>nature based</w:t>
      </w:r>
      <w:proofErr w:type="gramEnd"/>
      <w:r w:rsidRPr="00EE5690">
        <w:rPr>
          <w:rFonts w:cs="Arial"/>
          <w:lang w:val="en-GB"/>
        </w:rPr>
        <w:t xml:space="preserve"> tourism and forestry examining three different forest management scenarios. Their study indicates that if a total of 440 more tourists per year are attracted to the area for a period of 30 </w:t>
      </w:r>
      <w:r w:rsidR="00206437" w:rsidRPr="00EE5690">
        <w:rPr>
          <w:rFonts w:cs="Arial"/>
          <w:lang w:val="en-GB"/>
        </w:rPr>
        <w:t>years,</w:t>
      </w:r>
      <w:r w:rsidRPr="00EE5690">
        <w:rPr>
          <w:rFonts w:cs="Arial"/>
          <w:lang w:val="en-GB"/>
        </w:rPr>
        <w:t xml:space="preserve"> then the benefits from tourism (financial and employment generation) are outweighing the ones coming from forestry.</w:t>
      </w:r>
    </w:p>
    <w:p w14:paraId="4E544423" w14:textId="553A0F35" w:rsidR="007D072A" w:rsidRPr="00EE5690" w:rsidRDefault="007D072A" w:rsidP="002D2FB4">
      <w:pPr>
        <w:rPr>
          <w:rFonts w:cs="Arial"/>
          <w:lang w:val="en-GB"/>
        </w:rPr>
      </w:pPr>
      <w:r w:rsidRPr="00EE5690">
        <w:rPr>
          <w:rFonts w:cs="Arial"/>
          <w:lang w:val="en-GB"/>
        </w:rPr>
        <w:t>In addition</w:t>
      </w:r>
      <w:r w:rsidR="00206437">
        <w:rPr>
          <w:rFonts w:cs="Arial"/>
          <w:lang w:val="en-GB"/>
        </w:rPr>
        <w:t>,</w:t>
      </w:r>
      <w:r w:rsidRPr="00EE5690">
        <w:rPr>
          <w:rFonts w:cs="Arial"/>
          <w:lang w:val="en-GB"/>
        </w:rPr>
        <w:t xml:space="preserve"> an afforestation project will have a positive impact in improving health and well-being in the area. </w:t>
      </w:r>
      <w:r w:rsidR="0000189D" w:rsidRPr="00EE5690">
        <w:rPr>
          <w:rFonts w:cs="Arial"/>
          <w:lang w:val="en-GB"/>
        </w:rPr>
        <w:t>The newly created forest will provide an area for recreation and leisure, and education.</w:t>
      </w:r>
    </w:p>
    <w:p w14:paraId="3D9A36FB" w14:textId="691C72CB" w:rsidR="0000189D" w:rsidRPr="00EE5690" w:rsidRDefault="0000189D" w:rsidP="002D2FB4">
      <w:pPr>
        <w:rPr>
          <w:rFonts w:cs="Arial"/>
          <w:lang w:val="en-GB"/>
        </w:rPr>
      </w:pPr>
      <w:r w:rsidRPr="00EE5690">
        <w:rPr>
          <w:rFonts w:cs="Arial"/>
          <w:lang w:val="en-GB"/>
        </w:rPr>
        <w:t>When the forest will grow older it will have an impact in biodiversity it can also provide access to hunting and mushroom picking activities.</w:t>
      </w:r>
    </w:p>
    <w:p w14:paraId="5514E20F" w14:textId="0E856A50" w:rsidR="005271D4" w:rsidRPr="00EE5690" w:rsidRDefault="005271D4" w:rsidP="005D4B20">
      <w:pPr>
        <w:pStyle w:val="MAIL1"/>
      </w:pPr>
      <w:bookmarkStart w:id="71" w:name="_Toc91752388"/>
      <w:r w:rsidRPr="00EE5690">
        <w:t>Environmental Aspects of sustainability</w:t>
      </w:r>
      <w:bookmarkEnd w:id="71"/>
    </w:p>
    <w:p w14:paraId="3095B61D" w14:textId="208A3336" w:rsidR="00572681" w:rsidRPr="00EE5690" w:rsidRDefault="007157DB" w:rsidP="002D2FB4">
      <w:pPr>
        <w:rPr>
          <w:rFonts w:cs="Arial"/>
          <w:lang w:val="en-GB"/>
        </w:rPr>
      </w:pPr>
      <w:r w:rsidRPr="00EE5690">
        <w:rPr>
          <w:rFonts w:cs="Arial"/>
          <w:lang w:val="en-GB"/>
        </w:rPr>
        <w:t xml:space="preserve">Implementing an afforestation project in marginal lands will have a great environmental impact in the area. In this chapter we are going to study the potential improvements and benefits that will emerge </w:t>
      </w:r>
      <w:proofErr w:type="gramStart"/>
      <w:r w:rsidRPr="00EE5690">
        <w:rPr>
          <w:rFonts w:cs="Arial"/>
          <w:lang w:val="en-GB"/>
        </w:rPr>
        <w:t xml:space="preserve">and </w:t>
      </w:r>
      <w:r w:rsidR="0007297E" w:rsidRPr="00EE5690">
        <w:rPr>
          <w:rFonts w:cs="Arial"/>
          <w:lang w:val="en-GB"/>
        </w:rPr>
        <w:t>also</w:t>
      </w:r>
      <w:proofErr w:type="gramEnd"/>
      <w:r w:rsidR="0007297E" w:rsidRPr="00EE5690">
        <w:rPr>
          <w:rFonts w:cs="Arial"/>
          <w:lang w:val="en-GB"/>
        </w:rPr>
        <w:t xml:space="preserve"> provide guidelines for the sustainable environmental aspects of such an action.</w:t>
      </w:r>
    </w:p>
    <w:p w14:paraId="70DB6FE9" w14:textId="09C1E1A3" w:rsidR="0007297E" w:rsidRPr="00EE5690" w:rsidRDefault="0007297E" w:rsidP="002D2FB4">
      <w:pPr>
        <w:rPr>
          <w:rFonts w:cs="Arial"/>
          <w:lang w:val="en-GB"/>
        </w:rPr>
      </w:pPr>
      <w:r w:rsidRPr="00EE5690">
        <w:rPr>
          <w:rFonts w:cs="Arial"/>
          <w:lang w:val="en-GB"/>
        </w:rPr>
        <w:t xml:space="preserve">In general, marginal lands are lands of low productivity and </w:t>
      </w:r>
      <w:proofErr w:type="gramStart"/>
      <w:r w:rsidRPr="00EE5690">
        <w:rPr>
          <w:rFonts w:cs="Arial"/>
          <w:lang w:val="en-GB"/>
        </w:rPr>
        <w:t>are located in</w:t>
      </w:r>
      <w:proofErr w:type="gramEnd"/>
      <w:r w:rsidRPr="00EE5690">
        <w:rPr>
          <w:rFonts w:cs="Arial"/>
          <w:lang w:val="en-GB"/>
        </w:rPr>
        <w:t xml:space="preserve"> environmentally deteriorated areas, thus any afforestation project will have in general positive environmental impacts. </w:t>
      </w:r>
    </w:p>
    <w:p w14:paraId="41CF8EA3" w14:textId="721BFF22" w:rsidR="0007297E" w:rsidRPr="00EE5690" w:rsidRDefault="00E962C5" w:rsidP="002D2FB4">
      <w:pPr>
        <w:rPr>
          <w:rFonts w:cs="Arial"/>
          <w:lang w:val="en-GB"/>
        </w:rPr>
      </w:pPr>
      <w:r w:rsidRPr="00EE5690">
        <w:rPr>
          <w:rFonts w:cs="Arial"/>
          <w:lang w:val="en-GB"/>
        </w:rPr>
        <w:lastRenderedPageBreak/>
        <w:t>Forests provide a lot of environmental benefits spanning from soil and erosion protection to climate change mitigation and protection of infrastructure. The following figure presents a general overview of the environmental impact that an afforestation project can have in an area.</w:t>
      </w:r>
    </w:p>
    <w:p w14:paraId="3717ACB8" w14:textId="14A022B6" w:rsidR="00E962C5" w:rsidRPr="00EE5690" w:rsidRDefault="00E64B25" w:rsidP="0026750B">
      <w:pPr>
        <w:jc w:val="center"/>
        <w:rPr>
          <w:rFonts w:cs="Arial"/>
          <w:lang w:val="en-GB"/>
        </w:rPr>
      </w:pPr>
      <w:r w:rsidRPr="00EE5690">
        <w:rPr>
          <w:rFonts w:cs="Arial"/>
          <w:noProof/>
          <w:lang w:val="es-ES" w:eastAsia="es-ES"/>
        </w:rPr>
        <w:drawing>
          <wp:inline distT="0" distB="0" distL="0" distR="0" wp14:anchorId="07E36D0E" wp14:editId="5D7A4F4F">
            <wp:extent cx="5400675" cy="625221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nvironemntal.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675" cy="6252210"/>
                    </a:xfrm>
                    <a:prstGeom prst="rect">
                      <a:avLst/>
                    </a:prstGeom>
                  </pic:spPr>
                </pic:pic>
              </a:graphicData>
            </a:graphic>
          </wp:inline>
        </w:drawing>
      </w:r>
    </w:p>
    <w:p w14:paraId="48887869" w14:textId="0D30A9E3" w:rsidR="00E64B25" w:rsidRPr="00206437" w:rsidRDefault="00E64B25" w:rsidP="0026750B">
      <w:pPr>
        <w:pStyle w:val="Caption"/>
        <w:rPr>
          <w:rFonts w:cs="Arial"/>
        </w:rPr>
      </w:pPr>
      <w:bookmarkStart w:id="72" w:name="_Toc91752503"/>
      <w:r w:rsidRPr="00206437">
        <w:rPr>
          <w:rFonts w:cs="Arial"/>
        </w:rPr>
        <w:t xml:space="preserve">Figure </w:t>
      </w:r>
      <w:r w:rsidRPr="00206437">
        <w:rPr>
          <w:rFonts w:cs="Arial"/>
        </w:rPr>
        <w:fldChar w:fldCharType="begin"/>
      </w:r>
      <w:r w:rsidRPr="00206437">
        <w:rPr>
          <w:rFonts w:cs="Arial"/>
        </w:rPr>
        <w:instrText xml:space="preserve"> SEQ Figure \* ARABIC </w:instrText>
      </w:r>
      <w:r w:rsidRPr="00206437">
        <w:rPr>
          <w:rFonts w:cs="Arial"/>
        </w:rPr>
        <w:fldChar w:fldCharType="separate"/>
      </w:r>
      <w:r w:rsidR="0073710A">
        <w:rPr>
          <w:rFonts w:cs="Arial"/>
          <w:noProof/>
        </w:rPr>
        <w:t>19</w:t>
      </w:r>
      <w:r w:rsidRPr="00206437">
        <w:rPr>
          <w:rFonts w:cs="Arial"/>
        </w:rPr>
        <w:fldChar w:fldCharType="end"/>
      </w:r>
      <w:r w:rsidRPr="00206437">
        <w:rPr>
          <w:rFonts w:cs="Arial"/>
        </w:rPr>
        <w:t xml:space="preserve"> Environmental aspects of sustainability</w:t>
      </w:r>
      <w:bookmarkEnd w:id="72"/>
    </w:p>
    <w:p w14:paraId="6E01CC87" w14:textId="77777777" w:rsidR="001D6A76" w:rsidRPr="00EE5690" w:rsidRDefault="001D6A76" w:rsidP="002D2FB4">
      <w:pPr>
        <w:rPr>
          <w:rFonts w:cs="Arial"/>
          <w:lang w:val="en-GB"/>
        </w:rPr>
      </w:pPr>
    </w:p>
    <w:p w14:paraId="06AB1D3A" w14:textId="3D542B0F" w:rsidR="003B75D6" w:rsidRPr="00EE5690" w:rsidRDefault="00512ACD" w:rsidP="002D2FB4">
      <w:pPr>
        <w:rPr>
          <w:rFonts w:cs="Arial"/>
        </w:rPr>
      </w:pPr>
      <w:r w:rsidRPr="00EE5690">
        <w:rPr>
          <w:rFonts w:cs="Arial"/>
          <w:lang w:val="en-GB"/>
        </w:rPr>
        <w:lastRenderedPageBreak/>
        <w:t xml:space="preserve">The </w:t>
      </w:r>
      <w:r w:rsidR="00FE0850" w:rsidRPr="00EE5690">
        <w:rPr>
          <w:rFonts w:cs="Arial"/>
          <w:lang w:val="en-GB"/>
        </w:rPr>
        <w:t xml:space="preserve">most significant environmental impact that an afforestation project is going to have </w:t>
      </w:r>
      <w:proofErr w:type="gramStart"/>
      <w:r w:rsidR="00FE0850" w:rsidRPr="00EE5690">
        <w:rPr>
          <w:rFonts w:cs="Arial"/>
          <w:lang w:val="en-GB"/>
        </w:rPr>
        <w:t>is</w:t>
      </w:r>
      <w:proofErr w:type="gramEnd"/>
      <w:r w:rsidR="00FE0850" w:rsidRPr="00EE5690">
        <w:rPr>
          <w:rFonts w:cs="Arial"/>
          <w:lang w:val="en-GB"/>
        </w:rPr>
        <w:t xml:space="preserve"> that will act as a carbon sink for the lifetime of the project, sequestering carbon and also increasing the soil carbon sequestration. In addition, forests can also have other environmental impacts. Forest</w:t>
      </w:r>
      <w:r w:rsidR="00FF2CAA" w:rsidRPr="00EE5690">
        <w:rPr>
          <w:rFonts w:cs="Arial"/>
          <w:lang w:val="en-GB"/>
        </w:rPr>
        <w:t>s</w:t>
      </w:r>
      <w:r w:rsidR="00FE0850" w:rsidRPr="00EE5690">
        <w:rPr>
          <w:rFonts w:cs="Arial"/>
          <w:lang w:val="en-GB"/>
        </w:rPr>
        <w:t xml:space="preserve"> help to improve the soil quality </w:t>
      </w:r>
      <w:proofErr w:type="gramStart"/>
      <w:r w:rsidR="00FE0850" w:rsidRPr="00EE5690">
        <w:rPr>
          <w:rFonts w:cs="Arial"/>
          <w:lang w:val="en-GB"/>
        </w:rPr>
        <w:t>and also</w:t>
      </w:r>
      <w:proofErr w:type="gramEnd"/>
      <w:r w:rsidR="00FE0850" w:rsidRPr="00EE5690">
        <w:rPr>
          <w:rFonts w:cs="Arial"/>
          <w:lang w:val="en-GB"/>
        </w:rPr>
        <w:t xml:space="preserve"> act as a protection for erosion and watershed.</w:t>
      </w:r>
      <w:r w:rsidR="00F6412C" w:rsidRPr="00EE5690">
        <w:rPr>
          <w:rFonts w:cs="Arial"/>
          <w:lang w:val="en-GB"/>
        </w:rPr>
        <w:t xml:space="preserve"> Biodiversity and </w:t>
      </w:r>
      <w:r w:rsidR="000E6A51" w:rsidRPr="00EE5690">
        <w:rPr>
          <w:rFonts w:cs="Arial"/>
          <w:lang w:val="en-GB"/>
        </w:rPr>
        <w:t>landscape protection</w:t>
      </w:r>
      <w:r w:rsidR="00F6412C" w:rsidRPr="00EE5690">
        <w:rPr>
          <w:rFonts w:cs="Arial"/>
          <w:lang w:val="en-GB"/>
        </w:rPr>
        <w:t xml:space="preserve"> is another function of forested areas.</w:t>
      </w:r>
      <w:r w:rsidR="00FE0850" w:rsidRPr="00EE5690">
        <w:rPr>
          <w:rFonts w:cs="Arial"/>
          <w:lang w:val="en-GB"/>
        </w:rPr>
        <w:t xml:space="preserve"> According to </w:t>
      </w:r>
      <w:r w:rsidR="00FE0850" w:rsidRPr="00EE5690">
        <w:rPr>
          <w:rFonts w:cs="Arial"/>
        </w:rPr>
        <w:t>FOREST EUROPE, 2015</w:t>
      </w:r>
      <w:r w:rsidR="003B75D6" w:rsidRPr="00EE5690">
        <w:rPr>
          <w:rFonts w:cs="Arial"/>
        </w:rPr>
        <w:t>:</w:t>
      </w:r>
    </w:p>
    <w:p w14:paraId="0E11464F" w14:textId="5336FD62" w:rsidR="00E962C5" w:rsidRPr="00EE5690" w:rsidRDefault="00FE0850" w:rsidP="00A01330">
      <w:pPr>
        <w:pStyle w:val="ListParagraph"/>
        <w:numPr>
          <w:ilvl w:val="0"/>
          <w:numId w:val="8"/>
        </w:numPr>
        <w:rPr>
          <w:rFonts w:cs="Arial"/>
        </w:rPr>
      </w:pPr>
      <w:r w:rsidRPr="00EE5690">
        <w:rPr>
          <w:rFonts w:cs="Arial"/>
        </w:rPr>
        <w:t xml:space="preserve">“The most reported policy objectives in relation to land use and forest area within the FOREST EUROPE countries </w:t>
      </w:r>
      <w:proofErr w:type="gramStart"/>
      <w:r w:rsidRPr="00EE5690">
        <w:rPr>
          <w:rFonts w:cs="Arial"/>
        </w:rPr>
        <w:t>are:</w:t>
      </w:r>
      <w:proofErr w:type="gramEnd"/>
      <w:r w:rsidRPr="00EE5690">
        <w:rPr>
          <w:rFonts w:cs="Arial"/>
        </w:rPr>
        <w:t xml:space="preserve"> afforestation of agricultural land unsuitable for agricultural use in countries where national laws do not prevent a change in land use; the management of erosion-sensitive mountainous areas improvements in the stability, productivity, diversity and naturalness of forests through an integrative forest management approach.”</w:t>
      </w:r>
    </w:p>
    <w:p w14:paraId="7FA37AFB" w14:textId="7E28E1DC" w:rsidR="003B75D6" w:rsidRPr="00EE5690" w:rsidRDefault="003B75D6" w:rsidP="00A01330">
      <w:pPr>
        <w:pStyle w:val="ListParagraph"/>
        <w:numPr>
          <w:ilvl w:val="0"/>
          <w:numId w:val="8"/>
        </w:numPr>
        <w:rPr>
          <w:rFonts w:cs="Arial"/>
        </w:rPr>
      </w:pPr>
      <w:r w:rsidRPr="00EE5690">
        <w:rPr>
          <w:rFonts w:cs="Arial"/>
        </w:rPr>
        <w:t>“More than 25 million ha of forests in Europe are designated for the protection of water supplies, the prevention of soil erosion and the provision of other important ecosystem services.”</w:t>
      </w:r>
    </w:p>
    <w:p w14:paraId="016DA159" w14:textId="43DD3068" w:rsidR="003B75D6" w:rsidRPr="00EE5690" w:rsidRDefault="003B75D6" w:rsidP="00A01330">
      <w:pPr>
        <w:pStyle w:val="ListParagraph"/>
        <w:numPr>
          <w:ilvl w:val="0"/>
          <w:numId w:val="8"/>
        </w:numPr>
        <w:rPr>
          <w:rFonts w:cs="Arial"/>
        </w:rPr>
      </w:pPr>
      <w:r w:rsidRPr="00EE5690">
        <w:rPr>
          <w:rFonts w:cs="Arial"/>
        </w:rPr>
        <w:t xml:space="preserve">“Around 30 million ha of forests in Europe are designated for the protection for infrastructures and managed natural resources. Often the protective role of forests covers a wide range of aspects, including infrastructures and managed natural resources, but also other services such as water, </w:t>
      </w:r>
      <w:proofErr w:type="gramStart"/>
      <w:r w:rsidRPr="00EE5690">
        <w:rPr>
          <w:rFonts w:cs="Arial"/>
        </w:rPr>
        <w:t>soil</w:t>
      </w:r>
      <w:proofErr w:type="gramEnd"/>
      <w:r w:rsidRPr="00EE5690">
        <w:rPr>
          <w:rFonts w:cs="Arial"/>
        </w:rPr>
        <w:t xml:space="preserve"> and ecosystem protection. Most protective forests are in the Central-East European region. They are also highly relevant in countries with steep terrain (</w:t>
      </w:r>
      <w:proofErr w:type="gramStart"/>
      <w:r w:rsidRPr="00EE5690">
        <w:rPr>
          <w:rFonts w:cs="Arial"/>
        </w:rPr>
        <w:t>e.g.</w:t>
      </w:r>
      <w:proofErr w:type="gramEnd"/>
      <w:r w:rsidRPr="00EE5690">
        <w:rPr>
          <w:rFonts w:cs="Arial"/>
        </w:rPr>
        <w:t xml:space="preserve"> Switzerland or Italy).”</w:t>
      </w:r>
    </w:p>
    <w:p w14:paraId="1796CD1E" w14:textId="27720D2F" w:rsidR="003B75D6" w:rsidRPr="00EE5690" w:rsidRDefault="003B75D6" w:rsidP="00A01330">
      <w:pPr>
        <w:pStyle w:val="ListParagraph"/>
        <w:numPr>
          <w:ilvl w:val="0"/>
          <w:numId w:val="8"/>
        </w:numPr>
        <w:rPr>
          <w:rFonts w:cs="Arial"/>
        </w:rPr>
      </w:pPr>
      <w:r w:rsidRPr="00EE5690">
        <w:rPr>
          <w:rFonts w:cs="Arial"/>
        </w:rPr>
        <w:t>“The main policy objectives related to the protective functions of forests, namely the protection of soils, water resources and biodiversity have remained unchanged since 2007. This shows a long-term commitment to maintain and enhance the protective functions of forests. Most reporting countries identified soil protection as a main policy objective, with particular attention given to mitigating and preventing soil erosion, and about one third of countries identified protection of water resources as a priority. Institutional and regulatory frameworks as well as financial instruments and informational means provide a solid basis for the implementation of related policies.”</w:t>
      </w:r>
    </w:p>
    <w:p w14:paraId="5D7087CF" w14:textId="5A4719FF" w:rsidR="003B75D6" w:rsidRPr="00EE5690" w:rsidRDefault="003B75D6" w:rsidP="00A01330">
      <w:pPr>
        <w:pStyle w:val="ListParagraph"/>
        <w:numPr>
          <w:ilvl w:val="0"/>
          <w:numId w:val="8"/>
        </w:numPr>
        <w:rPr>
          <w:rFonts w:cs="Arial"/>
        </w:rPr>
      </w:pPr>
      <w:r w:rsidRPr="00EE5690">
        <w:rPr>
          <w:rFonts w:cs="Arial"/>
        </w:rPr>
        <w:t>“Forests can play a vital role in preventing soil erosion, protecting water supplies and maintaining other specific ecosystem functions”</w:t>
      </w:r>
    </w:p>
    <w:p w14:paraId="74BD30A3" w14:textId="4103B997" w:rsidR="003B75D6" w:rsidRPr="00EE5690" w:rsidRDefault="005930A5" w:rsidP="00A01330">
      <w:pPr>
        <w:pStyle w:val="ListParagraph"/>
        <w:numPr>
          <w:ilvl w:val="0"/>
          <w:numId w:val="8"/>
        </w:numPr>
        <w:rPr>
          <w:rFonts w:cs="Arial"/>
        </w:rPr>
      </w:pPr>
      <w:r w:rsidRPr="00EE5690">
        <w:rPr>
          <w:rFonts w:cs="Arial"/>
        </w:rPr>
        <w:t xml:space="preserve">“The majority of the reporting signatories (26 of 34) declared specifically formulated policy objectives in relation to protective forests. Most of the reporting </w:t>
      </w:r>
      <w:r w:rsidRPr="00EE5690">
        <w:rPr>
          <w:rFonts w:cs="Arial"/>
        </w:rPr>
        <w:lastRenderedPageBreak/>
        <w:t>signatories (Belgium, Bulgaria, Croatia, Cyprus, Estonia, Finland, Germany, Hungary, Iceland, Italy, Latvia, Norway, Poland, Portugal, Slovak Republic, Slovenia, Sweden, Ukraine, UK) focus on further maintaining and enhancing the protective functions of forests for preventing soil erosion (19 countries) and improving water quality and quantity (16 countries). The third most visible policy objective relates to the protection of biodiversity (10 countries). Several of the reporting signatories also flagged the prevention of natural hazards and floods, climate change, the protection of landscapes and infrastructure, and the enhancement of human health and recreational functions as policy objectives.”</w:t>
      </w:r>
    </w:p>
    <w:p w14:paraId="46F3A31B" w14:textId="6065B444" w:rsidR="005930A5" w:rsidRPr="00EE5690" w:rsidRDefault="005930A5" w:rsidP="00A01330">
      <w:pPr>
        <w:pStyle w:val="ListParagraph"/>
        <w:numPr>
          <w:ilvl w:val="0"/>
          <w:numId w:val="8"/>
        </w:numPr>
        <w:rPr>
          <w:rFonts w:cs="Arial"/>
        </w:rPr>
      </w:pPr>
      <w:r w:rsidRPr="00EE5690">
        <w:rPr>
          <w:rFonts w:cs="Arial"/>
        </w:rPr>
        <w:t>“Almost half of the reporting signatories (15 of 34) mentioned the implementation of key measures on protective forests. The most frequently reported key measures were implemented through national and regional forest programs, action plans, strategic programs, guidelines (Austria, Finland, Hungary, Slovak Republic, Spain, Turkey, Ukraine, United Kingdom), and national forest or forest relevant legislation (Bulgaria, Czech Republic, Cyprus, Ireland, Slovenia). The use of research programs and projects (Finland, Romania) and the mobilization of EU funds through the national rural development programs were also reported. Ireland identified opportunities for converting and restructuring commercial forests into low intensity native woodland in order to protect sensitive water systems and habitats, Spain maintained the Spanish forest catalogue of protective forests, Slovak Republic initiated investments in flood prevention, Turkey launched a National Afforestation and Combating Erosion Action Plan Campaign, and the European Commission introduced the new EU Forest Strategy for implementing the identified policy objectives.”</w:t>
      </w:r>
    </w:p>
    <w:p w14:paraId="3BC3DA4E" w14:textId="62A4D739" w:rsidR="00F6412C" w:rsidRPr="00EE5690" w:rsidRDefault="00F6412C" w:rsidP="00A01330">
      <w:pPr>
        <w:pStyle w:val="ListParagraph"/>
        <w:numPr>
          <w:ilvl w:val="0"/>
          <w:numId w:val="8"/>
        </w:numPr>
        <w:rPr>
          <w:rFonts w:cs="Arial"/>
        </w:rPr>
      </w:pPr>
      <w:r w:rsidRPr="00EE5690">
        <w:rPr>
          <w:rFonts w:cs="Arial"/>
        </w:rPr>
        <w:t>“More than 30 million ha of European forests are protected with the main objective to conserve biodiversity or landscape.”</w:t>
      </w:r>
    </w:p>
    <w:p w14:paraId="68E19247" w14:textId="3507A4F1" w:rsidR="00F6412C" w:rsidRPr="00EE5690" w:rsidRDefault="004D79CC" w:rsidP="00A01330">
      <w:pPr>
        <w:pStyle w:val="ListParagraph"/>
        <w:numPr>
          <w:ilvl w:val="0"/>
          <w:numId w:val="8"/>
        </w:numPr>
        <w:rPr>
          <w:rFonts w:cs="Arial"/>
        </w:rPr>
      </w:pPr>
      <w:r w:rsidRPr="00EE5690">
        <w:rPr>
          <w:rFonts w:cs="Arial"/>
        </w:rPr>
        <w:t>“Biodiversity remains an important topic for forest policy and management in Europe. Compared to the previous reporting period, biodiversity-related forest policy objectives have been maintained. Regulatory instruments continue to play an essential role in the conservation of biodiversity in forests and have been reinforced by new financial and informational measures. The EU’s biodiversity policy is a major trigger for change relating to informational, financial and legislative instruments at the national level.”</w:t>
      </w:r>
    </w:p>
    <w:p w14:paraId="014F7BBC" w14:textId="03DCFD03" w:rsidR="004D79CC" w:rsidRPr="00EE5690" w:rsidRDefault="009F2875" w:rsidP="00A01330">
      <w:pPr>
        <w:pStyle w:val="ListParagraph"/>
        <w:numPr>
          <w:ilvl w:val="0"/>
          <w:numId w:val="8"/>
        </w:numPr>
        <w:rPr>
          <w:rFonts w:cs="Arial"/>
        </w:rPr>
      </w:pPr>
      <w:r w:rsidRPr="00EE5690">
        <w:rPr>
          <w:rFonts w:cs="Arial"/>
        </w:rPr>
        <w:t xml:space="preserve">“The majority of reporting signatories in the FOREST EUROPE region (23 out of 34) reported no changes in the national economic policy on forests (public and </w:t>
      </w:r>
      <w:r w:rsidRPr="00EE5690">
        <w:rPr>
          <w:rFonts w:cs="Arial"/>
        </w:rPr>
        <w:lastRenderedPageBreak/>
        <w:t xml:space="preserve">private) since 2011. In nearly half of the reporting FOREST EUROPE signatories (16 out of 34), the management of state-owned forests is financially </w:t>
      </w:r>
      <w:proofErr w:type="spellStart"/>
      <w:r w:rsidRPr="00EE5690">
        <w:rPr>
          <w:rFonts w:cs="Arial"/>
        </w:rPr>
        <w:t>selfsufficient</w:t>
      </w:r>
      <w:proofErr w:type="spellEnd"/>
      <w:r w:rsidRPr="00EE5690">
        <w:rPr>
          <w:rFonts w:cs="Arial"/>
        </w:rPr>
        <w:t xml:space="preserve"> or </w:t>
      </w:r>
      <w:proofErr w:type="gramStart"/>
      <w:r w:rsidRPr="00EE5690">
        <w:rPr>
          <w:rFonts w:cs="Arial"/>
        </w:rPr>
        <w:t>profit-oriented</w:t>
      </w:r>
      <w:proofErr w:type="gramEnd"/>
      <w:r w:rsidRPr="00EE5690">
        <w:rPr>
          <w:rFonts w:cs="Arial"/>
        </w:rPr>
        <w:t>. As reported by 23 countries, total public expenditure by government on all forest related activities for the last reporting period was EUR 3,234,750,019. This total sum amounts to an average of around EUR 17.9 per hectare of total public expenditure on forest and other wooded land per year. Subsidies are the most common financial instrument used to influence private forest management (used by 22 out of 34 signatories). Transfer payments are most frequently used for the conservation of forest biodiversity, followed by support for forest inventory and planning, and soil and water protection.”</w:t>
      </w:r>
    </w:p>
    <w:p w14:paraId="4FE30F57" w14:textId="34055E66" w:rsidR="009F2875" w:rsidRPr="00EE5690" w:rsidRDefault="00696FA8" w:rsidP="00A01330">
      <w:pPr>
        <w:pStyle w:val="ListParagraph"/>
        <w:numPr>
          <w:ilvl w:val="0"/>
          <w:numId w:val="8"/>
        </w:numPr>
        <w:rPr>
          <w:rFonts w:cs="Arial"/>
        </w:rPr>
      </w:pPr>
      <w:r w:rsidRPr="00EE5690">
        <w:rPr>
          <w:rFonts w:cs="Arial"/>
        </w:rPr>
        <w:t>“Over the last 15 years, the area of forest in Europe designated for biodiversity and landscape protection increased by half a million hectares annually. Around 12.2% (or 29.9 million ha) of European forests are protected with the main objective of conserving biodiversity. Around 7% have the protection of landscapes representing an area of 19 million ha as a main objective. The strictness of protection for biodiversity varies considerably within Europe: while restrictive protection with minimal or no intervention dominates in North Europe and some East European countries, active management in protected areas is more common in Central and South European countries.”</w:t>
      </w:r>
    </w:p>
    <w:p w14:paraId="4D034F1D" w14:textId="7C456BAF" w:rsidR="00696FA8" w:rsidRPr="00EE5690" w:rsidRDefault="00696FA8" w:rsidP="00A01330">
      <w:pPr>
        <w:pStyle w:val="ListParagraph"/>
        <w:numPr>
          <w:ilvl w:val="0"/>
          <w:numId w:val="8"/>
        </w:numPr>
        <w:rPr>
          <w:rFonts w:cs="Arial"/>
        </w:rPr>
      </w:pPr>
      <w:r w:rsidRPr="00EE5690">
        <w:rPr>
          <w:rFonts w:cs="Arial"/>
        </w:rPr>
        <w:t xml:space="preserve">“Biodiversity remains an important topic for forest policy and management in Europe. </w:t>
      </w:r>
      <w:proofErr w:type="gramStart"/>
      <w:r w:rsidRPr="00EE5690">
        <w:rPr>
          <w:rFonts w:cs="Arial"/>
        </w:rPr>
        <w:t>Biodiversity-related forest</w:t>
      </w:r>
      <w:proofErr w:type="gramEnd"/>
      <w:r w:rsidRPr="00EE5690">
        <w:rPr>
          <w:rFonts w:cs="Arial"/>
        </w:rPr>
        <w:t xml:space="preserve"> policy objectives have been maintained since the previous reporting period. Regulatory instruments continue to play an essential role in conserving biodiversity in forests and have been fostered using new financial, informational measures. The EU’s biodiversity policy is a major trigger for changes related to informational, financial and legislative instruments at national level.”</w:t>
      </w:r>
    </w:p>
    <w:p w14:paraId="0E411E2D" w14:textId="747D6555" w:rsidR="00696FA8" w:rsidRPr="00EE5690" w:rsidRDefault="00696FA8" w:rsidP="00A01330">
      <w:pPr>
        <w:pStyle w:val="ListParagraph"/>
        <w:numPr>
          <w:ilvl w:val="0"/>
          <w:numId w:val="8"/>
        </w:numPr>
        <w:rPr>
          <w:rFonts w:cs="Arial"/>
        </w:rPr>
      </w:pPr>
      <w:r w:rsidRPr="00EE5690">
        <w:rPr>
          <w:rFonts w:cs="Arial"/>
        </w:rPr>
        <w:t xml:space="preserve">“Species diversity and the dynamics of forest ecosystems differ considerably throughout Europe. This is reflected by the broad range of forest types found there, from boreal forest in North Europe to broadleaved evergreen forests in the Mediterranean region. These forest types are differentiated by unique key factors related to structural, compositional (including tree species composition) and functional forest ecosystem components, such as biotic and abiotic disturbance factors and forest management. Mixed forests and other wooded land, composed of several tree species, are often richer in biodiversity than those comprising 1 tree species. However, some natural forest ecosystems are dominated by only 1 </w:t>
      </w:r>
      <w:r w:rsidRPr="00EE5690">
        <w:rPr>
          <w:rFonts w:cs="Arial"/>
        </w:rPr>
        <w:lastRenderedPageBreak/>
        <w:t xml:space="preserve">or 2 species, </w:t>
      </w:r>
      <w:proofErr w:type="gramStart"/>
      <w:r w:rsidRPr="00EE5690">
        <w:rPr>
          <w:rFonts w:cs="Arial"/>
        </w:rPr>
        <w:t>e.g.</w:t>
      </w:r>
      <w:proofErr w:type="gramEnd"/>
      <w:r w:rsidRPr="00EE5690">
        <w:rPr>
          <w:rFonts w:cs="Arial"/>
        </w:rPr>
        <w:t xml:space="preserve"> natural boreal pine forests on dry sites, natural sub-alpine spruce stands and beech forests growing in </w:t>
      </w:r>
      <w:r w:rsidR="0077780B" w:rsidRPr="00EE5690">
        <w:rPr>
          <w:rFonts w:cs="Arial"/>
        </w:rPr>
        <w:t>favorable</w:t>
      </w:r>
      <w:r w:rsidRPr="00EE5690">
        <w:rPr>
          <w:rFonts w:cs="Arial"/>
        </w:rPr>
        <w:t xml:space="preserve"> conditions on lowlands.”</w:t>
      </w:r>
    </w:p>
    <w:p w14:paraId="389A4B6B" w14:textId="2746D25D" w:rsidR="00696FA8" w:rsidRPr="00EE5690" w:rsidRDefault="00DF44F2" w:rsidP="00A01330">
      <w:pPr>
        <w:pStyle w:val="ListParagraph"/>
        <w:numPr>
          <w:ilvl w:val="0"/>
          <w:numId w:val="8"/>
        </w:numPr>
        <w:rPr>
          <w:rFonts w:cs="Arial"/>
        </w:rPr>
      </w:pPr>
      <w:r w:rsidRPr="00EE5690">
        <w:rPr>
          <w:rFonts w:cs="Arial"/>
        </w:rPr>
        <w:t>“Natural regeneration contributes to conserving the diversity of the genotypes and to maintaining the natural tree species composition, structure and ecological dynamics. However, natural regeneration may not always be suitable for achieving biodiversity conservation goals. For example, to convert forests from introduced tree species to native tree species, planting is necessary in most cases, and restoration activities may require the elimination of naturally regenerating trees growing outside their natural range. Furthermore, the occasional replanting programs made necessary by heavy storms or insect calamities may influence the proportion of regeneration methods used, and, consequently, the statistics.”</w:t>
      </w:r>
    </w:p>
    <w:p w14:paraId="32A5AE63" w14:textId="43950349" w:rsidR="00DF44F2" w:rsidRPr="00EE5690" w:rsidRDefault="005D228B" w:rsidP="00A01330">
      <w:pPr>
        <w:pStyle w:val="ListParagraph"/>
        <w:numPr>
          <w:ilvl w:val="0"/>
          <w:numId w:val="8"/>
        </w:numPr>
        <w:rPr>
          <w:rFonts w:cs="Arial"/>
        </w:rPr>
      </w:pPr>
      <w:r w:rsidRPr="00EE5690">
        <w:rPr>
          <w:rFonts w:cs="Arial"/>
        </w:rPr>
        <w:t xml:space="preserve">“As European forests have been managed for long periods of time, the late development phases are missing or scarce. Because of the lack of deadwood in many forests, several of the deadwood-dependent species are endangered. Indeed, increasing the amount of deadwood in forests is considered one of the potential management options for enhancing biodiversity in most of </w:t>
      </w:r>
      <w:proofErr w:type="gramStart"/>
      <w:r w:rsidRPr="00EE5690">
        <w:rPr>
          <w:rFonts w:cs="Arial"/>
        </w:rPr>
        <w:t>Europe’s forest</w:t>
      </w:r>
      <w:proofErr w:type="gramEnd"/>
      <w:r w:rsidRPr="00EE5690">
        <w:rPr>
          <w:rFonts w:cs="Arial"/>
        </w:rPr>
        <w:t xml:space="preserve"> types. On the other hand, in some circumstances, the accumulated fresh dying deadwood can create a risk of insect outbreaks.”</w:t>
      </w:r>
    </w:p>
    <w:p w14:paraId="46ABD705" w14:textId="0A4631F3" w:rsidR="00673D88" w:rsidRPr="00EE5690" w:rsidRDefault="00673D88" w:rsidP="00A01330">
      <w:pPr>
        <w:pStyle w:val="ListParagraph"/>
        <w:numPr>
          <w:ilvl w:val="0"/>
          <w:numId w:val="8"/>
        </w:numPr>
        <w:rPr>
          <w:rFonts w:cs="Arial"/>
        </w:rPr>
      </w:pPr>
      <w:r w:rsidRPr="00EE5690">
        <w:rPr>
          <w:rFonts w:cs="Arial"/>
        </w:rPr>
        <w:t xml:space="preserve">“A total of 501,567 ha </w:t>
      </w:r>
      <w:proofErr w:type="gramStart"/>
      <w:r w:rsidRPr="00EE5690">
        <w:rPr>
          <w:rFonts w:cs="Arial"/>
        </w:rPr>
        <w:t>were</w:t>
      </w:r>
      <w:proofErr w:type="gramEnd"/>
      <w:r w:rsidRPr="00EE5690">
        <w:rPr>
          <w:rFonts w:cs="Arial"/>
        </w:rPr>
        <w:t xml:space="preserve"> managed for the in situ genetic conservation of forest trees in 38 countries in 2015. The total area managed for ex situ conservation is 11,553 ha in 37 countries; for seed production it is 1,027,434 ha in 38 countries. A total of 145 tree species (including subspecies and hybrids) were reported for this indicator. However, these species are not managed equally for genetic conservation (in situ and ex situ) and seed production. A large proportion of the trees targeted for in situ genetic conservation are widely occurring stand-forming tree species, which are important for forestry. A group of five economically relevant tree species (Abies alba, Fagus sylvatica, </w:t>
      </w:r>
      <w:proofErr w:type="spellStart"/>
      <w:r w:rsidRPr="00EE5690">
        <w:rPr>
          <w:rFonts w:cs="Arial"/>
        </w:rPr>
        <w:t>Picea</w:t>
      </w:r>
      <w:proofErr w:type="spellEnd"/>
      <w:r w:rsidRPr="00EE5690">
        <w:rPr>
          <w:rFonts w:cs="Arial"/>
        </w:rPr>
        <w:t xml:space="preserve"> </w:t>
      </w:r>
      <w:proofErr w:type="spellStart"/>
      <w:r w:rsidRPr="00EE5690">
        <w:rPr>
          <w:rFonts w:cs="Arial"/>
        </w:rPr>
        <w:t>abies</w:t>
      </w:r>
      <w:proofErr w:type="spellEnd"/>
      <w:r w:rsidRPr="00EE5690">
        <w:rPr>
          <w:rFonts w:cs="Arial"/>
        </w:rPr>
        <w:t>, Pinus sylvestris and Pinus pinaster) alone account for 55% of the total area managed for in situ genetic conservation, while in the case of many other economically important tree species, only small areas are managed for the same purpose.</w:t>
      </w:r>
      <w:r w:rsidR="002C1A6C" w:rsidRPr="00EE5690">
        <w:rPr>
          <w:rFonts w:cs="Arial"/>
        </w:rPr>
        <w:t xml:space="preserve"> </w:t>
      </w:r>
      <w:r w:rsidRPr="00EE5690">
        <w:rPr>
          <w:rFonts w:cs="Arial"/>
        </w:rPr>
        <w:t>Furthermore, very few genetic conservation areas are managed for scattered tree species (</w:t>
      </w:r>
      <w:proofErr w:type="gramStart"/>
      <w:r w:rsidRPr="00EE5690">
        <w:rPr>
          <w:rFonts w:cs="Arial"/>
        </w:rPr>
        <w:t>e.g.</w:t>
      </w:r>
      <w:proofErr w:type="gramEnd"/>
      <w:r w:rsidRPr="00EE5690">
        <w:rPr>
          <w:rFonts w:cs="Arial"/>
        </w:rPr>
        <w:t xml:space="preserve"> Populus nigra, Sorbus domestica, </w:t>
      </w:r>
      <w:proofErr w:type="spellStart"/>
      <w:r w:rsidRPr="00EE5690">
        <w:rPr>
          <w:rFonts w:cs="Arial"/>
        </w:rPr>
        <w:t>Tilia</w:t>
      </w:r>
      <w:proofErr w:type="spellEnd"/>
      <w:r w:rsidRPr="00EE5690">
        <w:rPr>
          <w:rFonts w:cs="Arial"/>
        </w:rPr>
        <w:t xml:space="preserve"> </w:t>
      </w:r>
      <w:proofErr w:type="spellStart"/>
      <w:r w:rsidRPr="00EE5690">
        <w:rPr>
          <w:rFonts w:cs="Arial"/>
        </w:rPr>
        <w:t>platyphyllosand</w:t>
      </w:r>
      <w:proofErr w:type="spellEnd"/>
      <w:r w:rsidRPr="00EE5690">
        <w:rPr>
          <w:rFonts w:cs="Arial"/>
        </w:rPr>
        <w:t xml:space="preserve">, </w:t>
      </w:r>
      <w:proofErr w:type="spellStart"/>
      <w:r w:rsidRPr="00EE5690">
        <w:rPr>
          <w:rFonts w:cs="Arial"/>
        </w:rPr>
        <w:t>Ulmus</w:t>
      </w:r>
      <w:proofErr w:type="spellEnd"/>
      <w:r w:rsidRPr="00EE5690">
        <w:rPr>
          <w:rFonts w:cs="Arial"/>
        </w:rPr>
        <w:t xml:space="preserve"> </w:t>
      </w:r>
      <w:proofErr w:type="spellStart"/>
      <w:r w:rsidRPr="00EE5690">
        <w:rPr>
          <w:rFonts w:cs="Arial"/>
        </w:rPr>
        <w:t>laevis</w:t>
      </w:r>
      <w:proofErr w:type="spellEnd"/>
      <w:r w:rsidRPr="00EE5690">
        <w:rPr>
          <w:rFonts w:cs="Arial"/>
        </w:rPr>
        <w:t xml:space="preserve">), which are often considered of low importance. However, while these species may not be </w:t>
      </w:r>
      <w:r w:rsidRPr="00EE5690">
        <w:rPr>
          <w:rFonts w:cs="Arial"/>
        </w:rPr>
        <w:lastRenderedPageBreak/>
        <w:t>economically important, they have a high value in terms of maintaining forest biodiversity and ensuring ecosystem stability.</w:t>
      </w:r>
      <w:r w:rsidR="00FC3B76" w:rsidRPr="00EE5690">
        <w:rPr>
          <w:rFonts w:cs="Arial"/>
        </w:rPr>
        <w:t>”</w:t>
      </w:r>
    </w:p>
    <w:p w14:paraId="41F6DDDE" w14:textId="7BED5505" w:rsidR="00FC3B76" w:rsidRPr="00EE5690" w:rsidRDefault="00FC3B76" w:rsidP="00A01330">
      <w:pPr>
        <w:pStyle w:val="ListParagraph"/>
        <w:numPr>
          <w:ilvl w:val="0"/>
          <w:numId w:val="8"/>
        </w:numPr>
        <w:rPr>
          <w:rFonts w:cs="Arial"/>
        </w:rPr>
      </w:pPr>
      <w:r w:rsidRPr="00EE5690">
        <w:rPr>
          <w:rFonts w:cs="Arial"/>
        </w:rPr>
        <w:t xml:space="preserve">“The most noticeable form of biodiversity depletion is the loss of plant and animal species. Slowing down the rate of species extinction due to anthropogenic factors is a key objective of biodiversity conservation. This is very much reflected in the corresponding international, </w:t>
      </w:r>
      <w:proofErr w:type="gramStart"/>
      <w:r w:rsidRPr="00EE5690">
        <w:rPr>
          <w:rFonts w:cs="Arial"/>
        </w:rPr>
        <w:t>European</w:t>
      </w:r>
      <w:proofErr w:type="gramEnd"/>
      <w:r w:rsidRPr="00EE5690">
        <w:rPr>
          <w:rFonts w:cs="Arial"/>
        </w:rPr>
        <w:t xml:space="preserve"> and national initiatives and actions. Examples of these include the Convention on Biological Diversity, the European 2020 targets, which were agreed on at the FOREST EUROPE Ministerial Conference in Oslo 2011, the EU Biodiversity Strategy 2020, and national and regional biodiversity strategies which express their ambitions through set targets (link to Indicator B6). It is further highlighted by the fact that threatened forest species are seen also as indicators of change in forest ecosystems.”</w:t>
      </w:r>
    </w:p>
    <w:p w14:paraId="5AE3AC8E" w14:textId="6B2CF0A4" w:rsidR="00FC3B76" w:rsidRPr="00EE5690" w:rsidRDefault="00FC3B76" w:rsidP="00A01330">
      <w:pPr>
        <w:pStyle w:val="ListParagraph"/>
        <w:numPr>
          <w:ilvl w:val="0"/>
          <w:numId w:val="8"/>
        </w:numPr>
        <w:rPr>
          <w:rFonts w:cs="Arial"/>
        </w:rPr>
      </w:pPr>
      <w:r w:rsidRPr="00EE5690">
        <w:rPr>
          <w:rFonts w:cs="Arial"/>
        </w:rPr>
        <w:t xml:space="preserve">“The relationships between threatened species, forest composition and habitat structures are complex but often of crucial importance. However, threats to a certain species can often be the result of multiple factors, making it difficult to determine clear causalities. In particular, the required amount and quality of deadwood is a topic that requires continuing research support. Many species are dependent on small key biotopes, </w:t>
      </w:r>
      <w:proofErr w:type="gramStart"/>
      <w:r w:rsidRPr="00EE5690">
        <w:rPr>
          <w:rFonts w:cs="Arial"/>
        </w:rPr>
        <w:t>habitats</w:t>
      </w:r>
      <w:proofErr w:type="gramEnd"/>
      <w:r w:rsidRPr="00EE5690">
        <w:rPr>
          <w:rFonts w:cs="Arial"/>
        </w:rPr>
        <w:t xml:space="preserve"> or habitat structures available in both protected forest areas and managed forests. To provide science-based input for raising awareness of the need to integrate biodiversity considerations into forest management, further attention needs to be focused on these elements by research and monitoring.”</w:t>
      </w:r>
    </w:p>
    <w:p w14:paraId="3618B2EC" w14:textId="6394C2EA" w:rsidR="00894871" w:rsidRPr="00EE5690" w:rsidRDefault="000A11E8" w:rsidP="00A01330">
      <w:pPr>
        <w:pStyle w:val="ListParagraph"/>
        <w:numPr>
          <w:ilvl w:val="0"/>
          <w:numId w:val="8"/>
        </w:numPr>
        <w:rPr>
          <w:rFonts w:cs="Arial"/>
        </w:rPr>
      </w:pPr>
      <w:r w:rsidRPr="00EE5690">
        <w:rPr>
          <w:rFonts w:cs="Arial"/>
        </w:rPr>
        <w:t xml:space="preserve">“...forest management practices are developing towards the greater integration of biodiversity issues. Such integrated forest management approaches may give rise to improved habitat conditions for threatened species </w:t>
      </w:r>
      <w:proofErr w:type="gramStart"/>
      <w:r w:rsidRPr="00EE5690">
        <w:rPr>
          <w:rFonts w:cs="Arial"/>
        </w:rPr>
        <w:t>e.g.</w:t>
      </w:r>
      <w:proofErr w:type="gramEnd"/>
      <w:r w:rsidRPr="00EE5690">
        <w:rPr>
          <w:rFonts w:cs="Arial"/>
        </w:rPr>
        <w:t xml:space="preserve"> through increasing the amount of standing and lying dead wood, designating stepping stones and habitat trees, and preserving habitat structures and allowing for their development. However, the effects of biodiversity-oriented forest management practices will become evident only with time. Therefore, in addition to such long-term commitments, the continuation of efforts in relation to the monitoring of the development of threatened forest-occurring species will be crucial.”</w:t>
      </w:r>
    </w:p>
    <w:p w14:paraId="5B63CED5" w14:textId="11858022" w:rsidR="00BB1C17" w:rsidRPr="00EE5690" w:rsidRDefault="00BB1C17" w:rsidP="00A01330">
      <w:pPr>
        <w:pStyle w:val="ListParagraph"/>
        <w:numPr>
          <w:ilvl w:val="1"/>
          <w:numId w:val="8"/>
        </w:numPr>
        <w:rPr>
          <w:rFonts w:cs="Arial"/>
        </w:rPr>
      </w:pPr>
      <w:r w:rsidRPr="00EE5690">
        <w:rPr>
          <w:rFonts w:cs="Arial"/>
        </w:rPr>
        <w:t xml:space="preserve">“Biodiversity remains an important dimension of forest management in Europe. </w:t>
      </w:r>
      <w:proofErr w:type="gramStart"/>
      <w:r w:rsidRPr="00EE5690">
        <w:rPr>
          <w:rFonts w:cs="Arial"/>
        </w:rPr>
        <w:t>The majority of</w:t>
      </w:r>
      <w:proofErr w:type="gramEnd"/>
      <w:r w:rsidRPr="00EE5690">
        <w:rPr>
          <w:rFonts w:cs="Arial"/>
        </w:rPr>
        <w:t xml:space="preserve"> reporting signatories (31 of 34) reported specifically formulated policies (objectives) in relation to biodiversity. The key objectives and instruments of these policies are:</w:t>
      </w:r>
    </w:p>
    <w:p w14:paraId="46B26F58" w14:textId="77777777" w:rsidR="00BB1C17" w:rsidRPr="00EE5690" w:rsidRDefault="00BB1C17" w:rsidP="00A01330">
      <w:pPr>
        <w:pStyle w:val="ListParagraph"/>
        <w:numPr>
          <w:ilvl w:val="1"/>
          <w:numId w:val="8"/>
        </w:numPr>
        <w:rPr>
          <w:rFonts w:cs="Arial"/>
        </w:rPr>
      </w:pPr>
      <w:r w:rsidRPr="00EE5690">
        <w:rPr>
          <w:rFonts w:cs="Arial"/>
        </w:rPr>
        <w:lastRenderedPageBreak/>
        <w:t>To increase protected forest areas (Albania, Belgium, Latvia, Luxemburg, Montenegro, Norway), inter alia in conjunction with the implementation of Natura 2000 network of protected areas under the European Union’s Habitats and Birds Directives (Bulgaria, Croatia, Hungary, Italy, Slovak Republic, Slovenia, Serbia).</w:t>
      </w:r>
    </w:p>
    <w:p w14:paraId="625C07D7" w14:textId="77777777" w:rsidR="00BB1C17" w:rsidRPr="00EE5690" w:rsidRDefault="00BB1C17" w:rsidP="00A01330">
      <w:pPr>
        <w:pStyle w:val="ListParagraph"/>
        <w:numPr>
          <w:ilvl w:val="1"/>
          <w:numId w:val="8"/>
        </w:numPr>
        <w:rPr>
          <w:rFonts w:cs="Arial"/>
        </w:rPr>
      </w:pPr>
      <w:r w:rsidRPr="00EE5690">
        <w:rPr>
          <w:rFonts w:cs="Arial"/>
        </w:rPr>
        <w:t xml:space="preserve">To </w:t>
      </w:r>
      <w:proofErr w:type="spellStart"/>
      <w:r w:rsidRPr="00EE5690">
        <w:rPr>
          <w:rFonts w:cs="Arial"/>
        </w:rPr>
        <w:t>practise</w:t>
      </w:r>
      <w:proofErr w:type="spellEnd"/>
      <w:r w:rsidRPr="00EE5690">
        <w:rPr>
          <w:rFonts w:cs="Arial"/>
        </w:rPr>
        <w:t xml:space="preserve"> multifunctional or close-to-nature forest management (many countries).</w:t>
      </w:r>
    </w:p>
    <w:p w14:paraId="12993E06" w14:textId="77777777" w:rsidR="00BB1C17" w:rsidRPr="00EE5690" w:rsidRDefault="00BB1C17" w:rsidP="00A01330">
      <w:pPr>
        <w:pStyle w:val="ListParagraph"/>
        <w:numPr>
          <w:ilvl w:val="1"/>
          <w:numId w:val="8"/>
        </w:numPr>
        <w:rPr>
          <w:rFonts w:cs="Arial"/>
        </w:rPr>
      </w:pPr>
      <w:r w:rsidRPr="00EE5690">
        <w:rPr>
          <w:rFonts w:cs="Arial"/>
        </w:rPr>
        <w:t>To protect rare and endangered species and deal with issues relating to invasive alien species (Austria, Cyprus, Czech Republic, Finland, Italy, Latvia, Romania, Switzerland, United Kingdom).</w:t>
      </w:r>
    </w:p>
    <w:p w14:paraId="757963F5" w14:textId="77777777" w:rsidR="00BB1C17" w:rsidRPr="00EE5690" w:rsidRDefault="00BB1C17" w:rsidP="00A01330">
      <w:pPr>
        <w:pStyle w:val="ListParagraph"/>
        <w:numPr>
          <w:ilvl w:val="1"/>
          <w:numId w:val="8"/>
        </w:numPr>
        <w:rPr>
          <w:rFonts w:cs="Arial"/>
        </w:rPr>
      </w:pPr>
      <w:r w:rsidRPr="00EE5690">
        <w:rPr>
          <w:rFonts w:cs="Arial"/>
        </w:rPr>
        <w:t>To protect forest genetic resources (Bulgaria, Italy, United Kingdom).</w:t>
      </w:r>
    </w:p>
    <w:p w14:paraId="10922899" w14:textId="77777777" w:rsidR="00BB1C17" w:rsidRPr="00EE5690" w:rsidRDefault="00BB1C17" w:rsidP="00A01330">
      <w:pPr>
        <w:pStyle w:val="ListParagraph"/>
        <w:numPr>
          <w:ilvl w:val="1"/>
          <w:numId w:val="8"/>
        </w:numPr>
        <w:rPr>
          <w:rFonts w:cs="Arial"/>
        </w:rPr>
      </w:pPr>
      <w:r w:rsidRPr="00EE5690">
        <w:rPr>
          <w:rFonts w:cs="Arial"/>
        </w:rPr>
        <w:t>To preserve natural environments of cultural or aesthetic value (Estonia, Sweden).</w:t>
      </w:r>
    </w:p>
    <w:p w14:paraId="5D06740E" w14:textId="538196C2" w:rsidR="00BB1C17" w:rsidRPr="00EE5690" w:rsidRDefault="00BB1C17" w:rsidP="00A01330">
      <w:pPr>
        <w:pStyle w:val="ListParagraph"/>
        <w:numPr>
          <w:ilvl w:val="1"/>
          <w:numId w:val="8"/>
        </w:numPr>
        <w:rPr>
          <w:rFonts w:cs="Arial"/>
        </w:rPr>
      </w:pPr>
      <w:r w:rsidRPr="00EE5690">
        <w:rPr>
          <w:rFonts w:cs="Arial"/>
        </w:rPr>
        <w:t xml:space="preserve">To improve knowledge about forest biodiversity and management through research and communication (Germany, Iceland, Latvia) </w:t>
      </w:r>
      <w:proofErr w:type="gramStart"/>
      <w:r w:rsidRPr="00EE5690">
        <w:rPr>
          <w:rFonts w:cs="Arial"/>
        </w:rPr>
        <w:t>and also</w:t>
      </w:r>
      <w:proofErr w:type="gramEnd"/>
      <w:r w:rsidRPr="00EE5690">
        <w:rPr>
          <w:rFonts w:cs="Arial"/>
        </w:rPr>
        <w:t xml:space="preserve"> (new) monitoring (Austria, Turkey)”</w:t>
      </w:r>
    </w:p>
    <w:p w14:paraId="03DED1E0" w14:textId="2E1E828A" w:rsidR="00BB1C17" w:rsidRPr="00206437" w:rsidRDefault="000042EC" w:rsidP="008E66B4">
      <w:pPr>
        <w:pStyle w:val="Caption"/>
        <w:rPr>
          <w:rFonts w:cs="Arial"/>
        </w:rPr>
      </w:pPr>
      <w:bookmarkStart w:id="73" w:name="_Ref25654547"/>
      <w:bookmarkStart w:id="74" w:name="_Toc91752556"/>
      <w:r w:rsidRPr="00206437">
        <w:rPr>
          <w:rFonts w:cs="Arial"/>
        </w:rPr>
        <w:t xml:space="preserve">Table </w:t>
      </w:r>
      <w:r w:rsidRPr="00206437">
        <w:rPr>
          <w:rFonts w:cs="Arial"/>
        </w:rPr>
        <w:fldChar w:fldCharType="begin"/>
      </w:r>
      <w:r w:rsidRPr="00206437">
        <w:rPr>
          <w:rFonts w:cs="Arial"/>
        </w:rPr>
        <w:instrText xml:space="preserve"> SEQ Table \* ARABIC </w:instrText>
      </w:r>
      <w:r w:rsidRPr="00206437">
        <w:rPr>
          <w:rFonts w:cs="Arial"/>
        </w:rPr>
        <w:fldChar w:fldCharType="separate"/>
      </w:r>
      <w:r w:rsidR="0073710A">
        <w:rPr>
          <w:rFonts w:cs="Arial"/>
          <w:noProof/>
        </w:rPr>
        <w:t>17</w:t>
      </w:r>
      <w:r w:rsidRPr="00206437">
        <w:rPr>
          <w:rFonts w:cs="Arial"/>
        </w:rPr>
        <w:fldChar w:fldCharType="end"/>
      </w:r>
      <w:bookmarkEnd w:id="73"/>
      <w:r w:rsidRPr="00206437">
        <w:rPr>
          <w:rFonts w:cs="Arial"/>
        </w:rPr>
        <w:t xml:space="preserve"> Forest land reported for the protection of soil, </w:t>
      </w:r>
      <w:proofErr w:type="gramStart"/>
      <w:r w:rsidRPr="00206437">
        <w:rPr>
          <w:rFonts w:cs="Arial"/>
        </w:rPr>
        <w:t>water</w:t>
      </w:r>
      <w:proofErr w:type="gramEnd"/>
      <w:r w:rsidRPr="00206437">
        <w:rPr>
          <w:rFonts w:cs="Arial"/>
        </w:rPr>
        <w:t xml:space="preserve"> and other ecosystem services in 2015 by region (Source:  Forest Europe, 2015)</w:t>
      </w:r>
      <w:bookmarkEnd w:id="74"/>
    </w:p>
    <w:tbl>
      <w:tblPr>
        <w:tblStyle w:val="ListTable4-Accent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530"/>
        <w:gridCol w:w="2070"/>
        <w:gridCol w:w="2470"/>
      </w:tblGrid>
      <w:tr w:rsidR="008E66B4" w14:paraId="1555AE47" w14:textId="77777777" w:rsidTr="002205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25" w:type="dxa"/>
            <w:vMerge w:val="restart"/>
            <w:tcBorders>
              <w:top w:val="none" w:sz="0" w:space="0" w:color="auto"/>
              <w:left w:val="none" w:sz="0" w:space="0" w:color="auto"/>
              <w:bottom w:val="none" w:sz="0" w:space="0" w:color="auto"/>
            </w:tcBorders>
            <w:shd w:val="clear" w:color="auto" w:fill="BFBFBF" w:themeFill="background1" w:themeFillShade="BF"/>
          </w:tcPr>
          <w:p w14:paraId="2488D0E0" w14:textId="77777777" w:rsidR="008E66B4" w:rsidRPr="00541A5E" w:rsidRDefault="008E66B4" w:rsidP="0022057B">
            <w:pPr>
              <w:jc w:val="center"/>
              <w:rPr>
                <w:color w:val="auto"/>
                <w:lang w:val="en-GB"/>
              </w:rPr>
            </w:pPr>
            <w:r w:rsidRPr="00541A5E">
              <w:rPr>
                <w:color w:val="auto"/>
                <w:lang w:val="en-GB"/>
              </w:rPr>
              <w:t>Region</w:t>
            </w:r>
          </w:p>
        </w:tc>
        <w:tc>
          <w:tcPr>
            <w:tcW w:w="1530" w:type="dxa"/>
            <w:tcBorders>
              <w:top w:val="none" w:sz="0" w:space="0" w:color="auto"/>
              <w:bottom w:val="none" w:sz="0" w:space="0" w:color="auto"/>
            </w:tcBorders>
            <w:shd w:val="clear" w:color="auto" w:fill="BFBFBF" w:themeFill="background1" w:themeFillShade="BF"/>
          </w:tcPr>
          <w:p w14:paraId="2FC1F05A" w14:textId="77777777" w:rsidR="008E66B4" w:rsidRPr="00541A5E" w:rsidRDefault="008E66B4" w:rsidP="0022057B">
            <w:pPr>
              <w:jc w:val="center"/>
              <w:cnfStyle w:val="100000000000" w:firstRow="1" w:lastRow="0" w:firstColumn="0" w:lastColumn="0" w:oddVBand="0" w:evenVBand="0" w:oddHBand="0" w:evenHBand="0" w:firstRowFirstColumn="0" w:firstRowLastColumn="0" w:lastRowFirstColumn="0" w:lastRowLastColumn="0"/>
              <w:rPr>
                <w:color w:val="auto"/>
                <w:lang w:val="en-GB"/>
              </w:rPr>
            </w:pPr>
            <w:r>
              <w:rPr>
                <w:color w:val="auto"/>
                <w:lang w:val="en-GB"/>
              </w:rPr>
              <w:t>Total Forest</w:t>
            </w:r>
          </w:p>
        </w:tc>
        <w:tc>
          <w:tcPr>
            <w:tcW w:w="2070" w:type="dxa"/>
            <w:tcBorders>
              <w:top w:val="none" w:sz="0" w:space="0" w:color="auto"/>
              <w:bottom w:val="none" w:sz="0" w:space="0" w:color="auto"/>
            </w:tcBorders>
            <w:shd w:val="clear" w:color="auto" w:fill="BFBFBF" w:themeFill="background1" w:themeFillShade="BF"/>
          </w:tcPr>
          <w:p w14:paraId="3E2E7168" w14:textId="77777777" w:rsidR="008E66B4" w:rsidRPr="00541A5E" w:rsidRDefault="008E66B4" w:rsidP="0022057B">
            <w:pPr>
              <w:jc w:val="center"/>
              <w:cnfStyle w:val="100000000000" w:firstRow="1" w:lastRow="0" w:firstColumn="0" w:lastColumn="0" w:oddVBand="0" w:evenVBand="0" w:oddHBand="0" w:evenHBand="0" w:firstRowFirstColumn="0" w:firstRowLastColumn="0" w:lastRowFirstColumn="0" w:lastRowLastColumn="0"/>
              <w:rPr>
                <w:color w:val="auto"/>
                <w:lang w:val="en-GB"/>
              </w:rPr>
            </w:pPr>
            <w:r>
              <w:rPr>
                <w:color w:val="auto"/>
                <w:lang w:val="en-GB"/>
              </w:rPr>
              <w:t>Protective Forest</w:t>
            </w:r>
          </w:p>
        </w:tc>
        <w:tc>
          <w:tcPr>
            <w:tcW w:w="2470" w:type="dxa"/>
            <w:tcBorders>
              <w:top w:val="none" w:sz="0" w:space="0" w:color="auto"/>
              <w:bottom w:val="none" w:sz="0" w:space="0" w:color="auto"/>
              <w:right w:val="none" w:sz="0" w:space="0" w:color="auto"/>
            </w:tcBorders>
            <w:shd w:val="clear" w:color="auto" w:fill="BFBFBF" w:themeFill="background1" w:themeFillShade="BF"/>
          </w:tcPr>
          <w:p w14:paraId="16C16BEA" w14:textId="77777777" w:rsidR="008E66B4" w:rsidRPr="00541A5E" w:rsidRDefault="008E66B4" w:rsidP="0022057B">
            <w:pPr>
              <w:jc w:val="center"/>
              <w:cnfStyle w:val="100000000000" w:firstRow="1" w:lastRow="0" w:firstColumn="0" w:lastColumn="0" w:oddVBand="0" w:evenVBand="0" w:oddHBand="0" w:evenHBand="0" w:firstRowFirstColumn="0" w:firstRowLastColumn="0" w:lastRowFirstColumn="0" w:lastRowLastColumn="0"/>
              <w:rPr>
                <w:color w:val="auto"/>
                <w:lang w:val="en-GB"/>
              </w:rPr>
            </w:pPr>
            <w:r>
              <w:rPr>
                <w:color w:val="auto"/>
                <w:lang w:val="en-GB"/>
              </w:rPr>
              <w:t>Percentage of forest area</w:t>
            </w:r>
          </w:p>
        </w:tc>
      </w:tr>
      <w:tr w:rsidR="008E66B4" w14:paraId="07FED012"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25" w:type="dxa"/>
            <w:vMerge/>
            <w:shd w:val="clear" w:color="auto" w:fill="BFBFBF" w:themeFill="background1" w:themeFillShade="BF"/>
          </w:tcPr>
          <w:p w14:paraId="130B8B19" w14:textId="77777777" w:rsidR="008E66B4" w:rsidRPr="00BD3CF7" w:rsidRDefault="008E66B4" w:rsidP="0022057B">
            <w:pPr>
              <w:jc w:val="center"/>
              <w:rPr>
                <w:b w:val="0"/>
                <w:lang w:val="en-GB"/>
              </w:rPr>
            </w:pPr>
          </w:p>
        </w:tc>
        <w:tc>
          <w:tcPr>
            <w:tcW w:w="3600" w:type="dxa"/>
            <w:gridSpan w:val="2"/>
            <w:shd w:val="clear" w:color="auto" w:fill="BFBFBF" w:themeFill="background1" w:themeFillShade="BF"/>
          </w:tcPr>
          <w:p w14:paraId="3CE4057D" w14:textId="77777777" w:rsidR="008E66B4" w:rsidRPr="00BD3CF7" w:rsidRDefault="008E66B4" w:rsidP="0022057B">
            <w:pPr>
              <w:jc w:val="center"/>
              <w:cnfStyle w:val="000000100000" w:firstRow="0" w:lastRow="0" w:firstColumn="0" w:lastColumn="0" w:oddVBand="0" w:evenVBand="0" w:oddHBand="1" w:evenHBand="0" w:firstRowFirstColumn="0" w:firstRowLastColumn="0" w:lastRowFirstColumn="0" w:lastRowLastColumn="0"/>
              <w:rPr>
                <w:b/>
                <w:lang w:val="en-GB"/>
              </w:rPr>
            </w:pPr>
            <w:r>
              <w:rPr>
                <w:b/>
                <w:lang w:val="en-GB"/>
              </w:rPr>
              <w:t>1,000 hectares</w:t>
            </w:r>
          </w:p>
        </w:tc>
        <w:tc>
          <w:tcPr>
            <w:tcW w:w="2470" w:type="dxa"/>
            <w:shd w:val="clear" w:color="auto" w:fill="BFBFBF" w:themeFill="background1" w:themeFillShade="BF"/>
          </w:tcPr>
          <w:p w14:paraId="12B36A39" w14:textId="77777777" w:rsidR="008E66B4" w:rsidRPr="00BD3CF7" w:rsidRDefault="008E66B4" w:rsidP="0022057B">
            <w:pPr>
              <w:jc w:val="center"/>
              <w:cnfStyle w:val="000000100000" w:firstRow="0" w:lastRow="0" w:firstColumn="0" w:lastColumn="0" w:oddVBand="0" w:evenVBand="0" w:oddHBand="1" w:evenHBand="0" w:firstRowFirstColumn="0" w:firstRowLastColumn="0" w:lastRowFirstColumn="0" w:lastRowLastColumn="0"/>
              <w:rPr>
                <w:b/>
                <w:lang w:val="en-GB"/>
              </w:rPr>
            </w:pPr>
            <w:r>
              <w:rPr>
                <w:b/>
                <w:lang w:val="en-GB"/>
              </w:rPr>
              <w:t xml:space="preserve">In percent % </w:t>
            </w:r>
          </w:p>
        </w:tc>
      </w:tr>
      <w:tr w:rsidR="008E66B4" w14:paraId="5CF7CCAE"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55810154" w14:textId="77777777" w:rsidR="008E66B4" w:rsidRDefault="008E66B4" w:rsidP="0022057B">
            <w:pPr>
              <w:rPr>
                <w:lang w:val="en-GB"/>
              </w:rPr>
            </w:pPr>
            <w:r>
              <w:rPr>
                <w:lang w:val="en-GB"/>
              </w:rPr>
              <w:t>North Europe</w:t>
            </w:r>
          </w:p>
        </w:tc>
        <w:tc>
          <w:tcPr>
            <w:tcW w:w="1530" w:type="dxa"/>
            <w:shd w:val="clear" w:color="auto" w:fill="FFFFFF" w:themeFill="background1"/>
          </w:tcPr>
          <w:p w14:paraId="511CD599" w14:textId="77777777" w:rsidR="008E66B4" w:rsidRDefault="008E66B4"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70,832</w:t>
            </w:r>
          </w:p>
        </w:tc>
        <w:tc>
          <w:tcPr>
            <w:tcW w:w="2070" w:type="dxa"/>
            <w:shd w:val="clear" w:color="auto" w:fill="FFFFFF" w:themeFill="background1"/>
          </w:tcPr>
          <w:p w14:paraId="5A3B1F81" w14:textId="77777777" w:rsidR="008E66B4" w:rsidRDefault="008E66B4"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523</w:t>
            </w:r>
          </w:p>
        </w:tc>
        <w:tc>
          <w:tcPr>
            <w:tcW w:w="2470" w:type="dxa"/>
            <w:shd w:val="clear" w:color="auto" w:fill="FFFFFF" w:themeFill="background1"/>
          </w:tcPr>
          <w:p w14:paraId="2934784C" w14:textId="77777777" w:rsidR="008E66B4" w:rsidRDefault="008E66B4"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0.7</w:t>
            </w:r>
          </w:p>
        </w:tc>
      </w:tr>
      <w:tr w:rsidR="008E66B4" w14:paraId="1FFA706B"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29741D95" w14:textId="77777777" w:rsidR="008E66B4" w:rsidRDefault="008E66B4" w:rsidP="0022057B">
            <w:pPr>
              <w:rPr>
                <w:lang w:val="en-GB"/>
              </w:rPr>
            </w:pPr>
            <w:r>
              <w:rPr>
                <w:lang w:val="en-GB"/>
              </w:rPr>
              <w:t>Central-West Europe</w:t>
            </w:r>
          </w:p>
        </w:tc>
        <w:tc>
          <w:tcPr>
            <w:tcW w:w="1530" w:type="dxa"/>
            <w:shd w:val="clear" w:color="auto" w:fill="FFFFFF" w:themeFill="background1"/>
          </w:tcPr>
          <w:p w14:paraId="669FA5F5" w14:textId="77777777" w:rsidR="008E66B4" w:rsidRDefault="008E66B4" w:rsidP="0022057B">
            <w:pPr>
              <w:cnfStyle w:val="000000100000" w:firstRow="0" w:lastRow="0" w:firstColumn="0" w:lastColumn="0" w:oddVBand="0" w:evenVBand="0" w:oddHBand="1" w:evenHBand="0" w:firstRowFirstColumn="0" w:firstRowLastColumn="0" w:lastRowFirstColumn="0" w:lastRowLastColumn="0"/>
              <w:rPr>
                <w:lang w:val="en-GB"/>
              </w:rPr>
            </w:pPr>
            <w:r>
              <w:rPr>
                <w:lang w:val="en-GB"/>
              </w:rPr>
              <w:t>38,582</w:t>
            </w:r>
          </w:p>
        </w:tc>
        <w:tc>
          <w:tcPr>
            <w:tcW w:w="2070" w:type="dxa"/>
            <w:shd w:val="clear" w:color="auto" w:fill="FFFFFF" w:themeFill="background1"/>
          </w:tcPr>
          <w:p w14:paraId="15AE9720" w14:textId="77777777" w:rsidR="008E66B4" w:rsidRPr="00201D19" w:rsidRDefault="008E66B4" w:rsidP="0022057B">
            <w:pPr>
              <w:cnfStyle w:val="000000100000" w:firstRow="0" w:lastRow="0" w:firstColumn="0" w:lastColumn="0" w:oddVBand="0" w:evenVBand="0" w:oddHBand="1" w:evenHBand="0" w:firstRowFirstColumn="0" w:firstRowLastColumn="0" w:lastRowFirstColumn="0" w:lastRowLastColumn="0"/>
            </w:pPr>
            <w:r>
              <w:t>900</w:t>
            </w:r>
          </w:p>
        </w:tc>
        <w:tc>
          <w:tcPr>
            <w:tcW w:w="2470" w:type="dxa"/>
            <w:shd w:val="clear" w:color="auto" w:fill="FFFFFF" w:themeFill="background1"/>
          </w:tcPr>
          <w:p w14:paraId="65E86869" w14:textId="77777777" w:rsidR="008E66B4" w:rsidRPr="00201D19" w:rsidRDefault="008E66B4" w:rsidP="0022057B">
            <w:pPr>
              <w:cnfStyle w:val="000000100000" w:firstRow="0" w:lastRow="0" w:firstColumn="0" w:lastColumn="0" w:oddVBand="0" w:evenVBand="0" w:oddHBand="1" w:evenHBand="0" w:firstRowFirstColumn="0" w:firstRowLastColumn="0" w:lastRowFirstColumn="0" w:lastRowLastColumn="0"/>
            </w:pPr>
            <w:r>
              <w:t>2.3</w:t>
            </w:r>
          </w:p>
        </w:tc>
      </w:tr>
      <w:tr w:rsidR="008E66B4" w14:paraId="44B6524A"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65B77E67" w14:textId="77777777" w:rsidR="008E66B4" w:rsidRDefault="008E66B4" w:rsidP="0022057B">
            <w:pPr>
              <w:rPr>
                <w:lang w:val="en-GB"/>
              </w:rPr>
            </w:pPr>
            <w:r>
              <w:rPr>
                <w:lang w:val="en-GB"/>
              </w:rPr>
              <w:t>Central-East Europe</w:t>
            </w:r>
          </w:p>
        </w:tc>
        <w:tc>
          <w:tcPr>
            <w:tcW w:w="1530" w:type="dxa"/>
            <w:shd w:val="clear" w:color="auto" w:fill="FFFFFF" w:themeFill="background1"/>
          </w:tcPr>
          <w:p w14:paraId="4B7924D6" w14:textId="77777777" w:rsidR="008E66B4" w:rsidRDefault="008E66B4"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44,494</w:t>
            </w:r>
          </w:p>
        </w:tc>
        <w:tc>
          <w:tcPr>
            <w:tcW w:w="2070" w:type="dxa"/>
            <w:shd w:val="clear" w:color="auto" w:fill="FFFFFF" w:themeFill="background1"/>
          </w:tcPr>
          <w:p w14:paraId="01870368" w14:textId="77777777" w:rsidR="008E66B4" w:rsidRPr="00201D19" w:rsidRDefault="008E66B4" w:rsidP="0022057B">
            <w:pPr>
              <w:cnfStyle w:val="000000000000" w:firstRow="0" w:lastRow="0" w:firstColumn="0" w:lastColumn="0" w:oddVBand="0" w:evenVBand="0" w:oddHBand="0" w:evenHBand="0" w:firstRowFirstColumn="0" w:firstRowLastColumn="0" w:lastRowFirstColumn="0" w:lastRowLastColumn="0"/>
            </w:pPr>
            <w:r>
              <w:t>7,988</w:t>
            </w:r>
          </w:p>
        </w:tc>
        <w:tc>
          <w:tcPr>
            <w:tcW w:w="2470" w:type="dxa"/>
            <w:shd w:val="clear" w:color="auto" w:fill="FFFFFF" w:themeFill="background1"/>
          </w:tcPr>
          <w:p w14:paraId="339A6235" w14:textId="77777777" w:rsidR="008E66B4" w:rsidRPr="00201D19" w:rsidRDefault="008E66B4" w:rsidP="0022057B">
            <w:pPr>
              <w:cnfStyle w:val="000000000000" w:firstRow="0" w:lastRow="0" w:firstColumn="0" w:lastColumn="0" w:oddVBand="0" w:evenVBand="0" w:oddHBand="0" w:evenHBand="0" w:firstRowFirstColumn="0" w:firstRowLastColumn="0" w:lastRowFirstColumn="0" w:lastRowLastColumn="0"/>
            </w:pPr>
            <w:r>
              <w:t>18.0</w:t>
            </w:r>
          </w:p>
        </w:tc>
      </w:tr>
      <w:tr w:rsidR="008E66B4" w14:paraId="7998DDF3"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217FA75B" w14:textId="77777777" w:rsidR="008E66B4" w:rsidRDefault="008E66B4" w:rsidP="0022057B">
            <w:pPr>
              <w:rPr>
                <w:lang w:val="en-GB"/>
              </w:rPr>
            </w:pPr>
            <w:r>
              <w:rPr>
                <w:lang w:val="en-GB"/>
              </w:rPr>
              <w:t>South-West Europe</w:t>
            </w:r>
          </w:p>
        </w:tc>
        <w:tc>
          <w:tcPr>
            <w:tcW w:w="1530" w:type="dxa"/>
            <w:shd w:val="clear" w:color="auto" w:fill="FFFFFF" w:themeFill="background1"/>
          </w:tcPr>
          <w:p w14:paraId="39440E59" w14:textId="77777777" w:rsidR="008E66B4" w:rsidRDefault="008E66B4" w:rsidP="0022057B">
            <w:pPr>
              <w:cnfStyle w:val="000000100000" w:firstRow="0" w:lastRow="0" w:firstColumn="0" w:lastColumn="0" w:oddVBand="0" w:evenVBand="0" w:oddHBand="1" w:evenHBand="0" w:firstRowFirstColumn="0" w:firstRowLastColumn="0" w:lastRowFirstColumn="0" w:lastRowLastColumn="0"/>
              <w:rPr>
                <w:lang w:val="en-GB"/>
              </w:rPr>
            </w:pPr>
            <w:r>
              <w:rPr>
                <w:lang w:val="en-GB"/>
              </w:rPr>
              <w:t>30,913</w:t>
            </w:r>
          </w:p>
        </w:tc>
        <w:tc>
          <w:tcPr>
            <w:tcW w:w="2070" w:type="dxa"/>
            <w:shd w:val="clear" w:color="auto" w:fill="FFFFFF" w:themeFill="background1"/>
          </w:tcPr>
          <w:p w14:paraId="02E74055" w14:textId="77777777" w:rsidR="008E66B4" w:rsidRPr="00201D19" w:rsidRDefault="008E66B4" w:rsidP="0022057B">
            <w:pPr>
              <w:cnfStyle w:val="000000100000" w:firstRow="0" w:lastRow="0" w:firstColumn="0" w:lastColumn="0" w:oddVBand="0" w:evenVBand="0" w:oddHBand="1" w:evenHBand="0" w:firstRowFirstColumn="0" w:firstRowLastColumn="0" w:lastRowFirstColumn="0" w:lastRowLastColumn="0"/>
            </w:pPr>
            <w:r>
              <w:t>13,156</w:t>
            </w:r>
          </w:p>
        </w:tc>
        <w:tc>
          <w:tcPr>
            <w:tcW w:w="2470" w:type="dxa"/>
            <w:shd w:val="clear" w:color="auto" w:fill="FFFFFF" w:themeFill="background1"/>
          </w:tcPr>
          <w:p w14:paraId="7C9BA1BE" w14:textId="77777777" w:rsidR="008E66B4" w:rsidRPr="00201D19" w:rsidRDefault="008E66B4" w:rsidP="0022057B">
            <w:pPr>
              <w:cnfStyle w:val="000000100000" w:firstRow="0" w:lastRow="0" w:firstColumn="0" w:lastColumn="0" w:oddVBand="0" w:evenVBand="0" w:oddHBand="1" w:evenHBand="0" w:firstRowFirstColumn="0" w:firstRowLastColumn="0" w:lastRowFirstColumn="0" w:lastRowLastColumn="0"/>
            </w:pPr>
            <w:r>
              <w:t>42.6</w:t>
            </w:r>
          </w:p>
        </w:tc>
      </w:tr>
      <w:tr w:rsidR="008E66B4" w14:paraId="1D3ED364"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2425" w:type="dxa"/>
            <w:shd w:val="clear" w:color="auto" w:fill="FFFFFF" w:themeFill="background1"/>
          </w:tcPr>
          <w:p w14:paraId="7887A1A5" w14:textId="77777777" w:rsidR="008E66B4" w:rsidRDefault="008E66B4" w:rsidP="0022057B">
            <w:pPr>
              <w:rPr>
                <w:lang w:val="en-GB"/>
              </w:rPr>
            </w:pPr>
            <w:r>
              <w:rPr>
                <w:lang w:val="en-GB"/>
              </w:rPr>
              <w:t>South-East Europe</w:t>
            </w:r>
          </w:p>
        </w:tc>
        <w:tc>
          <w:tcPr>
            <w:tcW w:w="1530" w:type="dxa"/>
            <w:shd w:val="clear" w:color="auto" w:fill="FFFFFF" w:themeFill="background1"/>
          </w:tcPr>
          <w:p w14:paraId="06512637" w14:textId="77777777" w:rsidR="008E66B4" w:rsidRDefault="008E66B4"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30,442</w:t>
            </w:r>
          </w:p>
        </w:tc>
        <w:tc>
          <w:tcPr>
            <w:tcW w:w="2070" w:type="dxa"/>
            <w:shd w:val="clear" w:color="auto" w:fill="FFFFFF" w:themeFill="background1"/>
          </w:tcPr>
          <w:p w14:paraId="7233B56A" w14:textId="77777777" w:rsidR="008E66B4" w:rsidRPr="00CA7103" w:rsidRDefault="008E66B4" w:rsidP="0022057B">
            <w:pPr>
              <w:cnfStyle w:val="000000000000" w:firstRow="0" w:lastRow="0" w:firstColumn="0" w:lastColumn="0" w:oddVBand="0" w:evenVBand="0" w:oddHBand="0" w:evenHBand="0" w:firstRowFirstColumn="0" w:firstRowLastColumn="0" w:lastRowFirstColumn="0" w:lastRowLastColumn="0"/>
              <w:rPr>
                <w:lang w:val="el-GR"/>
              </w:rPr>
            </w:pPr>
            <w:r>
              <w:t>2,837</w:t>
            </w:r>
          </w:p>
        </w:tc>
        <w:tc>
          <w:tcPr>
            <w:tcW w:w="2470" w:type="dxa"/>
            <w:shd w:val="clear" w:color="auto" w:fill="FFFFFF" w:themeFill="background1"/>
          </w:tcPr>
          <w:p w14:paraId="44C38E81" w14:textId="77777777" w:rsidR="008E66B4" w:rsidRPr="00201D19" w:rsidRDefault="008E66B4" w:rsidP="0022057B">
            <w:pPr>
              <w:cnfStyle w:val="000000000000" w:firstRow="0" w:lastRow="0" w:firstColumn="0" w:lastColumn="0" w:oddVBand="0" w:evenVBand="0" w:oddHBand="0" w:evenHBand="0" w:firstRowFirstColumn="0" w:firstRowLastColumn="0" w:lastRowFirstColumn="0" w:lastRowLastColumn="0"/>
            </w:pPr>
            <w:r>
              <w:t>9.3</w:t>
            </w:r>
          </w:p>
        </w:tc>
      </w:tr>
      <w:tr w:rsidR="008E66B4" w14:paraId="5D8F794E"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25" w:type="dxa"/>
            <w:shd w:val="clear" w:color="auto" w:fill="FFCCA6" w:themeFill="accent5" w:themeFillTint="66"/>
          </w:tcPr>
          <w:p w14:paraId="0E4065B8" w14:textId="77777777" w:rsidR="008E66B4" w:rsidRDefault="008E66B4" w:rsidP="0022057B">
            <w:pPr>
              <w:rPr>
                <w:lang w:val="en-GB"/>
              </w:rPr>
            </w:pPr>
            <w:r>
              <w:rPr>
                <w:lang w:val="en-GB"/>
              </w:rPr>
              <w:t>EU-28</w:t>
            </w:r>
          </w:p>
        </w:tc>
        <w:tc>
          <w:tcPr>
            <w:tcW w:w="1530" w:type="dxa"/>
            <w:shd w:val="clear" w:color="auto" w:fill="FFCCA6" w:themeFill="accent5" w:themeFillTint="66"/>
          </w:tcPr>
          <w:p w14:paraId="578AF4C5" w14:textId="77777777" w:rsidR="008E66B4" w:rsidRDefault="008E66B4" w:rsidP="0022057B">
            <w:pPr>
              <w:cnfStyle w:val="000000100000" w:firstRow="0" w:lastRow="0" w:firstColumn="0" w:lastColumn="0" w:oddVBand="0" w:evenVBand="0" w:oddHBand="1" w:evenHBand="0" w:firstRowFirstColumn="0" w:firstRowLastColumn="0" w:lastRowFirstColumn="0" w:lastRowLastColumn="0"/>
              <w:rPr>
                <w:lang w:val="en-GB"/>
              </w:rPr>
            </w:pPr>
            <w:r>
              <w:rPr>
                <w:lang w:val="en-GB"/>
              </w:rPr>
              <w:t>215,267</w:t>
            </w:r>
          </w:p>
        </w:tc>
        <w:tc>
          <w:tcPr>
            <w:tcW w:w="2070" w:type="dxa"/>
            <w:shd w:val="clear" w:color="auto" w:fill="FFCCA6" w:themeFill="accent5" w:themeFillTint="66"/>
          </w:tcPr>
          <w:p w14:paraId="08DD1ADD" w14:textId="77777777" w:rsidR="008E66B4" w:rsidRPr="00201D19" w:rsidRDefault="008E66B4" w:rsidP="0022057B">
            <w:pPr>
              <w:cnfStyle w:val="000000100000" w:firstRow="0" w:lastRow="0" w:firstColumn="0" w:lastColumn="0" w:oddVBand="0" w:evenVBand="0" w:oddHBand="1" w:evenHBand="0" w:firstRowFirstColumn="0" w:firstRowLastColumn="0" w:lastRowFirstColumn="0" w:lastRowLastColumn="0"/>
            </w:pPr>
            <w:r>
              <w:t>25,405</w:t>
            </w:r>
          </w:p>
        </w:tc>
        <w:tc>
          <w:tcPr>
            <w:tcW w:w="2470" w:type="dxa"/>
            <w:shd w:val="clear" w:color="auto" w:fill="FFCCA6" w:themeFill="accent5" w:themeFillTint="66"/>
          </w:tcPr>
          <w:p w14:paraId="255C35FA" w14:textId="77777777" w:rsidR="008E66B4" w:rsidRPr="00201D19" w:rsidRDefault="008E66B4" w:rsidP="0022057B">
            <w:pPr>
              <w:cnfStyle w:val="000000100000" w:firstRow="0" w:lastRow="0" w:firstColumn="0" w:lastColumn="0" w:oddVBand="0" w:evenVBand="0" w:oddHBand="1" w:evenHBand="0" w:firstRowFirstColumn="0" w:firstRowLastColumn="0" w:lastRowFirstColumn="0" w:lastRowLastColumn="0"/>
            </w:pPr>
            <w:r>
              <w:t>11.8</w:t>
            </w:r>
          </w:p>
        </w:tc>
      </w:tr>
      <w:tr w:rsidR="008E66B4" w14:paraId="6A48F9DE"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2425" w:type="dxa"/>
            <w:shd w:val="clear" w:color="auto" w:fill="FFB279" w:themeFill="accent5" w:themeFillTint="99"/>
          </w:tcPr>
          <w:p w14:paraId="642D9C18" w14:textId="77777777" w:rsidR="008E66B4" w:rsidRDefault="008E66B4" w:rsidP="0022057B">
            <w:pPr>
              <w:rPr>
                <w:lang w:val="en-GB"/>
              </w:rPr>
            </w:pPr>
            <w:r>
              <w:rPr>
                <w:lang w:val="en-GB"/>
              </w:rPr>
              <w:t>Europe</w:t>
            </w:r>
          </w:p>
        </w:tc>
        <w:tc>
          <w:tcPr>
            <w:tcW w:w="1530" w:type="dxa"/>
            <w:shd w:val="clear" w:color="auto" w:fill="FFB279" w:themeFill="accent5" w:themeFillTint="99"/>
          </w:tcPr>
          <w:p w14:paraId="44CA411A" w14:textId="77777777" w:rsidR="008E66B4" w:rsidRDefault="008E66B4" w:rsidP="0022057B">
            <w:pPr>
              <w:cnfStyle w:val="000000000000" w:firstRow="0" w:lastRow="0" w:firstColumn="0" w:lastColumn="0" w:oddVBand="0" w:evenVBand="0" w:oddHBand="0" w:evenHBand="0" w:firstRowFirstColumn="0" w:firstRowLastColumn="0" w:lastRowFirstColumn="0" w:lastRowLastColumn="0"/>
              <w:rPr>
                <w:lang w:val="en-GB"/>
              </w:rPr>
            </w:pPr>
            <w:r>
              <w:rPr>
                <w:lang w:val="en-GB"/>
              </w:rPr>
              <w:t>161,082</w:t>
            </w:r>
          </w:p>
        </w:tc>
        <w:tc>
          <w:tcPr>
            <w:tcW w:w="2070" w:type="dxa"/>
            <w:shd w:val="clear" w:color="auto" w:fill="FFB279" w:themeFill="accent5" w:themeFillTint="99"/>
          </w:tcPr>
          <w:p w14:paraId="1E304A01" w14:textId="77777777" w:rsidR="008E66B4" w:rsidRPr="00201D19" w:rsidRDefault="008E66B4" w:rsidP="0022057B">
            <w:pPr>
              <w:cnfStyle w:val="000000000000" w:firstRow="0" w:lastRow="0" w:firstColumn="0" w:lastColumn="0" w:oddVBand="0" w:evenVBand="0" w:oddHBand="0" w:evenHBand="0" w:firstRowFirstColumn="0" w:firstRowLastColumn="0" w:lastRowFirstColumn="0" w:lastRowLastColumn="0"/>
            </w:pPr>
            <w:r>
              <w:t>20,946</w:t>
            </w:r>
          </w:p>
        </w:tc>
        <w:tc>
          <w:tcPr>
            <w:tcW w:w="2470" w:type="dxa"/>
            <w:shd w:val="clear" w:color="auto" w:fill="FFB279" w:themeFill="accent5" w:themeFillTint="99"/>
          </w:tcPr>
          <w:p w14:paraId="3D93CDBF" w14:textId="77777777" w:rsidR="008E66B4" w:rsidRPr="00201D19" w:rsidRDefault="008E66B4" w:rsidP="0022057B">
            <w:pPr>
              <w:cnfStyle w:val="000000000000" w:firstRow="0" w:lastRow="0" w:firstColumn="0" w:lastColumn="0" w:oddVBand="0" w:evenVBand="0" w:oddHBand="0" w:evenHBand="0" w:firstRowFirstColumn="0" w:firstRowLastColumn="0" w:lastRowFirstColumn="0" w:lastRowLastColumn="0"/>
            </w:pPr>
            <w:r>
              <w:t>13.0</w:t>
            </w:r>
          </w:p>
        </w:tc>
      </w:tr>
    </w:tbl>
    <w:p w14:paraId="2FE94F02" w14:textId="77777777" w:rsidR="008E66B4" w:rsidRPr="008E66B4" w:rsidRDefault="008E66B4" w:rsidP="008E66B4">
      <w:pPr>
        <w:rPr>
          <w:lang w:val="en-GB"/>
        </w:rPr>
      </w:pPr>
    </w:p>
    <w:p w14:paraId="503EC90C" w14:textId="2F5A2571" w:rsidR="005271D4" w:rsidRPr="00EE5690" w:rsidRDefault="00E412B7" w:rsidP="008E66B4">
      <w:pPr>
        <w:rPr>
          <w:rFonts w:cs="Arial"/>
          <w:lang w:val="en-GB"/>
        </w:rPr>
      </w:pPr>
      <w:r w:rsidRPr="00EE5690">
        <w:rPr>
          <w:rFonts w:cs="Arial"/>
          <w:lang w:val="en-GB"/>
        </w:rPr>
        <w:lastRenderedPageBreak/>
        <w:t xml:space="preserve">Table 15 </w:t>
      </w:r>
      <w:r w:rsidR="005857BF" w:rsidRPr="00EE5690">
        <w:rPr>
          <w:rFonts w:cs="Arial"/>
          <w:lang w:val="en-GB"/>
        </w:rPr>
        <w:t xml:space="preserve">presents the </w:t>
      </w:r>
      <w:r w:rsidR="009010AC" w:rsidRPr="00EE5690">
        <w:rPr>
          <w:rFonts w:cs="Arial"/>
          <w:lang w:val="en-GB"/>
        </w:rPr>
        <w:t>forest land report for protection. It must be noted that several countries commented that, while forests fulfil protective functions, their primary aim is “multiple use”, hence they do not qualify for reporting as solely used for protection (Forest Europe, 2015).</w:t>
      </w:r>
    </w:p>
    <w:p w14:paraId="57136574" w14:textId="5F147AFE" w:rsidR="0046319B" w:rsidRPr="00EE5690" w:rsidRDefault="0046319B" w:rsidP="00EE5690">
      <w:pPr>
        <w:jc w:val="left"/>
        <w:rPr>
          <w:rFonts w:cs="Arial"/>
          <w:lang w:val="en-GB"/>
        </w:rPr>
      </w:pPr>
      <w:r w:rsidRPr="00EE5690">
        <w:rPr>
          <w:rFonts w:cs="Arial"/>
          <w:lang w:val="en-GB"/>
        </w:rPr>
        <w:t xml:space="preserve">The issues covered by the main policy objectives considering protective forests and other wooded land are presented in </w:t>
      </w:r>
      <w:r w:rsidRPr="00EE5690">
        <w:rPr>
          <w:rFonts w:cs="Arial"/>
          <w:lang w:val="en-GB"/>
        </w:rPr>
        <w:fldChar w:fldCharType="begin"/>
      </w:r>
      <w:r w:rsidRPr="00EE5690">
        <w:rPr>
          <w:rFonts w:cs="Arial"/>
          <w:lang w:val="en-GB"/>
        </w:rPr>
        <w:instrText xml:space="preserve"> REF _Ref26352645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206437">
        <w:rPr>
          <w:rFonts w:cs="Arial"/>
        </w:rPr>
        <w:t xml:space="preserve">Figure </w:t>
      </w:r>
      <w:r w:rsidR="0073710A">
        <w:rPr>
          <w:rFonts w:cs="Arial"/>
          <w:noProof/>
        </w:rPr>
        <w:t>20</w:t>
      </w:r>
      <w:r w:rsidRPr="00EE5690">
        <w:rPr>
          <w:rFonts w:cs="Arial"/>
          <w:lang w:val="en-GB"/>
        </w:rPr>
        <w:fldChar w:fldCharType="end"/>
      </w:r>
      <w:r w:rsidRPr="00EE5690">
        <w:rPr>
          <w:rFonts w:cs="Arial"/>
          <w:lang w:val="en-GB"/>
        </w:rPr>
        <w:t>.</w:t>
      </w:r>
    </w:p>
    <w:p w14:paraId="6F23108A" w14:textId="4CC6B574" w:rsidR="005271D4" w:rsidRPr="00EE5690" w:rsidRDefault="005172EF" w:rsidP="008E66B4">
      <w:pPr>
        <w:jc w:val="center"/>
        <w:rPr>
          <w:rFonts w:cs="Arial"/>
          <w:lang w:val="en-GB"/>
        </w:rPr>
      </w:pPr>
      <w:r w:rsidRPr="00EE5690">
        <w:rPr>
          <w:rFonts w:cs="Arial"/>
          <w:noProof/>
          <w:lang w:val="es-ES" w:eastAsia="es-ES"/>
        </w:rPr>
        <w:drawing>
          <wp:inline distT="0" distB="0" distL="0" distR="0" wp14:anchorId="7A5694A4" wp14:editId="38416D6E">
            <wp:extent cx="5008418" cy="1901760"/>
            <wp:effectExtent l="0" t="0" r="190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ullsoef2015-173.jpg"/>
                    <pic:cNvPicPr/>
                  </pic:nvPicPr>
                  <pic:blipFill rotWithShape="1">
                    <a:blip r:embed="rId41" cstate="print">
                      <a:extLst>
                        <a:ext uri="{28A0092B-C50C-407E-A947-70E740481C1C}">
                          <a14:useLocalDpi xmlns:a14="http://schemas.microsoft.com/office/drawing/2010/main" val="0"/>
                        </a:ext>
                      </a:extLst>
                    </a:blip>
                    <a:srcRect l="3150" t="8625" r="4516" b="6056"/>
                    <a:stretch/>
                  </pic:blipFill>
                  <pic:spPr bwMode="auto">
                    <a:xfrm>
                      <a:off x="0" y="0"/>
                      <a:ext cx="5016326" cy="1904763"/>
                    </a:xfrm>
                    <a:prstGeom prst="rect">
                      <a:avLst/>
                    </a:prstGeom>
                    <a:ln>
                      <a:noFill/>
                    </a:ln>
                    <a:extLst>
                      <a:ext uri="{53640926-AAD7-44D8-BBD7-CCE9431645EC}">
                        <a14:shadowObscured xmlns:a14="http://schemas.microsoft.com/office/drawing/2010/main"/>
                      </a:ext>
                    </a:extLst>
                  </pic:spPr>
                </pic:pic>
              </a:graphicData>
            </a:graphic>
          </wp:inline>
        </w:drawing>
      </w:r>
    </w:p>
    <w:p w14:paraId="4413D705" w14:textId="0630EEA6" w:rsidR="005172EF" w:rsidRPr="00206437" w:rsidRDefault="005172EF" w:rsidP="008E66B4">
      <w:pPr>
        <w:pStyle w:val="Caption"/>
        <w:rPr>
          <w:rFonts w:cs="Arial"/>
        </w:rPr>
      </w:pPr>
      <w:bookmarkStart w:id="75" w:name="_Ref26352645"/>
      <w:bookmarkStart w:id="76" w:name="_Toc91752504"/>
      <w:r w:rsidRPr="00206437">
        <w:rPr>
          <w:rFonts w:cs="Arial"/>
        </w:rPr>
        <w:t xml:space="preserve">Figure </w:t>
      </w:r>
      <w:r w:rsidRPr="00206437">
        <w:rPr>
          <w:rFonts w:cs="Arial"/>
        </w:rPr>
        <w:fldChar w:fldCharType="begin"/>
      </w:r>
      <w:r w:rsidRPr="00206437">
        <w:rPr>
          <w:rFonts w:cs="Arial"/>
        </w:rPr>
        <w:instrText xml:space="preserve"> SEQ Figure \* ARABIC </w:instrText>
      </w:r>
      <w:r w:rsidRPr="00206437">
        <w:rPr>
          <w:rFonts w:cs="Arial"/>
        </w:rPr>
        <w:fldChar w:fldCharType="separate"/>
      </w:r>
      <w:r w:rsidR="0073710A">
        <w:rPr>
          <w:rFonts w:cs="Arial"/>
          <w:noProof/>
        </w:rPr>
        <w:t>20</w:t>
      </w:r>
      <w:r w:rsidRPr="00206437">
        <w:rPr>
          <w:rFonts w:cs="Arial"/>
        </w:rPr>
        <w:fldChar w:fldCharType="end"/>
      </w:r>
      <w:bookmarkEnd w:id="75"/>
      <w:r w:rsidRPr="00206437">
        <w:rPr>
          <w:rFonts w:cs="Arial"/>
        </w:rPr>
        <w:t xml:space="preserve"> </w:t>
      </w:r>
      <w:r w:rsidR="004222BD" w:rsidRPr="00206437">
        <w:rPr>
          <w:rFonts w:cs="Arial"/>
        </w:rPr>
        <w:t>Issues covered by the main policy objectives relating to protective forests and other wooded land for the period 2011-2014 (Source:  Forest Europe, 2015)</w:t>
      </w:r>
      <w:bookmarkEnd w:id="76"/>
    </w:p>
    <w:p w14:paraId="49453B1B" w14:textId="6976C46A" w:rsidR="00306753" w:rsidRDefault="00E412B7" w:rsidP="00EE5690">
      <w:pPr>
        <w:jc w:val="left"/>
        <w:rPr>
          <w:rFonts w:cs="Arial"/>
          <w:lang w:val="en-GB"/>
        </w:rPr>
      </w:pPr>
      <w:r w:rsidRPr="00EE5690">
        <w:rPr>
          <w:rFonts w:cs="Arial"/>
          <w:lang w:val="en-GB"/>
        </w:rPr>
        <w:t xml:space="preserve">Table 18 </w:t>
      </w:r>
      <w:r w:rsidR="00037CA3" w:rsidRPr="00EE5690">
        <w:rPr>
          <w:rFonts w:cs="Arial"/>
          <w:lang w:val="en-GB"/>
        </w:rPr>
        <w:t>shows the share of forest area by regeneration type in the European region.</w:t>
      </w:r>
    </w:p>
    <w:p w14:paraId="6C0E953A" w14:textId="175D26F4" w:rsidR="000042EC" w:rsidRPr="00206437" w:rsidRDefault="000042EC" w:rsidP="008E66B4">
      <w:pPr>
        <w:pStyle w:val="Caption"/>
        <w:rPr>
          <w:rFonts w:cs="Arial"/>
        </w:rPr>
      </w:pPr>
      <w:bookmarkStart w:id="77" w:name="_Ref26352738"/>
      <w:bookmarkStart w:id="78" w:name="_Toc91752557"/>
      <w:r w:rsidRPr="00206437">
        <w:rPr>
          <w:rFonts w:cs="Arial"/>
        </w:rPr>
        <w:t xml:space="preserve">Table </w:t>
      </w:r>
      <w:r w:rsidRPr="00206437">
        <w:rPr>
          <w:rFonts w:cs="Arial"/>
        </w:rPr>
        <w:fldChar w:fldCharType="begin"/>
      </w:r>
      <w:r w:rsidRPr="00206437">
        <w:rPr>
          <w:rFonts w:cs="Arial"/>
        </w:rPr>
        <w:instrText xml:space="preserve"> SEQ Table \* ARABIC </w:instrText>
      </w:r>
      <w:r w:rsidRPr="00206437">
        <w:rPr>
          <w:rFonts w:cs="Arial"/>
        </w:rPr>
        <w:fldChar w:fldCharType="separate"/>
      </w:r>
      <w:r w:rsidR="0073710A">
        <w:rPr>
          <w:rFonts w:cs="Arial"/>
          <w:noProof/>
        </w:rPr>
        <w:t>18</w:t>
      </w:r>
      <w:r w:rsidRPr="00206437">
        <w:rPr>
          <w:rFonts w:cs="Arial"/>
        </w:rPr>
        <w:fldChar w:fldCharType="end"/>
      </w:r>
      <w:bookmarkEnd w:id="77"/>
      <w:r w:rsidRPr="00206437">
        <w:rPr>
          <w:rFonts w:cs="Arial"/>
        </w:rPr>
        <w:t xml:space="preserve"> Share (percentage and million ha) of forest area (uneven-aged and even-aged) by regeneration types in the European regions, 2010 (based on the available data) (Source:  Forest Europe, 2015)</w:t>
      </w:r>
      <w:bookmarkEnd w:id="78"/>
    </w:p>
    <w:tbl>
      <w:tblPr>
        <w:tblStyle w:val="ListTable4-Accent5"/>
        <w:tblW w:w="8731"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55"/>
        <w:gridCol w:w="1080"/>
        <w:gridCol w:w="1530"/>
        <w:gridCol w:w="1350"/>
        <w:gridCol w:w="1530"/>
        <w:gridCol w:w="810"/>
        <w:gridCol w:w="1176"/>
      </w:tblGrid>
      <w:tr w:rsidR="008E66B4" w14:paraId="6D54AB10" w14:textId="77777777" w:rsidTr="002205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vMerge w:val="restart"/>
            <w:tcBorders>
              <w:top w:val="none" w:sz="0" w:space="0" w:color="auto"/>
              <w:left w:val="none" w:sz="0" w:space="0" w:color="auto"/>
              <w:bottom w:val="none" w:sz="0" w:space="0" w:color="auto"/>
            </w:tcBorders>
            <w:shd w:val="clear" w:color="auto" w:fill="BFBFBF" w:themeFill="background1" w:themeFillShade="BF"/>
          </w:tcPr>
          <w:p w14:paraId="7D469F8B" w14:textId="77777777" w:rsidR="008E66B4" w:rsidRPr="00441651" w:rsidRDefault="008E66B4" w:rsidP="0022057B">
            <w:pPr>
              <w:jc w:val="center"/>
              <w:rPr>
                <w:color w:val="auto"/>
                <w:sz w:val="18"/>
                <w:szCs w:val="18"/>
                <w:lang w:val="en-GB"/>
              </w:rPr>
            </w:pPr>
            <w:r w:rsidRPr="00441651">
              <w:rPr>
                <w:color w:val="auto"/>
                <w:sz w:val="18"/>
                <w:szCs w:val="18"/>
                <w:lang w:val="en-GB"/>
              </w:rPr>
              <w:t>Region</w:t>
            </w:r>
          </w:p>
        </w:tc>
        <w:tc>
          <w:tcPr>
            <w:tcW w:w="2610" w:type="dxa"/>
            <w:gridSpan w:val="2"/>
            <w:tcBorders>
              <w:top w:val="none" w:sz="0" w:space="0" w:color="auto"/>
              <w:bottom w:val="none" w:sz="0" w:space="0" w:color="auto"/>
            </w:tcBorders>
            <w:shd w:val="clear" w:color="auto" w:fill="BFBFBF" w:themeFill="background1" w:themeFillShade="BF"/>
          </w:tcPr>
          <w:p w14:paraId="19639467" w14:textId="77777777" w:rsidR="008E66B4" w:rsidRPr="00441651" w:rsidRDefault="008E66B4" w:rsidP="0022057B">
            <w:pPr>
              <w:jc w:val="center"/>
              <w:cnfStyle w:val="100000000000" w:firstRow="1" w:lastRow="0" w:firstColumn="0" w:lastColumn="0" w:oddVBand="0" w:evenVBand="0" w:oddHBand="0" w:evenHBand="0" w:firstRowFirstColumn="0" w:firstRowLastColumn="0" w:lastRowFirstColumn="0" w:lastRowLastColumn="0"/>
              <w:rPr>
                <w:color w:val="auto"/>
                <w:sz w:val="18"/>
                <w:szCs w:val="18"/>
                <w:lang w:val="en-GB"/>
              </w:rPr>
            </w:pPr>
            <w:r w:rsidRPr="00441651">
              <w:rPr>
                <w:color w:val="auto"/>
                <w:sz w:val="18"/>
                <w:szCs w:val="18"/>
                <w:lang w:val="en-GB"/>
              </w:rPr>
              <w:t>Natural regeneration and natural expansion</w:t>
            </w:r>
          </w:p>
        </w:tc>
        <w:tc>
          <w:tcPr>
            <w:tcW w:w="2880" w:type="dxa"/>
            <w:gridSpan w:val="2"/>
            <w:tcBorders>
              <w:top w:val="none" w:sz="0" w:space="0" w:color="auto"/>
              <w:bottom w:val="none" w:sz="0" w:space="0" w:color="auto"/>
            </w:tcBorders>
            <w:shd w:val="clear" w:color="auto" w:fill="BFBFBF" w:themeFill="background1" w:themeFillShade="BF"/>
          </w:tcPr>
          <w:p w14:paraId="1C410578" w14:textId="77777777" w:rsidR="008E66B4" w:rsidRPr="00441651" w:rsidRDefault="008E66B4" w:rsidP="0022057B">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441651">
              <w:rPr>
                <w:color w:val="000000" w:themeColor="text1"/>
                <w:sz w:val="18"/>
                <w:szCs w:val="18"/>
                <w:lang w:val="en-GB"/>
              </w:rPr>
              <w:t>Afforestation and regeneration by planting and seeding</w:t>
            </w:r>
          </w:p>
        </w:tc>
        <w:tc>
          <w:tcPr>
            <w:tcW w:w="1986" w:type="dxa"/>
            <w:gridSpan w:val="2"/>
            <w:tcBorders>
              <w:top w:val="none" w:sz="0" w:space="0" w:color="auto"/>
              <w:bottom w:val="none" w:sz="0" w:space="0" w:color="auto"/>
              <w:right w:val="none" w:sz="0" w:space="0" w:color="auto"/>
            </w:tcBorders>
            <w:shd w:val="clear" w:color="auto" w:fill="BFBFBF" w:themeFill="background1" w:themeFillShade="BF"/>
          </w:tcPr>
          <w:p w14:paraId="057B7C1A" w14:textId="77777777" w:rsidR="008E66B4" w:rsidRPr="00441651" w:rsidRDefault="008E66B4" w:rsidP="0022057B">
            <w:pPr>
              <w:jc w:val="center"/>
              <w:cnfStyle w:val="100000000000" w:firstRow="1" w:lastRow="0" w:firstColumn="0" w:lastColumn="0" w:oddVBand="0" w:evenVBand="0" w:oddHBand="0" w:evenHBand="0" w:firstRowFirstColumn="0" w:firstRowLastColumn="0" w:lastRowFirstColumn="0" w:lastRowLastColumn="0"/>
              <w:rPr>
                <w:color w:val="auto"/>
                <w:sz w:val="18"/>
                <w:szCs w:val="18"/>
                <w:lang w:val="en-GB"/>
              </w:rPr>
            </w:pPr>
            <w:r w:rsidRPr="00441651">
              <w:rPr>
                <w:color w:val="auto"/>
                <w:sz w:val="18"/>
                <w:szCs w:val="18"/>
                <w:lang w:val="en-GB"/>
              </w:rPr>
              <w:t>Coppicing</w:t>
            </w:r>
          </w:p>
        </w:tc>
      </w:tr>
      <w:tr w:rsidR="008E66B4" w14:paraId="533E1823"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vMerge/>
            <w:shd w:val="clear" w:color="auto" w:fill="BFBFBF" w:themeFill="background1" w:themeFillShade="BF"/>
          </w:tcPr>
          <w:p w14:paraId="643378CD" w14:textId="77777777" w:rsidR="008E66B4" w:rsidRPr="00441651" w:rsidRDefault="008E66B4" w:rsidP="0022057B">
            <w:pPr>
              <w:jc w:val="center"/>
              <w:rPr>
                <w:b w:val="0"/>
                <w:sz w:val="18"/>
                <w:szCs w:val="18"/>
                <w:lang w:val="en-GB"/>
              </w:rPr>
            </w:pPr>
          </w:p>
        </w:tc>
        <w:tc>
          <w:tcPr>
            <w:tcW w:w="1080" w:type="dxa"/>
            <w:shd w:val="clear" w:color="auto" w:fill="BFBFBF" w:themeFill="background1" w:themeFillShade="BF"/>
          </w:tcPr>
          <w:p w14:paraId="25AE3135" w14:textId="77777777" w:rsidR="008E66B4" w:rsidRPr="00441651" w:rsidRDefault="008E66B4" w:rsidP="0022057B">
            <w:pPr>
              <w:jc w:val="center"/>
              <w:cnfStyle w:val="000000100000" w:firstRow="0" w:lastRow="0" w:firstColumn="0" w:lastColumn="0" w:oddVBand="0" w:evenVBand="0" w:oddHBand="1" w:evenHBand="0" w:firstRowFirstColumn="0" w:firstRowLastColumn="0" w:lastRowFirstColumn="0" w:lastRowLastColumn="0"/>
              <w:rPr>
                <w:b/>
                <w:sz w:val="18"/>
                <w:szCs w:val="18"/>
                <w:lang w:val="en-GB"/>
              </w:rPr>
            </w:pPr>
            <w:r w:rsidRPr="00441651">
              <w:rPr>
                <w:b/>
                <w:sz w:val="18"/>
                <w:szCs w:val="18"/>
                <w:lang w:val="en-GB"/>
              </w:rPr>
              <w:t>Million ha</w:t>
            </w:r>
          </w:p>
        </w:tc>
        <w:tc>
          <w:tcPr>
            <w:tcW w:w="1530" w:type="dxa"/>
            <w:shd w:val="clear" w:color="auto" w:fill="BFBFBF" w:themeFill="background1" w:themeFillShade="BF"/>
          </w:tcPr>
          <w:p w14:paraId="26A284D7" w14:textId="77777777" w:rsidR="008E66B4" w:rsidRPr="00441651" w:rsidRDefault="008E66B4" w:rsidP="0022057B">
            <w:pPr>
              <w:jc w:val="center"/>
              <w:cnfStyle w:val="000000100000" w:firstRow="0" w:lastRow="0" w:firstColumn="0" w:lastColumn="0" w:oddVBand="0" w:evenVBand="0" w:oddHBand="1" w:evenHBand="0" w:firstRowFirstColumn="0" w:firstRowLastColumn="0" w:lastRowFirstColumn="0" w:lastRowLastColumn="0"/>
              <w:rPr>
                <w:b/>
                <w:sz w:val="18"/>
                <w:szCs w:val="18"/>
                <w:lang w:val="en-GB"/>
              </w:rPr>
            </w:pPr>
            <w:r w:rsidRPr="00441651">
              <w:rPr>
                <w:b/>
                <w:sz w:val="18"/>
                <w:szCs w:val="18"/>
                <w:lang w:val="en-GB"/>
              </w:rPr>
              <w:t xml:space="preserve">% </w:t>
            </w:r>
            <w:proofErr w:type="gramStart"/>
            <w:r w:rsidRPr="00441651">
              <w:rPr>
                <w:b/>
                <w:sz w:val="18"/>
                <w:szCs w:val="18"/>
                <w:lang w:val="en-GB"/>
              </w:rPr>
              <w:t>of</w:t>
            </w:r>
            <w:proofErr w:type="gramEnd"/>
            <w:r w:rsidRPr="00441651">
              <w:rPr>
                <w:b/>
                <w:sz w:val="18"/>
                <w:szCs w:val="18"/>
                <w:lang w:val="en-GB"/>
              </w:rPr>
              <w:t xml:space="preserve"> forest area</w:t>
            </w:r>
          </w:p>
        </w:tc>
        <w:tc>
          <w:tcPr>
            <w:tcW w:w="1350" w:type="dxa"/>
            <w:shd w:val="clear" w:color="auto" w:fill="BFBFBF" w:themeFill="background1" w:themeFillShade="BF"/>
          </w:tcPr>
          <w:p w14:paraId="43CEE3A1" w14:textId="77777777" w:rsidR="008E66B4" w:rsidRPr="00441651" w:rsidRDefault="008E66B4" w:rsidP="0022057B">
            <w:pPr>
              <w:jc w:val="center"/>
              <w:cnfStyle w:val="000000100000" w:firstRow="0" w:lastRow="0" w:firstColumn="0" w:lastColumn="0" w:oddVBand="0" w:evenVBand="0" w:oddHBand="1" w:evenHBand="0" w:firstRowFirstColumn="0" w:firstRowLastColumn="0" w:lastRowFirstColumn="0" w:lastRowLastColumn="0"/>
              <w:rPr>
                <w:b/>
                <w:sz w:val="18"/>
                <w:szCs w:val="18"/>
                <w:lang w:val="en-GB"/>
              </w:rPr>
            </w:pPr>
            <w:r w:rsidRPr="00441651">
              <w:rPr>
                <w:b/>
                <w:sz w:val="18"/>
                <w:szCs w:val="18"/>
                <w:lang w:val="en-GB"/>
              </w:rPr>
              <w:t>Million ha</w:t>
            </w:r>
          </w:p>
        </w:tc>
        <w:tc>
          <w:tcPr>
            <w:tcW w:w="1530" w:type="dxa"/>
            <w:shd w:val="clear" w:color="auto" w:fill="BFBFBF" w:themeFill="background1" w:themeFillShade="BF"/>
          </w:tcPr>
          <w:p w14:paraId="72FF61D0" w14:textId="77777777" w:rsidR="008E66B4" w:rsidRPr="00441651" w:rsidRDefault="008E66B4" w:rsidP="0022057B">
            <w:pPr>
              <w:jc w:val="center"/>
              <w:cnfStyle w:val="000000100000" w:firstRow="0" w:lastRow="0" w:firstColumn="0" w:lastColumn="0" w:oddVBand="0" w:evenVBand="0" w:oddHBand="1" w:evenHBand="0" w:firstRowFirstColumn="0" w:firstRowLastColumn="0" w:lastRowFirstColumn="0" w:lastRowLastColumn="0"/>
              <w:rPr>
                <w:b/>
                <w:sz w:val="18"/>
                <w:szCs w:val="18"/>
                <w:lang w:val="en-GB"/>
              </w:rPr>
            </w:pPr>
            <w:r w:rsidRPr="00441651">
              <w:rPr>
                <w:b/>
                <w:sz w:val="18"/>
                <w:szCs w:val="18"/>
                <w:lang w:val="en-GB"/>
              </w:rPr>
              <w:t xml:space="preserve">% </w:t>
            </w:r>
            <w:proofErr w:type="gramStart"/>
            <w:r w:rsidRPr="00441651">
              <w:rPr>
                <w:b/>
                <w:sz w:val="18"/>
                <w:szCs w:val="18"/>
                <w:lang w:val="en-GB"/>
              </w:rPr>
              <w:t>of</w:t>
            </w:r>
            <w:proofErr w:type="gramEnd"/>
            <w:r w:rsidRPr="00441651">
              <w:rPr>
                <w:b/>
                <w:sz w:val="18"/>
                <w:szCs w:val="18"/>
                <w:lang w:val="en-GB"/>
              </w:rPr>
              <w:t xml:space="preserve"> forest area</w:t>
            </w:r>
          </w:p>
        </w:tc>
        <w:tc>
          <w:tcPr>
            <w:tcW w:w="810" w:type="dxa"/>
            <w:shd w:val="clear" w:color="auto" w:fill="BFBFBF" w:themeFill="background1" w:themeFillShade="BF"/>
          </w:tcPr>
          <w:p w14:paraId="4A586FF5" w14:textId="77777777" w:rsidR="008E66B4" w:rsidRPr="00441651" w:rsidRDefault="008E66B4" w:rsidP="0022057B">
            <w:pPr>
              <w:jc w:val="center"/>
              <w:cnfStyle w:val="000000100000" w:firstRow="0" w:lastRow="0" w:firstColumn="0" w:lastColumn="0" w:oddVBand="0" w:evenVBand="0" w:oddHBand="1" w:evenHBand="0" w:firstRowFirstColumn="0" w:firstRowLastColumn="0" w:lastRowFirstColumn="0" w:lastRowLastColumn="0"/>
              <w:rPr>
                <w:b/>
                <w:sz w:val="18"/>
                <w:szCs w:val="18"/>
                <w:lang w:val="en-GB"/>
              </w:rPr>
            </w:pPr>
            <w:r>
              <w:rPr>
                <w:b/>
                <w:sz w:val="18"/>
                <w:szCs w:val="18"/>
                <w:lang w:val="en-GB"/>
              </w:rPr>
              <w:t>1000 ha</w:t>
            </w:r>
          </w:p>
        </w:tc>
        <w:tc>
          <w:tcPr>
            <w:tcW w:w="1176" w:type="dxa"/>
            <w:shd w:val="clear" w:color="auto" w:fill="BFBFBF" w:themeFill="background1" w:themeFillShade="BF"/>
          </w:tcPr>
          <w:p w14:paraId="3DCBEC89" w14:textId="77777777" w:rsidR="008E66B4" w:rsidRPr="00441651" w:rsidRDefault="008E66B4" w:rsidP="0022057B">
            <w:pPr>
              <w:jc w:val="center"/>
              <w:cnfStyle w:val="000000100000" w:firstRow="0" w:lastRow="0" w:firstColumn="0" w:lastColumn="0" w:oddVBand="0" w:evenVBand="0" w:oddHBand="1" w:evenHBand="0" w:firstRowFirstColumn="0" w:firstRowLastColumn="0" w:lastRowFirstColumn="0" w:lastRowLastColumn="0"/>
              <w:rPr>
                <w:b/>
                <w:sz w:val="18"/>
                <w:szCs w:val="18"/>
                <w:lang w:val="en-GB"/>
              </w:rPr>
            </w:pPr>
            <w:r w:rsidRPr="00441651">
              <w:rPr>
                <w:b/>
                <w:sz w:val="18"/>
                <w:szCs w:val="18"/>
                <w:lang w:val="en-GB"/>
              </w:rPr>
              <w:t xml:space="preserve">% </w:t>
            </w:r>
            <w:proofErr w:type="gramStart"/>
            <w:r w:rsidRPr="00441651">
              <w:rPr>
                <w:b/>
                <w:sz w:val="18"/>
                <w:szCs w:val="18"/>
                <w:lang w:val="en-GB"/>
              </w:rPr>
              <w:t>of</w:t>
            </w:r>
            <w:proofErr w:type="gramEnd"/>
            <w:r w:rsidRPr="00441651">
              <w:rPr>
                <w:b/>
                <w:sz w:val="18"/>
                <w:szCs w:val="18"/>
                <w:lang w:val="en-GB"/>
              </w:rPr>
              <w:t xml:space="preserve"> forest area</w:t>
            </w:r>
          </w:p>
        </w:tc>
      </w:tr>
      <w:tr w:rsidR="008E66B4" w14:paraId="6DD57C4A"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tcPr>
          <w:p w14:paraId="1030E4CA" w14:textId="77777777" w:rsidR="008E66B4" w:rsidRPr="00441651" w:rsidRDefault="008E66B4" w:rsidP="0022057B">
            <w:pPr>
              <w:rPr>
                <w:sz w:val="16"/>
                <w:szCs w:val="16"/>
                <w:lang w:val="en-GB"/>
              </w:rPr>
            </w:pPr>
            <w:r w:rsidRPr="00441651">
              <w:rPr>
                <w:sz w:val="16"/>
                <w:szCs w:val="16"/>
                <w:lang w:val="en-GB"/>
              </w:rPr>
              <w:t>North Europe</w:t>
            </w:r>
          </w:p>
        </w:tc>
        <w:tc>
          <w:tcPr>
            <w:tcW w:w="1080" w:type="dxa"/>
            <w:shd w:val="clear" w:color="auto" w:fill="FFFFFF" w:themeFill="background1"/>
          </w:tcPr>
          <w:p w14:paraId="3EC5C657"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48.4</w:t>
            </w:r>
          </w:p>
        </w:tc>
        <w:tc>
          <w:tcPr>
            <w:tcW w:w="1530" w:type="dxa"/>
            <w:shd w:val="clear" w:color="auto" w:fill="FFFFFF" w:themeFill="background1"/>
          </w:tcPr>
          <w:p w14:paraId="4456D0D8"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68</w:t>
            </w:r>
          </w:p>
        </w:tc>
        <w:tc>
          <w:tcPr>
            <w:tcW w:w="1350" w:type="dxa"/>
            <w:shd w:val="clear" w:color="auto" w:fill="FFFFFF" w:themeFill="background1"/>
          </w:tcPr>
          <w:p w14:paraId="5196D51F"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22.4</w:t>
            </w:r>
          </w:p>
        </w:tc>
        <w:tc>
          <w:tcPr>
            <w:tcW w:w="1530" w:type="dxa"/>
            <w:shd w:val="clear" w:color="auto" w:fill="FFFFFF" w:themeFill="background1"/>
          </w:tcPr>
          <w:p w14:paraId="227ADA42"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32</w:t>
            </w:r>
          </w:p>
        </w:tc>
        <w:tc>
          <w:tcPr>
            <w:tcW w:w="810" w:type="dxa"/>
            <w:shd w:val="clear" w:color="auto" w:fill="FFFFFF" w:themeFill="background1"/>
          </w:tcPr>
          <w:p w14:paraId="5E13E134"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Pr>
                <w:sz w:val="16"/>
                <w:szCs w:val="16"/>
                <w:lang w:val="en-GB"/>
              </w:rPr>
              <w:t>n.s</w:t>
            </w:r>
            <w:proofErr w:type="spellEnd"/>
            <w:r>
              <w:rPr>
                <w:sz w:val="16"/>
                <w:szCs w:val="16"/>
                <w:lang w:val="en-GB"/>
              </w:rPr>
              <w:t>.</w:t>
            </w:r>
          </w:p>
        </w:tc>
        <w:tc>
          <w:tcPr>
            <w:tcW w:w="1176" w:type="dxa"/>
            <w:shd w:val="clear" w:color="auto" w:fill="FFFFFF" w:themeFill="background1"/>
          </w:tcPr>
          <w:p w14:paraId="3BB36FD1"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0</w:t>
            </w:r>
          </w:p>
        </w:tc>
      </w:tr>
      <w:tr w:rsidR="008E66B4" w14:paraId="4986DE63"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tcPr>
          <w:p w14:paraId="320E1B25" w14:textId="77777777" w:rsidR="008E66B4" w:rsidRPr="00441651" w:rsidRDefault="008E66B4" w:rsidP="0022057B">
            <w:pPr>
              <w:rPr>
                <w:sz w:val="16"/>
                <w:szCs w:val="16"/>
                <w:lang w:val="en-GB"/>
              </w:rPr>
            </w:pPr>
            <w:r w:rsidRPr="00441651">
              <w:rPr>
                <w:sz w:val="16"/>
                <w:szCs w:val="16"/>
                <w:lang w:val="en-GB"/>
              </w:rPr>
              <w:t>Central-West Europe</w:t>
            </w:r>
          </w:p>
        </w:tc>
        <w:tc>
          <w:tcPr>
            <w:tcW w:w="1080" w:type="dxa"/>
            <w:shd w:val="clear" w:color="auto" w:fill="FFFFFF" w:themeFill="background1"/>
          </w:tcPr>
          <w:p w14:paraId="62342272"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22.3</w:t>
            </w:r>
          </w:p>
        </w:tc>
        <w:tc>
          <w:tcPr>
            <w:tcW w:w="1530" w:type="dxa"/>
            <w:shd w:val="clear" w:color="auto" w:fill="FFFFFF" w:themeFill="background1"/>
          </w:tcPr>
          <w:p w14:paraId="051A5E9D"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64</w:t>
            </w:r>
          </w:p>
        </w:tc>
        <w:tc>
          <w:tcPr>
            <w:tcW w:w="1350" w:type="dxa"/>
            <w:shd w:val="clear" w:color="auto" w:fill="FFFFFF" w:themeFill="background1"/>
          </w:tcPr>
          <w:p w14:paraId="5FAC4F6D"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10.6</w:t>
            </w:r>
          </w:p>
        </w:tc>
        <w:tc>
          <w:tcPr>
            <w:tcW w:w="1530" w:type="dxa"/>
            <w:shd w:val="clear" w:color="auto" w:fill="FFFFFF" w:themeFill="background1"/>
          </w:tcPr>
          <w:p w14:paraId="706FF0BF"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30</w:t>
            </w:r>
          </w:p>
        </w:tc>
        <w:tc>
          <w:tcPr>
            <w:tcW w:w="810" w:type="dxa"/>
            <w:shd w:val="clear" w:color="auto" w:fill="FFFFFF" w:themeFill="background1"/>
          </w:tcPr>
          <w:p w14:paraId="1173BBA9"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20</w:t>
            </w:r>
          </w:p>
        </w:tc>
        <w:tc>
          <w:tcPr>
            <w:tcW w:w="1176" w:type="dxa"/>
            <w:shd w:val="clear" w:color="auto" w:fill="FFFFFF" w:themeFill="background1"/>
          </w:tcPr>
          <w:p w14:paraId="1FF30801"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w:t>
            </w:r>
          </w:p>
        </w:tc>
      </w:tr>
      <w:tr w:rsidR="008E66B4" w14:paraId="14FCCCEE"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tcPr>
          <w:p w14:paraId="560E5581" w14:textId="77777777" w:rsidR="008E66B4" w:rsidRPr="00441651" w:rsidRDefault="008E66B4" w:rsidP="0022057B">
            <w:pPr>
              <w:rPr>
                <w:sz w:val="16"/>
                <w:szCs w:val="16"/>
                <w:lang w:val="en-GB"/>
              </w:rPr>
            </w:pPr>
            <w:r w:rsidRPr="00441651">
              <w:rPr>
                <w:sz w:val="16"/>
                <w:szCs w:val="16"/>
                <w:lang w:val="en-GB"/>
              </w:rPr>
              <w:t>Central-East Europe</w:t>
            </w:r>
          </w:p>
        </w:tc>
        <w:tc>
          <w:tcPr>
            <w:tcW w:w="1080" w:type="dxa"/>
            <w:shd w:val="clear" w:color="auto" w:fill="FFFFFF" w:themeFill="background1"/>
          </w:tcPr>
          <w:p w14:paraId="7EF31206"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16.1</w:t>
            </w:r>
          </w:p>
        </w:tc>
        <w:tc>
          <w:tcPr>
            <w:tcW w:w="1530" w:type="dxa"/>
            <w:shd w:val="clear" w:color="auto" w:fill="FFFFFF" w:themeFill="background1"/>
          </w:tcPr>
          <w:p w14:paraId="4E075A0E"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52</w:t>
            </w:r>
          </w:p>
        </w:tc>
        <w:tc>
          <w:tcPr>
            <w:tcW w:w="1350" w:type="dxa"/>
            <w:shd w:val="clear" w:color="auto" w:fill="FFFFFF" w:themeFill="background1"/>
          </w:tcPr>
          <w:p w14:paraId="0B1697E4"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13.0</w:t>
            </w:r>
          </w:p>
        </w:tc>
        <w:tc>
          <w:tcPr>
            <w:tcW w:w="1530" w:type="dxa"/>
            <w:shd w:val="clear" w:color="auto" w:fill="FFFFFF" w:themeFill="background1"/>
          </w:tcPr>
          <w:p w14:paraId="7CCDC045"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42</w:t>
            </w:r>
          </w:p>
        </w:tc>
        <w:tc>
          <w:tcPr>
            <w:tcW w:w="810" w:type="dxa"/>
            <w:shd w:val="clear" w:color="auto" w:fill="FFFFFF" w:themeFill="background1"/>
          </w:tcPr>
          <w:p w14:paraId="7C560AFA"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21</w:t>
            </w:r>
          </w:p>
        </w:tc>
        <w:tc>
          <w:tcPr>
            <w:tcW w:w="1176" w:type="dxa"/>
            <w:shd w:val="clear" w:color="auto" w:fill="FFFFFF" w:themeFill="background1"/>
          </w:tcPr>
          <w:p w14:paraId="0BF01907"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w:t>
            </w:r>
          </w:p>
        </w:tc>
      </w:tr>
      <w:tr w:rsidR="008E66B4" w14:paraId="5757E246"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tcPr>
          <w:p w14:paraId="414E8075" w14:textId="77777777" w:rsidR="008E66B4" w:rsidRPr="00441651" w:rsidRDefault="008E66B4" w:rsidP="0022057B">
            <w:pPr>
              <w:rPr>
                <w:sz w:val="16"/>
                <w:szCs w:val="16"/>
                <w:lang w:val="en-GB"/>
              </w:rPr>
            </w:pPr>
            <w:r w:rsidRPr="00441651">
              <w:rPr>
                <w:sz w:val="16"/>
                <w:szCs w:val="16"/>
                <w:lang w:val="en-GB"/>
              </w:rPr>
              <w:t>South-West Europe</w:t>
            </w:r>
          </w:p>
        </w:tc>
        <w:tc>
          <w:tcPr>
            <w:tcW w:w="1080" w:type="dxa"/>
            <w:shd w:val="clear" w:color="auto" w:fill="FFFFFF" w:themeFill="background1"/>
          </w:tcPr>
          <w:p w14:paraId="7BA2D29B"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26.1</w:t>
            </w:r>
          </w:p>
        </w:tc>
        <w:tc>
          <w:tcPr>
            <w:tcW w:w="1530" w:type="dxa"/>
            <w:shd w:val="clear" w:color="auto" w:fill="FFFFFF" w:themeFill="background1"/>
          </w:tcPr>
          <w:p w14:paraId="307676CD"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86</w:t>
            </w:r>
          </w:p>
        </w:tc>
        <w:tc>
          <w:tcPr>
            <w:tcW w:w="1350" w:type="dxa"/>
            <w:shd w:val="clear" w:color="auto" w:fill="FFFFFF" w:themeFill="background1"/>
          </w:tcPr>
          <w:p w14:paraId="4BB85EEE"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3.3</w:t>
            </w:r>
          </w:p>
        </w:tc>
        <w:tc>
          <w:tcPr>
            <w:tcW w:w="1530" w:type="dxa"/>
            <w:shd w:val="clear" w:color="auto" w:fill="FFFFFF" w:themeFill="background1"/>
          </w:tcPr>
          <w:p w14:paraId="7B1E9CBC"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11</w:t>
            </w:r>
          </w:p>
        </w:tc>
        <w:tc>
          <w:tcPr>
            <w:tcW w:w="810" w:type="dxa"/>
            <w:shd w:val="clear" w:color="auto" w:fill="FFFFFF" w:themeFill="background1"/>
          </w:tcPr>
          <w:p w14:paraId="606FD50D"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11</w:t>
            </w:r>
          </w:p>
        </w:tc>
        <w:tc>
          <w:tcPr>
            <w:tcW w:w="1176" w:type="dxa"/>
            <w:shd w:val="clear" w:color="auto" w:fill="FFFFFF" w:themeFill="background1"/>
          </w:tcPr>
          <w:p w14:paraId="3D4D3E32"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w:t>
            </w:r>
          </w:p>
        </w:tc>
      </w:tr>
      <w:tr w:rsidR="008E66B4" w14:paraId="43938D1A"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tcPr>
          <w:p w14:paraId="619076A9" w14:textId="77777777" w:rsidR="008E66B4" w:rsidRPr="00441651" w:rsidRDefault="008E66B4" w:rsidP="0022057B">
            <w:pPr>
              <w:rPr>
                <w:sz w:val="16"/>
                <w:szCs w:val="16"/>
                <w:lang w:val="en-GB"/>
              </w:rPr>
            </w:pPr>
            <w:r w:rsidRPr="00441651">
              <w:rPr>
                <w:sz w:val="16"/>
                <w:szCs w:val="16"/>
                <w:lang w:val="en-GB"/>
              </w:rPr>
              <w:t>South-East Europe</w:t>
            </w:r>
          </w:p>
        </w:tc>
        <w:tc>
          <w:tcPr>
            <w:tcW w:w="1080" w:type="dxa"/>
            <w:shd w:val="clear" w:color="auto" w:fill="FFFFFF" w:themeFill="background1"/>
          </w:tcPr>
          <w:p w14:paraId="7E252C6C"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19.9</w:t>
            </w:r>
          </w:p>
        </w:tc>
        <w:tc>
          <w:tcPr>
            <w:tcW w:w="1530" w:type="dxa"/>
            <w:shd w:val="clear" w:color="auto" w:fill="FFFFFF" w:themeFill="background1"/>
          </w:tcPr>
          <w:p w14:paraId="7326352D"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72</w:t>
            </w:r>
          </w:p>
        </w:tc>
        <w:tc>
          <w:tcPr>
            <w:tcW w:w="1350" w:type="dxa"/>
            <w:shd w:val="clear" w:color="auto" w:fill="FFFFFF" w:themeFill="background1"/>
          </w:tcPr>
          <w:p w14:paraId="1BD2E8A0"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4.0</w:t>
            </w:r>
          </w:p>
        </w:tc>
        <w:tc>
          <w:tcPr>
            <w:tcW w:w="1530" w:type="dxa"/>
            <w:shd w:val="clear" w:color="auto" w:fill="FFFFFF" w:themeFill="background1"/>
          </w:tcPr>
          <w:p w14:paraId="0532FD8C"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w:t>
            </w:r>
          </w:p>
        </w:tc>
        <w:tc>
          <w:tcPr>
            <w:tcW w:w="810" w:type="dxa"/>
            <w:shd w:val="clear" w:color="auto" w:fill="FFFFFF" w:themeFill="background1"/>
          </w:tcPr>
          <w:p w14:paraId="103598E9"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36</w:t>
            </w:r>
          </w:p>
        </w:tc>
        <w:tc>
          <w:tcPr>
            <w:tcW w:w="1176" w:type="dxa"/>
            <w:shd w:val="clear" w:color="auto" w:fill="FFFFFF" w:themeFill="background1"/>
          </w:tcPr>
          <w:p w14:paraId="7337ED32"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w:t>
            </w:r>
          </w:p>
        </w:tc>
      </w:tr>
      <w:tr w:rsidR="008E66B4" w14:paraId="03AAA62A"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shd w:val="clear" w:color="auto" w:fill="FFCCA6" w:themeFill="accent5" w:themeFillTint="66"/>
          </w:tcPr>
          <w:p w14:paraId="0E98F4B1" w14:textId="77777777" w:rsidR="008E66B4" w:rsidRPr="00441651" w:rsidRDefault="008E66B4" w:rsidP="0022057B">
            <w:pPr>
              <w:rPr>
                <w:sz w:val="16"/>
                <w:szCs w:val="16"/>
                <w:lang w:val="en-GB"/>
              </w:rPr>
            </w:pPr>
            <w:r w:rsidRPr="00441651">
              <w:rPr>
                <w:sz w:val="16"/>
                <w:szCs w:val="16"/>
                <w:lang w:val="en-GB"/>
              </w:rPr>
              <w:lastRenderedPageBreak/>
              <w:t>EU-28</w:t>
            </w:r>
          </w:p>
        </w:tc>
        <w:tc>
          <w:tcPr>
            <w:tcW w:w="1080" w:type="dxa"/>
            <w:shd w:val="clear" w:color="auto" w:fill="FFCCA6" w:themeFill="accent5" w:themeFillTint="66"/>
          </w:tcPr>
          <w:p w14:paraId="1CEFE067"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132.8</w:t>
            </w:r>
          </w:p>
        </w:tc>
        <w:tc>
          <w:tcPr>
            <w:tcW w:w="1530" w:type="dxa"/>
            <w:shd w:val="clear" w:color="auto" w:fill="FFCCA6" w:themeFill="accent5" w:themeFillTint="66"/>
          </w:tcPr>
          <w:p w14:paraId="39808870"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68</w:t>
            </w:r>
          </w:p>
        </w:tc>
        <w:tc>
          <w:tcPr>
            <w:tcW w:w="1350" w:type="dxa"/>
            <w:shd w:val="clear" w:color="auto" w:fill="FFCCA6" w:themeFill="accent5" w:themeFillTint="66"/>
          </w:tcPr>
          <w:p w14:paraId="12FF134C"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53.2</w:t>
            </w:r>
          </w:p>
        </w:tc>
        <w:tc>
          <w:tcPr>
            <w:tcW w:w="1530" w:type="dxa"/>
            <w:shd w:val="clear" w:color="auto" w:fill="FFCCA6" w:themeFill="accent5" w:themeFillTint="66"/>
          </w:tcPr>
          <w:p w14:paraId="5E93FF95"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27</w:t>
            </w:r>
          </w:p>
        </w:tc>
        <w:tc>
          <w:tcPr>
            <w:tcW w:w="810" w:type="dxa"/>
            <w:shd w:val="clear" w:color="auto" w:fill="FFCCA6" w:themeFill="accent5" w:themeFillTint="66"/>
          </w:tcPr>
          <w:p w14:paraId="6EC0E113"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8.8</w:t>
            </w:r>
          </w:p>
        </w:tc>
        <w:tc>
          <w:tcPr>
            <w:tcW w:w="1176" w:type="dxa"/>
            <w:shd w:val="clear" w:color="auto" w:fill="FFCCA6" w:themeFill="accent5" w:themeFillTint="66"/>
          </w:tcPr>
          <w:p w14:paraId="78878FF5" w14:textId="77777777" w:rsidR="008E66B4" w:rsidRPr="00441651" w:rsidRDefault="008E66B4" w:rsidP="0022057B">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5</w:t>
            </w:r>
          </w:p>
        </w:tc>
      </w:tr>
      <w:tr w:rsidR="008E66B4" w14:paraId="018472D7"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255" w:type="dxa"/>
            <w:shd w:val="clear" w:color="auto" w:fill="FFB279" w:themeFill="accent5" w:themeFillTint="99"/>
          </w:tcPr>
          <w:p w14:paraId="44B54BFC" w14:textId="77777777" w:rsidR="008E66B4" w:rsidRPr="00441651" w:rsidRDefault="008E66B4" w:rsidP="0022057B">
            <w:pPr>
              <w:rPr>
                <w:sz w:val="16"/>
                <w:szCs w:val="16"/>
                <w:lang w:val="en-GB"/>
              </w:rPr>
            </w:pPr>
            <w:r w:rsidRPr="00441651">
              <w:rPr>
                <w:sz w:val="16"/>
                <w:szCs w:val="16"/>
                <w:lang w:val="en-GB"/>
              </w:rPr>
              <w:t>Europe</w:t>
            </w:r>
          </w:p>
        </w:tc>
        <w:tc>
          <w:tcPr>
            <w:tcW w:w="1080" w:type="dxa"/>
            <w:shd w:val="clear" w:color="auto" w:fill="FFB279" w:themeFill="accent5" w:themeFillTint="99"/>
          </w:tcPr>
          <w:p w14:paraId="7A30DB42"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98.5</w:t>
            </w:r>
          </w:p>
        </w:tc>
        <w:tc>
          <w:tcPr>
            <w:tcW w:w="1530" w:type="dxa"/>
            <w:shd w:val="clear" w:color="auto" w:fill="FFB279" w:themeFill="accent5" w:themeFillTint="99"/>
          </w:tcPr>
          <w:p w14:paraId="3F587594"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68</w:t>
            </w:r>
          </w:p>
        </w:tc>
        <w:tc>
          <w:tcPr>
            <w:tcW w:w="1350" w:type="dxa"/>
            <w:shd w:val="clear" w:color="auto" w:fill="FFB279" w:themeFill="accent5" w:themeFillTint="99"/>
          </w:tcPr>
          <w:p w14:paraId="3FA37952"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38.8</w:t>
            </w:r>
          </w:p>
        </w:tc>
        <w:tc>
          <w:tcPr>
            <w:tcW w:w="1530" w:type="dxa"/>
            <w:shd w:val="clear" w:color="auto" w:fill="FFB279" w:themeFill="accent5" w:themeFillTint="99"/>
          </w:tcPr>
          <w:p w14:paraId="7D720E5C"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27</w:t>
            </w:r>
          </w:p>
        </w:tc>
        <w:tc>
          <w:tcPr>
            <w:tcW w:w="810" w:type="dxa"/>
            <w:shd w:val="clear" w:color="auto" w:fill="FFB279" w:themeFill="accent5" w:themeFillTint="99"/>
          </w:tcPr>
          <w:p w14:paraId="1B9DDBE1"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5.4</w:t>
            </w:r>
          </w:p>
        </w:tc>
        <w:tc>
          <w:tcPr>
            <w:tcW w:w="1176" w:type="dxa"/>
            <w:shd w:val="clear" w:color="auto" w:fill="FFB279" w:themeFill="accent5" w:themeFillTint="99"/>
          </w:tcPr>
          <w:p w14:paraId="12091557" w14:textId="77777777" w:rsidR="008E66B4" w:rsidRPr="00441651" w:rsidRDefault="008E66B4" w:rsidP="0022057B">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w:t>
            </w:r>
          </w:p>
        </w:tc>
      </w:tr>
    </w:tbl>
    <w:p w14:paraId="61D4484E" w14:textId="3B8EA215" w:rsidR="000042EC" w:rsidRPr="00EE5690" w:rsidRDefault="00D1181C" w:rsidP="00206437">
      <w:pPr>
        <w:rPr>
          <w:rFonts w:cs="Arial"/>
          <w:lang w:val="en-GB"/>
        </w:rPr>
      </w:pPr>
      <w:r>
        <w:rPr>
          <w:rFonts w:cs="Arial"/>
          <w:lang w:val="en-GB"/>
        </w:rPr>
        <w:fldChar w:fldCharType="begin"/>
      </w:r>
      <w:r>
        <w:rPr>
          <w:rFonts w:cs="Arial"/>
          <w:lang w:val="en-GB"/>
        </w:rPr>
        <w:instrText xml:space="preserve"> REF _Ref90972261 \h </w:instrText>
      </w:r>
      <w:r>
        <w:rPr>
          <w:rFonts w:cs="Arial"/>
          <w:lang w:val="en-GB"/>
        </w:rPr>
      </w:r>
      <w:r>
        <w:rPr>
          <w:rFonts w:cs="Arial"/>
          <w:lang w:val="en-GB"/>
        </w:rPr>
        <w:fldChar w:fldCharType="separate"/>
      </w:r>
      <w:r w:rsidR="0073710A" w:rsidRPr="00206437">
        <w:rPr>
          <w:rFonts w:cs="Arial"/>
        </w:rPr>
        <w:t xml:space="preserve">Table </w:t>
      </w:r>
      <w:r w:rsidR="0073710A">
        <w:rPr>
          <w:rFonts w:cs="Arial"/>
          <w:noProof/>
        </w:rPr>
        <w:t>19</w:t>
      </w:r>
      <w:r>
        <w:rPr>
          <w:rFonts w:cs="Arial"/>
          <w:lang w:val="en-GB"/>
        </w:rPr>
        <w:fldChar w:fldCharType="end"/>
      </w:r>
      <w:r>
        <w:rPr>
          <w:rFonts w:cs="Arial"/>
          <w:lang w:val="en-GB"/>
        </w:rPr>
        <w:t xml:space="preserve"> </w:t>
      </w:r>
      <w:r w:rsidR="00E412B7" w:rsidRPr="00EE5690">
        <w:rPr>
          <w:rFonts w:cs="Arial"/>
          <w:lang w:val="en-GB"/>
        </w:rPr>
        <w:t>and Table 20</w:t>
      </w:r>
      <w:r w:rsidR="00120369" w:rsidRPr="00EE5690">
        <w:rPr>
          <w:rFonts w:cs="Arial"/>
          <w:lang w:val="en-GB"/>
        </w:rPr>
        <w:t xml:space="preserve"> present the number of threatened and extinct species respectively.</w:t>
      </w:r>
    </w:p>
    <w:p w14:paraId="2C2586CA" w14:textId="79E7E99C" w:rsidR="000042EC" w:rsidRPr="00206437" w:rsidRDefault="000042EC" w:rsidP="008E66B4">
      <w:pPr>
        <w:pStyle w:val="Caption"/>
        <w:rPr>
          <w:rFonts w:cs="Arial"/>
        </w:rPr>
      </w:pPr>
      <w:bookmarkStart w:id="79" w:name="_Ref90972261"/>
      <w:bookmarkStart w:id="80" w:name="_Toc91752558"/>
      <w:r w:rsidRPr="00206437">
        <w:rPr>
          <w:rFonts w:cs="Arial"/>
        </w:rPr>
        <w:t xml:space="preserve">Table </w:t>
      </w:r>
      <w:r w:rsidRPr="00206437">
        <w:rPr>
          <w:rFonts w:cs="Arial"/>
        </w:rPr>
        <w:fldChar w:fldCharType="begin"/>
      </w:r>
      <w:r w:rsidRPr="00206437">
        <w:rPr>
          <w:rFonts w:cs="Arial"/>
        </w:rPr>
        <w:instrText xml:space="preserve"> SEQ Table \* ARABIC </w:instrText>
      </w:r>
      <w:r w:rsidRPr="00206437">
        <w:rPr>
          <w:rFonts w:cs="Arial"/>
        </w:rPr>
        <w:fldChar w:fldCharType="separate"/>
      </w:r>
      <w:r w:rsidR="0073710A">
        <w:rPr>
          <w:rFonts w:cs="Arial"/>
          <w:noProof/>
        </w:rPr>
        <w:t>19</w:t>
      </w:r>
      <w:r w:rsidRPr="00206437">
        <w:rPr>
          <w:rFonts w:cs="Arial"/>
        </w:rPr>
        <w:fldChar w:fldCharType="end"/>
      </w:r>
      <w:bookmarkEnd w:id="79"/>
      <w:r w:rsidRPr="00206437">
        <w:rPr>
          <w:rFonts w:cs="Arial"/>
        </w:rPr>
        <w:t xml:space="preserve"> Numbers of threatened</w:t>
      </w:r>
      <w:r w:rsidRPr="00206437">
        <w:rPr>
          <w:rStyle w:val="FootnoteReference"/>
          <w:rFonts w:cs="Arial"/>
        </w:rPr>
        <w:footnoteReference w:id="12"/>
      </w:r>
      <w:r w:rsidRPr="00206437">
        <w:rPr>
          <w:rFonts w:cs="Arial"/>
        </w:rPr>
        <w:t xml:space="preserve"> forest-occurring tree species, birds, mammals, other vertebrates, other invertebrates, vascular </w:t>
      </w:r>
      <w:proofErr w:type="gramStart"/>
      <w:r w:rsidRPr="00206437">
        <w:rPr>
          <w:rFonts w:cs="Arial"/>
        </w:rPr>
        <w:t>plants</w:t>
      </w:r>
      <w:proofErr w:type="gramEnd"/>
      <w:r w:rsidRPr="00206437">
        <w:rPr>
          <w:rFonts w:cs="Arial"/>
        </w:rPr>
        <w:t xml:space="preserve"> and fungi (number of reporting countries: 30) (Source:  Forest Europe, 2015)</w:t>
      </w:r>
      <w:bookmarkEnd w:id="80"/>
    </w:p>
    <w:tbl>
      <w:tblPr>
        <w:tblStyle w:val="GridTable5Dark-Accent5"/>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377"/>
        <w:gridCol w:w="933"/>
        <w:gridCol w:w="795"/>
        <w:gridCol w:w="1045"/>
        <w:gridCol w:w="1187"/>
        <w:gridCol w:w="1347"/>
        <w:gridCol w:w="996"/>
        <w:gridCol w:w="815"/>
      </w:tblGrid>
      <w:tr w:rsidR="008E66B4" w:rsidRPr="00D7306B" w14:paraId="4EABBA62" w14:textId="77777777" w:rsidTr="002205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700F28D4" w14:textId="77777777" w:rsidR="008E66B4" w:rsidRPr="00D7306B" w:rsidRDefault="008E66B4" w:rsidP="0022057B">
            <w:pPr>
              <w:rPr>
                <w:color w:val="000000" w:themeColor="text1"/>
                <w:sz w:val="18"/>
                <w:szCs w:val="18"/>
                <w:lang w:val="en-GB"/>
              </w:rPr>
            </w:pPr>
            <w:r w:rsidRPr="00D7306B">
              <w:rPr>
                <w:color w:val="000000" w:themeColor="text1"/>
                <w:sz w:val="18"/>
                <w:szCs w:val="18"/>
                <w:lang w:val="en-GB"/>
              </w:rPr>
              <w:t>Country</w:t>
            </w:r>
          </w:p>
        </w:tc>
        <w:tc>
          <w:tcPr>
            <w:tcW w:w="933" w:type="dxa"/>
            <w:tcBorders>
              <w:top w:val="single" w:sz="4" w:space="0" w:color="000000" w:themeColor="text1"/>
              <w:left w:val="single" w:sz="4" w:space="0" w:color="000000" w:themeColor="text1"/>
              <w:right w:val="single" w:sz="4" w:space="0" w:color="000000" w:themeColor="text1"/>
            </w:tcBorders>
            <w:shd w:val="clear" w:color="auto" w:fill="BFBFBF" w:themeFill="background1" w:themeFillShade="BF"/>
          </w:tcPr>
          <w:p w14:paraId="109E4701" w14:textId="77777777" w:rsidR="008E66B4" w:rsidRPr="00D7306B" w:rsidRDefault="008E66B4" w:rsidP="0022057B">
            <w:pP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D7306B">
              <w:rPr>
                <w:color w:val="000000" w:themeColor="text1"/>
                <w:sz w:val="18"/>
                <w:szCs w:val="18"/>
                <w:lang w:val="en-GB"/>
              </w:rPr>
              <w:t>Tree species</w:t>
            </w:r>
          </w:p>
        </w:tc>
        <w:tc>
          <w:tcPr>
            <w:tcW w:w="795" w:type="dxa"/>
            <w:tcBorders>
              <w:top w:val="single" w:sz="4" w:space="0" w:color="000000" w:themeColor="text1"/>
              <w:left w:val="single" w:sz="4" w:space="0" w:color="000000" w:themeColor="text1"/>
              <w:right w:val="single" w:sz="4" w:space="0" w:color="000000" w:themeColor="text1"/>
            </w:tcBorders>
            <w:shd w:val="clear" w:color="auto" w:fill="BFBFBF" w:themeFill="background1" w:themeFillShade="BF"/>
          </w:tcPr>
          <w:p w14:paraId="231699C0" w14:textId="77777777" w:rsidR="008E66B4" w:rsidRPr="00D7306B" w:rsidRDefault="008E66B4" w:rsidP="0022057B">
            <w:pP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D7306B">
              <w:rPr>
                <w:color w:val="000000" w:themeColor="text1"/>
                <w:sz w:val="18"/>
                <w:szCs w:val="18"/>
                <w:lang w:val="en-GB"/>
              </w:rPr>
              <w:t>Birds</w:t>
            </w:r>
          </w:p>
        </w:tc>
        <w:tc>
          <w:tcPr>
            <w:tcW w:w="1045" w:type="dxa"/>
            <w:tcBorders>
              <w:top w:val="single" w:sz="4" w:space="0" w:color="000000" w:themeColor="text1"/>
              <w:left w:val="single" w:sz="4" w:space="0" w:color="000000" w:themeColor="text1"/>
              <w:right w:val="single" w:sz="4" w:space="0" w:color="000000" w:themeColor="text1"/>
            </w:tcBorders>
            <w:shd w:val="clear" w:color="auto" w:fill="BFBFBF" w:themeFill="background1" w:themeFillShade="BF"/>
          </w:tcPr>
          <w:p w14:paraId="351530EB" w14:textId="77777777" w:rsidR="008E66B4" w:rsidRPr="00D7306B" w:rsidRDefault="008E66B4" w:rsidP="0022057B">
            <w:pP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D7306B">
              <w:rPr>
                <w:color w:val="000000" w:themeColor="text1"/>
                <w:sz w:val="18"/>
                <w:szCs w:val="18"/>
                <w:lang w:val="en-GB"/>
              </w:rPr>
              <w:t>Mammals</w:t>
            </w:r>
          </w:p>
        </w:tc>
        <w:tc>
          <w:tcPr>
            <w:tcW w:w="1187" w:type="dxa"/>
            <w:tcBorders>
              <w:top w:val="single" w:sz="4" w:space="0" w:color="000000" w:themeColor="text1"/>
              <w:left w:val="single" w:sz="4" w:space="0" w:color="000000" w:themeColor="text1"/>
              <w:right w:val="single" w:sz="4" w:space="0" w:color="000000" w:themeColor="text1"/>
            </w:tcBorders>
            <w:shd w:val="clear" w:color="auto" w:fill="BFBFBF" w:themeFill="background1" w:themeFillShade="BF"/>
          </w:tcPr>
          <w:p w14:paraId="09027CDE" w14:textId="77777777" w:rsidR="008E66B4" w:rsidRPr="00D7306B" w:rsidRDefault="008E66B4" w:rsidP="0022057B">
            <w:pP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D7306B">
              <w:rPr>
                <w:color w:val="000000" w:themeColor="text1"/>
                <w:sz w:val="18"/>
                <w:szCs w:val="18"/>
                <w:lang w:val="en-GB"/>
              </w:rPr>
              <w:t>Other vertebrates</w:t>
            </w:r>
          </w:p>
        </w:tc>
        <w:tc>
          <w:tcPr>
            <w:tcW w:w="1347" w:type="dxa"/>
            <w:tcBorders>
              <w:top w:val="single" w:sz="4" w:space="0" w:color="000000" w:themeColor="text1"/>
              <w:left w:val="single" w:sz="4" w:space="0" w:color="000000" w:themeColor="text1"/>
              <w:right w:val="single" w:sz="4" w:space="0" w:color="000000" w:themeColor="text1"/>
            </w:tcBorders>
            <w:shd w:val="clear" w:color="auto" w:fill="BFBFBF" w:themeFill="background1" w:themeFillShade="BF"/>
          </w:tcPr>
          <w:p w14:paraId="3F7D0DCA" w14:textId="77777777" w:rsidR="008E66B4" w:rsidRPr="00D7306B" w:rsidRDefault="008E66B4" w:rsidP="0022057B">
            <w:pP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D7306B">
              <w:rPr>
                <w:color w:val="000000" w:themeColor="text1"/>
                <w:sz w:val="18"/>
                <w:szCs w:val="18"/>
                <w:lang w:val="en-GB"/>
              </w:rPr>
              <w:t>Other invertebrates</w:t>
            </w:r>
          </w:p>
        </w:tc>
        <w:tc>
          <w:tcPr>
            <w:tcW w:w="996" w:type="dxa"/>
            <w:tcBorders>
              <w:top w:val="single" w:sz="4" w:space="0" w:color="000000" w:themeColor="text1"/>
              <w:left w:val="single" w:sz="4" w:space="0" w:color="000000" w:themeColor="text1"/>
              <w:right w:val="single" w:sz="4" w:space="0" w:color="000000" w:themeColor="text1"/>
            </w:tcBorders>
            <w:shd w:val="clear" w:color="auto" w:fill="BFBFBF" w:themeFill="background1" w:themeFillShade="BF"/>
          </w:tcPr>
          <w:p w14:paraId="3B86E09D" w14:textId="77777777" w:rsidR="008E66B4" w:rsidRPr="00D7306B" w:rsidRDefault="008E66B4" w:rsidP="0022057B">
            <w:pP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Vascular Plants</w:t>
            </w:r>
          </w:p>
        </w:tc>
        <w:tc>
          <w:tcPr>
            <w:tcW w:w="815" w:type="dxa"/>
            <w:tcBorders>
              <w:top w:val="single" w:sz="4" w:space="0" w:color="000000" w:themeColor="text1"/>
              <w:left w:val="single" w:sz="4" w:space="0" w:color="000000" w:themeColor="text1"/>
              <w:right w:val="single" w:sz="4" w:space="0" w:color="000000" w:themeColor="text1"/>
            </w:tcBorders>
            <w:shd w:val="clear" w:color="auto" w:fill="BFBFBF" w:themeFill="background1" w:themeFillShade="BF"/>
          </w:tcPr>
          <w:p w14:paraId="4063C5E5" w14:textId="77777777" w:rsidR="008E66B4" w:rsidRPr="00D7306B" w:rsidRDefault="008E66B4" w:rsidP="0022057B">
            <w:pP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Fungi</w:t>
            </w:r>
          </w:p>
        </w:tc>
      </w:tr>
      <w:tr w:rsidR="008E66B4" w:rsidRPr="00D7306B" w14:paraId="4B58BC03"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2D1A136D" w14:textId="77777777" w:rsidR="008E66B4" w:rsidRPr="00D7306B" w:rsidRDefault="008E66B4" w:rsidP="0022057B">
            <w:pPr>
              <w:rPr>
                <w:color w:val="000000" w:themeColor="text1"/>
                <w:sz w:val="18"/>
                <w:szCs w:val="18"/>
                <w:lang w:val="en-GB"/>
              </w:rPr>
            </w:pPr>
            <w:r>
              <w:rPr>
                <w:color w:val="000000" w:themeColor="text1"/>
                <w:sz w:val="18"/>
                <w:szCs w:val="18"/>
                <w:lang w:val="en-GB"/>
              </w:rPr>
              <w:t>Albania</w:t>
            </w:r>
          </w:p>
        </w:tc>
        <w:tc>
          <w:tcPr>
            <w:tcW w:w="933" w:type="dxa"/>
            <w:shd w:val="clear" w:color="auto" w:fill="FFFFFF" w:themeFill="background1"/>
          </w:tcPr>
          <w:p w14:paraId="5C67FD8F" w14:textId="77777777" w:rsidR="008E66B4" w:rsidRPr="00405221"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32</w:t>
            </w:r>
          </w:p>
        </w:tc>
        <w:tc>
          <w:tcPr>
            <w:tcW w:w="795" w:type="dxa"/>
            <w:shd w:val="clear" w:color="auto" w:fill="FFFFFF" w:themeFill="background1"/>
          </w:tcPr>
          <w:p w14:paraId="1C77434C" w14:textId="77777777" w:rsidR="008E66B4" w:rsidRPr="00405221"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1045" w:type="dxa"/>
            <w:shd w:val="clear" w:color="auto" w:fill="FFFFFF" w:themeFill="background1"/>
          </w:tcPr>
          <w:p w14:paraId="265D871D" w14:textId="77777777" w:rsidR="008E66B4" w:rsidRPr="00405221"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1187" w:type="dxa"/>
            <w:shd w:val="clear" w:color="auto" w:fill="FFFFFF" w:themeFill="background1"/>
          </w:tcPr>
          <w:p w14:paraId="6D152877" w14:textId="77777777" w:rsidR="008E66B4" w:rsidRPr="00405221"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1347" w:type="dxa"/>
            <w:shd w:val="clear" w:color="auto" w:fill="FFFFFF" w:themeFill="background1"/>
          </w:tcPr>
          <w:p w14:paraId="5FBE61A1" w14:textId="77777777" w:rsidR="008E66B4" w:rsidRPr="00405221"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996" w:type="dxa"/>
            <w:shd w:val="clear" w:color="auto" w:fill="FFFFFF" w:themeFill="background1"/>
          </w:tcPr>
          <w:p w14:paraId="25B435D5" w14:textId="77777777" w:rsidR="008E66B4" w:rsidRPr="00405221"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815" w:type="dxa"/>
            <w:shd w:val="clear" w:color="auto" w:fill="FFFFFF" w:themeFill="background1"/>
          </w:tcPr>
          <w:p w14:paraId="0D81E5C7" w14:textId="77777777" w:rsidR="008E66B4" w:rsidRPr="00405221"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r>
      <w:tr w:rsidR="008E66B4" w:rsidRPr="00D7306B" w14:paraId="3E457425"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2631AC30" w14:textId="77777777" w:rsidR="008E66B4" w:rsidRPr="00D7306B" w:rsidRDefault="008E66B4" w:rsidP="0022057B">
            <w:pPr>
              <w:rPr>
                <w:color w:val="000000" w:themeColor="text1"/>
                <w:sz w:val="18"/>
                <w:szCs w:val="18"/>
                <w:lang w:val="en-GB"/>
              </w:rPr>
            </w:pPr>
            <w:r>
              <w:rPr>
                <w:color w:val="000000" w:themeColor="text1"/>
                <w:sz w:val="18"/>
                <w:szCs w:val="18"/>
                <w:lang w:val="en-GB"/>
              </w:rPr>
              <w:t>Austria</w:t>
            </w:r>
          </w:p>
        </w:tc>
        <w:tc>
          <w:tcPr>
            <w:tcW w:w="933" w:type="dxa"/>
            <w:shd w:val="clear" w:color="auto" w:fill="FFFFFF" w:themeFill="background1"/>
          </w:tcPr>
          <w:p w14:paraId="5AA772E5"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11</w:t>
            </w:r>
          </w:p>
        </w:tc>
        <w:tc>
          <w:tcPr>
            <w:tcW w:w="795" w:type="dxa"/>
            <w:shd w:val="clear" w:color="auto" w:fill="FFFFFF" w:themeFill="background1"/>
          </w:tcPr>
          <w:p w14:paraId="64EFA3A4"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18</w:t>
            </w:r>
          </w:p>
        </w:tc>
        <w:tc>
          <w:tcPr>
            <w:tcW w:w="1045" w:type="dxa"/>
            <w:shd w:val="clear" w:color="auto" w:fill="FFFFFF" w:themeFill="background1"/>
          </w:tcPr>
          <w:p w14:paraId="5865AC5C"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13</w:t>
            </w:r>
          </w:p>
        </w:tc>
        <w:tc>
          <w:tcPr>
            <w:tcW w:w="1187" w:type="dxa"/>
            <w:shd w:val="clear" w:color="auto" w:fill="FFFFFF" w:themeFill="background1"/>
          </w:tcPr>
          <w:p w14:paraId="4F9220D5"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18</w:t>
            </w:r>
          </w:p>
        </w:tc>
        <w:tc>
          <w:tcPr>
            <w:tcW w:w="1347" w:type="dxa"/>
            <w:shd w:val="clear" w:color="auto" w:fill="FFFFFF" w:themeFill="background1"/>
          </w:tcPr>
          <w:p w14:paraId="34027C4C"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996" w:type="dxa"/>
            <w:shd w:val="clear" w:color="auto" w:fill="FFFFFF" w:themeFill="background1"/>
          </w:tcPr>
          <w:p w14:paraId="5E673F2F"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267</w:t>
            </w:r>
          </w:p>
        </w:tc>
        <w:tc>
          <w:tcPr>
            <w:tcW w:w="815" w:type="dxa"/>
            <w:shd w:val="clear" w:color="auto" w:fill="FFFFFF" w:themeFill="background1"/>
          </w:tcPr>
          <w:p w14:paraId="39EFC42B"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97</w:t>
            </w:r>
          </w:p>
        </w:tc>
      </w:tr>
      <w:tr w:rsidR="008E66B4" w:rsidRPr="00D7306B" w14:paraId="6834D949"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09859712" w14:textId="77777777" w:rsidR="008E66B4" w:rsidRPr="00D7306B" w:rsidRDefault="008E66B4" w:rsidP="0022057B">
            <w:pPr>
              <w:rPr>
                <w:color w:val="000000" w:themeColor="text1"/>
                <w:sz w:val="18"/>
                <w:szCs w:val="18"/>
                <w:lang w:val="en-GB"/>
              </w:rPr>
            </w:pPr>
            <w:r>
              <w:rPr>
                <w:color w:val="000000" w:themeColor="text1"/>
                <w:sz w:val="18"/>
                <w:szCs w:val="18"/>
                <w:lang w:val="en-GB"/>
              </w:rPr>
              <w:t>Belarus</w:t>
            </w:r>
          </w:p>
        </w:tc>
        <w:tc>
          <w:tcPr>
            <w:tcW w:w="933" w:type="dxa"/>
            <w:shd w:val="clear" w:color="auto" w:fill="FFFFFF" w:themeFill="background1"/>
          </w:tcPr>
          <w:p w14:paraId="65014908"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3</w:t>
            </w:r>
          </w:p>
        </w:tc>
        <w:tc>
          <w:tcPr>
            <w:tcW w:w="795" w:type="dxa"/>
            <w:shd w:val="clear" w:color="auto" w:fill="FFFFFF" w:themeFill="background1"/>
          </w:tcPr>
          <w:p w14:paraId="7D5B9A49"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57</w:t>
            </w:r>
          </w:p>
        </w:tc>
        <w:tc>
          <w:tcPr>
            <w:tcW w:w="1045" w:type="dxa"/>
            <w:shd w:val="clear" w:color="auto" w:fill="FFFFFF" w:themeFill="background1"/>
          </w:tcPr>
          <w:p w14:paraId="3E3ACF51"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14</w:t>
            </w:r>
          </w:p>
        </w:tc>
        <w:tc>
          <w:tcPr>
            <w:tcW w:w="1187" w:type="dxa"/>
            <w:shd w:val="clear" w:color="auto" w:fill="FFFFFF" w:themeFill="background1"/>
          </w:tcPr>
          <w:p w14:paraId="7130265F"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13</w:t>
            </w:r>
          </w:p>
        </w:tc>
        <w:tc>
          <w:tcPr>
            <w:tcW w:w="1347" w:type="dxa"/>
            <w:shd w:val="clear" w:color="auto" w:fill="FFFFFF" w:themeFill="background1"/>
          </w:tcPr>
          <w:p w14:paraId="5F3D0372"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75</w:t>
            </w:r>
          </w:p>
        </w:tc>
        <w:tc>
          <w:tcPr>
            <w:tcW w:w="996" w:type="dxa"/>
            <w:shd w:val="clear" w:color="auto" w:fill="FFFFFF" w:themeFill="background1"/>
          </w:tcPr>
          <w:p w14:paraId="42BA0CD9"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153</w:t>
            </w:r>
          </w:p>
        </w:tc>
        <w:tc>
          <w:tcPr>
            <w:tcW w:w="815" w:type="dxa"/>
            <w:shd w:val="clear" w:color="auto" w:fill="FFFFFF" w:themeFill="background1"/>
          </w:tcPr>
          <w:p w14:paraId="768BB1E7"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105</w:t>
            </w:r>
          </w:p>
        </w:tc>
      </w:tr>
      <w:tr w:rsidR="008E66B4" w:rsidRPr="00D7306B" w14:paraId="1629579E"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4E80B4CA" w14:textId="77777777" w:rsidR="008E66B4" w:rsidRPr="00D7306B" w:rsidRDefault="008E66B4" w:rsidP="0022057B">
            <w:pPr>
              <w:rPr>
                <w:color w:val="000000" w:themeColor="text1"/>
                <w:sz w:val="18"/>
                <w:szCs w:val="18"/>
                <w:lang w:val="en-GB"/>
              </w:rPr>
            </w:pPr>
            <w:r>
              <w:rPr>
                <w:color w:val="000000" w:themeColor="text1"/>
                <w:sz w:val="18"/>
                <w:szCs w:val="18"/>
                <w:lang w:val="en-GB"/>
              </w:rPr>
              <w:t>Belgium</w:t>
            </w:r>
          </w:p>
        </w:tc>
        <w:tc>
          <w:tcPr>
            <w:tcW w:w="933" w:type="dxa"/>
            <w:shd w:val="clear" w:color="auto" w:fill="FFFFFF" w:themeFill="background1"/>
          </w:tcPr>
          <w:p w14:paraId="3AA4791B"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4</w:t>
            </w:r>
          </w:p>
        </w:tc>
        <w:tc>
          <w:tcPr>
            <w:tcW w:w="795" w:type="dxa"/>
            <w:shd w:val="clear" w:color="auto" w:fill="FFFFFF" w:themeFill="background1"/>
          </w:tcPr>
          <w:p w14:paraId="52C6E4D6"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1045" w:type="dxa"/>
            <w:shd w:val="clear" w:color="auto" w:fill="FFFFFF" w:themeFill="background1"/>
          </w:tcPr>
          <w:p w14:paraId="3345D264"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13</w:t>
            </w:r>
          </w:p>
        </w:tc>
        <w:tc>
          <w:tcPr>
            <w:tcW w:w="1187" w:type="dxa"/>
            <w:shd w:val="clear" w:color="auto" w:fill="FFFFFF" w:themeFill="background1"/>
          </w:tcPr>
          <w:p w14:paraId="18A50858"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4</w:t>
            </w:r>
          </w:p>
        </w:tc>
        <w:tc>
          <w:tcPr>
            <w:tcW w:w="1347" w:type="dxa"/>
            <w:shd w:val="clear" w:color="auto" w:fill="FFFFFF" w:themeFill="background1"/>
          </w:tcPr>
          <w:p w14:paraId="0E3DCC6C"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996" w:type="dxa"/>
            <w:shd w:val="clear" w:color="auto" w:fill="FFFFFF" w:themeFill="background1"/>
          </w:tcPr>
          <w:p w14:paraId="73D80467"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34</w:t>
            </w:r>
          </w:p>
        </w:tc>
        <w:tc>
          <w:tcPr>
            <w:tcW w:w="815" w:type="dxa"/>
            <w:shd w:val="clear" w:color="auto" w:fill="FFFFFF" w:themeFill="background1"/>
          </w:tcPr>
          <w:p w14:paraId="412DD3F6"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r>
      <w:tr w:rsidR="008E66B4" w:rsidRPr="00D7306B" w14:paraId="44522320"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4B12F44E" w14:textId="77777777" w:rsidR="008E66B4" w:rsidRPr="00D7306B" w:rsidRDefault="008E66B4" w:rsidP="0022057B">
            <w:pPr>
              <w:rPr>
                <w:color w:val="000000" w:themeColor="text1"/>
                <w:sz w:val="18"/>
                <w:szCs w:val="18"/>
                <w:lang w:val="en-GB"/>
              </w:rPr>
            </w:pPr>
            <w:r>
              <w:rPr>
                <w:color w:val="000000" w:themeColor="text1"/>
                <w:sz w:val="18"/>
                <w:szCs w:val="18"/>
                <w:lang w:val="en-GB"/>
              </w:rPr>
              <w:t>Bulgaria</w:t>
            </w:r>
          </w:p>
        </w:tc>
        <w:tc>
          <w:tcPr>
            <w:tcW w:w="933" w:type="dxa"/>
            <w:shd w:val="clear" w:color="auto" w:fill="FFFFFF" w:themeFill="background1"/>
          </w:tcPr>
          <w:p w14:paraId="31333F1C"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0</w:t>
            </w:r>
          </w:p>
        </w:tc>
        <w:tc>
          <w:tcPr>
            <w:tcW w:w="795" w:type="dxa"/>
            <w:shd w:val="clear" w:color="auto" w:fill="FFFFFF" w:themeFill="background1"/>
          </w:tcPr>
          <w:p w14:paraId="1608E8CB"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12</w:t>
            </w:r>
          </w:p>
        </w:tc>
        <w:tc>
          <w:tcPr>
            <w:tcW w:w="1045" w:type="dxa"/>
            <w:shd w:val="clear" w:color="auto" w:fill="FFFFFF" w:themeFill="background1"/>
          </w:tcPr>
          <w:p w14:paraId="6ED7827E"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8</w:t>
            </w:r>
          </w:p>
        </w:tc>
        <w:tc>
          <w:tcPr>
            <w:tcW w:w="1187" w:type="dxa"/>
            <w:shd w:val="clear" w:color="auto" w:fill="FFFFFF" w:themeFill="background1"/>
          </w:tcPr>
          <w:p w14:paraId="5CB6184E"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17</w:t>
            </w:r>
          </w:p>
        </w:tc>
        <w:tc>
          <w:tcPr>
            <w:tcW w:w="1347" w:type="dxa"/>
            <w:shd w:val="clear" w:color="auto" w:fill="FFFFFF" w:themeFill="background1"/>
          </w:tcPr>
          <w:p w14:paraId="50CF3DFA"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6</w:t>
            </w:r>
          </w:p>
        </w:tc>
        <w:tc>
          <w:tcPr>
            <w:tcW w:w="996" w:type="dxa"/>
            <w:shd w:val="clear" w:color="auto" w:fill="FFFFFF" w:themeFill="background1"/>
          </w:tcPr>
          <w:p w14:paraId="39899143"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0</w:t>
            </w:r>
          </w:p>
        </w:tc>
        <w:tc>
          <w:tcPr>
            <w:tcW w:w="815" w:type="dxa"/>
            <w:shd w:val="clear" w:color="auto" w:fill="FFFFFF" w:themeFill="background1"/>
          </w:tcPr>
          <w:p w14:paraId="6D969154"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0</w:t>
            </w:r>
          </w:p>
        </w:tc>
      </w:tr>
      <w:tr w:rsidR="008E66B4" w:rsidRPr="00D7306B" w14:paraId="6750759F"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1E1A53C6" w14:textId="77777777" w:rsidR="008E66B4" w:rsidRPr="00D7306B" w:rsidRDefault="008E66B4" w:rsidP="0022057B">
            <w:pPr>
              <w:rPr>
                <w:color w:val="000000" w:themeColor="text1"/>
                <w:sz w:val="18"/>
                <w:szCs w:val="18"/>
                <w:lang w:val="en-GB"/>
              </w:rPr>
            </w:pPr>
            <w:r>
              <w:rPr>
                <w:color w:val="000000" w:themeColor="text1"/>
                <w:sz w:val="18"/>
                <w:szCs w:val="18"/>
                <w:lang w:val="en-GB"/>
              </w:rPr>
              <w:t>Croatia</w:t>
            </w:r>
          </w:p>
        </w:tc>
        <w:tc>
          <w:tcPr>
            <w:tcW w:w="933" w:type="dxa"/>
            <w:shd w:val="clear" w:color="auto" w:fill="FFFFFF" w:themeFill="background1"/>
          </w:tcPr>
          <w:p w14:paraId="730CA1E7"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3</w:t>
            </w:r>
          </w:p>
        </w:tc>
        <w:tc>
          <w:tcPr>
            <w:tcW w:w="795" w:type="dxa"/>
            <w:shd w:val="clear" w:color="auto" w:fill="FFFFFF" w:themeFill="background1"/>
          </w:tcPr>
          <w:p w14:paraId="46AC05FE"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26</w:t>
            </w:r>
          </w:p>
        </w:tc>
        <w:tc>
          <w:tcPr>
            <w:tcW w:w="1045" w:type="dxa"/>
            <w:shd w:val="clear" w:color="auto" w:fill="FFFFFF" w:themeFill="background1"/>
          </w:tcPr>
          <w:p w14:paraId="506EAA7A"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5</w:t>
            </w:r>
          </w:p>
        </w:tc>
        <w:tc>
          <w:tcPr>
            <w:tcW w:w="1187" w:type="dxa"/>
            <w:shd w:val="clear" w:color="auto" w:fill="FFFFFF" w:themeFill="background1"/>
          </w:tcPr>
          <w:p w14:paraId="408EF5EB"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w:t>
            </w:r>
          </w:p>
        </w:tc>
        <w:tc>
          <w:tcPr>
            <w:tcW w:w="1347" w:type="dxa"/>
            <w:shd w:val="clear" w:color="auto" w:fill="FFFFFF" w:themeFill="background1"/>
          </w:tcPr>
          <w:p w14:paraId="477D0BEA"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11</w:t>
            </w:r>
          </w:p>
        </w:tc>
        <w:tc>
          <w:tcPr>
            <w:tcW w:w="996" w:type="dxa"/>
            <w:shd w:val="clear" w:color="auto" w:fill="FFFFFF" w:themeFill="background1"/>
          </w:tcPr>
          <w:p w14:paraId="233EFE28"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32</w:t>
            </w:r>
          </w:p>
        </w:tc>
        <w:tc>
          <w:tcPr>
            <w:tcW w:w="815" w:type="dxa"/>
            <w:shd w:val="clear" w:color="auto" w:fill="FFFFFF" w:themeFill="background1"/>
          </w:tcPr>
          <w:p w14:paraId="42A8F875"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257</w:t>
            </w:r>
          </w:p>
        </w:tc>
      </w:tr>
      <w:tr w:rsidR="008E66B4" w:rsidRPr="00D7306B" w14:paraId="350B4FF9"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14BD3BCB" w14:textId="77777777" w:rsidR="008E66B4" w:rsidRPr="00D7306B" w:rsidRDefault="008E66B4" w:rsidP="0022057B">
            <w:pPr>
              <w:rPr>
                <w:color w:val="000000" w:themeColor="text1"/>
                <w:sz w:val="18"/>
                <w:szCs w:val="18"/>
                <w:lang w:val="en-GB"/>
              </w:rPr>
            </w:pPr>
            <w:r>
              <w:rPr>
                <w:color w:val="000000" w:themeColor="text1"/>
                <w:sz w:val="18"/>
                <w:szCs w:val="18"/>
                <w:lang w:val="en-GB"/>
              </w:rPr>
              <w:t>Cyprus</w:t>
            </w:r>
          </w:p>
        </w:tc>
        <w:tc>
          <w:tcPr>
            <w:tcW w:w="933" w:type="dxa"/>
            <w:shd w:val="clear" w:color="auto" w:fill="FFFFFF" w:themeFill="background1"/>
          </w:tcPr>
          <w:p w14:paraId="3AAB84DB"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4</w:t>
            </w:r>
          </w:p>
        </w:tc>
        <w:tc>
          <w:tcPr>
            <w:tcW w:w="795" w:type="dxa"/>
            <w:shd w:val="clear" w:color="auto" w:fill="FFFFFF" w:themeFill="background1"/>
          </w:tcPr>
          <w:p w14:paraId="6114A28B"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6</w:t>
            </w:r>
          </w:p>
        </w:tc>
        <w:tc>
          <w:tcPr>
            <w:tcW w:w="1045" w:type="dxa"/>
            <w:shd w:val="clear" w:color="auto" w:fill="FFFFFF" w:themeFill="background1"/>
          </w:tcPr>
          <w:p w14:paraId="6FAC984B"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1</w:t>
            </w:r>
          </w:p>
        </w:tc>
        <w:tc>
          <w:tcPr>
            <w:tcW w:w="1187" w:type="dxa"/>
            <w:shd w:val="clear" w:color="auto" w:fill="FFFFFF" w:themeFill="background1"/>
          </w:tcPr>
          <w:p w14:paraId="4B5B615E"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2</w:t>
            </w:r>
          </w:p>
        </w:tc>
        <w:tc>
          <w:tcPr>
            <w:tcW w:w="1347" w:type="dxa"/>
            <w:shd w:val="clear" w:color="auto" w:fill="FFFFFF" w:themeFill="background1"/>
          </w:tcPr>
          <w:p w14:paraId="0BB33130"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996" w:type="dxa"/>
            <w:shd w:val="clear" w:color="auto" w:fill="FFFFFF" w:themeFill="background1"/>
          </w:tcPr>
          <w:p w14:paraId="7472B056"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102</w:t>
            </w:r>
          </w:p>
        </w:tc>
        <w:tc>
          <w:tcPr>
            <w:tcW w:w="815" w:type="dxa"/>
            <w:shd w:val="clear" w:color="auto" w:fill="FFFFFF" w:themeFill="background1"/>
          </w:tcPr>
          <w:p w14:paraId="6EE3D265"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r>
      <w:tr w:rsidR="008E66B4" w:rsidRPr="00D7306B" w14:paraId="3AE40EC8"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0E07D0DD" w14:textId="77777777" w:rsidR="008E66B4" w:rsidRDefault="008E66B4" w:rsidP="0022057B">
            <w:pPr>
              <w:rPr>
                <w:color w:val="000000" w:themeColor="text1"/>
                <w:sz w:val="18"/>
                <w:szCs w:val="18"/>
                <w:lang w:val="en-GB"/>
              </w:rPr>
            </w:pPr>
            <w:r>
              <w:rPr>
                <w:color w:val="000000" w:themeColor="text1"/>
                <w:sz w:val="18"/>
                <w:szCs w:val="18"/>
                <w:lang w:val="en-GB"/>
              </w:rPr>
              <w:t>Czech Republic</w:t>
            </w:r>
          </w:p>
        </w:tc>
        <w:tc>
          <w:tcPr>
            <w:tcW w:w="933" w:type="dxa"/>
            <w:shd w:val="clear" w:color="auto" w:fill="FFFFFF" w:themeFill="background1"/>
          </w:tcPr>
          <w:p w14:paraId="5CE453BF"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15</w:t>
            </w:r>
          </w:p>
        </w:tc>
        <w:tc>
          <w:tcPr>
            <w:tcW w:w="795" w:type="dxa"/>
            <w:shd w:val="clear" w:color="auto" w:fill="FFFFFF" w:themeFill="background1"/>
          </w:tcPr>
          <w:p w14:paraId="3E6DBFB2"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248</w:t>
            </w:r>
          </w:p>
        </w:tc>
        <w:tc>
          <w:tcPr>
            <w:tcW w:w="1045" w:type="dxa"/>
            <w:shd w:val="clear" w:color="auto" w:fill="FFFFFF" w:themeFill="background1"/>
          </w:tcPr>
          <w:p w14:paraId="135FEC6E"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31</w:t>
            </w:r>
          </w:p>
        </w:tc>
        <w:tc>
          <w:tcPr>
            <w:tcW w:w="1187" w:type="dxa"/>
            <w:shd w:val="clear" w:color="auto" w:fill="FFFFFF" w:themeFill="background1"/>
          </w:tcPr>
          <w:p w14:paraId="61FDE67D"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47</w:t>
            </w:r>
          </w:p>
        </w:tc>
        <w:tc>
          <w:tcPr>
            <w:tcW w:w="1347" w:type="dxa"/>
            <w:shd w:val="clear" w:color="auto" w:fill="FFFFFF" w:themeFill="background1"/>
          </w:tcPr>
          <w:p w14:paraId="648041E5"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w:t>
            </w:r>
          </w:p>
        </w:tc>
        <w:tc>
          <w:tcPr>
            <w:tcW w:w="996" w:type="dxa"/>
            <w:shd w:val="clear" w:color="auto" w:fill="FFFFFF" w:themeFill="background1"/>
          </w:tcPr>
          <w:p w14:paraId="276CCB08"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771</w:t>
            </w:r>
          </w:p>
        </w:tc>
        <w:tc>
          <w:tcPr>
            <w:tcW w:w="815" w:type="dxa"/>
            <w:shd w:val="clear" w:color="auto" w:fill="FFFFFF" w:themeFill="background1"/>
          </w:tcPr>
          <w:p w14:paraId="13B5A768"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582</w:t>
            </w:r>
          </w:p>
        </w:tc>
      </w:tr>
      <w:tr w:rsidR="008E66B4" w:rsidRPr="00D7306B" w14:paraId="40BA8933"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5A17EBDE" w14:textId="77777777" w:rsidR="008E66B4" w:rsidRDefault="008E66B4" w:rsidP="0022057B">
            <w:pPr>
              <w:rPr>
                <w:color w:val="000000" w:themeColor="text1"/>
                <w:sz w:val="18"/>
                <w:szCs w:val="18"/>
                <w:lang w:val="en-GB"/>
              </w:rPr>
            </w:pPr>
            <w:r>
              <w:rPr>
                <w:color w:val="000000" w:themeColor="text1"/>
                <w:sz w:val="18"/>
                <w:szCs w:val="18"/>
                <w:lang w:val="en-GB"/>
              </w:rPr>
              <w:t>Denmark</w:t>
            </w:r>
          </w:p>
        </w:tc>
        <w:tc>
          <w:tcPr>
            <w:tcW w:w="933" w:type="dxa"/>
            <w:shd w:val="clear" w:color="auto" w:fill="FFFFFF" w:themeFill="background1"/>
          </w:tcPr>
          <w:p w14:paraId="62C07BFD"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6</w:t>
            </w:r>
          </w:p>
        </w:tc>
        <w:tc>
          <w:tcPr>
            <w:tcW w:w="795" w:type="dxa"/>
            <w:shd w:val="clear" w:color="auto" w:fill="FFFFFF" w:themeFill="background1"/>
          </w:tcPr>
          <w:p w14:paraId="0D6178AC"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20</w:t>
            </w:r>
          </w:p>
        </w:tc>
        <w:tc>
          <w:tcPr>
            <w:tcW w:w="1045" w:type="dxa"/>
            <w:shd w:val="clear" w:color="auto" w:fill="FFFFFF" w:themeFill="background1"/>
          </w:tcPr>
          <w:p w14:paraId="6F5F1734"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9</w:t>
            </w:r>
          </w:p>
        </w:tc>
        <w:tc>
          <w:tcPr>
            <w:tcW w:w="1187" w:type="dxa"/>
            <w:shd w:val="clear" w:color="auto" w:fill="FFFFFF" w:themeFill="background1"/>
          </w:tcPr>
          <w:p w14:paraId="2E0A12FD"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6</w:t>
            </w:r>
          </w:p>
        </w:tc>
        <w:tc>
          <w:tcPr>
            <w:tcW w:w="1347" w:type="dxa"/>
            <w:shd w:val="clear" w:color="auto" w:fill="FFFFFF" w:themeFill="background1"/>
          </w:tcPr>
          <w:p w14:paraId="5387395E"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372</w:t>
            </w:r>
          </w:p>
        </w:tc>
        <w:tc>
          <w:tcPr>
            <w:tcW w:w="996" w:type="dxa"/>
            <w:shd w:val="clear" w:color="auto" w:fill="FFFFFF" w:themeFill="background1"/>
          </w:tcPr>
          <w:p w14:paraId="05B0B39A"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54</w:t>
            </w:r>
          </w:p>
        </w:tc>
        <w:tc>
          <w:tcPr>
            <w:tcW w:w="815" w:type="dxa"/>
            <w:shd w:val="clear" w:color="auto" w:fill="FFFFFF" w:themeFill="background1"/>
          </w:tcPr>
          <w:p w14:paraId="66E6D65D"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818</w:t>
            </w:r>
          </w:p>
        </w:tc>
      </w:tr>
      <w:tr w:rsidR="008E66B4" w:rsidRPr="00D7306B" w14:paraId="26A153C9"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4F2E3415" w14:textId="77777777" w:rsidR="008E66B4" w:rsidRDefault="008E66B4" w:rsidP="0022057B">
            <w:pPr>
              <w:rPr>
                <w:color w:val="000000" w:themeColor="text1"/>
                <w:sz w:val="18"/>
                <w:szCs w:val="18"/>
                <w:lang w:val="en-GB"/>
              </w:rPr>
            </w:pPr>
            <w:r>
              <w:rPr>
                <w:color w:val="000000" w:themeColor="text1"/>
                <w:sz w:val="18"/>
                <w:szCs w:val="18"/>
                <w:lang w:val="en-GB"/>
              </w:rPr>
              <w:t>Estonia</w:t>
            </w:r>
          </w:p>
        </w:tc>
        <w:tc>
          <w:tcPr>
            <w:tcW w:w="933" w:type="dxa"/>
            <w:shd w:val="clear" w:color="auto" w:fill="FFFFFF" w:themeFill="background1"/>
          </w:tcPr>
          <w:p w14:paraId="3A90D934"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2</w:t>
            </w:r>
          </w:p>
        </w:tc>
        <w:tc>
          <w:tcPr>
            <w:tcW w:w="795" w:type="dxa"/>
            <w:shd w:val="clear" w:color="auto" w:fill="FFFFFF" w:themeFill="background1"/>
          </w:tcPr>
          <w:p w14:paraId="61E975FB"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12</w:t>
            </w:r>
          </w:p>
        </w:tc>
        <w:tc>
          <w:tcPr>
            <w:tcW w:w="1045" w:type="dxa"/>
            <w:shd w:val="clear" w:color="auto" w:fill="FFFFFF" w:themeFill="background1"/>
          </w:tcPr>
          <w:p w14:paraId="54601312"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2</w:t>
            </w:r>
          </w:p>
        </w:tc>
        <w:tc>
          <w:tcPr>
            <w:tcW w:w="1187" w:type="dxa"/>
            <w:shd w:val="clear" w:color="auto" w:fill="FFFFFF" w:themeFill="background1"/>
          </w:tcPr>
          <w:p w14:paraId="04C8812B"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1</w:t>
            </w:r>
          </w:p>
        </w:tc>
        <w:tc>
          <w:tcPr>
            <w:tcW w:w="1347" w:type="dxa"/>
            <w:shd w:val="clear" w:color="auto" w:fill="FFFFFF" w:themeFill="background1"/>
          </w:tcPr>
          <w:p w14:paraId="1B100A1E"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5</w:t>
            </w:r>
          </w:p>
        </w:tc>
        <w:tc>
          <w:tcPr>
            <w:tcW w:w="996" w:type="dxa"/>
            <w:shd w:val="clear" w:color="auto" w:fill="FFFFFF" w:themeFill="background1"/>
          </w:tcPr>
          <w:p w14:paraId="5160DCEA"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37</w:t>
            </w:r>
          </w:p>
        </w:tc>
        <w:tc>
          <w:tcPr>
            <w:tcW w:w="815" w:type="dxa"/>
            <w:shd w:val="clear" w:color="auto" w:fill="FFFFFF" w:themeFill="background1"/>
          </w:tcPr>
          <w:p w14:paraId="0C07E9CF"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36</w:t>
            </w:r>
          </w:p>
        </w:tc>
      </w:tr>
      <w:tr w:rsidR="008E66B4" w:rsidRPr="00D7306B" w14:paraId="30F9FBCD"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16181898" w14:textId="77777777" w:rsidR="008E66B4" w:rsidRDefault="008E66B4" w:rsidP="0022057B">
            <w:pPr>
              <w:rPr>
                <w:color w:val="000000" w:themeColor="text1"/>
                <w:sz w:val="18"/>
                <w:szCs w:val="18"/>
                <w:lang w:val="en-GB"/>
              </w:rPr>
            </w:pPr>
            <w:r>
              <w:rPr>
                <w:color w:val="000000" w:themeColor="text1"/>
                <w:sz w:val="18"/>
                <w:szCs w:val="18"/>
                <w:lang w:val="en-GB"/>
              </w:rPr>
              <w:t>Finland</w:t>
            </w:r>
          </w:p>
        </w:tc>
        <w:tc>
          <w:tcPr>
            <w:tcW w:w="933" w:type="dxa"/>
            <w:shd w:val="clear" w:color="auto" w:fill="FFFFFF" w:themeFill="background1"/>
          </w:tcPr>
          <w:p w14:paraId="35743924"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5</w:t>
            </w:r>
          </w:p>
        </w:tc>
        <w:tc>
          <w:tcPr>
            <w:tcW w:w="795" w:type="dxa"/>
            <w:shd w:val="clear" w:color="auto" w:fill="FFFFFF" w:themeFill="background1"/>
          </w:tcPr>
          <w:p w14:paraId="46C0DD37"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13</w:t>
            </w:r>
          </w:p>
        </w:tc>
        <w:tc>
          <w:tcPr>
            <w:tcW w:w="1045" w:type="dxa"/>
            <w:shd w:val="clear" w:color="auto" w:fill="FFFFFF" w:themeFill="background1"/>
          </w:tcPr>
          <w:p w14:paraId="6FF3573A"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8</w:t>
            </w:r>
          </w:p>
        </w:tc>
        <w:tc>
          <w:tcPr>
            <w:tcW w:w="1187" w:type="dxa"/>
            <w:shd w:val="clear" w:color="auto" w:fill="FFFFFF" w:themeFill="background1"/>
          </w:tcPr>
          <w:p w14:paraId="65663A83"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2</w:t>
            </w:r>
          </w:p>
        </w:tc>
        <w:tc>
          <w:tcPr>
            <w:tcW w:w="1347" w:type="dxa"/>
            <w:shd w:val="clear" w:color="auto" w:fill="FFFFFF" w:themeFill="background1"/>
          </w:tcPr>
          <w:p w14:paraId="1DDFA9E7"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599</w:t>
            </w:r>
          </w:p>
        </w:tc>
        <w:tc>
          <w:tcPr>
            <w:tcW w:w="996" w:type="dxa"/>
            <w:shd w:val="clear" w:color="auto" w:fill="FFFFFF" w:themeFill="background1"/>
          </w:tcPr>
          <w:p w14:paraId="2885D57E"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48</w:t>
            </w:r>
          </w:p>
        </w:tc>
        <w:tc>
          <w:tcPr>
            <w:tcW w:w="815" w:type="dxa"/>
            <w:shd w:val="clear" w:color="auto" w:fill="FFFFFF" w:themeFill="background1"/>
          </w:tcPr>
          <w:p w14:paraId="315BFCB2" w14:textId="77777777" w:rsidR="008E66B4" w:rsidRPr="00CD28C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l-GR"/>
              </w:rPr>
            </w:pPr>
            <w:r>
              <w:rPr>
                <w:color w:val="000000" w:themeColor="text1"/>
                <w:sz w:val="18"/>
                <w:szCs w:val="18"/>
                <w:lang w:val="el-GR"/>
              </w:rPr>
              <w:t>337</w:t>
            </w:r>
          </w:p>
        </w:tc>
      </w:tr>
      <w:tr w:rsidR="008E66B4" w:rsidRPr="00D7306B" w14:paraId="3ABE5831"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013DB7BA" w14:textId="77777777" w:rsidR="008E66B4" w:rsidRDefault="008E66B4" w:rsidP="0022057B">
            <w:pPr>
              <w:rPr>
                <w:color w:val="000000" w:themeColor="text1"/>
                <w:sz w:val="18"/>
                <w:szCs w:val="18"/>
                <w:lang w:val="en-GB"/>
              </w:rPr>
            </w:pPr>
            <w:r>
              <w:rPr>
                <w:color w:val="000000" w:themeColor="text1"/>
                <w:sz w:val="18"/>
                <w:szCs w:val="18"/>
                <w:lang w:val="en-GB"/>
              </w:rPr>
              <w:t>France</w:t>
            </w:r>
          </w:p>
        </w:tc>
        <w:tc>
          <w:tcPr>
            <w:tcW w:w="933" w:type="dxa"/>
            <w:shd w:val="clear" w:color="auto" w:fill="FFFFFF" w:themeFill="background1"/>
          </w:tcPr>
          <w:p w14:paraId="37BDFC4A"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5</w:t>
            </w:r>
          </w:p>
        </w:tc>
        <w:tc>
          <w:tcPr>
            <w:tcW w:w="795" w:type="dxa"/>
            <w:shd w:val="clear" w:color="auto" w:fill="FFFFFF" w:themeFill="background1"/>
          </w:tcPr>
          <w:p w14:paraId="0E8472B0"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20</w:t>
            </w:r>
          </w:p>
        </w:tc>
        <w:tc>
          <w:tcPr>
            <w:tcW w:w="1045" w:type="dxa"/>
            <w:shd w:val="clear" w:color="auto" w:fill="FFFFFF" w:themeFill="background1"/>
          </w:tcPr>
          <w:p w14:paraId="0A3073AD"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5</w:t>
            </w:r>
          </w:p>
        </w:tc>
        <w:tc>
          <w:tcPr>
            <w:tcW w:w="1187" w:type="dxa"/>
            <w:shd w:val="clear" w:color="auto" w:fill="FFFFFF" w:themeFill="background1"/>
          </w:tcPr>
          <w:p w14:paraId="7FD26DFD"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2</w:t>
            </w:r>
          </w:p>
        </w:tc>
        <w:tc>
          <w:tcPr>
            <w:tcW w:w="1347" w:type="dxa"/>
            <w:shd w:val="clear" w:color="auto" w:fill="FFFFFF" w:themeFill="background1"/>
          </w:tcPr>
          <w:p w14:paraId="46D28150"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6</w:t>
            </w:r>
          </w:p>
        </w:tc>
        <w:tc>
          <w:tcPr>
            <w:tcW w:w="996" w:type="dxa"/>
            <w:shd w:val="clear" w:color="auto" w:fill="FFFFFF" w:themeFill="background1"/>
          </w:tcPr>
          <w:p w14:paraId="14B7C464"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l-GR"/>
              </w:rPr>
            </w:pPr>
            <w:r>
              <w:rPr>
                <w:color w:val="000000" w:themeColor="text1"/>
                <w:sz w:val="18"/>
                <w:szCs w:val="18"/>
                <w:lang w:val="el-GR"/>
              </w:rPr>
              <w:t>512</w:t>
            </w:r>
          </w:p>
        </w:tc>
        <w:tc>
          <w:tcPr>
            <w:tcW w:w="815" w:type="dxa"/>
            <w:shd w:val="clear" w:color="auto" w:fill="FFFFFF" w:themeFill="background1"/>
          </w:tcPr>
          <w:p w14:paraId="68F5DA23" w14:textId="77777777" w:rsidR="008E66B4" w:rsidRPr="00CD28C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lang w:val="el-GR"/>
              </w:rPr>
              <w:t>-</w:t>
            </w:r>
          </w:p>
        </w:tc>
      </w:tr>
      <w:tr w:rsidR="008E66B4" w:rsidRPr="00D7306B" w14:paraId="142A6A8A"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334A23B9" w14:textId="77777777" w:rsidR="008E66B4" w:rsidRDefault="008E66B4" w:rsidP="0022057B">
            <w:pPr>
              <w:rPr>
                <w:color w:val="000000" w:themeColor="text1"/>
                <w:sz w:val="18"/>
                <w:szCs w:val="18"/>
                <w:lang w:val="en-GB"/>
              </w:rPr>
            </w:pPr>
            <w:r>
              <w:rPr>
                <w:color w:val="000000" w:themeColor="text1"/>
                <w:sz w:val="18"/>
                <w:szCs w:val="18"/>
                <w:lang w:val="en-GB"/>
              </w:rPr>
              <w:t>Germany</w:t>
            </w:r>
          </w:p>
        </w:tc>
        <w:tc>
          <w:tcPr>
            <w:tcW w:w="933" w:type="dxa"/>
            <w:shd w:val="clear" w:color="auto" w:fill="FFFFFF" w:themeFill="background1"/>
          </w:tcPr>
          <w:p w14:paraId="3E493478"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7</w:t>
            </w:r>
          </w:p>
        </w:tc>
        <w:tc>
          <w:tcPr>
            <w:tcW w:w="795" w:type="dxa"/>
            <w:shd w:val="clear" w:color="auto" w:fill="FFFFFF" w:themeFill="background1"/>
          </w:tcPr>
          <w:p w14:paraId="196EA548"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14</w:t>
            </w:r>
          </w:p>
        </w:tc>
        <w:tc>
          <w:tcPr>
            <w:tcW w:w="1045" w:type="dxa"/>
            <w:shd w:val="clear" w:color="auto" w:fill="FFFFFF" w:themeFill="background1"/>
          </w:tcPr>
          <w:p w14:paraId="44C76BC9"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187" w:type="dxa"/>
            <w:shd w:val="clear" w:color="auto" w:fill="FFFFFF" w:themeFill="background1"/>
          </w:tcPr>
          <w:p w14:paraId="317ED370"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347" w:type="dxa"/>
            <w:shd w:val="clear" w:color="auto" w:fill="FFFFFF" w:themeFill="background1"/>
          </w:tcPr>
          <w:p w14:paraId="69824C39"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996" w:type="dxa"/>
            <w:shd w:val="clear" w:color="auto" w:fill="FFFFFF" w:themeFill="background1"/>
          </w:tcPr>
          <w:p w14:paraId="46B30D0F"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208</w:t>
            </w:r>
          </w:p>
        </w:tc>
        <w:tc>
          <w:tcPr>
            <w:tcW w:w="815" w:type="dxa"/>
            <w:shd w:val="clear" w:color="auto" w:fill="FFFFFF" w:themeFill="background1"/>
          </w:tcPr>
          <w:p w14:paraId="5E08D6EF"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1475</w:t>
            </w:r>
          </w:p>
        </w:tc>
      </w:tr>
      <w:tr w:rsidR="008E66B4" w:rsidRPr="00D7306B" w14:paraId="0E403785"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3A45F032" w14:textId="77777777" w:rsidR="008E66B4" w:rsidRDefault="008E66B4" w:rsidP="0022057B">
            <w:pPr>
              <w:rPr>
                <w:color w:val="000000" w:themeColor="text1"/>
                <w:sz w:val="18"/>
                <w:szCs w:val="18"/>
                <w:lang w:val="en-GB"/>
              </w:rPr>
            </w:pPr>
            <w:r>
              <w:rPr>
                <w:color w:val="000000" w:themeColor="text1"/>
                <w:sz w:val="18"/>
                <w:szCs w:val="18"/>
                <w:lang w:val="en-GB"/>
              </w:rPr>
              <w:t>Hungary</w:t>
            </w:r>
          </w:p>
        </w:tc>
        <w:tc>
          <w:tcPr>
            <w:tcW w:w="933" w:type="dxa"/>
            <w:shd w:val="clear" w:color="auto" w:fill="FFFFFF" w:themeFill="background1"/>
          </w:tcPr>
          <w:p w14:paraId="281C939E"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9</w:t>
            </w:r>
          </w:p>
        </w:tc>
        <w:tc>
          <w:tcPr>
            <w:tcW w:w="795" w:type="dxa"/>
            <w:shd w:val="clear" w:color="auto" w:fill="FFFFFF" w:themeFill="background1"/>
          </w:tcPr>
          <w:p w14:paraId="6B57EBFD"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w:t>
            </w:r>
          </w:p>
        </w:tc>
        <w:tc>
          <w:tcPr>
            <w:tcW w:w="1045" w:type="dxa"/>
            <w:shd w:val="clear" w:color="auto" w:fill="FFFFFF" w:themeFill="background1"/>
          </w:tcPr>
          <w:p w14:paraId="27052FB7"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187" w:type="dxa"/>
            <w:shd w:val="clear" w:color="auto" w:fill="FFFFFF" w:themeFill="background1"/>
          </w:tcPr>
          <w:p w14:paraId="0D043B0D"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347" w:type="dxa"/>
            <w:shd w:val="clear" w:color="auto" w:fill="FFFFFF" w:themeFill="background1"/>
          </w:tcPr>
          <w:p w14:paraId="765A24B5"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5</w:t>
            </w:r>
          </w:p>
        </w:tc>
        <w:tc>
          <w:tcPr>
            <w:tcW w:w="996" w:type="dxa"/>
            <w:shd w:val="clear" w:color="auto" w:fill="FFFFFF" w:themeFill="background1"/>
          </w:tcPr>
          <w:p w14:paraId="7B3F1C6D"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264</w:t>
            </w:r>
          </w:p>
        </w:tc>
        <w:tc>
          <w:tcPr>
            <w:tcW w:w="815" w:type="dxa"/>
            <w:shd w:val="clear" w:color="auto" w:fill="FFFFFF" w:themeFill="background1"/>
          </w:tcPr>
          <w:p w14:paraId="3F32785C"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166</w:t>
            </w:r>
          </w:p>
        </w:tc>
      </w:tr>
      <w:tr w:rsidR="008E66B4" w:rsidRPr="00D7306B" w14:paraId="3FAAA26F"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509E917A" w14:textId="77777777" w:rsidR="008E66B4" w:rsidRDefault="008E66B4" w:rsidP="0022057B">
            <w:pPr>
              <w:rPr>
                <w:color w:val="000000" w:themeColor="text1"/>
                <w:sz w:val="18"/>
                <w:szCs w:val="18"/>
                <w:lang w:val="en-GB"/>
              </w:rPr>
            </w:pPr>
            <w:r>
              <w:rPr>
                <w:color w:val="000000" w:themeColor="text1"/>
                <w:sz w:val="18"/>
                <w:szCs w:val="18"/>
                <w:lang w:val="en-GB"/>
              </w:rPr>
              <w:t>Iceland</w:t>
            </w:r>
          </w:p>
        </w:tc>
        <w:tc>
          <w:tcPr>
            <w:tcW w:w="933" w:type="dxa"/>
            <w:shd w:val="clear" w:color="auto" w:fill="FFFFFF" w:themeFill="background1"/>
          </w:tcPr>
          <w:p w14:paraId="6E3FDCF2"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w:t>
            </w:r>
          </w:p>
        </w:tc>
        <w:tc>
          <w:tcPr>
            <w:tcW w:w="795" w:type="dxa"/>
            <w:shd w:val="clear" w:color="auto" w:fill="FFFFFF" w:themeFill="background1"/>
          </w:tcPr>
          <w:p w14:paraId="230C11C6"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045" w:type="dxa"/>
            <w:shd w:val="clear" w:color="auto" w:fill="FFFFFF" w:themeFill="background1"/>
          </w:tcPr>
          <w:p w14:paraId="21129519"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187" w:type="dxa"/>
            <w:shd w:val="clear" w:color="auto" w:fill="FFFFFF" w:themeFill="background1"/>
          </w:tcPr>
          <w:p w14:paraId="60EEB473"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347" w:type="dxa"/>
            <w:shd w:val="clear" w:color="auto" w:fill="FFFFFF" w:themeFill="background1"/>
          </w:tcPr>
          <w:p w14:paraId="408D8DD9"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996" w:type="dxa"/>
            <w:shd w:val="clear" w:color="auto" w:fill="FFFFFF" w:themeFill="background1"/>
          </w:tcPr>
          <w:p w14:paraId="11879128"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w:t>
            </w:r>
          </w:p>
        </w:tc>
        <w:tc>
          <w:tcPr>
            <w:tcW w:w="815" w:type="dxa"/>
            <w:shd w:val="clear" w:color="auto" w:fill="FFFFFF" w:themeFill="background1"/>
          </w:tcPr>
          <w:p w14:paraId="18D85E69"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r>
      <w:tr w:rsidR="008E66B4" w:rsidRPr="00D7306B" w14:paraId="0EDF9CC2"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10265052" w14:textId="77777777" w:rsidR="008E66B4" w:rsidRDefault="008E66B4" w:rsidP="0022057B">
            <w:pPr>
              <w:rPr>
                <w:color w:val="000000" w:themeColor="text1"/>
                <w:sz w:val="18"/>
                <w:szCs w:val="18"/>
                <w:lang w:val="en-GB"/>
              </w:rPr>
            </w:pPr>
            <w:r>
              <w:rPr>
                <w:color w:val="000000" w:themeColor="text1"/>
                <w:sz w:val="18"/>
                <w:szCs w:val="18"/>
                <w:lang w:val="en-GB"/>
              </w:rPr>
              <w:t>Ireland</w:t>
            </w:r>
          </w:p>
        </w:tc>
        <w:tc>
          <w:tcPr>
            <w:tcW w:w="933" w:type="dxa"/>
            <w:shd w:val="clear" w:color="auto" w:fill="FFFFFF" w:themeFill="background1"/>
          </w:tcPr>
          <w:p w14:paraId="28E42505"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1</w:t>
            </w:r>
          </w:p>
        </w:tc>
        <w:tc>
          <w:tcPr>
            <w:tcW w:w="795" w:type="dxa"/>
            <w:shd w:val="clear" w:color="auto" w:fill="FFFFFF" w:themeFill="background1"/>
          </w:tcPr>
          <w:p w14:paraId="536CF261"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3</w:t>
            </w:r>
          </w:p>
        </w:tc>
        <w:tc>
          <w:tcPr>
            <w:tcW w:w="1045" w:type="dxa"/>
            <w:shd w:val="clear" w:color="auto" w:fill="FFFFFF" w:themeFill="background1"/>
          </w:tcPr>
          <w:p w14:paraId="159B4A9C"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1</w:t>
            </w:r>
          </w:p>
        </w:tc>
        <w:tc>
          <w:tcPr>
            <w:tcW w:w="1187" w:type="dxa"/>
            <w:shd w:val="clear" w:color="auto" w:fill="FFFFFF" w:themeFill="background1"/>
          </w:tcPr>
          <w:p w14:paraId="0189EE36"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347" w:type="dxa"/>
            <w:shd w:val="clear" w:color="auto" w:fill="FFFFFF" w:themeFill="background1"/>
          </w:tcPr>
          <w:p w14:paraId="23842F30"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10</w:t>
            </w:r>
          </w:p>
        </w:tc>
        <w:tc>
          <w:tcPr>
            <w:tcW w:w="996" w:type="dxa"/>
            <w:shd w:val="clear" w:color="auto" w:fill="FFFFFF" w:themeFill="background1"/>
          </w:tcPr>
          <w:p w14:paraId="2113064E"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7</w:t>
            </w:r>
          </w:p>
        </w:tc>
        <w:tc>
          <w:tcPr>
            <w:tcW w:w="815" w:type="dxa"/>
            <w:shd w:val="clear" w:color="auto" w:fill="FFFFFF" w:themeFill="background1"/>
          </w:tcPr>
          <w:p w14:paraId="71E59059"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w:t>
            </w:r>
          </w:p>
        </w:tc>
      </w:tr>
      <w:tr w:rsidR="008E66B4" w:rsidRPr="00D7306B" w14:paraId="45636E02"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338D886F" w14:textId="77777777" w:rsidR="008E66B4" w:rsidRDefault="008E66B4" w:rsidP="0022057B">
            <w:pPr>
              <w:rPr>
                <w:color w:val="000000" w:themeColor="text1"/>
                <w:sz w:val="18"/>
                <w:szCs w:val="18"/>
                <w:lang w:val="en-GB"/>
              </w:rPr>
            </w:pPr>
            <w:r>
              <w:rPr>
                <w:color w:val="000000" w:themeColor="text1"/>
                <w:sz w:val="18"/>
                <w:szCs w:val="18"/>
                <w:lang w:val="en-GB"/>
              </w:rPr>
              <w:t>Italy</w:t>
            </w:r>
          </w:p>
        </w:tc>
        <w:tc>
          <w:tcPr>
            <w:tcW w:w="933" w:type="dxa"/>
            <w:shd w:val="clear" w:color="auto" w:fill="FFFFFF" w:themeFill="background1"/>
          </w:tcPr>
          <w:p w14:paraId="57B7C883"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w:t>
            </w:r>
          </w:p>
        </w:tc>
        <w:tc>
          <w:tcPr>
            <w:tcW w:w="795" w:type="dxa"/>
            <w:shd w:val="clear" w:color="auto" w:fill="FFFFFF" w:themeFill="background1"/>
          </w:tcPr>
          <w:p w14:paraId="409440A7"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16</w:t>
            </w:r>
          </w:p>
        </w:tc>
        <w:tc>
          <w:tcPr>
            <w:tcW w:w="1045" w:type="dxa"/>
            <w:shd w:val="clear" w:color="auto" w:fill="FFFFFF" w:themeFill="background1"/>
          </w:tcPr>
          <w:p w14:paraId="12811233"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21</w:t>
            </w:r>
          </w:p>
        </w:tc>
        <w:tc>
          <w:tcPr>
            <w:tcW w:w="1187" w:type="dxa"/>
            <w:shd w:val="clear" w:color="auto" w:fill="FFFFFF" w:themeFill="background1"/>
          </w:tcPr>
          <w:p w14:paraId="7CA3E599"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3</w:t>
            </w:r>
          </w:p>
        </w:tc>
        <w:tc>
          <w:tcPr>
            <w:tcW w:w="1347" w:type="dxa"/>
            <w:shd w:val="clear" w:color="auto" w:fill="FFFFFF" w:themeFill="background1"/>
          </w:tcPr>
          <w:p w14:paraId="36AC0BD4"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996" w:type="dxa"/>
            <w:shd w:val="clear" w:color="auto" w:fill="FFFFFF" w:themeFill="background1"/>
          </w:tcPr>
          <w:p w14:paraId="014E9791"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815" w:type="dxa"/>
            <w:shd w:val="clear" w:color="auto" w:fill="FFFFFF" w:themeFill="background1"/>
          </w:tcPr>
          <w:p w14:paraId="3F193718"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r>
      <w:tr w:rsidR="008E66B4" w:rsidRPr="00D7306B" w14:paraId="36C8DD6C"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12802350" w14:textId="77777777" w:rsidR="008E66B4" w:rsidRDefault="008E66B4" w:rsidP="0022057B">
            <w:pPr>
              <w:rPr>
                <w:color w:val="000000" w:themeColor="text1"/>
                <w:sz w:val="18"/>
                <w:szCs w:val="18"/>
                <w:lang w:val="en-GB"/>
              </w:rPr>
            </w:pPr>
            <w:r>
              <w:rPr>
                <w:color w:val="000000" w:themeColor="text1"/>
                <w:sz w:val="18"/>
                <w:szCs w:val="18"/>
                <w:lang w:val="en-GB"/>
              </w:rPr>
              <w:t>Latvia</w:t>
            </w:r>
          </w:p>
        </w:tc>
        <w:tc>
          <w:tcPr>
            <w:tcW w:w="933" w:type="dxa"/>
            <w:shd w:val="clear" w:color="auto" w:fill="FFFFFF" w:themeFill="background1"/>
          </w:tcPr>
          <w:p w14:paraId="58D76CB5"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3</w:t>
            </w:r>
          </w:p>
        </w:tc>
        <w:tc>
          <w:tcPr>
            <w:tcW w:w="795" w:type="dxa"/>
            <w:shd w:val="clear" w:color="auto" w:fill="FFFFFF" w:themeFill="background1"/>
          </w:tcPr>
          <w:p w14:paraId="5B7241E1"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19</w:t>
            </w:r>
          </w:p>
        </w:tc>
        <w:tc>
          <w:tcPr>
            <w:tcW w:w="1045" w:type="dxa"/>
            <w:shd w:val="clear" w:color="auto" w:fill="FFFFFF" w:themeFill="background1"/>
          </w:tcPr>
          <w:p w14:paraId="495644AE"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9</w:t>
            </w:r>
          </w:p>
        </w:tc>
        <w:tc>
          <w:tcPr>
            <w:tcW w:w="1187" w:type="dxa"/>
            <w:shd w:val="clear" w:color="auto" w:fill="FFFFFF" w:themeFill="background1"/>
          </w:tcPr>
          <w:p w14:paraId="0D95AF4A"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w:t>
            </w:r>
          </w:p>
        </w:tc>
        <w:tc>
          <w:tcPr>
            <w:tcW w:w="1347" w:type="dxa"/>
            <w:shd w:val="clear" w:color="auto" w:fill="FFFFFF" w:themeFill="background1"/>
          </w:tcPr>
          <w:p w14:paraId="427268D3"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46</w:t>
            </w:r>
          </w:p>
        </w:tc>
        <w:tc>
          <w:tcPr>
            <w:tcW w:w="996" w:type="dxa"/>
            <w:shd w:val="clear" w:color="auto" w:fill="FFFFFF" w:themeFill="background1"/>
          </w:tcPr>
          <w:p w14:paraId="3A2C304F"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76</w:t>
            </w:r>
          </w:p>
        </w:tc>
        <w:tc>
          <w:tcPr>
            <w:tcW w:w="815" w:type="dxa"/>
            <w:shd w:val="clear" w:color="auto" w:fill="FFFFFF" w:themeFill="background1"/>
          </w:tcPr>
          <w:p w14:paraId="4C460F61"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28</w:t>
            </w:r>
          </w:p>
        </w:tc>
      </w:tr>
      <w:tr w:rsidR="008E66B4" w:rsidRPr="00D7306B" w14:paraId="34B86037"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52E34243" w14:textId="77777777" w:rsidR="008E66B4" w:rsidRDefault="008E66B4" w:rsidP="0022057B">
            <w:pPr>
              <w:rPr>
                <w:color w:val="000000" w:themeColor="text1"/>
                <w:sz w:val="18"/>
                <w:szCs w:val="18"/>
                <w:lang w:val="en-GB"/>
              </w:rPr>
            </w:pPr>
            <w:r w:rsidRPr="00D7306B">
              <w:rPr>
                <w:color w:val="000000" w:themeColor="text1"/>
                <w:sz w:val="18"/>
                <w:szCs w:val="18"/>
                <w:lang w:val="en-GB"/>
              </w:rPr>
              <w:t>Liechtenstein</w:t>
            </w:r>
          </w:p>
        </w:tc>
        <w:tc>
          <w:tcPr>
            <w:tcW w:w="933" w:type="dxa"/>
            <w:shd w:val="clear" w:color="auto" w:fill="FFFFFF" w:themeFill="background1"/>
          </w:tcPr>
          <w:p w14:paraId="7371EFDC"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795" w:type="dxa"/>
            <w:shd w:val="clear" w:color="auto" w:fill="FFFFFF" w:themeFill="background1"/>
          </w:tcPr>
          <w:p w14:paraId="750BBDDC"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045" w:type="dxa"/>
            <w:shd w:val="clear" w:color="auto" w:fill="FFFFFF" w:themeFill="background1"/>
          </w:tcPr>
          <w:p w14:paraId="5E7F9356"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187" w:type="dxa"/>
            <w:shd w:val="clear" w:color="auto" w:fill="FFFFFF" w:themeFill="background1"/>
          </w:tcPr>
          <w:p w14:paraId="5F44322B"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347" w:type="dxa"/>
            <w:shd w:val="clear" w:color="auto" w:fill="FFFFFF" w:themeFill="background1"/>
          </w:tcPr>
          <w:p w14:paraId="564572FD"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996" w:type="dxa"/>
            <w:shd w:val="clear" w:color="auto" w:fill="FFFFFF" w:themeFill="background1"/>
          </w:tcPr>
          <w:p w14:paraId="415925CF"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815" w:type="dxa"/>
            <w:shd w:val="clear" w:color="auto" w:fill="FFFFFF" w:themeFill="background1"/>
          </w:tcPr>
          <w:p w14:paraId="140C3E22"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r>
      <w:tr w:rsidR="008E66B4" w:rsidRPr="00D7306B" w14:paraId="58A98478"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204FEADC" w14:textId="77777777" w:rsidR="008E66B4" w:rsidRDefault="008E66B4" w:rsidP="0022057B">
            <w:pPr>
              <w:rPr>
                <w:color w:val="000000" w:themeColor="text1"/>
                <w:sz w:val="18"/>
                <w:szCs w:val="18"/>
                <w:lang w:val="en-GB"/>
              </w:rPr>
            </w:pPr>
            <w:r>
              <w:rPr>
                <w:color w:val="000000" w:themeColor="text1"/>
                <w:sz w:val="18"/>
                <w:szCs w:val="18"/>
                <w:lang w:val="en-GB"/>
              </w:rPr>
              <w:lastRenderedPageBreak/>
              <w:t>Lithuania</w:t>
            </w:r>
          </w:p>
        </w:tc>
        <w:tc>
          <w:tcPr>
            <w:tcW w:w="933" w:type="dxa"/>
            <w:shd w:val="clear" w:color="auto" w:fill="FFFFFF" w:themeFill="background1"/>
          </w:tcPr>
          <w:p w14:paraId="34F1BB56"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795" w:type="dxa"/>
            <w:shd w:val="clear" w:color="auto" w:fill="FFFFFF" w:themeFill="background1"/>
          </w:tcPr>
          <w:p w14:paraId="38AC9BAC"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045" w:type="dxa"/>
            <w:shd w:val="clear" w:color="auto" w:fill="FFFFFF" w:themeFill="background1"/>
          </w:tcPr>
          <w:p w14:paraId="50DCEF9F"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w:t>
            </w:r>
          </w:p>
        </w:tc>
        <w:tc>
          <w:tcPr>
            <w:tcW w:w="1187" w:type="dxa"/>
            <w:shd w:val="clear" w:color="auto" w:fill="FFFFFF" w:themeFill="background1"/>
          </w:tcPr>
          <w:p w14:paraId="46E1944F"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347" w:type="dxa"/>
            <w:shd w:val="clear" w:color="auto" w:fill="FFFFFF" w:themeFill="background1"/>
          </w:tcPr>
          <w:p w14:paraId="5703639A"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4</w:t>
            </w:r>
          </w:p>
        </w:tc>
        <w:tc>
          <w:tcPr>
            <w:tcW w:w="996" w:type="dxa"/>
            <w:shd w:val="clear" w:color="auto" w:fill="FFFFFF" w:themeFill="background1"/>
          </w:tcPr>
          <w:p w14:paraId="38110108"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815" w:type="dxa"/>
            <w:shd w:val="clear" w:color="auto" w:fill="FFFFFF" w:themeFill="background1"/>
          </w:tcPr>
          <w:p w14:paraId="7F6173EF"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r>
      <w:tr w:rsidR="008E66B4" w:rsidRPr="00D7306B" w14:paraId="5F8A8BEA"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7A4BD81E" w14:textId="77777777" w:rsidR="008E66B4" w:rsidRDefault="008E66B4" w:rsidP="0022057B">
            <w:pPr>
              <w:rPr>
                <w:color w:val="000000" w:themeColor="text1"/>
                <w:sz w:val="18"/>
                <w:szCs w:val="18"/>
                <w:lang w:val="en-GB"/>
              </w:rPr>
            </w:pPr>
            <w:r>
              <w:rPr>
                <w:color w:val="000000" w:themeColor="text1"/>
                <w:sz w:val="18"/>
                <w:szCs w:val="18"/>
                <w:lang w:val="en-GB"/>
              </w:rPr>
              <w:t>Netherlands</w:t>
            </w:r>
          </w:p>
        </w:tc>
        <w:tc>
          <w:tcPr>
            <w:tcW w:w="933" w:type="dxa"/>
            <w:shd w:val="clear" w:color="auto" w:fill="FFFFFF" w:themeFill="background1"/>
          </w:tcPr>
          <w:p w14:paraId="4AAEDFA6"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795" w:type="dxa"/>
            <w:shd w:val="clear" w:color="auto" w:fill="FFFFFF" w:themeFill="background1"/>
          </w:tcPr>
          <w:p w14:paraId="31C6BABF"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045" w:type="dxa"/>
            <w:shd w:val="clear" w:color="auto" w:fill="FFFFFF" w:themeFill="background1"/>
          </w:tcPr>
          <w:p w14:paraId="2FF70A41"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187" w:type="dxa"/>
            <w:shd w:val="clear" w:color="auto" w:fill="FFFFFF" w:themeFill="background1"/>
          </w:tcPr>
          <w:p w14:paraId="3351236D"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347" w:type="dxa"/>
            <w:shd w:val="clear" w:color="auto" w:fill="FFFFFF" w:themeFill="background1"/>
          </w:tcPr>
          <w:p w14:paraId="4AC8CED5"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996" w:type="dxa"/>
            <w:shd w:val="clear" w:color="auto" w:fill="FFFFFF" w:themeFill="background1"/>
          </w:tcPr>
          <w:p w14:paraId="14B3B11A"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815" w:type="dxa"/>
            <w:shd w:val="clear" w:color="auto" w:fill="FFFFFF" w:themeFill="background1"/>
          </w:tcPr>
          <w:p w14:paraId="4C9DDF41"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r>
      <w:tr w:rsidR="008E66B4" w:rsidRPr="00D7306B" w14:paraId="41EBAB16"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61267EE6" w14:textId="77777777" w:rsidR="008E66B4" w:rsidRDefault="008E66B4" w:rsidP="0022057B">
            <w:pPr>
              <w:rPr>
                <w:color w:val="000000" w:themeColor="text1"/>
                <w:sz w:val="18"/>
                <w:szCs w:val="18"/>
                <w:lang w:val="en-GB"/>
              </w:rPr>
            </w:pPr>
            <w:r>
              <w:rPr>
                <w:color w:val="000000" w:themeColor="text1"/>
                <w:sz w:val="18"/>
                <w:szCs w:val="18"/>
                <w:lang w:val="en-GB"/>
              </w:rPr>
              <w:t>Norway</w:t>
            </w:r>
          </w:p>
        </w:tc>
        <w:tc>
          <w:tcPr>
            <w:tcW w:w="933" w:type="dxa"/>
            <w:shd w:val="clear" w:color="auto" w:fill="FFFFFF" w:themeFill="background1"/>
          </w:tcPr>
          <w:p w14:paraId="1CDF372A"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795" w:type="dxa"/>
            <w:shd w:val="clear" w:color="auto" w:fill="FFFFFF" w:themeFill="background1"/>
          </w:tcPr>
          <w:p w14:paraId="3A541888"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10</w:t>
            </w:r>
          </w:p>
        </w:tc>
        <w:tc>
          <w:tcPr>
            <w:tcW w:w="1045" w:type="dxa"/>
            <w:shd w:val="clear" w:color="auto" w:fill="FFFFFF" w:themeFill="background1"/>
          </w:tcPr>
          <w:p w14:paraId="473DDDD1"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9</w:t>
            </w:r>
          </w:p>
        </w:tc>
        <w:tc>
          <w:tcPr>
            <w:tcW w:w="1187" w:type="dxa"/>
            <w:shd w:val="clear" w:color="auto" w:fill="FFFFFF" w:themeFill="background1"/>
          </w:tcPr>
          <w:p w14:paraId="2B736E8C"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347" w:type="dxa"/>
            <w:shd w:val="clear" w:color="auto" w:fill="FFFFFF" w:themeFill="background1"/>
          </w:tcPr>
          <w:p w14:paraId="0664BF9D"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571</w:t>
            </w:r>
          </w:p>
        </w:tc>
        <w:tc>
          <w:tcPr>
            <w:tcW w:w="996" w:type="dxa"/>
            <w:shd w:val="clear" w:color="auto" w:fill="FFFFFF" w:themeFill="background1"/>
          </w:tcPr>
          <w:p w14:paraId="621799D6"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43</w:t>
            </w:r>
          </w:p>
        </w:tc>
        <w:tc>
          <w:tcPr>
            <w:tcW w:w="815" w:type="dxa"/>
            <w:shd w:val="clear" w:color="auto" w:fill="FFFFFF" w:themeFill="background1"/>
          </w:tcPr>
          <w:p w14:paraId="3E75A299"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501</w:t>
            </w:r>
          </w:p>
        </w:tc>
      </w:tr>
      <w:tr w:rsidR="008E66B4" w:rsidRPr="00D7306B" w14:paraId="646A5B33"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090F4D3A" w14:textId="77777777" w:rsidR="008E66B4" w:rsidRDefault="008E66B4" w:rsidP="0022057B">
            <w:pPr>
              <w:rPr>
                <w:color w:val="000000" w:themeColor="text1"/>
                <w:sz w:val="18"/>
                <w:szCs w:val="18"/>
                <w:lang w:val="en-GB"/>
              </w:rPr>
            </w:pPr>
            <w:r>
              <w:rPr>
                <w:color w:val="000000" w:themeColor="text1"/>
                <w:sz w:val="18"/>
                <w:szCs w:val="18"/>
                <w:lang w:val="en-GB"/>
              </w:rPr>
              <w:t>Slovak Republic</w:t>
            </w:r>
          </w:p>
        </w:tc>
        <w:tc>
          <w:tcPr>
            <w:tcW w:w="933" w:type="dxa"/>
            <w:shd w:val="clear" w:color="auto" w:fill="FFFFFF" w:themeFill="background1"/>
          </w:tcPr>
          <w:p w14:paraId="2B126291"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8</w:t>
            </w:r>
          </w:p>
        </w:tc>
        <w:tc>
          <w:tcPr>
            <w:tcW w:w="795" w:type="dxa"/>
            <w:shd w:val="clear" w:color="auto" w:fill="FFFFFF" w:themeFill="background1"/>
          </w:tcPr>
          <w:p w14:paraId="7B5C2CDD"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20</w:t>
            </w:r>
          </w:p>
        </w:tc>
        <w:tc>
          <w:tcPr>
            <w:tcW w:w="1045" w:type="dxa"/>
            <w:shd w:val="clear" w:color="auto" w:fill="FFFFFF" w:themeFill="background1"/>
          </w:tcPr>
          <w:p w14:paraId="1A321279"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22</w:t>
            </w:r>
          </w:p>
        </w:tc>
        <w:tc>
          <w:tcPr>
            <w:tcW w:w="1187" w:type="dxa"/>
            <w:shd w:val="clear" w:color="auto" w:fill="FFFFFF" w:themeFill="background1"/>
          </w:tcPr>
          <w:p w14:paraId="0DFB6CEC"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30</w:t>
            </w:r>
          </w:p>
        </w:tc>
        <w:tc>
          <w:tcPr>
            <w:tcW w:w="1347" w:type="dxa"/>
            <w:shd w:val="clear" w:color="auto" w:fill="FFFFFF" w:themeFill="background1"/>
          </w:tcPr>
          <w:p w14:paraId="018E5FB9"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644</w:t>
            </w:r>
          </w:p>
        </w:tc>
        <w:tc>
          <w:tcPr>
            <w:tcW w:w="996" w:type="dxa"/>
            <w:shd w:val="clear" w:color="auto" w:fill="FFFFFF" w:themeFill="background1"/>
          </w:tcPr>
          <w:p w14:paraId="4DFAE258"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242</w:t>
            </w:r>
          </w:p>
        </w:tc>
        <w:tc>
          <w:tcPr>
            <w:tcW w:w="815" w:type="dxa"/>
            <w:shd w:val="clear" w:color="auto" w:fill="FFFFFF" w:themeFill="background1"/>
          </w:tcPr>
          <w:p w14:paraId="2CCA3545"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100</w:t>
            </w:r>
          </w:p>
        </w:tc>
      </w:tr>
      <w:tr w:rsidR="008E66B4" w:rsidRPr="00D7306B" w14:paraId="738AAEE8"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5F39AA23" w14:textId="77777777" w:rsidR="008E66B4" w:rsidRDefault="008E66B4" w:rsidP="0022057B">
            <w:pPr>
              <w:rPr>
                <w:color w:val="000000" w:themeColor="text1"/>
                <w:sz w:val="18"/>
                <w:szCs w:val="18"/>
                <w:lang w:val="en-GB"/>
              </w:rPr>
            </w:pPr>
            <w:r>
              <w:rPr>
                <w:color w:val="000000" w:themeColor="text1"/>
                <w:sz w:val="18"/>
                <w:szCs w:val="18"/>
                <w:lang w:val="en-GB"/>
              </w:rPr>
              <w:t>Slovenia</w:t>
            </w:r>
          </w:p>
        </w:tc>
        <w:tc>
          <w:tcPr>
            <w:tcW w:w="933" w:type="dxa"/>
            <w:shd w:val="clear" w:color="auto" w:fill="FFFFFF" w:themeFill="background1"/>
          </w:tcPr>
          <w:p w14:paraId="4240EF29"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w:t>
            </w:r>
          </w:p>
        </w:tc>
        <w:tc>
          <w:tcPr>
            <w:tcW w:w="795" w:type="dxa"/>
            <w:shd w:val="clear" w:color="auto" w:fill="FFFFFF" w:themeFill="background1"/>
          </w:tcPr>
          <w:p w14:paraId="5023C7B1"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43</w:t>
            </w:r>
          </w:p>
        </w:tc>
        <w:tc>
          <w:tcPr>
            <w:tcW w:w="1045" w:type="dxa"/>
            <w:shd w:val="clear" w:color="auto" w:fill="FFFFFF" w:themeFill="background1"/>
          </w:tcPr>
          <w:p w14:paraId="07B0BC4D"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23</w:t>
            </w:r>
          </w:p>
        </w:tc>
        <w:tc>
          <w:tcPr>
            <w:tcW w:w="1187" w:type="dxa"/>
            <w:shd w:val="clear" w:color="auto" w:fill="FFFFFF" w:themeFill="background1"/>
          </w:tcPr>
          <w:p w14:paraId="22349823"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30</w:t>
            </w:r>
          </w:p>
        </w:tc>
        <w:tc>
          <w:tcPr>
            <w:tcW w:w="1347" w:type="dxa"/>
            <w:shd w:val="clear" w:color="auto" w:fill="FFFFFF" w:themeFill="background1"/>
          </w:tcPr>
          <w:p w14:paraId="56BD391A"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227</w:t>
            </w:r>
          </w:p>
        </w:tc>
        <w:tc>
          <w:tcPr>
            <w:tcW w:w="996" w:type="dxa"/>
            <w:shd w:val="clear" w:color="auto" w:fill="FFFFFF" w:themeFill="background1"/>
          </w:tcPr>
          <w:p w14:paraId="344471BD"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815" w:type="dxa"/>
            <w:shd w:val="clear" w:color="auto" w:fill="FFFFFF" w:themeFill="background1"/>
          </w:tcPr>
          <w:p w14:paraId="40CC2A97"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82</w:t>
            </w:r>
          </w:p>
        </w:tc>
      </w:tr>
      <w:tr w:rsidR="008E66B4" w:rsidRPr="00D7306B" w14:paraId="26EA42D9"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tcBorders>
            <w:shd w:val="clear" w:color="auto" w:fill="FFE5D2" w:themeFill="accent5" w:themeFillTint="33"/>
          </w:tcPr>
          <w:p w14:paraId="2A64E222" w14:textId="77777777" w:rsidR="008E66B4" w:rsidRDefault="008E66B4" w:rsidP="0022057B">
            <w:pPr>
              <w:rPr>
                <w:color w:val="000000" w:themeColor="text1"/>
                <w:sz w:val="18"/>
                <w:szCs w:val="18"/>
                <w:lang w:val="en-GB"/>
              </w:rPr>
            </w:pPr>
            <w:r>
              <w:rPr>
                <w:color w:val="000000" w:themeColor="text1"/>
                <w:sz w:val="18"/>
                <w:szCs w:val="18"/>
                <w:lang w:val="en-GB"/>
              </w:rPr>
              <w:t>Spain</w:t>
            </w:r>
          </w:p>
        </w:tc>
        <w:tc>
          <w:tcPr>
            <w:tcW w:w="933" w:type="dxa"/>
            <w:shd w:val="clear" w:color="auto" w:fill="FFFFFF" w:themeFill="background1"/>
          </w:tcPr>
          <w:p w14:paraId="7B4402E5"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3</w:t>
            </w:r>
          </w:p>
        </w:tc>
        <w:tc>
          <w:tcPr>
            <w:tcW w:w="795" w:type="dxa"/>
            <w:shd w:val="clear" w:color="auto" w:fill="FFFFFF" w:themeFill="background1"/>
          </w:tcPr>
          <w:p w14:paraId="7B301581"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44</w:t>
            </w:r>
          </w:p>
        </w:tc>
        <w:tc>
          <w:tcPr>
            <w:tcW w:w="1045" w:type="dxa"/>
            <w:shd w:val="clear" w:color="auto" w:fill="FFFFFF" w:themeFill="background1"/>
          </w:tcPr>
          <w:p w14:paraId="7EB6020D"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17</w:t>
            </w:r>
          </w:p>
        </w:tc>
        <w:tc>
          <w:tcPr>
            <w:tcW w:w="1187" w:type="dxa"/>
            <w:shd w:val="clear" w:color="auto" w:fill="FFFFFF" w:themeFill="background1"/>
          </w:tcPr>
          <w:p w14:paraId="2779A73B"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32</w:t>
            </w:r>
          </w:p>
        </w:tc>
        <w:tc>
          <w:tcPr>
            <w:tcW w:w="1347" w:type="dxa"/>
            <w:shd w:val="clear" w:color="auto" w:fill="FFFFFF" w:themeFill="background1"/>
          </w:tcPr>
          <w:p w14:paraId="01115BAD"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21</w:t>
            </w:r>
          </w:p>
        </w:tc>
        <w:tc>
          <w:tcPr>
            <w:tcW w:w="996" w:type="dxa"/>
            <w:shd w:val="clear" w:color="auto" w:fill="FFFFFF" w:themeFill="background1"/>
          </w:tcPr>
          <w:p w14:paraId="11F6BC24"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142</w:t>
            </w:r>
          </w:p>
        </w:tc>
        <w:tc>
          <w:tcPr>
            <w:tcW w:w="815" w:type="dxa"/>
            <w:shd w:val="clear" w:color="auto" w:fill="FFFFFF" w:themeFill="background1"/>
          </w:tcPr>
          <w:p w14:paraId="419C5EB6"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r>
      <w:tr w:rsidR="008E66B4" w:rsidRPr="00D7306B" w14:paraId="20494692"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04134F02" w14:textId="77777777" w:rsidR="008E66B4" w:rsidRDefault="008E66B4" w:rsidP="0022057B">
            <w:pPr>
              <w:rPr>
                <w:color w:val="000000" w:themeColor="text1"/>
                <w:sz w:val="18"/>
                <w:szCs w:val="18"/>
                <w:lang w:val="en-GB"/>
              </w:rPr>
            </w:pPr>
            <w:r>
              <w:rPr>
                <w:color w:val="000000" w:themeColor="text1"/>
                <w:sz w:val="18"/>
                <w:szCs w:val="18"/>
                <w:lang w:val="en-GB"/>
              </w:rPr>
              <w:t>Sweden</w:t>
            </w:r>
          </w:p>
        </w:tc>
        <w:tc>
          <w:tcPr>
            <w:tcW w:w="933" w:type="dxa"/>
            <w:shd w:val="clear" w:color="auto" w:fill="FFFFFF" w:themeFill="background1"/>
          </w:tcPr>
          <w:p w14:paraId="73CAC0D6"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7</w:t>
            </w:r>
          </w:p>
        </w:tc>
        <w:tc>
          <w:tcPr>
            <w:tcW w:w="795" w:type="dxa"/>
            <w:shd w:val="clear" w:color="auto" w:fill="FFFFFF" w:themeFill="background1"/>
          </w:tcPr>
          <w:p w14:paraId="4454CC06"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12</w:t>
            </w:r>
          </w:p>
        </w:tc>
        <w:tc>
          <w:tcPr>
            <w:tcW w:w="1045" w:type="dxa"/>
            <w:shd w:val="clear" w:color="auto" w:fill="FFFFFF" w:themeFill="background1"/>
          </w:tcPr>
          <w:p w14:paraId="0423ECCE"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8</w:t>
            </w:r>
          </w:p>
        </w:tc>
        <w:tc>
          <w:tcPr>
            <w:tcW w:w="1187" w:type="dxa"/>
            <w:shd w:val="clear" w:color="auto" w:fill="FFFFFF" w:themeFill="background1"/>
          </w:tcPr>
          <w:p w14:paraId="71406084"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3</w:t>
            </w:r>
          </w:p>
        </w:tc>
        <w:tc>
          <w:tcPr>
            <w:tcW w:w="1347" w:type="dxa"/>
            <w:shd w:val="clear" w:color="auto" w:fill="FFFFFF" w:themeFill="background1"/>
          </w:tcPr>
          <w:p w14:paraId="4DC3A54F"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373</w:t>
            </w:r>
          </w:p>
        </w:tc>
        <w:tc>
          <w:tcPr>
            <w:tcW w:w="996" w:type="dxa"/>
            <w:shd w:val="clear" w:color="auto" w:fill="FFFFFF" w:themeFill="background1"/>
          </w:tcPr>
          <w:p w14:paraId="65A99D31"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57</w:t>
            </w:r>
          </w:p>
        </w:tc>
        <w:tc>
          <w:tcPr>
            <w:tcW w:w="815" w:type="dxa"/>
            <w:shd w:val="clear" w:color="auto" w:fill="FFFFFF" w:themeFill="background1"/>
          </w:tcPr>
          <w:p w14:paraId="3700444E"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525</w:t>
            </w:r>
          </w:p>
        </w:tc>
      </w:tr>
      <w:tr w:rsidR="008E66B4" w:rsidRPr="00D7306B" w14:paraId="7B920576"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36250789" w14:textId="77777777" w:rsidR="008E66B4" w:rsidRDefault="008E66B4" w:rsidP="0022057B">
            <w:pPr>
              <w:rPr>
                <w:color w:val="000000" w:themeColor="text1"/>
                <w:sz w:val="18"/>
                <w:szCs w:val="18"/>
                <w:lang w:val="en-GB"/>
              </w:rPr>
            </w:pPr>
            <w:r>
              <w:rPr>
                <w:color w:val="000000" w:themeColor="text1"/>
                <w:sz w:val="18"/>
                <w:szCs w:val="18"/>
                <w:lang w:val="en-GB"/>
              </w:rPr>
              <w:t>Switzerland</w:t>
            </w:r>
          </w:p>
        </w:tc>
        <w:tc>
          <w:tcPr>
            <w:tcW w:w="933" w:type="dxa"/>
            <w:shd w:val="clear" w:color="auto" w:fill="FFFFFF" w:themeFill="background1"/>
          </w:tcPr>
          <w:p w14:paraId="459EEAF6"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3</w:t>
            </w:r>
          </w:p>
        </w:tc>
        <w:tc>
          <w:tcPr>
            <w:tcW w:w="795" w:type="dxa"/>
            <w:shd w:val="clear" w:color="auto" w:fill="FFFFFF" w:themeFill="background1"/>
          </w:tcPr>
          <w:p w14:paraId="7CA8B12F"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29</w:t>
            </w:r>
          </w:p>
        </w:tc>
        <w:tc>
          <w:tcPr>
            <w:tcW w:w="1045" w:type="dxa"/>
            <w:shd w:val="clear" w:color="auto" w:fill="FFFFFF" w:themeFill="background1"/>
          </w:tcPr>
          <w:p w14:paraId="6EA265C3"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23</w:t>
            </w:r>
          </w:p>
        </w:tc>
        <w:tc>
          <w:tcPr>
            <w:tcW w:w="1187" w:type="dxa"/>
            <w:shd w:val="clear" w:color="auto" w:fill="FFFFFF" w:themeFill="background1"/>
          </w:tcPr>
          <w:p w14:paraId="6726D642"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85</w:t>
            </w:r>
          </w:p>
        </w:tc>
        <w:tc>
          <w:tcPr>
            <w:tcW w:w="1347" w:type="dxa"/>
            <w:shd w:val="clear" w:color="auto" w:fill="FFFFFF" w:themeFill="background1"/>
          </w:tcPr>
          <w:p w14:paraId="57F69BE2"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85</w:t>
            </w:r>
          </w:p>
        </w:tc>
        <w:tc>
          <w:tcPr>
            <w:tcW w:w="996" w:type="dxa"/>
            <w:shd w:val="clear" w:color="auto" w:fill="FFFFFF" w:themeFill="background1"/>
          </w:tcPr>
          <w:p w14:paraId="2AC71B3F"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109</w:t>
            </w:r>
          </w:p>
        </w:tc>
        <w:tc>
          <w:tcPr>
            <w:tcW w:w="815" w:type="dxa"/>
            <w:shd w:val="clear" w:color="auto" w:fill="FFFFFF" w:themeFill="background1"/>
          </w:tcPr>
          <w:p w14:paraId="336D1A2D"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981</w:t>
            </w:r>
          </w:p>
        </w:tc>
      </w:tr>
      <w:tr w:rsidR="008E66B4" w:rsidRPr="00D7306B" w14:paraId="76822915"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2BE88D42" w14:textId="77777777" w:rsidR="008E66B4" w:rsidRDefault="008E66B4" w:rsidP="0022057B">
            <w:pPr>
              <w:rPr>
                <w:color w:val="000000" w:themeColor="text1"/>
                <w:sz w:val="18"/>
                <w:szCs w:val="18"/>
                <w:lang w:val="en-GB"/>
              </w:rPr>
            </w:pPr>
            <w:r>
              <w:rPr>
                <w:color w:val="000000" w:themeColor="text1"/>
                <w:sz w:val="18"/>
                <w:szCs w:val="18"/>
                <w:lang w:val="en-GB"/>
              </w:rPr>
              <w:t>Turkey</w:t>
            </w:r>
          </w:p>
        </w:tc>
        <w:tc>
          <w:tcPr>
            <w:tcW w:w="933" w:type="dxa"/>
            <w:shd w:val="clear" w:color="auto" w:fill="FFFFFF" w:themeFill="background1"/>
          </w:tcPr>
          <w:p w14:paraId="137FED87"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795" w:type="dxa"/>
            <w:shd w:val="clear" w:color="auto" w:fill="FFFFFF" w:themeFill="background1"/>
          </w:tcPr>
          <w:p w14:paraId="2DC811A3"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045" w:type="dxa"/>
            <w:shd w:val="clear" w:color="auto" w:fill="FFFFFF" w:themeFill="background1"/>
          </w:tcPr>
          <w:p w14:paraId="6F595987"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4</w:t>
            </w:r>
          </w:p>
        </w:tc>
        <w:tc>
          <w:tcPr>
            <w:tcW w:w="1187" w:type="dxa"/>
            <w:shd w:val="clear" w:color="auto" w:fill="FFFFFF" w:themeFill="background1"/>
          </w:tcPr>
          <w:p w14:paraId="51CC7C8A"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1347" w:type="dxa"/>
            <w:shd w:val="clear" w:color="auto" w:fill="FFFFFF" w:themeFill="background1"/>
          </w:tcPr>
          <w:p w14:paraId="2CD29493"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996" w:type="dxa"/>
            <w:shd w:val="clear" w:color="auto" w:fill="FFFFFF" w:themeFill="background1"/>
          </w:tcPr>
          <w:p w14:paraId="259A8819"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815" w:type="dxa"/>
            <w:shd w:val="clear" w:color="auto" w:fill="FFFFFF" w:themeFill="background1"/>
          </w:tcPr>
          <w:p w14:paraId="3463DF81"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r>
      <w:tr w:rsidR="008E66B4" w:rsidRPr="00D7306B" w14:paraId="01570BFA" w14:textId="77777777" w:rsidTr="0022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7A6F06EF" w14:textId="77777777" w:rsidR="008E66B4" w:rsidRDefault="008E66B4" w:rsidP="0022057B">
            <w:pPr>
              <w:rPr>
                <w:color w:val="000000" w:themeColor="text1"/>
                <w:sz w:val="18"/>
                <w:szCs w:val="18"/>
                <w:lang w:val="en-GB"/>
              </w:rPr>
            </w:pPr>
            <w:r>
              <w:rPr>
                <w:color w:val="000000" w:themeColor="text1"/>
                <w:sz w:val="18"/>
                <w:szCs w:val="18"/>
                <w:lang w:val="en-GB"/>
              </w:rPr>
              <w:t>Ukraine</w:t>
            </w:r>
          </w:p>
        </w:tc>
        <w:tc>
          <w:tcPr>
            <w:tcW w:w="933" w:type="dxa"/>
            <w:shd w:val="clear" w:color="auto" w:fill="FFFFFF" w:themeFill="background1"/>
          </w:tcPr>
          <w:p w14:paraId="1069E5DB"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w:t>
            </w:r>
          </w:p>
        </w:tc>
        <w:tc>
          <w:tcPr>
            <w:tcW w:w="795" w:type="dxa"/>
            <w:shd w:val="clear" w:color="auto" w:fill="FFFFFF" w:themeFill="background1"/>
          </w:tcPr>
          <w:p w14:paraId="49A3ACBE"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95</w:t>
            </w:r>
          </w:p>
        </w:tc>
        <w:tc>
          <w:tcPr>
            <w:tcW w:w="1045" w:type="dxa"/>
            <w:shd w:val="clear" w:color="auto" w:fill="FFFFFF" w:themeFill="background1"/>
          </w:tcPr>
          <w:p w14:paraId="2726D8FB"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69</w:t>
            </w:r>
          </w:p>
        </w:tc>
        <w:tc>
          <w:tcPr>
            <w:tcW w:w="1187" w:type="dxa"/>
            <w:shd w:val="clear" w:color="auto" w:fill="FFFFFF" w:themeFill="background1"/>
          </w:tcPr>
          <w:p w14:paraId="185ED480"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88</w:t>
            </w:r>
          </w:p>
        </w:tc>
        <w:tc>
          <w:tcPr>
            <w:tcW w:w="1347" w:type="dxa"/>
            <w:shd w:val="clear" w:color="auto" w:fill="FFFFFF" w:themeFill="background1"/>
          </w:tcPr>
          <w:p w14:paraId="090AF8A3"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290</w:t>
            </w:r>
          </w:p>
        </w:tc>
        <w:tc>
          <w:tcPr>
            <w:tcW w:w="996" w:type="dxa"/>
            <w:shd w:val="clear" w:color="auto" w:fill="FFFFFF" w:themeFill="background1"/>
          </w:tcPr>
          <w:p w14:paraId="04F1394B"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500</w:t>
            </w:r>
          </w:p>
        </w:tc>
        <w:tc>
          <w:tcPr>
            <w:tcW w:w="815" w:type="dxa"/>
            <w:shd w:val="clear" w:color="auto" w:fill="FFFFFF" w:themeFill="background1"/>
          </w:tcPr>
          <w:p w14:paraId="352FAEF0" w14:textId="77777777" w:rsidR="008E66B4" w:rsidRPr="00D7306B"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148</w:t>
            </w:r>
          </w:p>
        </w:tc>
      </w:tr>
      <w:tr w:rsidR="008E66B4" w:rsidRPr="00D7306B" w14:paraId="347EE33A" w14:textId="77777777" w:rsidTr="0022057B">
        <w:tc>
          <w:tcPr>
            <w:cnfStyle w:val="001000000000" w:firstRow="0" w:lastRow="0" w:firstColumn="1" w:lastColumn="0" w:oddVBand="0" w:evenVBand="0" w:oddHBand="0" w:evenHBand="0" w:firstRowFirstColumn="0" w:firstRowLastColumn="0" w:lastRowFirstColumn="0" w:lastRowLastColumn="0"/>
            <w:tcW w:w="1377" w:type="dxa"/>
            <w:tcBorders>
              <w:left w:val="single" w:sz="4" w:space="0" w:color="000000" w:themeColor="text1"/>
              <w:bottom w:val="single" w:sz="4" w:space="0" w:color="000000" w:themeColor="text1"/>
            </w:tcBorders>
            <w:shd w:val="clear" w:color="auto" w:fill="FFE5D2" w:themeFill="accent5" w:themeFillTint="33"/>
          </w:tcPr>
          <w:p w14:paraId="037320AF" w14:textId="77777777" w:rsidR="008E66B4" w:rsidRPr="00405221" w:rsidRDefault="008E66B4" w:rsidP="0022057B">
            <w:pPr>
              <w:rPr>
                <w:color w:val="000000" w:themeColor="text1"/>
                <w:sz w:val="18"/>
                <w:szCs w:val="18"/>
                <w:lang w:val="el-GR"/>
              </w:rPr>
            </w:pPr>
            <w:r>
              <w:rPr>
                <w:color w:val="000000" w:themeColor="text1"/>
                <w:sz w:val="18"/>
                <w:szCs w:val="18"/>
                <w:lang w:val="en-GB"/>
              </w:rPr>
              <w:t>United Kingdom</w:t>
            </w:r>
          </w:p>
        </w:tc>
        <w:tc>
          <w:tcPr>
            <w:tcW w:w="933" w:type="dxa"/>
            <w:shd w:val="clear" w:color="auto" w:fill="FFFFFF" w:themeFill="background1"/>
          </w:tcPr>
          <w:p w14:paraId="72B98927"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13</w:t>
            </w:r>
          </w:p>
        </w:tc>
        <w:tc>
          <w:tcPr>
            <w:tcW w:w="795" w:type="dxa"/>
            <w:shd w:val="clear" w:color="auto" w:fill="FFFFFF" w:themeFill="background1"/>
          </w:tcPr>
          <w:p w14:paraId="52CF8F9E"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045" w:type="dxa"/>
            <w:shd w:val="clear" w:color="auto" w:fill="FFFFFF" w:themeFill="background1"/>
          </w:tcPr>
          <w:p w14:paraId="7FC570F1"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187" w:type="dxa"/>
            <w:shd w:val="clear" w:color="auto" w:fill="FFFFFF" w:themeFill="background1"/>
          </w:tcPr>
          <w:p w14:paraId="548AD7DE"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1347" w:type="dxa"/>
            <w:shd w:val="clear" w:color="auto" w:fill="FFFFFF" w:themeFill="background1"/>
          </w:tcPr>
          <w:p w14:paraId="6D884579"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51</w:t>
            </w:r>
          </w:p>
        </w:tc>
        <w:tc>
          <w:tcPr>
            <w:tcW w:w="996" w:type="dxa"/>
            <w:shd w:val="clear" w:color="auto" w:fill="FFFFFF" w:themeFill="background1"/>
          </w:tcPr>
          <w:p w14:paraId="1FDE2D64"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29</w:t>
            </w:r>
          </w:p>
        </w:tc>
        <w:tc>
          <w:tcPr>
            <w:tcW w:w="815" w:type="dxa"/>
            <w:shd w:val="clear" w:color="auto" w:fill="FFFFFF" w:themeFill="background1"/>
          </w:tcPr>
          <w:p w14:paraId="298027AD" w14:textId="77777777" w:rsidR="008E66B4" w:rsidRPr="00D7306B"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79</w:t>
            </w:r>
          </w:p>
        </w:tc>
      </w:tr>
    </w:tbl>
    <w:p w14:paraId="498F891E" w14:textId="60B903DD" w:rsidR="000E6BE5" w:rsidRPr="00206437" w:rsidRDefault="000E6BE5" w:rsidP="008E66B4">
      <w:pPr>
        <w:pStyle w:val="Caption"/>
        <w:keepNext/>
        <w:rPr>
          <w:rFonts w:cs="Arial"/>
        </w:rPr>
      </w:pPr>
      <w:bookmarkStart w:id="81" w:name="_Toc91752559"/>
      <w:r w:rsidRPr="00206437">
        <w:rPr>
          <w:rFonts w:cs="Arial"/>
        </w:rPr>
        <w:t xml:space="preserve">Table </w:t>
      </w:r>
      <w:r w:rsidRPr="00206437">
        <w:rPr>
          <w:rFonts w:cs="Arial"/>
        </w:rPr>
        <w:fldChar w:fldCharType="begin"/>
      </w:r>
      <w:r w:rsidRPr="00206437">
        <w:rPr>
          <w:rFonts w:cs="Arial"/>
        </w:rPr>
        <w:instrText xml:space="preserve"> SEQ Table \* ARABIC </w:instrText>
      </w:r>
      <w:r w:rsidRPr="00206437">
        <w:rPr>
          <w:rFonts w:cs="Arial"/>
        </w:rPr>
        <w:fldChar w:fldCharType="separate"/>
      </w:r>
      <w:r w:rsidR="0073710A">
        <w:rPr>
          <w:rFonts w:cs="Arial"/>
          <w:noProof/>
        </w:rPr>
        <w:t>20</w:t>
      </w:r>
      <w:r w:rsidRPr="00206437">
        <w:rPr>
          <w:rFonts w:cs="Arial"/>
        </w:rPr>
        <w:fldChar w:fldCharType="end"/>
      </w:r>
      <w:r w:rsidRPr="00206437">
        <w:rPr>
          <w:rFonts w:cs="Arial"/>
        </w:rPr>
        <w:t xml:space="preserve"> Numbers of extinct forest-occurring tree species, birds, mammals, other vertebrates, other invertebrates, vascular plants and fungi by regions, EU </w:t>
      </w:r>
      <w:proofErr w:type="gramStart"/>
      <w:r w:rsidRPr="00206437">
        <w:rPr>
          <w:rFonts w:cs="Arial"/>
        </w:rPr>
        <w:t>28</w:t>
      </w:r>
      <w:proofErr w:type="gramEnd"/>
      <w:r w:rsidRPr="00206437">
        <w:rPr>
          <w:rFonts w:cs="Arial"/>
        </w:rPr>
        <w:t xml:space="preserve"> and Europe (number of reporting countries: 45) (Source:  Forest Europe, 2015)</w:t>
      </w:r>
      <w:bookmarkEnd w:id="81"/>
    </w:p>
    <w:tbl>
      <w:tblPr>
        <w:tblStyle w:val="ListTable4-Accent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761"/>
        <w:gridCol w:w="677"/>
        <w:gridCol w:w="1037"/>
        <w:gridCol w:w="1187"/>
        <w:gridCol w:w="1347"/>
        <w:gridCol w:w="967"/>
        <w:gridCol w:w="724"/>
      </w:tblGrid>
      <w:tr w:rsidR="008E66B4" w:rsidRPr="00B0553D" w14:paraId="3F68495F" w14:textId="77777777" w:rsidTr="008E66B4">
        <w:trPr>
          <w:cnfStyle w:val="100000000000" w:firstRow="1" w:lastRow="0" w:firstColumn="0" w:lastColumn="0" w:oddVBand="0" w:evenVBand="0" w:oddHBand="0"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D9763FD" w14:textId="77777777" w:rsidR="008E66B4" w:rsidRPr="00B0553D" w:rsidRDefault="008E66B4" w:rsidP="0022057B">
            <w:pPr>
              <w:jc w:val="center"/>
              <w:rPr>
                <w:color w:val="000000" w:themeColor="text1"/>
                <w:sz w:val="18"/>
                <w:szCs w:val="18"/>
                <w:lang w:val="en-GB"/>
              </w:rPr>
            </w:pPr>
            <w:r w:rsidRPr="00B0553D">
              <w:rPr>
                <w:color w:val="000000" w:themeColor="text1"/>
                <w:sz w:val="18"/>
                <w:szCs w:val="18"/>
                <w:lang w:val="en-GB"/>
              </w:rPr>
              <w:t>Region</w:t>
            </w:r>
          </w:p>
        </w:tc>
        <w:tc>
          <w:tcPr>
            <w:tcW w:w="7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3E3DDF7" w14:textId="77777777" w:rsidR="008E66B4" w:rsidRPr="00B0553D" w:rsidRDefault="008E66B4" w:rsidP="0022057B">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en-GB"/>
              </w:rPr>
            </w:pPr>
            <w:r w:rsidRPr="00B0553D">
              <w:rPr>
                <w:color w:val="000000" w:themeColor="text1"/>
                <w:sz w:val="18"/>
                <w:szCs w:val="18"/>
                <w:lang w:val="en-GB"/>
              </w:rPr>
              <w:t>Trees</w:t>
            </w:r>
          </w:p>
        </w:tc>
        <w:tc>
          <w:tcPr>
            <w:tcW w:w="6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37C72CB7" w14:textId="77777777" w:rsidR="008E66B4" w:rsidRPr="00B0553D" w:rsidRDefault="008E66B4" w:rsidP="0022057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B0553D">
              <w:rPr>
                <w:color w:val="000000" w:themeColor="text1"/>
                <w:sz w:val="18"/>
                <w:szCs w:val="18"/>
                <w:lang w:val="en-GB"/>
              </w:rPr>
              <w:t>Birds</w:t>
            </w:r>
          </w:p>
        </w:tc>
        <w:tc>
          <w:tcPr>
            <w:tcW w:w="10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F0B361B" w14:textId="77777777" w:rsidR="008E66B4" w:rsidRPr="00B0553D" w:rsidRDefault="008E66B4" w:rsidP="0022057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B0553D">
              <w:rPr>
                <w:color w:val="000000" w:themeColor="text1"/>
                <w:sz w:val="18"/>
                <w:szCs w:val="18"/>
                <w:lang w:val="en-GB"/>
              </w:rPr>
              <w:t>Mammals</w:t>
            </w:r>
          </w:p>
        </w:tc>
        <w:tc>
          <w:tcPr>
            <w:tcW w:w="11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1C278A8B" w14:textId="77777777" w:rsidR="008E66B4" w:rsidRPr="00B0553D" w:rsidRDefault="008E66B4" w:rsidP="0022057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B0553D">
              <w:rPr>
                <w:color w:val="000000" w:themeColor="text1"/>
                <w:sz w:val="18"/>
                <w:szCs w:val="18"/>
                <w:lang w:val="en-GB"/>
              </w:rPr>
              <w:t>Other vertebrates</w:t>
            </w:r>
          </w:p>
        </w:tc>
        <w:tc>
          <w:tcPr>
            <w:tcW w:w="134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33FABD28" w14:textId="77777777" w:rsidR="008E66B4" w:rsidRPr="00B0553D" w:rsidRDefault="008E66B4" w:rsidP="0022057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B0553D">
              <w:rPr>
                <w:color w:val="000000" w:themeColor="text1"/>
                <w:sz w:val="18"/>
                <w:szCs w:val="18"/>
                <w:lang w:val="en-GB"/>
              </w:rPr>
              <w:t>Oher invertebrates</w:t>
            </w:r>
          </w:p>
        </w:tc>
        <w:tc>
          <w:tcPr>
            <w:tcW w:w="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35376606" w14:textId="77777777" w:rsidR="008E66B4" w:rsidRPr="00B0553D" w:rsidRDefault="008E66B4" w:rsidP="0022057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B0553D">
              <w:rPr>
                <w:color w:val="000000" w:themeColor="text1"/>
                <w:sz w:val="18"/>
                <w:szCs w:val="18"/>
                <w:lang w:val="en-GB"/>
              </w:rPr>
              <w:t>Vascular plants</w:t>
            </w:r>
          </w:p>
        </w:tc>
        <w:tc>
          <w:tcPr>
            <w:tcW w:w="7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2951BA64" w14:textId="77777777" w:rsidR="008E66B4" w:rsidRPr="00B0553D" w:rsidRDefault="008E66B4" w:rsidP="0022057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en-GB"/>
              </w:rPr>
            </w:pPr>
            <w:r w:rsidRPr="00B0553D">
              <w:rPr>
                <w:color w:val="000000" w:themeColor="text1"/>
                <w:sz w:val="18"/>
                <w:szCs w:val="18"/>
                <w:lang w:val="en-GB"/>
              </w:rPr>
              <w:t>Fungi</w:t>
            </w:r>
          </w:p>
        </w:tc>
      </w:tr>
      <w:tr w:rsidR="008E66B4" w:rsidRPr="00B0553D" w14:paraId="3D2D5226" w14:textId="77777777" w:rsidTr="008E66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000000" w:themeColor="text1"/>
            </w:tcBorders>
            <w:shd w:val="clear" w:color="auto" w:fill="FFFFFF" w:themeFill="background1"/>
          </w:tcPr>
          <w:p w14:paraId="1ED3A073" w14:textId="77777777" w:rsidR="008E66B4" w:rsidRPr="00B0553D" w:rsidRDefault="008E66B4" w:rsidP="0022057B">
            <w:pPr>
              <w:rPr>
                <w:color w:val="000000" w:themeColor="text1"/>
                <w:sz w:val="18"/>
                <w:szCs w:val="18"/>
                <w:lang w:val="en-GB"/>
              </w:rPr>
            </w:pPr>
            <w:r w:rsidRPr="00B0553D">
              <w:rPr>
                <w:color w:val="000000" w:themeColor="text1"/>
                <w:sz w:val="18"/>
                <w:szCs w:val="18"/>
                <w:lang w:val="en-GB"/>
              </w:rPr>
              <w:t>North Europe</w:t>
            </w:r>
          </w:p>
        </w:tc>
        <w:tc>
          <w:tcPr>
            <w:tcW w:w="761" w:type="dxa"/>
            <w:tcBorders>
              <w:top w:val="single" w:sz="4" w:space="0" w:color="000000" w:themeColor="text1"/>
            </w:tcBorders>
            <w:shd w:val="clear" w:color="auto" w:fill="FFFFFF" w:themeFill="background1"/>
          </w:tcPr>
          <w:p w14:paraId="37BF1493"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677" w:type="dxa"/>
            <w:tcBorders>
              <w:top w:val="single" w:sz="4" w:space="0" w:color="000000" w:themeColor="text1"/>
            </w:tcBorders>
            <w:shd w:val="clear" w:color="auto" w:fill="FFFFFF" w:themeFill="background1"/>
          </w:tcPr>
          <w:p w14:paraId="3885191B"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6</w:t>
            </w:r>
          </w:p>
        </w:tc>
        <w:tc>
          <w:tcPr>
            <w:tcW w:w="1037" w:type="dxa"/>
            <w:tcBorders>
              <w:top w:val="single" w:sz="4" w:space="0" w:color="000000" w:themeColor="text1"/>
            </w:tcBorders>
            <w:shd w:val="clear" w:color="auto" w:fill="FFFFFF" w:themeFill="background1"/>
          </w:tcPr>
          <w:p w14:paraId="6520E225"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2</w:t>
            </w:r>
          </w:p>
        </w:tc>
        <w:tc>
          <w:tcPr>
            <w:tcW w:w="1187" w:type="dxa"/>
            <w:tcBorders>
              <w:top w:val="single" w:sz="4" w:space="0" w:color="000000" w:themeColor="text1"/>
            </w:tcBorders>
            <w:shd w:val="clear" w:color="auto" w:fill="FFFFFF" w:themeFill="background1"/>
          </w:tcPr>
          <w:p w14:paraId="39908E44"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w:t>
            </w:r>
          </w:p>
        </w:tc>
        <w:tc>
          <w:tcPr>
            <w:tcW w:w="1347" w:type="dxa"/>
            <w:tcBorders>
              <w:top w:val="single" w:sz="4" w:space="0" w:color="000000" w:themeColor="text1"/>
            </w:tcBorders>
            <w:shd w:val="clear" w:color="auto" w:fill="FFFFFF" w:themeFill="background1"/>
          </w:tcPr>
          <w:p w14:paraId="79AEA4F6"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117</w:t>
            </w:r>
          </w:p>
        </w:tc>
        <w:tc>
          <w:tcPr>
            <w:tcW w:w="967" w:type="dxa"/>
            <w:tcBorders>
              <w:top w:val="single" w:sz="4" w:space="0" w:color="000000" w:themeColor="text1"/>
            </w:tcBorders>
            <w:shd w:val="clear" w:color="auto" w:fill="FFFFFF" w:themeFill="background1"/>
          </w:tcPr>
          <w:p w14:paraId="3BFB5E8A"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9</w:t>
            </w:r>
          </w:p>
        </w:tc>
        <w:tc>
          <w:tcPr>
            <w:tcW w:w="724" w:type="dxa"/>
            <w:tcBorders>
              <w:top w:val="single" w:sz="4" w:space="0" w:color="000000" w:themeColor="text1"/>
            </w:tcBorders>
            <w:shd w:val="clear" w:color="auto" w:fill="FFFFFF" w:themeFill="background1"/>
          </w:tcPr>
          <w:p w14:paraId="3566A0A3"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61</w:t>
            </w:r>
          </w:p>
        </w:tc>
      </w:tr>
      <w:tr w:rsidR="008E66B4" w:rsidRPr="00B0553D" w14:paraId="3CA40CE5"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FFFF" w:themeFill="background1"/>
          </w:tcPr>
          <w:p w14:paraId="0EB559D8" w14:textId="77777777" w:rsidR="008E66B4" w:rsidRPr="00B0553D" w:rsidRDefault="008E66B4" w:rsidP="0022057B">
            <w:pPr>
              <w:rPr>
                <w:color w:val="000000" w:themeColor="text1"/>
                <w:sz w:val="18"/>
                <w:szCs w:val="18"/>
                <w:lang w:val="en-GB"/>
              </w:rPr>
            </w:pPr>
            <w:r w:rsidRPr="00B0553D">
              <w:rPr>
                <w:color w:val="000000" w:themeColor="text1"/>
                <w:sz w:val="18"/>
                <w:szCs w:val="18"/>
                <w:lang w:val="en-GB"/>
              </w:rPr>
              <w:t>Central-West Europe</w:t>
            </w:r>
          </w:p>
        </w:tc>
        <w:tc>
          <w:tcPr>
            <w:tcW w:w="761" w:type="dxa"/>
            <w:shd w:val="clear" w:color="auto" w:fill="FFFFFF" w:themeFill="background1"/>
          </w:tcPr>
          <w:p w14:paraId="5E44655F"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w:t>
            </w:r>
          </w:p>
        </w:tc>
        <w:tc>
          <w:tcPr>
            <w:tcW w:w="677" w:type="dxa"/>
            <w:shd w:val="clear" w:color="auto" w:fill="FFFFFF" w:themeFill="background1"/>
          </w:tcPr>
          <w:p w14:paraId="00F1C64E"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5</w:t>
            </w:r>
          </w:p>
        </w:tc>
        <w:tc>
          <w:tcPr>
            <w:tcW w:w="1037" w:type="dxa"/>
            <w:shd w:val="clear" w:color="auto" w:fill="FFFFFF" w:themeFill="background1"/>
          </w:tcPr>
          <w:p w14:paraId="56515B2D"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6</w:t>
            </w:r>
          </w:p>
        </w:tc>
        <w:tc>
          <w:tcPr>
            <w:tcW w:w="1187" w:type="dxa"/>
            <w:shd w:val="clear" w:color="auto" w:fill="FFFFFF" w:themeFill="background1"/>
          </w:tcPr>
          <w:p w14:paraId="0A23BA13"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5</w:t>
            </w:r>
          </w:p>
        </w:tc>
        <w:tc>
          <w:tcPr>
            <w:tcW w:w="1347" w:type="dxa"/>
            <w:shd w:val="clear" w:color="auto" w:fill="FFFFFF" w:themeFill="background1"/>
          </w:tcPr>
          <w:p w14:paraId="17A618FC"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4</w:t>
            </w:r>
          </w:p>
        </w:tc>
        <w:tc>
          <w:tcPr>
            <w:tcW w:w="967" w:type="dxa"/>
            <w:shd w:val="clear" w:color="auto" w:fill="FFFFFF" w:themeFill="background1"/>
          </w:tcPr>
          <w:p w14:paraId="5A194A38"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14</w:t>
            </w:r>
          </w:p>
        </w:tc>
        <w:tc>
          <w:tcPr>
            <w:tcW w:w="724" w:type="dxa"/>
            <w:shd w:val="clear" w:color="auto" w:fill="FFFFFF" w:themeFill="background1"/>
          </w:tcPr>
          <w:p w14:paraId="17413BE9"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214</w:t>
            </w:r>
          </w:p>
        </w:tc>
      </w:tr>
      <w:tr w:rsidR="008E66B4" w:rsidRPr="00B0553D" w14:paraId="0B311F92"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FFFF" w:themeFill="background1"/>
          </w:tcPr>
          <w:p w14:paraId="7C8F9051" w14:textId="77777777" w:rsidR="008E66B4" w:rsidRPr="00B0553D" w:rsidRDefault="008E66B4" w:rsidP="0022057B">
            <w:pPr>
              <w:rPr>
                <w:color w:val="000000" w:themeColor="text1"/>
                <w:sz w:val="18"/>
                <w:szCs w:val="18"/>
                <w:lang w:val="en-GB"/>
              </w:rPr>
            </w:pPr>
            <w:r w:rsidRPr="00B0553D">
              <w:rPr>
                <w:color w:val="000000" w:themeColor="text1"/>
                <w:sz w:val="18"/>
                <w:szCs w:val="18"/>
                <w:lang w:val="en-GB"/>
              </w:rPr>
              <w:t>Central-East Europe</w:t>
            </w:r>
          </w:p>
        </w:tc>
        <w:tc>
          <w:tcPr>
            <w:tcW w:w="761" w:type="dxa"/>
            <w:shd w:val="clear" w:color="auto" w:fill="FFFFFF" w:themeFill="background1"/>
          </w:tcPr>
          <w:p w14:paraId="2AA07F8B"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w:t>
            </w:r>
          </w:p>
        </w:tc>
        <w:tc>
          <w:tcPr>
            <w:tcW w:w="677" w:type="dxa"/>
            <w:shd w:val="clear" w:color="auto" w:fill="FFFFFF" w:themeFill="background1"/>
          </w:tcPr>
          <w:p w14:paraId="6A49C4BF"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0</w:t>
            </w:r>
          </w:p>
        </w:tc>
        <w:tc>
          <w:tcPr>
            <w:tcW w:w="1037" w:type="dxa"/>
            <w:shd w:val="clear" w:color="auto" w:fill="FFFFFF" w:themeFill="background1"/>
          </w:tcPr>
          <w:p w14:paraId="2B0DB7A4"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7</w:t>
            </w:r>
          </w:p>
        </w:tc>
        <w:tc>
          <w:tcPr>
            <w:tcW w:w="1187" w:type="dxa"/>
            <w:shd w:val="clear" w:color="auto" w:fill="FFFFFF" w:themeFill="background1"/>
          </w:tcPr>
          <w:p w14:paraId="484AE9C4"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3</w:t>
            </w:r>
          </w:p>
        </w:tc>
        <w:tc>
          <w:tcPr>
            <w:tcW w:w="1347" w:type="dxa"/>
            <w:shd w:val="clear" w:color="auto" w:fill="FFFFFF" w:themeFill="background1"/>
          </w:tcPr>
          <w:p w14:paraId="7CF6E036"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13</w:t>
            </w:r>
          </w:p>
        </w:tc>
        <w:tc>
          <w:tcPr>
            <w:tcW w:w="967" w:type="dxa"/>
            <w:shd w:val="clear" w:color="auto" w:fill="FFFFFF" w:themeFill="background1"/>
          </w:tcPr>
          <w:p w14:paraId="260479EB"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28</w:t>
            </w:r>
          </w:p>
        </w:tc>
        <w:tc>
          <w:tcPr>
            <w:tcW w:w="724" w:type="dxa"/>
            <w:shd w:val="clear" w:color="auto" w:fill="FFFFFF" w:themeFill="background1"/>
          </w:tcPr>
          <w:p w14:paraId="14C6016B"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39</w:t>
            </w:r>
          </w:p>
        </w:tc>
      </w:tr>
      <w:tr w:rsidR="008E66B4" w:rsidRPr="00B0553D" w14:paraId="56FAD897"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FFFF" w:themeFill="background1"/>
          </w:tcPr>
          <w:p w14:paraId="7694D244" w14:textId="77777777" w:rsidR="008E66B4" w:rsidRPr="00B0553D" w:rsidRDefault="008E66B4" w:rsidP="0022057B">
            <w:pPr>
              <w:rPr>
                <w:color w:val="000000" w:themeColor="text1"/>
                <w:sz w:val="18"/>
                <w:szCs w:val="18"/>
                <w:lang w:val="en-GB"/>
              </w:rPr>
            </w:pPr>
            <w:r w:rsidRPr="00B0553D">
              <w:rPr>
                <w:color w:val="000000" w:themeColor="text1"/>
                <w:sz w:val="18"/>
                <w:szCs w:val="18"/>
                <w:lang w:val="en-GB"/>
              </w:rPr>
              <w:t>South-West Europe</w:t>
            </w:r>
          </w:p>
        </w:tc>
        <w:tc>
          <w:tcPr>
            <w:tcW w:w="761" w:type="dxa"/>
            <w:shd w:val="clear" w:color="auto" w:fill="FFFFFF" w:themeFill="background1"/>
          </w:tcPr>
          <w:p w14:paraId="46537DAD"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0</w:t>
            </w:r>
          </w:p>
        </w:tc>
        <w:tc>
          <w:tcPr>
            <w:tcW w:w="677" w:type="dxa"/>
            <w:shd w:val="clear" w:color="auto" w:fill="FFFFFF" w:themeFill="background1"/>
          </w:tcPr>
          <w:p w14:paraId="0C09432C"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w:t>
            </w:r>
          </w:p>
        </w:tc>
        <w:tc>
          <w:tcPr>
            <w:tcW w:w="1037" w:type="dxa"/>
            <w:shd w:val="clear" w:color="auto" w:fill="FFFFFF" w:themeFill="background1"/>
          </w:tcPr>
          <w:p w14:paraId="5A62A2FC"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0</w:t>
            </w:r>
          </w:p>
        </w:tc>
        <w:tc>
          <w:tcPr>
            <w:tcW w:w="1187" w:type="dxa"/>
            <w:shd w:val="clear" w:color="auto" w:fill="FFFFFF" w:themeFill="background1"/>
          </w:tcPr>
          <w:p w14:paraId="151379A3"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0</w:t>
            </w:r>
          </w:p>
        </w:tc>
        <w:tc>
          <w:tcPr>
            <w:tcW w:w="1347" w:type="dxa"/>
            <w:shd w:val="clear" w:color="auto" w:fill="FFFFFF" w:themeFill="background1"/>
          </w:tcPr>
          <w:p w14:paraId="272E1EC2"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0</w:t>
            </w:r>
          </w:p>
        </w:tc>
        <w:tc>
          <w:tcPr>
            <w:tcW w:w="967" w:type="dxa"/>
            <w:shd w:val="clear" w:color="auto" w:fill="FFFFFF" w:themeFill="background1"/>
          </w:tcPr>
          <w:p w14:paraId="2F5EC953"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0</w:t>
            </w:r>
          </w:p>
        </w:tc>
        <w:tc>
          <w:tcPr>
            <w:tcW w:w="724" w:type="dxa"/>
            <w:shd w:val="clear" w:color="auto" w:fill="FFFFFF" w:themeFill="background1"/>
          </w:tcPr>
          <w:p w14:paraId="625E4E9D"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0</w:t>
            </w:r>
          </w:p>
        </w:tc>
      </w:tr>
      <w:tr w:rsidR="008E66B4" w:rsidRPr="00B0553D" w14:paraId="7ABECD27"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FFFF" w:themeFill="background1"/>
          </w:tcPr>
          <w:p w14:paraId="705406D9" w14:textId="77777777" w:rsidR="008E66B4" w:rsidRPr="00B0553D" w:rsidRDefault="008E66B4" w:rsidP="0022057B">
            <w:pPr>
              <w:rPr>
                <w:color w:val="000000" w:themeColor="text1"/>
                <w:sz w:val="18"/>
                <w:szCs w:val="18"/>
                <w:lang w:val="en-GB"/>
              </w:rPr>
            </w:pPr>
            <w:r w:rsidRPr="00B0553D">
              <w:rPr>
                <w:color w:val="000000" w:themeColor="text1"/>
                <w:sz w:val="18"/>
                <w:szCs w:val="18"/>
                <w:lang w:val="en-GB"/>
              </w:rPr>
              <w:t>South-East Europe</w:t>
            </w:r>
          </w:p>
        </w:tc>
        <w:tc>
          <w:tcPr>
            <w:tcW w:w="761" w:type="dxa"/>
            <w:shd w:val="clear" w:color="auto" w:fill="FFFFFF" w:themeFill="background1"/>
          </w:tcPr>
          <w:p w14:paraId="6297A58C"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w:t>
            </w:r>
          </w:p>
        </w:tc>
        <w:tc>
          <w:tcPr>
            <w:tcW w:w="677" w:type="dxa"/>
            <w:shd w:val="clear" w:color="auto" w:fill="FFFFFF" w:themeFill="background1"/>
          </w:tcPr>
          <w:p w14:paraId="6EB6C94B" w14:textId="77777777" w:rsidR="008E66B4" w:rsidRPr="003651E5"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10</w:t>
            </w:r>
          </w:p>
        </w:tc>
        <w:tc>
          <w:tcPr>
            <w:tcW w:w="1037" w:type="dxa"/>
            <w:shd w:val="clear" w:color="auto" w:fill="FFFFFF" w:themeFill="background1"/>
          </w:tcPr>
          <w:p w14:paraId="75552F7D"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4</w:t>
            </w:r>
          </w:p>
        </w:tc>
        <w:tc>
          <w:tcPr>
            <w:tcW w:w="1187" w:type="dxa"/>
            <w:shd w:val="clear" w:color="auto" w:fill="FFFFFF" w:themeFill="background1"/>
          </w:tcPr>
          <w:p w14:paraId="600BC851"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w:t>
            </w:r>
          </w:p>
        </w:tc>
        <w:tc>
          <w:tcPr>
            <w:tcW w:w="1347" w:type="dxa"/>
            <w:shd w:val="clear" w:color="auto" w:fill="FFFFFF" w:themeFill="background1"/>
          </w:tcPr>
          <w:p w14:paraId="3F10B9A5"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16</w:t>
            </w:r>
          </w:p>
        </w:tc>
        <w:tc>
          <w:tcPr>
            <w:tcW w:w="967" w:type="dxa"/>
            <w:shd w:val="clear" w:color="auto" w:fill="FFFFFF" w:themeFill="background1"/>
          </w:tcPr>
          <w:p w14:paraId="7FAED032"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12</w:t>
            </w:r>
          </w:p>
        </w:tc>
        <w:tc>
          <w:tcPr>
            <w:tcW w:w="724" w:type="dxa"/>
            <w:shd w:val="clear" w:color="auto" w:fill="FFFFFF" w:themeFill="background1"/>
          </w:tcPr>
          <w:p w14:paraId="70760586"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0</w:t>
            </w:r>
          </w:p>
        </w:tc>
      </w:tr>
      <w:tr w:rsidR="008E66B4" w:rsidRPr="00B0553D" w14:paraId="3C1FC1F0"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CCA6" w:themeFill="accent5" w:themeFillTint="66"/>
          </w:tcPr>
          <w:p w14:paraId="04D14B88" w14:textId="77777777" w:rsidR="008E66B4" w:rsidRPr="00B0553D" w:rsidRDefault="008E66B4" w:rsidP="0022057B">
            <w:pPr>
              <w:rPr>
                <w:color w:val="000000" w:themeColor="text1"/>
                <w:sz w:val="18"/>
                <w:szCs w:val="18"/>
                <w:lang w:val="en-GB"/>
              </w:rPr>
            </w:pPr>
            <w:r w:rsidRPr="00B0553D">
              <w:rPr>
                <w:color w:val="000000" w:themeColor="text1"/>
                <w:sz w:val="18"/>
                <w:szCs w:val="18"/>
                <w:lang w:val="en-GB"/>
              </w:rPr>
              <w:t>EU-28</w:t>
            </w:r>
          </w:p>
        </w:tc>
        <w:tc>
          <w:tcPr>
            <w:tcW w:w="761" w:type="dxa"/>
            <w:shd w:val="clear" w:color="auto" w:fill="FFCCA6" w:themeFill="accent5" w:themeFillTint="66"/>
          </w:tcPr>
          <w:p w14:paraId="6C4B4558"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3</w:t>
            </w:r>
          </w:p>
        </w:tc>
        <w:tc>
          <w:tcPr>
            <w:tcW w:w="677" w:type="dxa"/>
            <w:shd w:val="clear" w:color="auto" w:fill="FFCCA6" w:themeFill="accent5" w:themeFillTint="66"/>
          </w:tcPr>
          <w:p w14:paraId="1EB02FDD"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21</w:t>
            </w:r>
          </w:p>
        </w:tc>
        <w:tc>
          <w:tcPr>
            <w:tcW w:w="1037" w:type="dxa"/>
            <w:shd w:val="clear" w:color="auto" w:fill="FFCCA6" w:themeFill="accent5" w:themeFillTint="66"/>
          </w:tcPr>
          <w:p w14:paraId="68290487"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12</w:t>
            </w:r>
          </w:p>
        </w:tc>
        <w:tc>
          <w:tcPr>
            <w:tcW w:w="1187" w:type="dxa"/>
            <w:shd w:val="clear" w:color="auto" w:fill="FFCCA6" w:themeFill="accent5" w:themeFillTint="66"/>
          </w:tcPr>
          <w:p w14:paraId="089FA7AE"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3</w:t>
            </w:r>
          </w:p>
        </w:tc>
        <w:tc>
          <w:tcPr>
            <w:tcW w:w="1347" w:type="dxa"/>
            <w:shd w:val="clear" w:color="auto" w:fill="FFCCA6" w:themeFill="accent5" w:themeFillTint="66"/>
          </w:tcPr>
          <w:p w14:paraId="6FF0829E"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145</w:t>
            </w:r>
          </w:p>
        </w:tc>
        <w:tc>
          <w:tcPr>
            <w:tcW w:w="967" w:type="dxa"/>
            <w:shd w:val="clear" w:color="auto" w:fill="FFCCA6" w:themeFill="accent5" w:themeFillTint="66"/>
          </w:tcPr>
          <w:p w14:paraId="78CFE161"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48</w:t>
            </w:r>
          </w:p>
        </w:tc>
        <w:tc>
          <w:tcPr>
            <w:tcW w:w="724" w:type="dxa"/>
            <w:shd w:val="clear" w:color="auto" w:fill="FFCCA6" w:themeFill="accent5" w:themeFillTint="66"/>
          </w:tcPr>
          <w:p w14:paraId="5A063B5A"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300</w:t>
            </w:r>
          </w:p>
        </w:tc>
      </w:tr>
      <w:tr w:rsidR="008E66B4" w:rsidRPr="00B0553D" w14:paraId="58F8A11E"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CCA6" w:themeFill="accent5" w:themeFillTint="66"/>
          </w:tcPr>
          <w:p w14:paraId="295FF0A7" w14:textId="77777777" w:rsidR="008E66B4" w:rsidRPr="00B0553D" w:rsidRDefault="008E66B4" w:rsidP="0022057B">
            <w:pPr>
              <w:rPr>
                <w:color w:val="000000" w:themeColor="text1"/>
                <w:sz w:val="18"/>
                <w:szCs w:val="18"/>
                <w:lang w:val="en-GB"/>
              </w:rPr>
            </w:pPr>
            <w:r w:rsidRPr="003651E5">
              <w:rPr>
                <w:color w:val="000000" w:themeColor="text1"/>
                <w:sz w:val="18"/>
                <w:szCs w:val="18"/>
                <w:lang w:val="en-GB"/>
              </w:rPr>
              <w:t>EU 28 (number of countries reporting)</w:t>
            </w:r>
          </w:p>
        </w:tc>
        <w:tc>
          <w:tcPr>
            <w:tcW w:w="761" w:type="dxa"/>
            <w:shd w:val="clear" w:color="auto" w:fill="FFCCA6" w:themeFill="accent5" w:themeFillTint="66"/>
          </w:tcPr>
          <w:p w14:paraId="609FEFB0"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19</w:t>
            </w:r>
          </w:p>
        </w:tc>
        <w:tc>
          <w:tcPr>
            <w:tcW w:w="677" w:type="dxa"/>
            <w:shd w:val="clear" w:color="auto" w:fill="FFCCA6" w:themeFill="accent5" w:themeFillTint="66"/>
          </w:tcPr>
          <w:p w14:paraId="72BB158A"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20</w:t>
            </w:r>
          </w:p>
        </w:tc>
        <w:tc>
          <w:tcPr>
            <w:tcW w:w="1037" w:type="dxa"/>
            <w:shd w:val="clear" w:color="auto" w:fill="FFCCA6" w:themeFill="accent5" w:themeFillTint="66"/>
          </w:tcPr>
          <w:p w14:paraId="0E3650D6"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20</w:t>
            </w:r>
          </w:p>
        </w:tc>
        <w:tc>
          <w:tcPr>
            <w:tcW w:w="1187" w:type="dxa"/>
            <w:shd w:val="clear" w:color="auto" w:fill="FFCCA6" w:themeFill="accent5" w:themeFillTint="66"/>
          </w:tcPr>
          <w:p w14:paraId="54C7E567"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18</w:t>
            </w:r>
          </w:p>
        </w:tc>
        <w:tc>
          <w:tcPr>
            <w:tcW w:w="1347" w:type="dxa"/>
            <w:shd w:val="clear" w:color="auto" w:fill="FFCCA6" w:themeFill="accent5" w:themeFillTint="66"/>
          </w:tcPr>
          <w:p w14:paraId="13B87B16"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16</w:t>
            </w:r>
          </w:p>
        </w:tc>
        <w:tc>
          <w:tcPr>
            <w:tcW w:w="967" w:type="dxa"/>
            <w:shd w:val="clear" w:color="auto" w:fill="FFCCA6" w:themeFill="accent5" w:themeFillTint="66"/>
          </w:tcPr>
          <w:p w14:paraId="2756A63A"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16</w:t>
            </w:r>
          </w:p>
        </w:tc>
        <w:tc>
          <w:tcPr>
            <w:tcW w:w="724" w:type="dxa"/>
            <w:shd w:val="clear" w:color="auto" w:fill="FFCCA6" w:themeFill="accent5" w:themeFillTint="66"/>
          </w:tcPr>
          <w:p w14:paraId="4233D17E"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15</w:t>
            </w:r>
          </w:p>
        </w:tc>
      </w:tr>
      <w:tr w:rsidR="008E66B4" w:rsidRPr="00B0553D" w14:paraId="6B4901CB"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CCA6" w:themeFill="accent5" w:themeFillTint="66"/>
          </w:tcPr>
          <w:p w14:paraId="5549EDA3" w14:textId="77777777" w:rsidR="008E66B4" w:rsidRPr="00B0553D" w:rsidRDefault="008E66B4" w:rsidP="0022057B">
            <w:pPr>
              <w:rPr>
                <w:color w:val="000000" w:themeColor="text1"/>
                <w:sz w:val="18"/>
                <w:szCs w:val="18"/>
                <w:lang w:val="en-GB"/>
              </w:rPr>
            </w:pPr>
            <w:r w:rsidRPr="003651E5">
              <w:rPr>
                <w:color w:val="000000" w:themeColor="text1"/>
                <w:sz w:val="18"/>
                <w:szCs w:val="18"/>
                <w:lang w:val="en-GB"/>
              </w:rPr>
              <w:lastRenderedPageBreak/>
              <w:t>Forest area of EU 28 covered (in %)</w:t>
            </w:r>
          </w:p>
        </w:tc>
        <w:tc>
          <w:tcPr>
            <w:tcW w:w="761" w:type="dxa"/>
            <w:shd w:val="clear" w:color="auto" w:fill="FFCCA6" w:themeFill="accent5" w:themeFillTint="66"/>
          </w:tcPr>
          <w:p w14:paraId="102E7C15"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73</w:t>
            </w:r>
          </w:p>
        </w:tc>
        <w:tc>
          <w:tcPr>
            <w:tcW w:w="677" w:type="dxa"/>
            <w:shd w:val="clear" w:color="auto" w:fill="FFCCA6" w:themeFill="accent5" w:themeFillTint="66"/>
          </w:tcPr>
          <w:p w14:paraId="625ADA63"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74</w:t>
            </w:r>
          </w:p>
        </w:tc>
        <w:tc>
          <w:tcPr>
            <w:tcW w:w="1037" w:type="dxa"/>
            <w:shd w:val="clear" w:color="auto" w:fill="FFCCA6" w:themeFill="accent5" w:themeFillTint="66"/>
          </w:tcPr>
          <w:p w14:paraId="527900F9"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67</w:t>
            </w:r>
          </w:p>
        </w:tc>
        <w:tc>
          <w:tcPr>
            <w:tcW w:w="1187" w:type="dxa"/>
            <w:shd w:val="clear" w:color="auto" w:fill="FFCCA6" w:themeFill="accent5" w:themeFillTint="66"/>
          </w:tcPr>
          <w:p w14:paraId="072737B6"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65</w:t>
            </w:r>
          </w:p>
        </w:tc>
        <w:tc>
          <w:tcPr>
            <w:tcW w:w="1347" w:type="dxa"/>
            <w:shd w:val="clear" w:color="auto" w:fill="FFCCA6" w:themeFill="accent5" w:themeFillTint="66"/>
          </w:tcPr>
          <w:p w14:paraId="06910023"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63</w:t>
            </w:r>
          </w:p>
        </w:tc>
        <w:tc>
          <w:tcPr>
            <w:tcW w:w="967" w:type="dxa"/>
            <w:shd w:val="clear" w:color="auto" w:fill="FFCCA6" w:themeFill="accent5" w:themeFillTint="66"/>
          </w:tcPr>
          <w:p w14:paraId="03BEE8FA"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63</w:t>
            </w:r>
          </w:p>
        </w:tc>
        <w:tc>
          <w:tcPr>
            <w:tcW w:w="724" w:type="dxa"/>
            <w:shd w:val="clear" w:color="auto" w:fill="FFCCA6" w:themeFill="accent5" w:themeFillTint="66"/>
          </w:tcPr>
          <w:p w14:paraId="4DFC8361"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55</w:t>
            </w:r>
          </w:p>
        </w:tc>
      </w:tr>
      <w:tr w:rsidR="008E66B4" w:rsidRPr="00B0553D" w14:paraId="5AAC027C"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B279" w:themeFill="accent5" w:themeFillTint="99"/>
          </w:tcPr>
          <w:p w14:paraId="6AD6B59D" w14:textId="77777777" w:rsidR="008E66B4" w:rsidRPr="00B0553D" w:rsidRDefault="008E66B4" w:rsidP="0022057B">
            <w:pPr>
              <w:rPr>
                <w:color w:val="000000" w:themeColor="text1"/>
                <w:sz w:val="18"/>
                <w:szCs w:val="18"/>
                <w:lang w:val="en-GB"/>
              </w:rPr>
            </w:pPr>
            <w:r w:rsidRPr="00B0553D">
              <w:rPr>
                <w:color w:val="000000" w:themeColor="text1"/>
                <w:sz w:val="18"/>
                <w:szCs w:val="18"/>
                <w:lang w:val="en-GB"/>
              </w:rPr>
              <w:t>Europe</w:t>
            </w:r>
          </w:p>
        </w:tc>
        <w:tc>
          <w:tcPr>
            <w:tcW w:w="761" w:type="dxa"/>
            <w:shd w:val="clear" w:color="auto" w:fill="FFB279" w:themeFill="accent5" w:themeFillTint="99"/>
          </w:tcPr>
          <w:p w14:paraId="4A024564"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4</w:t>
            </w:r>
          </w:p>
        </w:tc>
        <w:tc>
          <w:tcPr>
            <w:tcW w:w="677" w:type="dxa"/>
            <w:shd w:val="clear" w:color="auto" w:fill="FFB279" w:themeFill="accent5" w:themeFillTint="99"/>
          </w:tcPr>
          <w:p w14:paraId="542CE2D2"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22</w:t>
            </w:r>
          </w:p>
        </w:tc>
        <w:tc>
          <w:tcPr>
            <w:tcW w:w="1037" w:type="dxa"/>
            <w:shd w:val="clear" w:color="auto" w:fill="FFB279" w:themeFill="accent5" w:themeFillTint="99"/>
          </w:tcPr>
          <w:p w14:paraId="590675CB"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19</w:t>
            </w:r>
          </w:p>
        </w:tc>
        <w:tc>
          <w:tcPr>
            <w:tcW w:w="1187" w:type="dxa"/>
            <w:shd w:val="clear" w:color="auto" w:fill="FFB279" w:themeFill="accent5" w:themeFillTint="99"/>
          </w:tcPr>
          <w:p w14:paraId="67E1CEFA"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10</w:t>
            </w:r>
          </w:p>
        </w:tc>
        <w:tc>
          <w:tcPr>
            <w:tcW w:w="1347" w:type="dxa"/>
            <w:shd w:val="clear" w:color="auto" w:fill="FFB279" w:themeFill="accent5" w:themeFillTint="99"/>
          </w:tcPr>
          <w:p w14:paraId="5CCE2BAE"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150</w:t>
            </w:r>
          </w:p>
        </w:tc>
        <w:tc>
          <w:tcPr>
            <w:tcW w:w="967" w:type="dxa"/>
            <w:shd w:val="clear" w:color="auto" w:fill="FFB279" w:themeFill="accent5" w:themeFillTint="99"/>
          </w:tcPr>
          <w:p w14:paraId="6C6E8A66"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63</w:t>
            </w:r>
          </w:p>
        </w:tc>
        <w:tc>
          <w:tcPr>
            <w:tcW w:w="724" w:type="dxa"/>
            <w:shd w:val="clear" w:color="auto" w:fill="FFB279" w:themeFill="accent5" w:themeFillTint="99"/>
          </w:tcPr>
          <w:p w14:paraId="67C0633D"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314</w:t>
            </w:r>
          </w:p>
        </w:tc>
      </w:tr>
      <w:tr w:rsidR="008E66B4" w:rsidRPr="00B0553D" w14:paraId="0B18BB41" w14:textId="77777777" w:rsidTr="0022057B">
        <w:trPr>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B279" w:themeFill="accent5" w:themeFillTint="99"/>
          </w:tcPr>
          <w:p w14:paraId="13E83B65" w14:textId="77777777" w:rsidR="008E66B4" w:rsidRPr="00B0553D" w:rsidRDefault="008E66B4" w:rsidP="0022057B">
            <w:pPr>
              <w:rPr>
                <w:color w:val="000000" w:themeColor="text1"/>
                <w:sz w:val="18"/>
                <w:szCs w:val="18"/>
                <w:lang w:val="en-GB"/>
              </w:rPr>
            </w:pPr>
            <w:r w:rsidRPr="003651E5">
              <w:rPr>
                <w:color w:val="000000" w:themeColor="text1"/>
                <w:sz w:val="18"/>
                <w:szCs w:val="18"/>
                <w:lang w:val="en-GB"/>
              </w:rPr>
              <w:t>Europe (number of countries reporting)</w:t>
            </w:r>
          </w:p>
        </w:tc>
        <w:tc>
          <w:tcPr>
            <w:tcW w:w="761" w:type="dxa"/>
            <w:shd w:val="clear" w:color="auto" w:fill="FFB279" w:themeFill="accent5" w:themeFillTint="99"/>
          </w:tcPr>
          <w:p w14:paraId="4F3B5E31"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n-GB"/>
              </w:rPr>
            </w:pPr>
            <w:r>
              <w:rPr>
                <w:color w:val="000000" w:themeColor="text1"/>
                <w:sz w:val="18"/>
                <w:szCs w:val="18"/>
                <w:lang w:val="en-GB"/>
              </w:rPr>
              <w:t>25</w:t>
            </w:r>
          </w:p>
        </w:tc>
        <w:tc>
          <w:tcPr>
            <w:tcW w:w="677" w:type="dxa"/>
            <w:shd w:val="clear" w:color="auto" w:fill="FFB279" w:themeFill="accent5" w:themeFillTint="99"/>
          </w:tcPr>
          <w:p w14:paraId="33996919"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25</w:t>
            </w:r>
          </w:p>
        </w:tc>
        <w:tc>
          <w:tcPr>
            <w:tcW w:w="1037" w:type="dxa"/>
            <w:shd w:val="clear" w:color="auto" w:fill="FFB279" w:themeFill="accent5" w:themeFillTint="99"/>
          </w:tcPr>
          <w:p w14:paraId="1F61C21F"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25</w:t>
            </w:r>
          </w:p>
        </w:tc>
        <w:tc>
          <w:tcPr>
            <w:tcW w:w="1187" w:type="dxa"/>
            <w:shd w:val="clear" w:color="auto" w:fill="FFB279" w:themeFill="accent5" w:themeFillTint="99"/>
          </w:tcPr>
          <w:p w14:paraId="0460D12B"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21</w:t>
            </w:r>
          </w:p>
        </w:tc>
        <w:tc>
          <w:tcPr>
            <w:tcW w:w="1347" w:type="dxa"/>
            <w:shd w:val="clear" w:color="auto" w:fill="FFB279" w:themeFill="accent5" w:themeFillTint="99"/>
          </w:tcPr>
          <w:p w14:paraId="1145110D"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17</w:t>
            </w:r>
          </w:p>
        </w:tc>
        <w:tc>
          <w:tcPr>
            <w:tcW w:w="967" w:type="dxa"/>
            <w:shd w:val="clear" w:color="auto" w:fill="FFB279" w:themeFill="accent5" w:themeFillTint="99"/>
          </w:tcPr>
          <w:p w14:paraId="21ABDC91"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19</w:t>
            </w:r>
          </w:p>
        </w:tc>
        <w:tc>
          <w:tcPr>
            <w:tcW w:w="724" w:type="dxa"/>
            <w:shd w:val="clear" w:color="auto" w:fill="FFB279" w:themeFill="accent5" w:themeFillTint="99"/>
          </w:tcPr>
          <w:p w14:paraId="59396D08" w14:textId="77777777" w:rsidR="008E66B4" w:rsidRPr="00B0553D" w:rsidRDefault="008E66B4" w:rsidP="0022057B">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18</w:t>
            </w:r>
          </w:p>
        </w:tc>
      </w:tr>
      <w:tr w:rsidR="008E66B4" w:rsidRPr="00B0553D" w14:paraId="646FE787" w14:textId="77777777" w:rsidTr="002205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FFB279" w:themeFill="accent5" w:themeFillTint="99"/>
          </w:tcPr>
          <w:p w14:paraId="4ED45CF1" w14:textId="77777777" w:rsidR="008E66B4" w:rsidRPr="00B0553D" w:rsidRDefault="008E66B4" w:rsidP="0022057B">
            <w:pPr>
              <w:rPr>
                <w:color w:val="000000" w:themeColor="text1"/>
                <w:sz w:val="18"/>
                <w:szCs w:val="18"/>
                <w:lang w:val="en-GB"/>
              </w:rPr>
            </w:pPr>
            <w:r w:rsidRPr="003651E5">
              <w:rPr>
                <w:color w:val="000000" w:themeColor="text1"/>
                <w:sz w:val="18"/>
                <w:szCs w:val="18"/>
                <w:lang w:val="en-GB"/>
              </w:rPr>
              <w:t>Forest area in Europe covered (in %)</w:t>
            </w:r>
          </w:p>
        </w:tc>
        <w:tc>
          <w:tcPr>
            <w:tcW w:w="761" w:type="dxa"/>
            <w:shd w:val="clear" w:color="auto" w:fill="FFB279" w:themeFill="accent5" w:themeFillTint="99"/>
          </w:tcPr>
          <w:p w14:paraId="43FE6976"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en-GB"/>
              </w:rPr>
            </w:pPr>
            <w:r>
              <w:rPr>
                <w:color w:val="000000" w:themeColor="text1"/>
                <w:sz w:val="18"/>
                <w:szCs w:val="18"/>
                <w:lang w:val="en-GB"/>
              </w:rPr>
              <w:t>61</w:t>
            </w:r>
          </w:p>
        </w:tc>
        <w:tc>
          <w:tcPr>
            <w:tcW w:w="677" w:type="dxa"/>
            <w:shd w:val="clear" w:color="auto" w:fill="FFB279" w:themeFill="accent5" w:themeFillTint="99"/>
          </w:tcPr>
          <w:p w14:paraId="12209A87"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66</w:t>
            </w:r>
          </w:p>
        </w:tc>
        <w:tc>
          <w:tcPr>
            <w:tcW w:w="1037" w:type="dxa"/>
            <w:shd w:val="clear" w:color="auto" w:fill="FFB279" w:themeFill="accent5" w:themeFillTint="99"/>
          </w:tcPr>
          <w:p w14:paraId="07D4EB89"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66</w:t>
            </w:r>
          </w:p>
        </w:tc>
        <w:tc>
          <w:tcPr>
            <w:tcW w:w="1187" w:type="dxa"/>
            <w:shd w:val="clear" w:color="auto" w:fill="FFB279" w:themeFill="accent5" w:themeFillTint="99"/>
          </w:tcPr>
          <w:p w14:paraId="0E5CACFB"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59</w:t>
            </w:r>
          </w:p>
        </w:tc>
        <w:tc>
          <w:tcPr>
            <w:tcW w:w="1347" w:type="dxa"/>
            <w:shd w:val="clear" w:color="auto" w:fill="FFB279" w:themeFill="accent5" w:themeFillTint="99"/>
          </w:tcPr>
          <w:p w14:paraId="1464D43B"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53</w:t>
            </w:r>
          </w:p>
        </w:tc>
        <w:tc>
          <w:tcPr>
            <w:tcW w:w="967" w:type="dxa"/>
            <w:shd w:val="clear" w:color="auto" w:fill="FFB279" w:themeFill="accent5" w:themeFillTint="99"/>
          </w:tcPr>
          <w:p w14:paraId="7B2E9400"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52</w:t>
            </w:r>
          </w:p>
        </w:tc>
        <w:tc>
          <w:tcPr>
            <w:tcW w:w="724" w:type="dxa"/>
            <w:shd w:val="clear" w:color="auto" w:fill="FFB279" w:themeFill="accent5" w:themeFillTint="99"/>
          </w:tcPr>
          <w:p w14:paraId="44F0C986" w14:textId="77777777" w:rsidR="008E66B4" w:rsidRPr="00B0553D" w:rsidRDefault="008E66B4" w:rsidP="0022057B">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52</w:t>
            </w:r>
          </w:p>
        </w:tc>
      </w:tr>
    </w:tbl>
    <w:p w14:paraId="312F50D2" w14:textId="77777777" w:rsidR="000E6BE5" w:rsidRPr="00EE5690" w:rsidRDefault="000E6BE5" w:rsidP="00EE5690">
      <w:pPr>
        <w:jc w:val="left"/>
        <w:rPr>
          <w:rFonts w:cs="Arial"/>
          <w:lang w:val="en-GB"/>
        </w:rPr>
      </w:pPr>
    </w:p>
    <w:p w14:paraId="338CF799" w14:textId="1CD86B71" w:rsidR="00B0553D" w:rsidRPr="00EE5690" w:rsidRDefault="00230FBD" w:rsidP="008E66B4">
      <w:pPr>
        <w:jc w:val="center"/>
        <w:rPr>
          <w:rFonts w:cs="Arial"/>
          <w:lang w:val="en-GB"/>
        </w:rPr>
      </w:pPr>
      <w:r w:rsidRPr="00EE5690">
        <w:rPr>
          <w:rFonts w:cs="Arial"/>
          <w:noProof/>
          <w:lang w:val="es-ES" w:eastAsia="es-ES"/>
        </w:rPr>
        <w:drawing>
          <wp:inline distT="0" distB="0" distL="0" distR="0" wp14:anchorId="3DB8D9B3" wp14:editId="410FE5BC">
            <wp:extent cx="5315722" cy="2658168"/>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ullsoef2015-162.jpg"/>
                    <pic:cNvPicPr/>
                  </pic:nvPicPr>
                  <pic:blipFill rotWithShape="1">
                    <a:blip r:embed="rId42" cstate="print">
                      <a:extLst>
                        <a:ext uri="{28A0092B-C50C-407E-A947-70E740481C1C}">
                          <a14:useLocalDpi xmlns:a14="http://schemas.microsoft.com/office/drawing/2010/main" val="0"/>
                        </a:ext>
                      </a:extLst>
                    </a:blip>
                    <a:srcRect l="8072" t="6530" r="1754"/>
                    <a:stretch/>
                  </pic:blipFill>
                  <pic:spPr bwMode="auto">
                    <a:xfrm>
                      <a:off x="0" y="0"/>
                      <a:ext cx="5330486" cy="2665551"/>
                    </a:xfrm>
                    <a:prstGeom prst="rect">
                      <a:avLst/>
                    </a:prstGeom>
                    <a:ln>
                      <a:noFill/>
                    </a:ln>
                    <a:extLst>
                      <a:ext uri="{53640926-AAD7-44D8-BBD7-CCE9431645EC}">
                        <a14:shadowObscured xmlns:a14="http://schemas.microsoft.com/office/drawing/2010/main"/>
                      </a:ext>
                    </a:extLst>
                  </pic:spPr>
                </pic:pic>
              </a:graphicData>
            </a:graphic>
          </wp:inline>
        </w:drawing>
      </w:r>
    </w:p>
    <w:p w14:paraId="187EDFA3" w14:textId="7C2BC4DD" w:rsidR="00B0553D" w:rsidRPr="00206437" w:rsidRDefault="00F3424C" w:rsidP="00206437">
      <w:pPr>
        <w:pStyle w:val="Caption"/>
        <w:rPr>
          <w:rFonts w:cs="Arial"/>
        </w:rPr>
      </w:pPr>
      <w:bookmarkStart w:id="82" w:name="_Ref26353067"/>
      <w:bookmarkStart w:id="83" w:name="_Toc91752505"/>
      <w:r w:rsidRPr="00206437">
        <w:rPr>
          <w:rFonts w:cs="Arial"/>
        </w:rPr>
        <w:t xml:space="preserve">Figure </w:t>
      </w:r>
      <w:r w:rsidRPr="00206437">
        <w:rPr>
          <w:rFonts w:cs="Arial"/>
        </w:rPr>
        <w:fldChar w:fldCharType="begin"/>
      </w:r>
      <w:r w:rsidRPr="00206437">
        <w:rPr>
          <w:rFonts w:cs="Arial"/>
        </w:rPr>
        <w:instrText xml:space="preserve"> SEQ Figure \* ARABIC </w:instrText>
      </w:r>
      <w:r w:rsidRPr="00206437">
        <w:rPr>
          <w:rFonts w:cs="Arial"/>
        </w:rPr>
        <w:fldChar w:fldCharType="separate"/>
      </w:r>
      <w:r w:rsidR="0073710A">
        <w:rPr>
          <w:rFonts w:cs="Arial"/>
          <w:noProof/>
        </w:rPr>
        <w:t>21</w:t>
      </w:r>
      <w:r w:rsidRPr="00206437">
        <w:rPr>
          <w:rFonts w:cs="Arial"/>
        </w:rPr>
        <w:fldChar w:fldCharType="end"/>
      </w:r>
      <w:bookmarkEnd w:id="82"/>
      <w:r w:rsidRPr="00206437">
        <w:rPr>
          <w:rFonts w:cs="Arial"/>
        </w:rPr>
        <w:t xml:space="preserve"> Area of protected forest (1,000 ha) in Europe by MCPFE class (1.1–1.3 and 2) in 2000, 2010 and 2015 (based on available data) (Source:  Forest Europe, 2015)</w:t>
      </w:r>
      <w:bookmarkEnd w:id="83"/>
    </w:p>
    <w:p w14:paraId="018D9044" w14:textId="4DA25F32" w:rsidR="000E6BE5" w:rsidRPr="00EE5690" w:rsidRDefault="00F34381" w:rsidP="002D2FB4">
      <w:pPr>
        <w:rPr>
          <w:rFonts w:cs="Arial"/>
          <w:lang w:val="en-GB"/>
        </w:rPr>
      </w:pPr>
      <w:r w:rsidRPr="00EE5690">
        <w:rPr>
          <w:rFonts w:cs="Arial"/>
          <w:lang w:val="en-GB"/>
        </w:rPr>
        <w:fldChar w:fldCharType="begin"/>
      </w:r>
      <w:r w:rsidRPr="00EE5690">
        <w:rPr>
          <w:rFonts w:cs="Arial"/>
          <w:lang w:val="en-GB"/>
        </w:rPr>
        <w:instrText xml:space="preserve"> REF _Ref26353067 \h </w:instrText>
      </w:r>
      <w:r w:rsidR="00EE5690" w:rsidRPr="00EE5690">
        <w:rPr>
          <w:rFonts w:cs="Arial"/>
          <w:lang w:val="en-GB"/>
        </w:rPr>
        <w:instrText xml:space="preserve"> \* MERGEFORMAT </w:instrText>
      </w:r>
      <w:r w:rsidRPr="00EE5690">
        <w:rPr>
          <w:rFonts w:cs="Arial"/>
          <w:lang w:val="en-GB"/>
        </w:rPr>
      </w:r>
      <w:r w:rsidRPr="00EE5690">
        <w:rPr>
          <w:rFonts w:cs="Arial"/>
          <w:lang w:val="en-GB"/>
        </w:rPr>
        <w:fldChar w:fldCharType="separate"/>
      </w:r>
      <w:r w:rsidR="0073710A" w:rsidRPr="00206437">
        <w:rPr>
          <w:rFonts w:cs="Arial"/>
        </w:rPr>
        <w:t xml:space="preserve">Figure </w:t>
      </w:r>
      <w:r w:rsidR="0073710A">
        <w:rPr>
          <w:rFonts w:cs="Arial"/>
          <w:noProof/>
        </w:rPr>
        <w:t>21</w:t>
      </w:r>
      <w:r w:rsidRPr="00EE5690">
        <w:rPr>
          <w:rFonts w:cs="Arial"/>
          <w:lang w:val="en-GB"/>
        </w:rPr>
        <w:fldChar w:fldCharType="end"/>
      </w:r>
      <w:r w:rsidRPr="00EE5690">
        <w:rPr>
          <w:rFonts w:cs="Arial"/>
          <w:lang w:val="en-GB"/>
        </w:rPr>
        <w:t xml:space="preserve"> presents the evolution of </w:t>
      </w:r>
      <w:r w:rsidR="00053A66" w:rsidRPr="00EE5690">
        <w:rPr>
          <w:rFonts w:cs="Arial"/>
          <w:lang w:val="en-GB"/>
        </w:rPr>
        <w:t xml:space="preserve">the protected forest area in Europe by different classes in 2000, 2010, and 2015.While </w:t>
      </w:r>
      <w:r w:rsidR="00E412B7" w:rsidRPr="00EE5690">
        <w:rPr>
          <w:rFonts w:cs="Arial"/>
          <w:lang w:val="en-GB"/>
        </w:rPr>
        <w:t xml:space="preserve">Table 21 </w:t>
      </w:r>
      <w:r w:rsidR="006100BF" w:rsidRPr="00EE5690">
        <w:rPr>
          <w:rFonts w:cs="Arial"/>
          <w:lang w:val="en-GB"/>
        </w:rPr>
        <w:t>presents objectives of EU Biodiversity strategy to 2020 relevant to forests.</w:t>
      </w:r>
      <w:bookmarkStart w:id="84" w:name="_Ref26353536"/>
    </w:p>
    <w:p w14:paraId="691C7816" w14:textId="2D04E6F4" w:rsidR="00053A66" w:rsidRPr="00206437" w:rsidRDefault="000E6BE5" w:rsidP="00206437">
      <w:pPr>
        <w:pStyle w:val="Caption"/>
        <w:rPr>
          <w:rFonts w:cs="Arial"/>
        </w:rPr>
      </w:pPr>
      <w:bookmarkStart w:id="85" w:name="_Toc91752560"/>
      <w:r w:rsidRPr="00206437">
        <w:rPr>
          <w:rFonts w:cs="Arial"/>
        </w:rPr>
        <w:t xml:space="preserve">Table </w:t>
      </w:r>
      <w:r w:rsidRPr="00206437">
        <w:rPr>
          <w:rFonts w:cs="Arial"/>
        </w:rPr>
        <w:fldChar w:fldCharType="begin"/>
      </w:r>
      <w:r w:rsidRPr="00206437">
        <w:rPr>
          <w:rFonts w:cs="Arial"/>
        </w:rPr>
        <w:instrText xml:space="preserve"> SEQ Table \* ARABIC </w:instrText>
      </w:r>
      <w:r w:rsidRPr="00206437">
        <w:rPr>
          <w:rFonts w:cs="Arial"/>
        </w:rPr>
        <w:fldChar w:fldCharType="separate"/>
      </w:r>
      <w:r w:rsidR="0073710A">
        <w:rPr>
          <w:rFonts w:cs="Arial"/>
          <w:noProof/>
        </w:rPr>
        <w:t>21</w:t>
      </w:r>
      <w:r w:rsidRPr="00206437">
        <w:rPr>
          <w:rFonts w:cs="Arial"/>
        </w:rPr>
        <w:fldChar w:fldCharType="end"/>
      </w:r>
      <w:bookmarkEnd w:id="84"/>
      <w:r w:rsidRPr="00206437">
        <w:rPr>
          <w:rFonts w:cs="Arial"/>
        </w:rPr>
        <w:t xml:space="preserve"> Selected objectives of the EU biodiversity strategy to 2020 relevant to forests</w:t>
      </w:r>
      <w:bookmarkEnd w:id="85"/>
    </w:p>
    <w:tbl>
      <w:tblPr>
        <w:tblStyle w:val="TableGrid"/>
        <w:tblW w:w="8635" w:type="dxa"/>
        <w:tblLook w:val="04A0" w:firstRow="1" w:lastRow="0" w:firstColumn="1" w:lastColumn="0" w:noHBand="0" w:noVBand="1"/>
      </w:tblPr>
      <w:tblGrid>
        <w:gridCol w:w="8635"/>
      </w:tblGrid>
      <w:tr w:rsidR="008E66B4" w14:paraId="69748C72" w14:textId="77777777" w:rsidTr="0022057B">
        <w:tc>
          <w:tcPr>
            <w:tcW w:w="8635" w:type="dxa"/>
            <w:shd w:val="clear" w:color="auto" w:fill="BFBFBF" w:themeFill="background1" w:themeFillShade="BF"/>
          </w:tcPr>
          <w:p w14:paraId="6DA18B94" w14:textId="77777777" w:rsidR="008E66B4" w:rsidRPr="004C211B" w:rsidRDefault="008E66B4" w:rsidP="0022057B">
            <w:pPr>
              <w:rPr>
                <w:b/>
                <w:lang w:val="en-GB"/>
              </w:rPr>
            </w:pPr>
            <w:r w:rsidRPr="004C211B">
              <w:rPr>
                <w:b/>
                <w:lang w:val="en-GB"/>
              </w:rPr>
              <w:t>Selected objectives of the EU Biodiversity Strategy to 2020 of relevance to forests</w:t>
            </w:r>
          </w:p>
        </w:tc>
      </w:tr>
      <w:tr w:rsidR="008E66B4" w14:paraId="60D1EC56" w14:textId="77777777" w:rsidTr="0022057B">
        <w:trPr>
          <w:trHeight w:val="809"/>
        </w:trPr>
        <w:tc>
          <w:tcPr>
            <w:tcW w:w="8635" w:type="dxa"/>
            <w:shd w:val="clear" w:color="auto" w:fill="FFE5D2" w:themeFill="accent5" w:themeFillTint="33"/>
          </w:tcPr>
          <w:p w14:paraId="373CEFF8" w14:textId="77777777" w:rsidR="008E66B4" w:rsidRDefault="008E66B4" w:rsidP="0022057B">
            <w:r>
              <w:t>1) Halting the loss of biodiversity and the degradation of ecosystem services in the EU by 2020 and restoring them in so far as feasible.</w:t>
            </w:r>
          </w:p>
          <w:p w14:paraId="37CECEEB" w14:textId="77777777" w:rsidR="008E66B4" w:rsidRDefault="008E66B4" w:rsidP="0022057B"/>
          <w:p w14:paraId="13E4CE56" w14:textId="77777777" w:rsidR="008E66B4" w:rsidRDefault="008E66B4" w:rsidP="0022057B">
            <w:r>
              <w:lastRenderedPageBreak/>
              <w:t xml:space="preserve">2) Putting forest management plans or equivalent instruments in place for all forests that are publicly owned and for forest holdings above a certain size </w:t>
            </w:r>
            <w:proofErr w:type="gramStart"/>
            <w:r>
              <w:t>so as to</w:t>
            </w:r>
            <w:proofErr w:type="gramEnd"/>
            <w:r>
              <w:t xml:space="preserve"> bring about a measurable improvement in the conservation status of species and habitats that depend on or are affected by forestry and in the provision of related ecosystem services as compared to the EU 2010 baseline.</w:t>
            </w:r>
          </w:p>
          <w:p w14:paraId="4BCC7F3A" w14:textId="77777777" w:rsidR="008E66B4" w:rsidRDefault="008E66B4" w:rsidP="0022057B"/>
          <w:p w14:paraId="7F39A092" w14:textId="77777777" w:rsidR="008E66B4" w:rsidRDefault="008E66B4" w:rsidP="0022057B">
            <w:pPr>
              <w:rPr>
                <w:lang w:val="en-GB"/>
              </w:rPr>
            </w:pPr>
            <w:r>
              <w:t>3) Fully implementing the Birds and Habitats Directives with a view to improving conservation status through the implementation of 100 percent more habitat assessments and 50 percent more species assessments under the Habitats Directive and establishing secure or improved status through the implementation of 50 percent more species assessments under the Birds Directive.</w:t>
            </w:r>
          </w:p>
        </w:tc>
      </w:tr>
    </w:tbl>
    <w:p w14:paraId="7B88B0EF" w14:textId="379613B1" w:rsidR="00AC0D5D" w:rsidRPr="00EE5690" w:rsidRDefault="00A16A5D" w:rsidP="002D2FB4">
      <w:pPr>
        <w:rPr>
          <w:rFonts w:cs="Arial"/>
          <w:lang w:val="en-GB"/>
        </w:rPr>
      </w:pPr>
      <w:r w:rsidRPr="00EE5690">
        <w:rPr>
          <w:rFonts w:cs="Arial"/>
          <w:lang w:val="en-GB"/>
        </w:rPr>
        <w:lastRenderedPageBreak/>
        <w:t>It is obvious that forests have a significant ecological environmental role connected to them. From a sustainability point of view during the assessment of the environmental aspects of the implementation of an afforestation project the following issues should be considered both during the planning phase and the management phase of a project.</w:t>
      </w:r>
    </w:p>
    <w:p w14:paraId="66653398" w14:textId="27298035" w:rsidR="00FD7FDC" w:rsidRPr="00EE5690" w:rsidRDefault="005600D0" w:rsidP="002D2FB4">
      <w:pPr>
        <w:rPr>
          <w:rFonts w:cs="Arial"/>
          <w:lang w:val="en-GB"/>
        </w:rPr>
      </w:pPr>
      <w:r w:rsidRPr="00EE5690">
        <w:rPr>
          <w:rFonts w:cs="Arial"/>
          <w:b/>
          <w:lang w:val="en-GB"/>
        </w:rPr>
        <w:t>Biodiversity</w:t>
      </w:r>
      <w:r w:rsidRPr="00EE5690">
        <w:rPr>
          <w:rFonts w:cs="Arial"/>
          <w:lang w:val="en-GB"/>
        </w:rPr>
        <w:t xml:space="preserve">: </w:t>
      </w:r>
      <w:r w:rsidR="001A7616" w:rsidRPr="00EE5690">
        <w:rPr>
          <w:rFonts w:cs="Arial"/>
          <w:lang w:val="en-GB"/>
        </w:rPr>
        <w:t xml:space="preserve">During the planning site an initial </w:t>
      </w:r>
      <w:r w:rsidRPr="00EE5690">
        <w:rPr>
          <w:rFonts w:cs="Arial"/>
          <w:lang w:val="en-GB"/>
        </w:rPr>
        <w:t>assessment</w:t>
      </w:r>
      <w:r w:rsidR="001A7616" w:rsidRPr="00EE5690">
        <w:rPr>
          <w:rFonts w:cs="Arial"/>
          <w:lang w:val="en-GB"/>
        </w:rPr>
        <w:t xml:space="preserve"> of the tree species used for the </w:t>
      </w:r>
      <w:r w:rsidRPr="00EE5690">
        <w:rPr>
          <w:rFonts w:cs="Arial"/>
          <w:lang w:val="en-GB"/>
        </w:rPr>
        <w:t>afforestation</w:t>
      </w:r>
      <w:r w:rsidR="001A7616" w:rsidRPr="00EE5690">
        <w:rPr>
          <w:rFonts w:cs="Arial"/>
          <w:lang w:val="en-GB"/>
        </w:rPr>
        <w:t xml:space="preserve"> project should be performed </w:t>
      </w:r>
      <w:proofErr w:type="gramStart"/>
      <w:r w:rsidR="001A7616" w:rsidRPr="00EE5690">
        <w:rPr>
          <w:rFonts w:cs="Arial"/>
          <w:lang w:val="en-GB"/>
        </w:rPr>
        <w:t>in order to</w:t>
      </w:r>
      <w:proofErr w:type="gramEnd"/>
      <w:r w:rsidR="001A7616" w:rsidRPr="00EE5690">
        <w:rPr>
          <w:rFonts w:cs="Arial"/>
          <w:lang w:val="en-GB"/>
        </w:rPr>
        <w:t xml:space="preserve"> increase the </w:t>
      </w:r>
      <w:r w:rsidRPr="00EE5690">
        <w:rPr>
          <w:rFonts w:cs="Arial"/>
          <w:lang w:val="en-GB"/>
        </w:rPr>
        <w:t xml:space="preserve">biodiversity protection and also the successful implementation of the project. During the planning stage native tree species and varieties that all well adapted to the site should be considered. In addition, species that can adapt to climate change should be preferred. Furthermore, species composition and structural diversity should reflect the natural diversity of the area should be selected and if </w:t>
      </w:r>
      <w:proofErr w:type="spellStart"/>
      <w:r w:rsidRPr="00EE5690">
        <w:rPr>
          <w:rFonts w:cs="Arial"/>
          <w:lang w:val="en-GB"/>
        </w:rPr>
        <w:t>its</w:t>
      </w:r>
      <w:proofErr w:type="spellEnd"/>
      <w:r w:rsidRPr="00EE5690">
        <w:rPr>
          <w:rFonts w:cs="Arial"/>
          <w:lang w:val="en-GB"/>
        </w:rPr>
        <w:t xml:space="preserve"> is applicable the reforestation project should contribute to the improvement and restoration of ecological connectivity. </w:t>
      </w:r>
    </w:p>
    <w:p w14:paraId="7E284997" w14:textId="3B41E19B" w:rsidR="005600D0" w:rsidRPr="00EE5690" w:rsidRDefault="005600D0" w:rsidP="002D2FB4">
      <w:pPr>
        <w:rPr>
          <w:rFonts w:cs="Arial"/>
          <w:lang w:val="en-GB"/>
        </w:rPr>
      </w:pPr>
      <w:r w:rsidRPr="00EE5690">
        <w:rPr>
          <w:rFonts w:cs="Arial"/>
          <w:lang w:val="en-GB"/>
        </w:rPr>
        <w:t xml:space="preserve">During the management phase of the project the ecological impact of the project should be closely monitored </w:t>
      </w:r>
      <w:proofErr w:type="gramStart"/>
      <w:r w:rsidRPr="00EE5690">
        <w:rPr>
          <w:rFonts w:cs="Arial"/>
          <w:lang w:val="en-GB"/>
        </w:rPr>
        <w:t>in order to</w:t>
      </w:r>
      <w:proofErr w:type="gramEnd"/>
      <w:r w:rsidRPr="00EE5690">
        <w:rPr>
          <w:rFonts w:cs="Arial"/>
          <w:lang w:val="en-GB"/>
        </w:rPr>
        <w:t xml:space="preserve"> asse</w:t>
      </w:r>
      <w:r w:rsidR="00B77E9C">
        <w:rPr>
          <w:rFonts w:cs="Arial"/>
          <w:lang w:val="en-GB"/>
        </w:rPr>
        <w:t>s</w:t>
      </w:r>
      <w:r w:rsidRPr="00EE5690">
        <w:rPr>
          <w:rFonts w:cs="Arial"/>
          <w:lang w:val="en-GB"/>
        </w:rPr>
        <w:t xml:space="preserve">s its biodiversity effects. </w:t>
      </w:r>
      <w:r w:rsidR="00C5096F" w:rsidRPr="00EE5690">
        <w:rPr>
          <w:rFonts w:cs="Arial"/>
          <w:lang w:val="en-GB"/>
        </w:rPr>
        <w:t xml:space="preserve">Corrective measures that increase the biodiversity like the presence of dead wood, or the conservation of certain tree species that enhance gene conservations should be considered. </w:t>
      </w:r>
      <w:r w:rsidR="00B3159E" w:rsidRPr="00EE5690">
        <w:rPr>
          <w:rFonts w:cs="Arial"/>
          <w:lang w:val="en-GB"/>
        </w:rPr>
        <w:t>In addition</w:t>
      </w:r>
      <w:r w:rsidR="00B77E9C">
        <w:rPr>
          <w:rFonts w:cs="Arial"/>
          <w:lang w:val="en-GB"/>
        </w:rPr>
        <w:t>,</w:t>
      </w:r>
      <w:r w:rsidR="00B3159E" w:rsidRPr="00EE5690">
        <w:rPr>
          <w:rFonts w:cs="Arial"/>
          <w:lang w:val="en-GB"/>
        </w:rPr>
        <w:t xml:space="preserve"> the presence of flora and fauna that is present in the newly afforested site should be monitored </w:t>
      </w:r>
      <w:proofErr w:type="gramStart"/>
      <w:r w:rsidR="00B3159E" w:rsidRPr="00EE5690">
        <w:rPr>
          <w:rFonts w:cs="Arial"/>
          <w:lang w:val="en-GB"/>
        </w:rPr>
        <w:t>in order to</w:t>
      </w:r>
      <w:proofErr w:type="gramEnd"/>
      <w:r w:rsidR="00B3159E" w:rsidRPr="00EE5690">
        <w:rPr>
          <w:rFonts w:cs="Arial"/>
          <w:lang w:val="en-GB"/>
        </w:rPr>
        <w:t xml:space="preserve"> provide input for the environmental assessment.</w:t>
      </w:r>
    </w:p>
    <w:p w14:paraId="3F3D210B" w14:textId="5E30FD4D" w:rsidR="005600D0" w:rsidRPr="00EE5690" w:rsidRDefault="00FD7FDC" w:rsidP="002D2FB4">
      <w:pPr>
        <w:rPr>
          <w:rFonts w:cs="Arial"/>
        </w:rPr>
      </w:pPr>
      <w:r w:rsidRPr="00EE5690">
        <w:rPr>
          <w:rFonts w:cs="Arial"/>
          <w:b/>
          <w:lang w:val="en-GB"/>
        </w:rPr>
        <w:t>Protective functions</w:t>
      </w:r>
      <w:r w:rsidR="005600D0" w:rsidRPr="00EE5690">
        <w:rPr>
          <w:rFonts w:cs="Arial"/>
          <w:lang w:val="en-GB"/>
        </w:rPr>
        <w:t>: During the planning phase the reforestation activities should aim to maintain and protect soil and ground and surface water resources both in terms of quality and quantity.</w:t>
      </w:r>
      <w:r w:rsidR="0049722E" w:rsidRPr="00EE5690">
        <w:rPr>
          <w:rFonts w:cs="Arial"/>
        </w:rPr>
        <w:t xml:space="preserve"> </w:t>
      </w:r>
      <w:r w:rsidR="006B764A" w:rsidRPr="00EE5690">
        <w:rPr>
          <w:rFonts w:cs="Arial"/>
        </w:rPr>
        <w:t>Also,</w:t>
      </w:r>
      <w:r w:rsidR="0049722E" w:rsidRPr="00EE5690">
        <w:rPr>
          <w:rFonts w:cs="Arial"/>
        </w:rPr>
        <w:t xml:space="preserve"> during the planning phase </w:t>
      </w:r>
      <w:r w:rsidR="00127E7C" w:rsidRPr="00EE5690">
        <w:rPr>
          <w:rFonts w:cs="Arial"/>
        </w:rPr>
        <w:t xml:space="preserve">an assessment of the protective functions that the afforestation project could fulfil must be performed. Such protective </w:t>
      </w:r>
      <w:r w:rsidR="00127E7C" w:rsidRPr="00EE5690">
        <w:rPr>
          <w:rFonts w:cs="Arial"/>
        </w:rPr>
        <w:lastRenderedPageBreak/>
        <w:t xml:space="preserve">functions can include the protection of infrastructure, soil erosion, protection of water sources, restitution of soil, etc. </w:t>
      </w:r>
    </w:p>
    <w:p w14:paraId="3CB91F2D" w14:textId="4EDA3706" w:rsidR="00FD7FDC" w:rsidRPr="00EE5690" w:rsidRDefault="00127E7C" w:rsidP="002D2FB4">
      <w:pPr>
        <w:rPr>
          <w:rFonts w:cs="Arial"/>
          <w:lang w:val="en-GB"/>
        </w:rPr>
      </w:pPr>
      <w:r w:rsidRPr="00EE5690">
        <w:rPr>
          <w:rFonts w:cs="Arial"/>
        </w:rPr>
        <w:t>During the management phase an assessment of the protective functions if any of the afforestation project should be performed in conjunction with forest management plans.</w:t>
      </w:r>
    </w:p>
    <w:p w14:paraId="0C33B2F9" w14:textId="3BC10552" w:rsidR="005271D4" w:rsidRPr="00EE5690" w:rsidRDefault="005271D4" w:rsidP="005D4B20">
      <w:pPr>
        <w:pStyle w:val="MAIL1"/>
      </w:pPr>
      <w:bookmarkStart w:id="86" w:name="_Toc91752389"/>
      <w:r w:rsidRPr="00EE5690">
        <w:t>Technological Aspects of sustainability</w:t>
      </w:r>
      <w:bookmarkEnd w:id="86"/>
    </w:p>
    <w:p w14:paraId="47FF14F4" w14:textId="271B12CD" w:rsidR="00B51830" w:rsidRPr="00EE5690" w:rsidRDefault="00127E76" w:rsidP="002D2FB4">
      <w:pPr>
        <w:rPr>
          <w:rFonts w:cs="Arial"/>
          <w:lang w:val="en-GB"/>
        </w:rPr>
      </w:pPr>
      <w:r w:rsidRPr="00EE5690">
        <w:rPr>
          <w:rFonts w:cs="Arial"/>
          <w:lang w:val="en-GB"/>
        </w:rPr>
        <w:t>Technology is going to provide the tools and means that will help and enhance the financial, social, and environmental sustainability aspects of using marginal lands as carbon sinks. In this chapter we are going to present the tools and methodologies that</w:t>
      </w:r>
      <w:r w:rsidR="00B17B6E" w:rsidRPr="00EE5690">
        <w:rPr>
          <w:rFonts w:cs="Arial"/>
          <w:lang w:val="en-GB"/>
        </w:rPr>
        <w:t xml:space="preserve"> were developed during the </w:t>
      </w:r>
      <w:r w:rsidR="00B17B6E" w:rsidRPr="00EE5690">
        <w:rPr>
          <w:rStyle w:val="IntenseEmphasis"/>
          <w:rFonts w:cs="Arial"/>
        </w:rPr>
        <w:t>MAIL</w:t>
      </w:r>
      <w:r w:rsidR="00B17B6E" w:rsidRPr="00EE5690">
        <w:rPr>
          <w:rFonts w:cs="Arial"/>
          <w:lang w:val="en-GB"/>
        </w:rPr>
        <w:t xml:space="preserve"> project </w:t>
      </w:r>
      <w:proofErr w:type="gramStart"/>
      <w:r w:rsidR="00B17B6E" w:rsidRPr="00EE5690">
        <w:rPr>
          <w:rFonts w:cs="Arial"/>
          <w:lang w:val="en-GB"/>
        </w:rPr>
        <w:t>and also</w:t>
      </w:r>
      <w:proofErr w:type="gramEnd"/>
      <w:r w:rsidR="00B17B6E" w:rsidRPr="00EE5690">
        <w:rPr>
          <w:rFonts w:cs="Arial"/>
          <w:lang w:val="en-GB"/>
        </w:rPr>
        <w:t xml:space="preserve"> provide information of potential technological advancements or workflows that will help to enhance the sustainability aspects.</w:t>
      </w:r>
      <w:r w:rsidR="002C447A" w:rsidRPr="00EE5690">
        <w:rPr>
          <w:rFonts w:cs="Arial"/>
          <w:lang w:val="en-GB"/>
        </w:rPr>
        <w:t xml:space="preserve"> </w:t>
      </w:r>
      <w:r w:rsidR="002C447A" w:rsidRPr="00EE5690">
        <w:rPr>
          <w:rFonts w:cs="Arial"/>
          <w:lang w:val="en-GB"/>
        </w:rPr>
        <w:fldChar w:fldCharType="begin"/>
      </w:r>
      <w:r w:rsidR="002C447A" w:rsidRPr="00EE5690">
        <w:rPr>
          <w:rFonts w:cs="Arial"/>
          <w:lang w:val="en-GB"/>
        </w:rPr>
        <w:instrText xml:space="preserve"> REF _Ref25914627 \h </w:instrText>
      </w:r>
      <w:r w:rsidR="00EE5690" w:rsidRPr="00EE5690">
        <w:rPr>
          <w:rFonts w:cs="Arial"/>
          <w:lang w:val="en-GB"/>
        </w:rPr>
        <w:instrText xml:space="preserve"> \* MERGEFORMAT </w:instrText>
      </w:r>
      <w:r w:rsidR="002C447A" w:rsidRPr="00EE5690">
        <w:rPr>
          <w:rFonts w:cs="Arial"/>
          <w:lang w:val="en-GB"/>
        </w:rPr>
      </w:r>
      <w:r w:rsidR="002C447A" w:rsidRPr="00EE5690">
        <w:rPr>
          <w:rFonts w:cs="Arial"/>
          <w:lang w:val="en-GB"/>
        </w:rPr>
        <w:fldChar w:fldCharType="separate"/>
      </w:r>
      <w:r w:rsidR="0073710A" w:rsidRPr="00B77E9C">
        <w:rPr>
          <w:rFonts w:cs="Arial"/>
        </w:rPr>
        <w:t xml:space="preserve">Figure </w:t>
      </w:r>
      <w:r w:rsidR="0073710A">
        <w:rPr>
          <w:rFonts w:cs="Arial"/>
          <w:noProof/>
        </w:rPr>
        <w:t>22</w:t>
      </w:r>
      <w:r w:rsidR="002C447A" w:rsidRPr="00EE5690">
        <w:rPr>
          <w:rFonts w:cs="Arial"/>
          <w:lang w:val="en-GB"/>
        </w:rPr>
        <w:fldChar w:fldCharType="end"/>
      </w:r>
      <w:r w:rsidR="002C447A" w:rsidRPr="00EE5690">
        <w:rPr>
          <w:rFonts w:cs="Arial"/>
          <w:lang w:val="en-GB"/>
        </w:rPr>
        <w:t xml:space="preserve"> presents an overview of the technological tools that can be used to enhance sustainability. </w:t>
      </w:r>
    </w:p>
    <w:p w14:paraId="509B8774" w14:textId="0EE7758B" w:rsidR="00B17B6E" w:rsidRPr="00EE5690" w:rsidRDefault="00ED65DA" w:rsidP="00EE5690">
      <w:pPr>
        <w:jc w:val="left"/>
        <w:rPr>
          <w:rFonts w:cs="Arial"/>
          <w:lang w:val="en-GB"/>
        </w:rPr>
      </w:pPr>
      <w:r w:rsidRPr="00EE5690">
        <w:rPr>
          <w:rFonts w:cs="Arial"/>
          <w:noProof/>
        </w:rPr>
        <w:drawing>
          <wp:inline distT="0" distB="0" distL="0" distR="0" wp14:anchorId="47677BA0" wp14:editId="19ED2FCC">
            <wp:extent cx="5400675" cy="2628900"/>
            <wp:effectExtent l="0" t="0" r="9525"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Εικόνα 18"/>
                    <pic:cNvPicPr/>
                  </pic:nvPicPr>
                  <pic:blipFill>
                    <a:blip r:embed="rId43">
                      <a:extLst>
                        <a:ext uri="{28A0092B-C50C-407E-A947-70E740481C1C}">
                          <a14:useLocalDpi xmlns:a14="http://schemas.microsoft.com/office/drawing/2010/main" val="0"/>
                        </a:ext>
                      </a:extLst>
                    </a:blip>
                    <a:stretch>
                      <a:fillRect/>
                    </a:stretch>
                  </pic:blipFill>
                  <pic:spPr>
                    <a:xfrm>
                      <a:off x="0" y="0"/>
                      <a:ext cx="5400675" cy="2628900"/>
                    </a:xfrm>
                    <a:prstGeom prst="rect">
                      <a:avLst/>
                    </a:prstGeom>
                  </pic:spPr>
                </pic:pic>
              </a:graphicData>
            </a:graphic>
          </wp:inline>
        </w:drawing>
      </w:r>
    </w:p>
    <w:p w14:paraId="3FDFDFDF" w14:textId="6C98EDF2" w:rsidR="005271D4" w:rsidRPr="00B77E9C" w:rsidRDefault="002C447A" w:rsidP="00FD6289">
      <w:pPr>
        <w:pStyle w:val="Caption"/>
        <w:rPr>
          <w:rFonts w:cs="Arial"/>
        </w:rPr>
      </w:pPr>
      <w:bookmarkStart w:id="87" w:name="_Ref25914627"/>
      <w:bookmarkStart w:id="88" w:name="_Toc91752506"/>
      <w:r w:rsidRPr="00B77E9C">
        <w:rPr>
          <w:rFonts w:cs="Arial"/>
        </w:rPr>
        <w:t xml:space="preserve">Figure </w:t>
      </w:r>
      <w:r w:rsidRPr="00B77E9C">
        <w:rPr>
          <w:rFonts w:cs="Arial"/>
        </w:rPr>
        <w:fldChar w:fldCharType="begin"/>
      </w:r>
      <w:r w:rsidRPr="00B77E9C">
        <w:rPr>
          <w:rFonts w:cs="Arial"/>
        </w:rPr>
        <w:instrText xml:space="preserve"> SEQ Figure \* ARABIC </w:instrText>
      </w:r>
      <w:r w:rsidRPr="00B77E9C">
        <w:rPr>
          <w:rFonts w:cs="Arial"/>
        </w:rPr>
        <w:fldChar w:fldCharType="separate"/>
      </w:r>
      <w:r w:rsidR="0073710A">
        <w:rPr>
          <w:rFonts w:cs="Arial"/>
          <w:noProof/>
        </w:rPr>
        <w:t>22</w:t>
      </w:r>
      <w:r w:rsidRPr="00B77E9C">
        <w:rPr>
          <w:rFonts w:cs="Arial"/>
        </w:rPr>
        <w:fldChar w:fldCharType="end"/>
      </w:r>
      <w:bookmarkEnd w:id="87"/>
      <w:r w:rsidRPr="00B77E9C">
        <w:rPr>
          <w:rFonts w:cs="Arial"/>
        </w:rPr>
        <w:t xml:space="preserve"> Technological aspects for the enhancement of sustainability</w:t>
      </w:r>
      <w:bookmarkEnd w:id="88"/>
    </w:p>
    <w:p w14:paraId="7C7AA945" w14:textId="70C3394D" w:rsidR="00766C02" w:rsidRPr="00EE5690" w:rsidRDefault="002C447A" w:rsidP="002D2FB4">
      <w:pPr>
        <w:rPr>
          <w:rFonts w:cs="Arial"/>
          <w:lang w:val="en-GB"/>
        </w:rPr>
      </w:pPr>
      <w:r w:rsidRPr="00EE5690">
        <w:rPr>
          <w:rFonts w:cs="Arial"/>
          <w:lang w:val="en-GB"/>
        </w:rPr>
        <w:t>During the implementation of</w:t>
      </w:r>
      <w:r w:rsidR="00FD6289">
        <w:rPr>
          <w:rFonts w:cs="Arial"/>
          <w:lang w:val="en-GB"/>
        </w:rPr>
        <w:t xml:space="preserve"> the</w:t>
      </w:r>
      <w:r w:rsidRPr="00EE5690">
        <w:rPr>
          <w:rFonts w:cs="Arial"/>
          <w:lang w:val="en-GB"/>
        </w:rPr>
        <w:t xml:space="preserve"> </w:t>
      </w:r>
      <w:r w:rsidRPr="00EE5690">
        <w:rPr>
          <w:rStyle w:val="IntenseEmphasis"/>
          <w:rFonts w:cs="Arial"/>
        </w:rPr>
        <w:t>MAIL</w:t>
      </w:r>
      <w:r w:rsidRPr="00EE5690">
        <w:rPr>
          <w:rFonts w:cs="Arial"/>
          <w:lang w:val="en-GB"/>
        </w:rPr>
        <w:t xml:space="preserve"> project </w:t>
      </w:r>
      <w:r w:rsidR="004D3D31" w:rsidRPr="00EE5690">
        <w:rPr>
          <w:rFonts w:cs="Arial"/>
          <w:lang w:val="en-GB"/>
        </w:rPr>
        <w:t>a</w:t>
      </w:r>
      <w:r w:rsidRPr="00EE5690">
        <w:rPr>
          <w:rFonts w:cs="Arial"/>
          <w:lang w:val="en-GB"/>
        </w:rPr>
        <w:t xml:space="preserve"> series of various technological tools and approaches has been developed. </w:t>
      </w:r>
      <w:r w:rsidR="00F706E5" w:rsidRPr="00EE5690">
        <w:rPr>
          <w:rFonts w:cs="Arial"/>
          <w:lang w:val="en-GB"/>
        </w:rPr>
        <w:t>A brief presentation and analysis of the developed products and their use in the sustainability assessment is going to be presented in the following sections.</w:t>
      </w:r>
    </w:p>
    <w:p w14:paraId="2885EE0E" w14:textId="23CF2314" w:rsidR="00F706E5" w:rsidRPr="00EE5690" w:rsidRDefault="007C411A" w:rsidP="005D4B20">
      <w:pPr>
        <w:pStyle w:val="MAIL11"/>
      </w:pPr>
      <w:bookmarkStart w:id="89" w:name="_Toc91752390"/>
      <w:r w:rsidRPr="00EE5690">
        <w:lastRenderedPageBreak/>
        <w:t>Marginal Land Detection</w:t>
      </w:r>
      <w:bookmarkEnd w:id="89"/>
    </w:p>
    <w:p w14:paraId="5AB0B968" w14:textId="06642D71" w:rsidR="00766C02" w:rsidRPr="00EE5690" w:rsidRDefault="00B344A2" w:rsidP="002D2FB4">
      <w:pPr>
        <w:rPr>
          <w:rFonts w:cs="Arial"/>
          <w:lang w:val="en-GB"/>
        </w:rPr>
      </w:pPr>
      <w:r w:rsidRPr="00EE5690">
        <w:rPr>
          <w:rFonts w:cs="Arial"/>
          <w:lang w:val="en-GB"/>
        </w:rPr>
        <w:t>The detection of marginal land was the main objective of task 2.3 “Methodology development of s/</w:t>
      </w:r>
      <w:proofErr w:type="spellStart"/>
      <w:r w:rsidRPr="00EE5690">
        <w:rPr>
          <w:rFonts w:cs="Arial"/>
          <w:lang w:val="en-GB"/>
        </w:rPr>
        <w:t>sm</w:t>
      </w:r>
      <w:proofErr w:type="spellEnd"/>
      <w:r w:rsidRPr="00EE5690">
        <w:rPr>
          <w:rFonts w:cs="Arial"/>
          <w:lang w:val="en-GB"/>
        </w:rPr>
        <w:t xml:space="preserve"> MLs detection”. The work performed in this task provided the workflows and the methodology for the detection of marginal lands using existing land cover, land use layers and a series of indicators </w:t>
      </w:r>
      <w:proofErr w:type="gramStart"/>
      <w:r w:rsidRPr="00EE5690">
        <w:rPr>
          <w:rFonts w:cs="Arial"/>
          <w:lang w:val="en-GB"/>
        </w:rPr>
        <w:t>in order to</w:t>
      </w:r>
      <w:proofErr w:type="gramEnd"/>
      <w:r w:rsidRPr="00EE5690">
        <w:rPr>
          <w:rFonts w:cs="Arial"/>
          <w:lang w:val="en-GB"/>
        </w:rPr>
        <w:t xml:space="preserve"> detect potential marginal land in the European area. </w:t>
      </w:r>
      <w:r w:rsidR="00ED3A2C" w:rsidRPr="00EE5690">
        <w:rPr>
          <w:rFonts w:cs="Arial"/>
          <w:lang w:val="en-GB"/>
        </w:rPr>
        <w:t xml:space="preserve">The result of this task is a pan European digital map implemented in a </w:t>
      </w:r>
      <w:proofErr w:type="spellStart"/>
      <w:r w:rsidR="00ED3A2C" w:rsidRPr="00EE5690">
        <w:rPr>
          <w:rFonts w:cs="Arial"/>
          <w:lang w:val="en-GB"/>
        </w:rPr>
        <w:t>WebGIS</w:t>
      </w:r>
      <w:proofErr w:type="spellEnd"/>
      <w:r w:rsidR="00ED3A2C" w:rsidRPr="00EE5690">
        <w:rPr>
          <w:rFonts w:cs="Arial"/>
          <w:lang w:val="en-GB"/>
        </w:rPr>
        <w:t xml:space="preserve"> that displays the potential marginal lands.</w:t>
      </w:r>
    </w:p>
    <w:p w14:paraId="5214320F" w14:textId="6AC372F8" w:rsidR="00766C02" w:rsidRPr="00EE5690" w:rsidRDefault="00ED3A2C" w:rsidP="002D2FB4">
      <w:pPr>
        <w:rPr>
          <w:rFonts w:cs="Arial"/>
          <w:lang w:val="en-GB"/>
        </w:rPr>
      </w:pPr>
      <w:r w:rsidRPr="00EE5690">
        <w:rPr>
          <w:rFonts w:cs="Arial"/>
          <w:lang w:val="en-GB"/>
        </w:rPr>
        <w:t xml:space="preserve">This </w:t>
      </w:r>
      <w:r w:rsidR="00464DF2" w:rsidRPr="00EE5690">
        <w:rPr>
          <w:rFonts w:cs="Arial"/>
          <w:lang w:val="en-GB"/>
        </w:rPr>
        <w:t>map layer will be the starting point for a sustainability assessment. The potential marginal land layer can be used in combination with other existing local, regional, national, or European layers by interested parties (potential inventors) to identify areas of interested that are suitable for the implementation of afforestation projects or estimate a suitability metric.</w:t>
      </w:r>
    </w:p>
    <w:p w14:paraId="671E74F9" w14:textId="72416CF3" w:rsidR="00E9740A" w:rsidRPr="00EE5690" w:rsidRDefault="00497BEE" w:rsidP="005D4B20">
      <w:pPr>
        <w:pStyle w:val="MAIL11"/>
      </w:pPr>
      <w:bookmarkStart w:id="90" w:name="_Toc91752391"/>
      <w:r w:rsidRPr="00EE5690">
        <w:t xml:space="preserve">Augmentation of marginal land </w:t>
      </w:r>
      <w:r w:rsidR="009233B4" w:rsidRPr="00EE5690">
        <w:t>detection</w:t>
      </w:r>
      <w:bookmarkEnd w:id="90"/>
    </w:p>
    <w:p w14:paraId="3E1210DB" w14:textId="413FBADD" w:rsidR="00203B2A" w:rsidRPr="00EE5690" w:rsidRDefault="00203B2A" w:rsidP="002D2FB4">
      <w:pPr>
        <w:rPr>
          <w:rFonts w:cs="Arial"/>
          <w:lang w:val="en-GB"/>
        </w:rPr>
      </w:pPr>
      <w:r w:rsidRPr="00EE5690">
        <w:rPr>
          <w:rFonts w:cs="Arial"/>
          <w:lang w:val="en-GB"/>
        </w:rPr>
        <w:t xml:space="preserve">Task 2.8 “Augment precision of MLs detection” provided the tools and methodologies for the augmentation of marginal land detection. The developed methodology provides a </w:t>
      </w:r>
      <w:r w:rsidR="001A5B52" w:rsidRPr="00EE5690">
        <w:rPr>
          <w:rFonts w:cs="Arial"/>
          <w:lang w:val="en-GB"/>
        </w:rPr>
        <w:t xml:space="preserve">machine learning classification </w:t>
      </w:r>
      <w:r w:rsidRPr="00EE5690">
        <w:rPr>
          <w:rFonts w:cs="Arial"/>
          <w:lang w:val="en-GB"/>
        </w:rPr>
        <w:t xml:space="preserve">workflow using free multi temporal satellite data to improve the detection of marginal lands. </w:t>
      </w:r>
    </w:p>
    <w:p w14:paraId="78138AF7" w14:textId="358B1E08" w:rsidR="005A6A64" w:rsidRPr="00EE5690" w:rsidRDefault="001A5B52" w:rsidP="002D2FB4">
      <w:pPr>
        <w:rPr>
          <w:rFonts w:cs="Arial"/>
          <w:lang w:val="en-GB"/>
        </w:rPr>
      </w:pPr>
      <w:r w:rsidRPr="00EE5690">
        <w:rPr>
          <w:rFonts w:cs="Arial"/>
          <w:lang w:val="en-GB"/>
        </w:rPr>
        <w:t>Like the results of Task 2.3, t</w:t>
      </w:r>
      <w:r w:rsidR="00203B2A" w:rsidRPr="00EE5690">
        <w:rPr>
          <w:rFonts w:cs="Arial"/>
          <w:lang w:val="en-GB"/>
        </w:rPr>
        <w:t xml:space="preserve">he results of task 2.8 can </w:t>
      </w:r>
      <w:r w:rsidRPr="00EE5690">
        <w:rPr>
          <w:rFonts w:cs="Arial"/>
          <w:lang w:val="en-GB"/>
        </w:rPr>
        <w:t xml:space="preserve">also </w:t>
      </w:r>
      <w:r w:rsidR="00203B2A" w:rsidRPr="00EE5690">
        <w:rPr>
          <w:rFonts w:cs="Arial"/>
          <w:lang w:val="en-GB"/>
        </w:rPr>
        <w:t>be used in the selection of suitable areas for the implementation of an afforestation project</w:t>
      </w:r>
      <w:r w:rsidR="00FA10A2" w:rsidRPr="00EE5690">
        <w:rPr>
          <w:rFonts w:cs="Arial"/>
          <w:lang w:val="en-GB"/>
        </w:rPr>
        <w:t xml:space="preserve"> (Decision Support System)</w:t>
      </w:r>
      <w:r w:rsidR="00203B2A" w:rsidRPr="00EE5690">
        <w:rPr>
          <w:rFonts w:cs="Arial"/>
          <w:lang w:val="en-GB"/>
        </w:rPr>
        <w:t xml:space="preserve">. </w:t>
      </w:r>
      <w:r w:rsidR="005A6A64" w:rsidRPr="00EE5690">
        <w:rPr>
          <w:rFonts w:cs="Arial"/>
          <w:lang w:val="en-GB"/>
        </w:rPr>
        <w:t xml:space="preserve">Using the map that delineates all the potentially suitable MLs for an afforestation project produced in Task 2.3, </w:t>
      </w:r>
      <w:r w:rsidRPr="00EE5690">
        <w:rPr>
          <w:rFonts w:cs="Arial"/>
          <w:lang w:val="en-GB"/>
        </w:rPr>
        <w:t>and by harnessing the temporal capabilities of satellite data, the tool developed in Task 2.8 will be able to extend the functionality of the initial MLs detection to future dates.</w:t>
      </w:r>
    </w:p>
    <w:p w14:paraId="3648AFC9" w14:textId="3277E95F" w:rsidR="005D6487" w:rsidRPr="00EE5690" w:rsidRDefault="005D6487" w:rsidP="005D4B20">
      <w:pPr>
        <w:pStyle w:val="MAIL11"/>
      </w:pPr>
      <w:bookmarkStart w:id="91" w:name="_Toc91752392"/>
      <w:r w:rsidRPr="00EE5690">
        <w:t>Model for the estimation of sequestered carbon</w:t>
      </w:r>
      <w:bookmarkEnd w:id="91"/>
    </w:p>
    <w:p w14:paraId="719478E9" w14:textId="2560B6F2" w:rsidR="0001739B" w:rsidRPr="00EE5690" w:rsidRDefault="00576A50" w:rsidP="002D2FB4">
      <w:pPr>
        <w:rPr>
          <w:rFonts w:cs="Arial"/>
          <w:lang w:val="en-GB"/>
        </w:rPr>
      </w:pPr>
      <w:r w:rsidRPr="00EE5690">
        <w:rPr>
          <w:rFonts w:cs="Arial"/>
          <w:lang w:val="en-GB"/>
        </w:rPr>
        <w:t>During the implementation of task 2.5 “Existing models (IPCC, etc.) customization - evaluation - validation, considering local aspects” different m</w:t>
      </w:r>
      <w:r w:rsidR="00FA10A2" w:rsidRPr="00EE5690">
        <w:rPr>
          <w:rFonts w:cs="Arial"/>
          <w:lang w:val="en-GB"/>
        </w:rPr>
        <w:t>ethodologies</w:t>
      </w:r>
      <w:r w:rsidRPr="00EE5690">
        <w:rPr>
          <w:rFonts w:cs="Arial"/>
          <w:lang w:val="en-GB"/>
        </w:rPr>
        <w:t xml:space="preserve"> for the estimation carbon storage in different tree species were </w:t>
      </w:r>
      <w:r w:rsidR="00FA10A2" w:rsidRPr="00EE5690">
        <w:rPr>
          <w:rFonts w:cs="Arial"/>
          <w:lang w:val="en-GB"/>
        </w:rPr>
        <w:t>reviewed</w:t>
      </w:r>
      <w:r w:rsidRPr="00EE5690">
        <w:rPr>
          <w:rFonts w:cs="Arial"/>
          <w:lang w:val="en-GB"/>
        </w:rPr>
        <w:t xml:space="preserve">. The </w:t>
      </w:r>
      <w:r w:rsidR="00660131" w:rsidRPr="00EE5690">
        <w:rPr>
          <w:rFonts w:cs="Arial"/>
          <w:lang w:val="en-GB"/>
        </w:rPr>
        <w:t xml:space="preserve">reviewed methods for calculation of carbon sequestration </w:t>
      </w:r>
      <w:r w:rsidR="003C05F8" w:rsidRPr="00EE5690">
        <w:rPr>
          <w:rFonts w:cs="Arial"/>
          <w:lang w:val="en-GB"/>
        </w:rPr>
        <w:t>are</w:t>
      </w:r>
      <w:r w:rsidR="00660131" w:rsidRPr="00EE5690">
        <w:rPr>
          <w:rFonts w:cs="Arial"/>
          <w:lang w:val="en-GB"/>
        </w:rPr>
        <w:t xml:space="preserve"> direct and indirect in which biomass and allometric equations along with Remote sensing </w:t>
      </w:r>
      <w:r w:rsidR="003C05F8" w:rsidRPr="00EE5690">
        <w:rPr>
          <w:rFonts w:cs="Arial"/>
          <w:lang w:val="en-GB"/>
        </w:rPr>
        <w:t>are</w:t>
      </w:r>
      <w:r w:rsidR="006F6A4A" w:rsidRPr="00EE5690">
        <w:rPr>
          <w:rFonts w:cs="Arial"/>
          <w:lang w:val="en-GB"/>
        </w:rPr>
        <w:t xml:space="preserve"> found.</w:t>
      </w:r>
      <w:r w:rsidRPr="00EE5690">
        <w:rPr>
          <w:rFonts w:cs="Arial"/>
          <w:lang w:val="en-GB"/>
        </w:rPr>
        <w:t xml:space="preserve"> </w:t>
      </w:r>
      <w:r w:rsidR="006F6A4A" w:rsidRPr="00EE5690">
        <w:rPr>
          <w:rFonts w:cs="Arial"/>
          <w:lang w:val="en-GB"/>
        </w:rPr>
        <w:t>Moreover</w:t>
      </w:r>
      <w:r w:rsidR="00480D27" w:rsidRPr="00EE5690">
        <w:rPr>
          <w:rFonts w:cs="Arial"/>
          <w:lang w:val="en-GB"/>
        </w:rPr>
        <w:t>,</w:t>
      </w:r>
      <w:r w:rsidR="006F6A4A" w:rsidRPr="00EE5690">
        <w:rPr>
          <w:rFonts w:cs="Arial"/>
          <w:lang w:val="en-GB"/>
        </w:rPr>
        <w:t xml:space="preserve"> IPCC guidelines consulted summarized and explained. </w:t>
      </w:r>
      <w:r w:rsidR="00480D27" w:rsidRPr="00EE5690">
        <w:rPr>
          <w:rFonts w:cs="Arial"/>
          <w:lang w:val="en-GB"/>
        </w:rPr>
        <w:t xml:space="preserve">From IPCC guidelines the Tier 1 is proposed, by this task, to be used which mainly uses default values by LULUCF type and it is most suitable </w:t>
      </w:r>
      <w:r w:rsidR="003C05F8" w:rsidRPr="00EE5690">
        <w:rPr>
          <w:rFonts w:cs="Arial"/>
          <w:lang w:val="en-GB"/>
        </w:rPr>
        <w:t xml:space="preserve">for nations with limited inventory and remote-sensing capabilities. </w:t>
      </w:r>
      <w:r w:rsidR="003C05F8" w:rsidRPr="00EE5690">
        <w:rPr>
          <w:rFonts w:cs="Arial"/>
          <w:lang w:val="en-GB"/>
        </w:rPr>
        <w:lastRenderedPageBreak/>
        <w:t xml:space="preserve">Tier 1 has a simple first order approach but large uncertainties. Finally, in Task 4.2 the Tier 3 is applied which is based </w:t>
      </w:r>
      <w:r w:rsidR="003A7E95" w:rsidRPr="00EE5690">
        <w:rPr>
          <w:rFonts w:cs="Arial"/>
          <w:lang w:val="en-GB"/>
        </w:rPr>
        <w:t>on inventory and process-based models and it includes methods that represent more demanding technical capabilities, accuracy</w:t>
      </w:r>
      <w:r w:rsidR="00B77E9C">
        <w:rPr>
          <w:rFonts w:cs="Arial"/>
          <w:lang w:val="en-GB"/>
        </w:rPr>
        <w:t>,</w:t>
      </w:r>
      <w:r w:rsidR="003A7E95" w:rsidRPr="00EE5690">
        <w:rPr>
          <w:rFonts w:cs="Arial"/>
          <w:lang w:val="en-GB"/>
        </w:rPr>
        <w:t xml:space="preserve"> and data requirements. Tier 3 has higher order methods and lower uncertainties. </w:t>
      </w:r>
    </w:p>
    <w:p w14:paraId="2FD09748" w14:textId="090F4D86" w:rsidR="005D6487" w:rsidRPr="00EE5690" w:rsidRDefault="005D6487" w:rsidP="005D4B20">
      <w:pPr>
        <w:pStyle w:val="MAIL11"/>
      </w:pPr>
      <w:bookmarkStart w:id="92" w:name="_Toc91752393"/>
      <w:r w:rsidRPr="00EE5690">
        <w:t>Estimation of biomass volume</w:t>
      </w:r>
      <w:bookmarkEnd w:id="92"/>
    </w:p>
    <w:p w14:paraId="272A00ED" w14:textId="161CE9CE" w:rsidR="008E1638" w:rsidRPr="00EE5690" w:rsidRDefault="00604627" w:rsidP="002D2FB4">
      <w:pPr>
        <w:rPr>
          <w:rFonts w:cs="Arial"/>
          <w:lang w:val="en-GB"/>
        </w:rPr>
      </w:pPr>
      <w:r w:rsidRPr="00EE5690">
        <w:rPr>
          <w:rFonts w:cs="Arial"/>
          <w:lang w:val="en-GB"/>
        </w:rPr>
        <w:t>In task 2.6 “</w:t>
      </w:r>
      <w:r w:rsidR="006935FC" w:rsidRPr="00EE5690">
        <w:rPr>
          <w:rFonts w:cs="Arial"/>
          <w:lang w:val="en-GB"/>
        </w:rPr>
        <w:t>Estimation of biomass volume at low productivity m/</w:t>
      </w:r>
      <w:proofErr w:type="spellStart"/>
      <w:r w:rsidR="006935FC" w:rsidRPr="00EE5690">
        <w:rPr>
          <w:rFonts w:cs="Arial"/>
          <w:lang w:val="en-GB"/>
        </w:rPr>
        <w:t>sm</w:t>
      </w:r>
      <w:proofErr w:type="spellEnd"/>
      <w:r w:rsidR="006935FC" w:rsidRPr="00EE5690">
        <w:rPr>
          <w:rFonts w:cs="Arial"/>
          <w:lang w:val="en-GB"/>
        </w:rPr>
        <w:t xml:space="preserve"> MLs” algorithm and methodologies were developed for the estimation of biomass using SAR satellite images and LIDAR data. The developed approaches can be used to estimate the existing biomass in an implemented afforestation project, and thus the potential carbon sequestration achieved in the project. Such estimation can be produced every 3-5 years providing a </w:t>
      </w:r>
      <w:r w:rsidR="00FF2AAF" w:rsidRPr="00EE5690">
        <w:rPr>
          <w:rFonts w:cs="Arial"/>
          <w:lang w:val="en-GB"/>
        </w:rPr>
        <w:t>powerful</w:t>
      </w:r>
      <w:r w:rsidR="006935FC" w:rsidRPr="00EE5690">
        <w:rPr>
          <w:rFonts w:cs="Arial"/>
          <w:lang w:val="en-GB"/>
        </w:rPr>
        <w:t xml:space="preserve"> tool for the </w:t>
      </w:r>
      <w:r w:rsidR="00FF2AAF" w:rsidRPr="00EE5690">
        <w:rPr>
          <w:rFonts w:cs="Arial"/>
          <w:lang w:val="en-GB"/>
        </w:rPr>
        <w:t>monitoring</w:t>
      </w:r>
      <w:r w:rsidR="006935FC" w:rsidRPr="00EE5690">
        <w:rPr>
          <w:rFonts w:cs="Arial"/>
          <w:lang w:val="en-GB"/>
        </w:rPr>
        <w:t xml:space="preserve"> of an afforestation project.</w:t>
      </w:r>
    </w:p>
    <w:p w14:paraId="69098EB2" w14:textId="477B5218" w:rsidR="008E1638" w:rsidRPr="00EE5690" w:rsidRDefault="00A77CB3" w:rsidP="005D4B20">
      <w:pPr>
        <w:pStyle w:val="MAIL11"/>
      </w:pPr>
      <w:bookmarkStart w:id="93" w:name="_Toc91752394"/>
      <w:r w:rsidRPr="00EE5690">
        <w:t>Estimation of carbon stock in forest products</w:t>
      </w:r>
      <w:bookmarkEnd w:id="93"/>
    </w:p>
    <w:p w14:paraId="3B08B65B" w14:textId="08FC384B" w:rsidR="00BC7838" w:rsidRPr="00EE5690" w:rsidRDefault="0045262B" w:rsidP="002D2FB4">
      <w:pPr>
        <w:rPr>
          <w:rFonts w:cs="Arial"/>
          <w:lang w:val="en-GB"/>
        </w:rPr>
      </w:pPr>
      <w:r w:rsidRPr="00EE5690">
        <w:rPr>
          <w:rFonts w:cs="Arial"/>
          <w:lang w:val="en-GB"/>
        </w:rPr>
        <w:t xml:space="preserve">During the implementation of task </w:t>
      </w:r>
      <w:r w:rsidR="00D80729" w:rsidRPr="00EE5690">
        <w:rPr>
          <w:rFonts w:cs="Arial"/>
          <w:lang w:val="en-GB"/>
        </w:rPr>
        <w:t xml:space="preserve">4.3 “Pilot case study 3: Estimation of carbon stock in forest products” a methodology and a tool for the estimation of carbon stock in forest products along with their degradation and life values was developed. The developed methodology and tools will be used for the assessment of carbon stock in produced forest products of an afforestation project. This tool can be used both during the planning and monitoring phase of an afforestation project. </w:t>
      </w:r>
    </w:p>
    <w:p w14:paraId="26E6BDB3" w14:textId="57D412A2" w:rsidR="005D6487" w:rsidRPr="00EE5690" w:rsidRDefault="005D6487" w:rsidP="005D4B20">
      <w:pPr>
        <w:pStyle w:val="MAIL11"/>
      </w:pPr>
      <w:bookmarkStart w:id="94" w:name="_Toc91752395"/>
      <w:r w:rsidRPr="00EE5690">
        <w:t xml:space="preserve">Classification of MLs in carbon sequestration </w:t>
      </w:r>
      <w:r w:rsidR="00672A62" w:rsidRPr="00EE5690">
        <w:t xml:space="preserve">capacity </w:t>
      </w:r>
      <w:r w:rsidRPr="00EE5690">
        <w:t>groups</w:t>
      </w:r>
      <w:bookmarkEnd w:id="94"/>
    </w:p>
    <w:p w14:paraId="5A7608BF" w14:textId="2F281504" w:rsidR="008E1638" w:rsidRPr="00EE5690" w:rsidRDefault="002C2C8E" w:rsidP="002D2FB4">
      <w:pPr>
        <w:rPr>
          <w:rFonts w:cs="Arial"/>
          <w:lang w:val="en-GB"/>
        </w:rPr>
      </w:pPr>
      <w:r w:rsidRPr="00EE5690">
        <w:rPr>
          <w:rFonts w:cs="Arial"/>
          <w:lang w:val="en-GB"/>
        </w:rPr>
        <w:t>Task 2.</w:t>
      </w:r>
      <w:r w:rsidR="00EE58CB" w:rsidRPr="00EE5690">
        <w:rPr>
          <w:rFonts w:cs="Arial"/>
          <w:lang w:val="en-GB"/>
        </w:rPr>
        <w:t>7</w:t>
      </w:r>
      <w:r w:rsidRPr="00EE5690">
        <w:rPr>
          <w:rFonts w:cs="Arial"/>
          <w:lang w:val="en-GB"/>
        </w:rPr>
        <w:t xml:space="preserve"> </w:t>
      </w:r>
      <w:r w:rsidR="005410DF" w:rsidRPr="00EE5690">
        <w:rPr>
          <w:rFonts w:cs="Arial"/>
          <w:lang w:val="en-GB"/>
        </w:rPr>
        <w:t>“m/</w:t>
      </w:r>
      <w:proofErr w:type="spellStart"/>
      <w:r w:rsidR="005410DF" w:rsidRPr="00EE5690">
        <w:rPr>
          <w:rFonts w:cs="Arial"/>
          <w:lang w:val="en-GB"/>
        </w:rPr>
        <w:t>sm</w:t>
      </w:r>
      <w:proofErr w:type="spellEnd"/>
      <w:r w:rsidR="005410DF" w:rsidRPr="00EE5690">
        <w:rPr>
          <w:rFonts w:cs="Arial"/>
          <w:lang w:val="en-GB"/>
        </w:rPr>
        <w:t xml:space="preserve"> MLs classification in Carbon sequestration capacity groups” </w:t>
      </w:r>
      <w:r w:rsidRPr="00EE5690">
        <w:rPr>
          <w:rFonts w:cs="Arial"/>
          <w:lang w:val="en-GB"/>
        </w:rPr>
        <w:t>produced a classification of the detected marginal lands in different carbon sequestration groups based on the following indicators</w:t>
      </w:r>
      <w:r w:rsidR="00C831B8" w:rsidRPr="00EE5690">
        <w:rPr>
          <w:rFonts w:cs="Arial"/>
          <w:lang w:val="en-GB"/>
        </w:rPr>
        <w:t xml:space="preserve"> Carbon Carrying Capacity (CCC) input from task 4.2 and the Current Carbon Sequestration (CCS). </w:t>
      </w:r>
      <w:r w:rsidR="00372ED5" w:rsidRPr="00EE5690">
        <w:rPr>
          <w:rFonts w:cs="Arial"/>
          <w:lang w:val="en-GB"/>
        </w:rPr>
        <w:t>The CSC (carbon sequestration capacity) was defined as CCC-</w:t>
      </w:r>
      <w:proofErr w:type="gramStart"/>
      <w:r w:rsidR="00372ED5" w:rsidRPr="00EE5690">
        <w:rPr>
          <w:rFonts w:cs="Arial"/>
          <w:lang w:val="en-GB"/>
        </w:rPr>
        <w:t>CCS</w:t>
      </w:r>
      <w:proofErr w:type="gramEnd"/>
      <w:r w:rsidR="00372ED5" w:rsidRPr="00EE5690">
        <w:rPr>
          <w:rFonts w:cs="Arial"/>
          <w:lang w:val="en-GB"/>
        </w:rPr>
        <w:t xml:space="preserve"> and it is applied at two resolution levels. </w:t>
      </w:r>
      <w:r w:rsidR="00C831B8" w:rsidRPr="00EE5690">
        <w:rPr>
          <w:rFonts w:cs="Arial"/>
          <w:lang w:val="en-GB"/>
        </w:rPr>
        <w:t>T</w:t>
      </w:r>
      <w:r w:rsidRPr="00EE5690">
        <w:rPr>
          <w:rFonts w:cs="Arial"/>
          <w:lang w:val="en-GB"/>
        </w:rPr>
        <w:t xml:space="preserve">he produced layer can be used in the selection of suitable areas, and tree species for the implementation of an afforestation project. </w:t>
      </w:r>
    </w:p>
    <w:p w14:paraId="2A93B8A0" w14:textId="79478720" w:rsidR="00A77CB3" w:rsidRPr="00EE5690" w:rsidRDefault="00A77CB3" w:rsidP="005D4B20">
      <w:pPr>
        <w:pStyle w:val="MAIL11"/>
      </w:pPr>
      <w:bookmarkStart w:id="95" w:name="_Toc91752396"/>
      <w:r w:rsidRPr="00EE5690">
        <w:t xml:space="preserve">Change detection and mapping </w:t>
      </w:r>
      <w:r w:rsidR="00BF7B27" w:rsidRPr="00EE5690">
        <w:t xml:space="preserve">of </w:t>
      </w:r>
      <w:r w:rsidRPr="00EE5690">
        <w:t>forest marginal lands</w:t>
      </w:r>
      <w:bookmarkEnd w:id="95"/>
    </w:p>
    <w:p w14:paraId="7EDBC15C" w14:textId="5A4F7113" w:rsidR="00BF7B27" w:rsidRPr="00EE5690" w:rsidRDefault="00BF7B27" w:rsidP="002D2FB4">
      <w:pPr>
        <w:rPr>
          <w:rFonts w:cs="Arial"/>
          <w:lang w:val="en-GB"/>
        </w:rPr>
      </w:pPr>
      <w:r w:rsidRPr="00EE5690">
        <w:rPr>
          <w:rFonts w:cs="Arial"/>
          <w:lang w:val="en-GB"/>
        </w:rPr>
        <w:t xml:space="preserve">Task 4.4 “Pilot case study 4: Change detection and mapping in forest MLs” developed an approach for the multi temporal monitoring and suitability </w:t>
      </w:r>
      <w:r w:rsidR="00616318" w:rsidRPr="00EE5690">
        <w:rPr>
          <w:rFonts w:cs="Arial"/>
          <w:lang w:val="en-GB"/>
        </w:rPr>
        <w:t>assessment</w:t>
      </w:r>
      <w:r w:rsidRPr="00EE5690">
        <w:rPr>
          <w:rFonts w:cs="Arial"/>
          <w:lang w:val="en-GB"/>
        </w:rPr>
        <w:t xml:space="preserve"> of marginal lands. The results of the </w:t>
      </w:r>
      <w:r w:rsidR="00A237CB" w:rsidRPr="00EE5690">
        <w:rPr>
          <w:rFonts w:cs="Arial"/>
          <w:lang w:val="en-GB"/>
        </w:rPr>
        <w:t xml:space="preserve">task can be used during the implementation phase of an </w:t>
      </w:r>
      <w:r w:rsidR="00616318" w:rsidRPr="00EE5690">
        <w:rPr>
          <w:rFonts w:cs="Arial"/>
          <w:lang w:val="en-GB"/>
        </w:rPr>
        <w:lastRenderedPageBreak/>
        <w:t>afforestation</w:t>
      </w:r>
      <w:r w:rsidR="00A237CB" w:rsidRPr="00EE5690">
        <w:rPr>
          <w:rFonts w:cs="Arial"/>
          <w:lang w:val="en-GB"/>
        </w:rPr>
        <w:t xml:space="preserve"> project and provide a </w:t>
      </w:r>
      <w:r w:rsidR="00616318" w:rsidRPr="00EE5690">
        <w:rPr>
          <w:rFonts w:cs="Arial"/>
          <w:lang w:val="en-GB"/>
        </w:rPr>
        <w:t>powerful</w:t>
      </w:r>
      <w:r w:rsidR="00A237CB" w:rsidRPr="00EE5690">
        <w:rPr>
          <w:rFonts w:cs="Arial"/>
          <w:lang w:val="en-GB"/>
        </w:rPr>
        <w:t xml:space="preserve"> tool for the </w:t>
      </w:r>
      <w:r w:rsidR="00616318" w:rsidRPr="00EE5690">
        <w:rPr>
          <w:rFonts w:cs="Arial"/>
          <w:lang w:val="en-GB"/>
        </w:rPr>
        <w:t>successful</w:t>
      </w:r>
      <w:r w:rsidR="00A237CB" w:rsidRPr="00EE5690">
        <w:rPr>
          <w:rFonts w:cs="Arial"/>
          <w:lang w:val="en-GB"/>
        </w:rPr>
        <w:t xml:space="preserve"> management of such a project.</w:t>
      </w:r>
    </w:p>
    <w:p w14:paraId="34B1C0B7" w14:textId="0382C5B3" w:rsidR="00F72902" w:rsidRPr="00EE5690" w:rsidRDefault="00F72902" w:rsidP="002D2FB4">
      <w:pPr>
        <w:rPr>
          <w:rFonts w:cs="Arial"/>
          <w:lang w:val="en-GB"/>
        </w:rPr>
      </w:pPr>
      <w:r w:rsidRPr="00EE5690">
        <w:rPr>
          <w:rFonts w:cs="Arial"/>
          <w:lang w:val="en-GB"/>
        </w:rPr>
        <w:t>This Task is going to consider three different scenarios. The first one is the “Deforestation” scenario in which the user</w:t>
      </w:r>
      <w:r w:rsidR="008815A3" w:rsidRPr="00EE5690">
        <w:rPr>
          <w:rFonts w:cs="Arial"/>
          <w:lang w:val="en-GB"/>
        </w:rPr>
        <w:t xml:space="preserve"> </w:t>
      </w:r>
      <w:r w:rsidRPr="00EE5690">
        <w:rPr>
          <w:rFonts w:cs="Arial"/>
          <w:lang w:val="en-GB"/>
        </w:rPr>
        <w:t xml:space="preserve">can detect whether a sudden deforestation event has happened </w:t>
      </w:r>
      <w:proofErr w:type="gramStart"/>
      <w:r w:rsidRPr="00EE5690">
        <w:rPr>
          <w:rFonts w:cs="Arial"/>
          <w:lang w:val="en-GB"/>
        </w:rPr>
        <w:t>in a</w:t>
      </w:r>
      <w:r w:rsidR="008815A3" w:rsidRPr="00EE5690">
        <w:rPr>
          <w:rFonts w:cs="Arial"/>
          <w:lang w:val="en-GB"/>
        </w:rPr>
        <w:t xml:space="preserve"> given</w:t>
      </w:r>
      <w:proofErr w:type="gramEnd"/>
      <w:r w:rsidRPr="00EE5690">
        <w:rPr>
          <w:rFonts w:cs="Arial"/>
          <w:lang w:val="en-GB"/>
        </w:rPr>
        <w:t xml:space="preserve"> forested area of interest</w:t>
      </w:r>
      <w:r w:rsidR="008815A3" w:rsidRPr="00EE5690">
        <w:rPr>
          <w:rFonts w:cs="Arial"/>
          <w:lang w:val="en-GB"/>
        </w:rPr>
        <w:t>. The second scenario is the “Afforestation” one, in which the user monitors the progress of</w:t>
      </w:r>
      <w:r w:rsidR="00FB640C" w:rsidRPr="00EE5690">
        <w:rPr>
          <w:rFonts w:cs="Arial"/>
          <w:lang w:val="en-GB"/>
        </w:rPr>
        <w:t xml:space="preserve"> a recently</w:t>
      </w:r>
      <w:r w:rsidR="008815A3" w:rsidRPr="00EE5690">
        <w:rPr>
          <w:rFonts w:cs="Arial"/>
          <w:lang w:val="en-GB"/>
        </w:rPr>
        <w:t xml:space="preserve"> afforested area. Lastly, the third is the “Stable” scenario in which the user can observe the </w:t>
      </w:r>
      <w:r w:rsidR="00FB640C" w:rsidRPr="00EE5690">
        <w:rPr>
          <w:rFonts w:cs="Arial"/>
          <w:lang w:val="en-GB"/>
        </w:rPr>
        <w:t>state of a healthy forest.</w:t>
      </w:r>
    </w:p>
    <w:p w14:paraId="4451B880" w14:textId="64F076F7" w:rsidR="008E1638" w:rsidRPr="00EE5690" w:rsidRDefault="008E1638" w:rsidP="005D4B20">
      <w:pPr>
        <w:pStyle w:val="MAIL11"/>
      </w:pPr>
      <w:bookmarkStart w:id="96" w:name="_Toc91752397"/>
      <w:r w:rsidRPr="00EE5690">
        <w:t>Software systems</w:t>
      </w:r>
      <w:bookmarkEnd w:id="96"/>
    </w:p>
    <w:p w14:paraId="7249C1F7" w14:textId="7A88632A" w:rsidR="0015758D" w:rsidRPr="00EE5690" w:rsidRDefault="007E3852" w:rsidP="002D2FB4">
      <w:pPr>
        <w:rPr>
          <w:rFonts w:cs="Arial"/>
          <w:lang w:val="en-GB"/>
        </w:rPr>
      </w:pPr>
      <w:r w:rsidRPr="00EE5690">
        <w:rPr>
          <w:rFonts w:cs="Arial"/>
          <w:lang w:val="en-GB"/>
        </w:rPr>
        <w:t>A</w:t>
      </w:r>
      <w:r w:rsidR="0015758D" w:rsidRPr="00EE5690">
        <w:rPr>
          <w:rFonts w:cs="Arial"/>
          <w:lang w:val="en-GB"/>
        </w:rPr>
        <w:t xml:space="preserve"> software</w:t>
      </w:r>
      <w:r w:rsidR="00A17BA7" w:rsidRPr="00EE5690">
        <w:rPr>
          <w:rFonts w:cs="Arial"/>
          <w:lang w:val="en-GB"/>
        </w:rPr>
        <w:t xml:space="preserve"> “Marginal Land Toolbox”</w:t>
      </w:r>
      <w:r w:rsidR="0015758D" w:rsidRPr="00EE5690">
        <w:rPr>
          <w:rFonts w:cs="Arial"/>
          <w:lang w:val="en-GB"/>
        </w:rPr>
        <w:t xml:space="preserve"> was developed during the implementation of task 3.4 “Accompanying Software systems”.  Tool </w:t>
      </w:r>
      <w:r w:rsidR="00A17BA7" w:rsidRPr="00EE5690">
        <w:rPr>
          <w:rFonts w:cs="Arial"/>
          <w:lang w:val="en-GB"/>
        </w:rPr>
        <w:t xml:space="preserve">“Identification of Marginal Lands” </w:t>
      </w:r>
      <w:r w:rsidR="0015758D" w:rsidRPr="00EE5690">
        <w:rPr>
          <w:rFonts w:cs="Arial"/>
          <w:lang w:val="en-GB"/>
        </w:rPr>
        <w:t xml:space="preserve">uses a set of rules </w:t>
      </w:r>
      <w:r w:rsidR="00914ADE" w:rsidRPr="00EE5690">
        <w:rPr>
          <w:rFonts w:cs="Arial"/>
          <w:lang w:val="en-GB"/>
        </w:rPr>
        <w:t xml:space="preserve">to provide a </w:t>
      </w:r>
      <w:r w:rsidRPr="00EE5690">
        <w:rPr>
          <w:rFonts w:cs="Arial"/>
          <w:lang w:val="en-GB"/>
        </w:rPr>
        <w:t>short-term</w:t>
      </w:r>
      <w:r w:rsidR="00914ADE" w:rsidRPr="00EE5690">
        <w:rPr>
          <w:rFonts w:cs="Arial"/>
          <w:lang w:val="en-GB"/>
        </w:rPr>
        <w:t xml:space="preserve"> forecast of trends relating to marginal lands and the progress of an implemented afforestation project. While tool </w:t>
      </w:r>
      <w:r w:rsidR="00A17BA7" w:rsidRPr="00EE5690">
        <w:rPr>
          <w:rFonts w:cs="Arial"/>
          <w:lang w:val="en-GB"/>
        </w:rPr>
        <w:t>“Decision Support System”</w:t>
      </w:r>
      <w:r w:rsidR="00914ADE" w:rsidRPr="00EE5690">
        <w:rPr>
          <w:rFonts w:cs="Arial"/>
          <w:lang w:val="en-GB"/>
        </w:rPr>
        <w:t xml:space="preserve"> is a decision support system that can help with critical decisions during the management and implementation phase of a project using marginal lands as carbon sinks.</w:t>
      </w:r>
    </w:p>
    <w:p w14:paraId="55EE546A" w14:textId="5ADF5F26" w:rsidR="005D6487" w:rsidRPr="00EE5690" w:rsidRDefault="005D6487" w:rsidP="005D4B20">
      <w:pPr>
        <w:pStyle w:val="MAIL11"/>
      </w:pPr>
      <w:bookmarkStart w:id="97" w:name="_Toc91752398"/>
      <w:r w:rsidRPr="00EE5690">
        <w:t>Web application for the management of MLs</w:t>
      </w:r>
      <w:bookmarkEnd w:id="97"/>
    </w:p>
    <w:p w14:paraId="3A20BD7C" w14:textId="77777777" w:rsidR="00192B69" w:rsidRPr="00EE5690" w:rsidRDefault="00B5133D" w:rsidP="002D2FB4">
      <w:pPr>
        <w:rPr>
          <w:rFonts w:cs="Arial"/>
          <w:lang w:val="en-GB"/>
        </w:rPr>
      </w:pPr>
      <w:r w:rsidRPr="00EE5690">
        <w:rPr>
          <w:rFonts w:cs="Arial"/>
          <w:lang w:val="en-GB"/>
        </w:rPr>
        <w:t xml:space="preserve">Task 2.9 “Web application for MLs’ management” implemented a </w:t>
      </w:r>
      <w:proofErr w:type="spellStart"/>
      <w:r w:rsidRPr="00EE5690">
        <w:rPr>
          <w:rFonts w:cs="Arial"/>
          <w:lang w:val="en-GB"/>
        </w:rPr>
        <w:t>webgis</w:t>
      </w:r>
      <w:proofErr w:type="spellEnd"/>
      <w:r w:rsidRPr="00EE5690">
        <w:rPr>
          <w:rFonts w:cs="Arial"/>
          <w:lang w:val="en-GB"/>
        </w:rPr>
        <w:t xml:space="preserve"> service that will be able to produce thematic maps and provide information based on specific layers considering the management of marginal lands. The </w:t>
      </w:r>
      <w:proofErr w:type="spellStart"/>
      <w:r w:rsidRPr="00EE5690">
        <w:rPr>
          <w:rFonts w:cs="Arial"/>
          <w:lang w:val="en-GB"/>
        </w:rPr>
        <w:t>webgis</w:t>
      </w:r>
      <w:proofErr w:type="spellEnd"/>
      <w:r w:rsidRPr="00EE5690">
        <w:rPr>
          <w:rFonts w:cs="Arial"/>
          <w:lang w:val="en-GB"/>
        </w:rPr>
        <w:t xml:space="preserve"> tools include the following modules:</w:t>
      </w:r>
    </w:p>
    <w:p w14:paraId="0BEA05BC" w14:textId="7F60A82D" w:rsidR="00192B69" w:rsidRPr="00EE5690" w:rsidRDefault="00192B69" w:rsidP="002D2FB4">
      <w:pPr>
        <w:rPr>
          <w:rFonts w:cs="Arial"/>
          <w:lang w:val="en-GB"/>
        </w:rPr>
      </w:pPr>
      <w:r w:rsidRPr="00EE5690">
        <w:rPr>
          <w:rFonts w:cs="Arial"/>
          <w:lang w:val="en-GB"/>
        </w:rPr>
        <w:t xml:space="preserve">Marginal land identification at European Scale, you can find: </w:t>
      </w:r>
    </w:p>
    <w:p w14:paraId="2BEAA2D6" w14:textId="77777777" w:rsidR="00192B69" w:rsidRPr="00EE5690" w:rsidRDefault="00192B69" w:rsidP="002D2FB4">
      <w:pPr>
        <w:rPr>
          <w:rFonts w:cs="Arial"/>
          <w:lang w:val="en-GB"/>
        </w:rPr>
      </w:pPr>
      <w:r w:rsidRPr="00EE5690">
        <w:rPr>
          <w:rFonts w:cs="Arial"/>
          <w:lang w:val="en-GB"/>
        </w:rPr>
        <w:t>•</w:t>
      </w:r>
      <w:r w:rsidRPr="00EE5690">
        <w:rPr>
          <w:rFonts w:cs="Arial"/>
          <w:lang w:val="en-GB"/>
        </w:rPr>
        <w:tab/>
        <w:t xml:space="preserve">Exclude areas by Land Cover </w:t>
      </w:r>
    </w:p>
    <w:p w14:paraId="6375C5A8" w14:textId="77777777" w:rsidR="00192B69" w:rsidRPr="00EE5690" w:rsidRDefault="00192B69" w:rsidP="002D2FB4">
      <w:pPr>
        <w:rPr>
          <w:rFonts w:cs="Arial"/>
          <w:lang w:val="en-GB"/>
        </w:rPr>
      </w:pPr>
      <w:r w:rsidRPr="00EE5690">
        <w:rPr>
          <w:rFonts w:cs="Arial"/>
          <w:lang w:val="en-GB"/>
        </w:rPr>
        <w:t>•</w:t>
      </w:r>
      <w:r w:rsidRPr="00EE5690">
        <w:rPr>
          <w:rFonts w:cs="Arial"/>
          <w:lang w:val="en-GB"/>
        </w:rPr>
        <w:tab/>
        <w:t xml:space="preserve">Exclude areas by productivity values </w:t>
      </w:r>
    </w:p>
    <w:p w14:paraId="382C96AC" w14:textId="77777777" w:rsidR="00192B69" w:rsidRPr="00EE5690" w:rsidRDefault="00192B69" w:rsidP="002D2FB4">
      <w:pPr>
        <w:rPr>
          <w:rFonts w:cs="Arial"/>
          <w:lang w:val="en-GB"/>
        </w:rPr>
      </w:pPr>
      <w:r w:rsidRPr="00EE5690">
        <w:rPr>
          <w:rFonts w:cs="Arial"/>
          <w:lang w:val="en-GB"/>
        </w:rPr>
        <w:t>•</w:t>
      </w:r>
      <w:r w:rsidRPr="00EE5690">
        <w:rPr>
          <w:rFonts w:cs="Arial"/>
          <w:lang w:val="en-GB"/>
        </w:rPr>
        <w:tab/>
        <w:t>Factor importance selection</w:t>
      </w:r>
    </w:p>
    <w:p w14:paraId="219D19C1" w14:textId="77777777" w:rsidR="00192B69" w:rsidRPr="00EE5690" w:rsidRDefault="00192B69" w:rsidP="002D2FB4">
      <w:pPr>
        <w:rPr>
          <w:rFonts w:cs="Arial"/>
          <w:lang w:val="en-GB"/>
        </w:rPr>
      </w:pPr>
      <w:r w:rsidRPr="00EE5690">
        <w:rPr>
          <w:rFonts w:cs="Arial"/>
          <w:lang w:val="en-GB"/>
        </w:rPr>
        <w:t>•</w:t>
      </w:r>
      <w:r w:rsidRPr="00EE5690">
        <w:rPr>
          <w:rFonts w:cs="Arial"/>
          <w:lang w:val="en-GB"/>
        </w:rPr>
        <w:tab/>
        <w:t>Marginal land Classes</w:t>
      </w:r>
    </w:p>
    <w:p w14:paraId="22F1CFB7" w14:textId="77777777" w:rsidR="00192B69" w:rsidRPr="00EE5690" w:rsidRDefault="00192B69" w:rsidP="002D2FB4">
      <w:pPr>
        <w:rPr>
          <w:rFonts w:cs="Arial"/>
          <w:lang w:val="en-GB"/>
        </w:rPr>
      </w:pPr>
      <w:r w:rsidRPr="00EE5690">
        <w:rPr>
          <w:rFonts w:cs="Arial"/>
          <w:lang w:val="en-GB"/>
        </w:rPr>
        <w:t>Decision Support System:</w:t>
      </w:r>
    </w:p>
    <w:p w14:paraId="31BA67B6" w14:textId="77777777" w:rsidR="00192B69" w:rsidRPr="00EE5690" w:rsidRDefault="00192B69" w:rsidP="002D2FB4">
      <w:pPr>
        <w:rPr>
          <w:rFonts w:cs="Arial"/>
          <w:lang w:val="en-GB"/>
        </w:rPr>
      </w:pPr>
      <w:r w:rsidRPr="00EE5690">
        <w:rPr>
          <w:rFonts w:cs="Arial"/>
          <w:lang w:val="en-GB"/>
        </w:rPr>
        <w:t>•</w:t>
      </w:r>
      <w:r w:rsidRPr="00EE5690">
        <w:rPr>
          <w:rFonts w:cs="Arial"/>
          <w:lang w:val="en-GB"/>
        </w:rPr>
        <w:tab/>
        <w:t>Carbon calculator</w:t>
      </w:r>
    </w:p>
    <w:p w14:paraId="57298EDA" w14:textId="77777777" w:rsidR="00192B69" w:rsidRPr="00EE5690" w:rsidRDefault="00192B69" w:rsidP="002D2FB4">
      <w:pPr>
        <w:rPr>
          <w:rFonts w:cs="Arial"/>
          <w:lang w:val="en-GB"/>
        </w:rPr>
      </w:pPr>
      <w:r w:rsidRPr="00EE5690">
        <w:rPr>
          <w:rFonts w:cs="Arial"/>
          <w:lang w:val="en-GB"/>
        </w:rPr>
        <w:t>•</w:t>
      </w:r>
      <w:r w:rsidRPr="00EE5690">
        <w:rPr>
          <w:rFonts w:cs="Arial"/>
          <w:lang w:val="en-GB"/>
        </w:rPr>
        <w:tab/>
        <w:t xml:space="preserve">Carbon predictor </w:t>
      </w:r>
    </w:p>
    <w:p w14:paraId="705A23F3" w14:textId="77777777" w:rsidR="00192B69" w:rsidRPr="00EE5690" w:rsidRDefault="00192B69" w:rsidP="002D2FB4">
      <w:pPr>
        <w:rPr>
          <w:rFonts w:cs="Arial"/>
          <w:lang w:val="en-GB"/>
        </w:rPr>
      </w:pPr>
      <w:r w:rsidRPr="00EE5690">
        <w:rPr>
          <w:rFonts w:cs="Arial"/>
          <w:lang w:val="en-GB"/>
        </w:rPr>
        <w:t>•</w:t>
      </w:r>
      <w:r w:rsidRPr="00EE5690">
        <w:rPr>
          <w:rFonts w:cs="Arial"/>
          <w:lang w:val="en-GB"/>
        </w:rPr>
        <w:tab/>
        <w:t xml:space="preserve">Afforestation cost calculator </w:t>
      </w:r>
    </w:p>
    <w:p w14:paraId="4D220A8D" w14:textId="77777777" w:rsidR="00192B69" w:rsidRPr="00EE5690" w:rsidRDefault="00192B69" w:rsidP="002D2FB4">
      <w:pPr>
        <w:rPr>
          <w:rFonts w:cs="Arial"/>
          <w:lang w:val="en-GB"/>
        </w:rPr>
      </w:pPr>
      <w:r w:rsidRPr="00EE5690">
        <w:rPr>
          <w:rFonts w:cs="Arial"/>
          <w:lang w:val="en-GB"/>
        </w:rPr>
        <w:t>Upcoming features:</w:t>
      </w:r>
    </w:p>
    <w:p w14:paraId="2DFBA501" w14:textId="77777777" w:rsidR="00192B69" w:rsidRPr="00EE5690" w:rsidRDefault="00192B69" w:rsidP="002D2FB4">
      <w:pPr>
        <w:rPr>
          <w:rFonts w:cs="Arial"/>
          <w:lang w:val="en-GB"/>
        </w:rPr>
      </w:pPr>
      <w:r w:rsidRPr="00EE5690">
        <w:rPr>
          <w:rFonts w:cs="Arial"/>
          <w:lang w:val="en-GB"/>
        </w:rPr>
        <w:lastRenderedPageBreak/>
        <w:t>•</w:t>
      </w:r>
      <w:r w:rsidRPr="00EE5690">
        <w:rPr>
          <w:rFonts w:cs="Arial"/>
          <w:lang w:val="en-GB"/>
        </w:rPr>
        <w:tab/>
        <w:t xml:space="preserve">Change monitoring based on </w:t>
      </w:r>
      <w:proofErr w:type="spellStart"/>
      <w:r w:rsidRPr="00EE5690">
        <w:rPr>
          <w:rFonts w:cs="Arial"/>
          <w:lang w:val="en-GB"/>
        </w:rPr>
        <w:t>LandTrendr</w:t>
      </w:r>
      <w:proofErr w:type="spellEnd"/>
    </w:p>
    <w:p w14:paraId="29F5F2C7" w14:textId="77777777" w:rsidR="00192B69" w:rsidRPr="00EE5690" w:rsidRDefault="00192B69" w:rsidP="002D2FB4">
      <w:pPr>
        <w:rPr>
          <w:rFonts w:cs="Arial"/>
          <w:lang w:val="en-GB"/>
        </w:rPr>
      </w:pPr>
      <w:r w:rsidRPr="00EE5690">
        <w:rPr>
          <w:rFonts w:cs="Arial"/>
          <w:lang w:val="en-GB"/>
        </w:rPr>
        <w:t>•</w:t>
      </w:r>
      <w:r w:rsidRPr="00EE5690">
        <w:rPr>
          <w:rFonts w:cs="Arial"/>
          <w:lang w:val="en-GB"/>
        </w:rPr>
        <w:tab/>
        <w:t>Specie selection wizard</w:t>
      </w:r>
    </w:p>
    <w:p w14:paraId="73B34D76" w14:textId="151210B2" w:rsidR="00766C02" w:rsidRPr="00EE5690" w:rsidRDefault="00192B69" w:rsidP="002D2FB4">
      <w:pPr>
        <w:rPr>
          <w:rFonts w:cs="Arial"/>
          <w:lang w:val="en-GB"/>
        </w:rPr>
      </w:pPr>
      <w:r w:rsidRPr="00EE5690">
        <w:rPr>
          <w:rFonts w:cs="Arial"/>
          <w:lang w:val="en-GB"/>
        </w:rPr>
        <w:t>•</w:t>
      </w:r>
      <w:r w:rsidRPr="00EE5690">
        <w:rPr>
          <w:rFonts w:cs="Arial"/>
          <w:lang w:val="en-GB"/>
        </w:rPr>
        <w:tab/>
        <w:t>Selection of areas for afforestation</w:t>
      </w:r>
    </w:p>
    <w:p w14:paraId="7271C4C8" w14:textId="4B294985" w:rsidR="00196D52" w:rsidRPr="00EE5690" w:rsidRDefault="00196D52" w:rsidP="005D4B20">
      <w:pPr>
        <w:pStyle w:val="MAIL1"/>
      </w:pPr>
      <w:bookmarkStart w:id="98" w:name="_Toc91752399"/>
      <w:r w:rsidRPr="00EE5690">
        <w:t>Feasibility analysis</w:t>
      </w:r>
      <w:bookmarkEnd w:id="98"/>
    </w:p>
    <w:p w14:paraId="2FD617A5" w14:textId="0C7A3716" w:rsidR="00D678FF" w:rsidRPr="00EE5690" w:rsidRDefault="00D678FF" w:rsidP="002D2FB4">
      <w:pPr>
        <w:rPr>
          <w:rFonts w:cs="Arial"/>
        </w:rPr>
      </w:pPr>
      <w:r w:rsidRPr="00EE5690">
        <w:rPr>
          <w:rFonts w:cs="Arial"/>
        </w:rPr>
        <w:t xml:space="preserve">Feasibility analysis is a pre-start-up and strategic planning tool used throughout the development of a business plan. A feasibility analysis evaluates the viability of a proposed plan or project by </w:t>
      </w:r>
      <w:proofErr w:type="gramStart"/>
      <w:r w:rsidRPr="00EE5690">
        <w:rPr>
          <w:rFonts w:cs="Arial"/>
        </w:rPr>
        <w:t>taking into account</w:t>
      </w:r>
      <w:proofErr w:type="gramEnd"/>
      <w:r w:rsidRPr="00EE5690">
        <w:rPr>
          <w:rFonts w:cs="Arial"/>
        </w:rPr>
        <w:t xml:space="preserve"> a variety of criteria such as economic, technical, legal, and scheduling to see if it can be implemented. The cost and return on investment of a project might determine whether it is feasible or not. A feasibility analysis requires collecting and evaluating data before the beginning of a new project, and then the usage of the knowledge gained to build the business plan itself. Performing a detailed feasibility analysis as part of the project planning process indicates how the development will operate under a certain set of assumptions that takes into account all economic and non-economic elements </w:t>
      </w:r>
      <w:r w:rsidRPr="00EE5690">
        <w:rPr>
          <w:rFonts w:cs="Arial"/>
        </w:rPr>
        <w:fldChar w:fldCharType="begin" w:fldLock="1"/>
      </w:r>
      <w:r w:rsidRPr="00EE5690">
        <w:rPr>
          <w:rFonts w:cs="Arial"/>
        </w:rPr>
        <w:instrText>ADDIN CSL_CITATION {"citationItems":[{"id":"ITEM-1","itemData":{"abstract":"This guide has been designed to assist agricultural cooperatives in completing a feasi- bility study. Rather than being a complete handbook, this publication presents the important elements to consider when conducting a feasibility study. The guide contains information on whether or not a group should conduct a feasibility study, the steps involved, how to evaluate a study, and how to implement one once completed. Tips on selecting and working with consultants are also provided. A sample feasibility study outline is included for reference.","author":[{"dropping-particle":"","family":"Matson","given":"J","non-dropping-particle":"","parse-names":false,"suffix":""}],"id":"ITEM-1","issued":{"date-parts":[["2000"]]},"page":"17","title":"Cooperative Feasibility Study Guide","type":"article-journal"},"uris":["http://www.mendeley.com/documents/?uuid=4200f8bd-69bc-4006-bb99-aa4631e36cbf"]},{"id":"ITEM-2","itemData":{"DOI":"10.1016/j.annals.2008.10.002","ISSN":"01607383","abstract":"Most techniques for stakeholder identification and salience in the pre-start up phase of a tourism development are not systematic in approach. This paper explores the utility of a systematic stakeholder analysis within a feasibility analysis. For a more inclusive assessment of stakeholder salience in the context of sustainable development, balancing the managerial lack of intrinsic stakeholder commitment, a third party perspective is added to the evaluation process. Contributing to the final evaluation of a development proposal, the coding scheme provides practitioners with parameters for stakeholder identification and salience. While application of the theory bears limitations in quantitative measurement, the results suggest that systematic stakeholder analysis is beneficial and useful in the context of feasibility analysis. © 2008 Elsevier Ltd. All rights reserved.","author":[{"dropping-particle":"","family":"Currie","given":"Russell R.","non-dropping-particle":"","parse-names":false,"suffix":""},{"dropping-particle":"","family":"Seaton","given":"Sheilagh","non-dropping-particle":"","parse-names":false,"suffix":""},{"dropping-particle":"","family":"Wesley","given":"Franz","non-dropping-particle":"","parse-names":false,"suffix":""}],"container-title":"Annals of Tourism Research","id":"ITEM-2","issue":"1","issued":{"date-parts":[["2009"]]},"page":"41-63","publisher":"Elsevier Ltd","title":"Determining stakeholders for feasibility analysis","type":"article-journal","volume":"36"},"uris":["http://www.mendeley.com/documents/?uuid=6a1e81ac-9f38-4b5b-adce-9436f5529ebf"]},{"id":"ITEM-3","itemData":{"DOI":"10.1371/journal.pone.0118432","ISSN":"1932-6203","author":[{"dropping-particle":"","family":"Saito","given":"Takaya","non-dropping-particle":"","parse-names":false,"suffix":""},{"dropping-particle":"","family":"Rehmsmeier","given":"Marc","non-dropping-particle":"","parse-names":false,"suffix":""}],"container-title":"PLOS ONE","editor":[{"dropping-particle":"","family":"Brock","given":"Guy","non-dropping-particle":"","parse-names":false,"suffix":""}],"id":"ITEM-3","issue":"3","issued":{"date-parts":[["2015","3"]]},"page":"e0118432","publisher":"Public Library of Science","title":"The Precision-Recall Plot Is More Informative than the ROC Plot When Evaluating Binary Classifiers on Imbalanced Datasets","type":"article-journal","volume":"10"},"uris":["http://www.mendeley.com/documents/?uuid=a4315847-540f-4cf0-9d9e-66c88bc4fa3c"]},{"id":"ITEM-4","itemData":{"DOI":"10.1016/S0149-2063(96)90037-9","ISSN":"01492063","abstract":"Although evidence is equivocal and often contradictory, prospective business founders are generally advised to develop formal plans of their proposed ventures. Consistent with this advice, some scholars have suggested that the high mortality of new small businesses could be reduced through greater pre-startup planning. However, there is an emerging view that the value of planning is context-dependent. This view is elaborated here as it applies to new small businesses. First, ways in which pre-startup planning can facilitate survival are delineated. Then, contextual conditions that can limit these impacts are described. Finally, suggestions are offered which show how this view can be used to guide future research and extend the body of knowledge. © 1996 JAI Press Inc. All rights of reproduction in any form reserved.","author":[{"dropping-particle":"","family":"Castrogiovanni","given":"Gary J.","non-dropping-particle":"","parse-names":false,"suffix":""}],"container-title":"Journal of Management","id":"ITEM-4","issue":"6","issued":{"date-parts":[["1996"]]},"page":"801-822","title":"Pre-startup planning and the survival of new small businesses: Theoretical linkages","type":"article-journal","volume":"22"},"uris":["http://www.mendeley.com/documents/?uuid=f08fa252-5b45-4e78-90df-80f528bce793"]}],"mendeley":{"formattedCitation":"(Castrogiovanni, 1996; Currie et al., 2009; Matson, 2000; Saito &amp; Rehmsmeier, 2015)","plainTextFormattedCitation":"(Castrogiovanni, 1996; Currie et al., 2009; Matson, 2000; Saito &amp; Rehmsmeier, 2015)","previouslyFormattedCitation":"(Castrogiovanni, 1996; Currie et al., 2009; Matson, 2000; Saito &amp; Rehmsmeier, 2015)"},"properties":{"noteIndex":0},"schema":"https://github.com/citation-style-language/schema/raw/master/csl-citation.json"}</w:instrText>
      </w:r>
      <w:r w:rsidRPr="00EE5690">
        <w:rPr>
          <w:rFonts w:cs="Arial"/>
        </w:rPr>
        <w:fldChar w:fldCharType="separate"/>
      </w:r>
      <w:r w:rsidRPr="00EE5690">
        <w:rPr>
          <w:rFonts w:cs="Arial"/>
          <w:noProof/>
        </w:rPr>
        <w:t>(Castrogiovanni, 1996; Currie et al., 2009; Matson, 2000; Saito &amp; Rehmsmeier, 2015)</w:t>
      </w:r>
      <w:r w:rsidRPr="00EE5690">
        <w:rPr>
          <w:rFonts w:cs="Arial"/>
        </w:rPr>
        <w:fldChar w:fldCharType="end"/>
      </w:r>
      <w:r w:rsidRPr="00EE5690">
        <w:rPr>
          <w:rFonts w:cs="Arial"/>
        </w:rPr>
        <w:t>.</w:t>
      </w:r>
    </w:p>
    <w:p w14:paraId="4355D0CF" w14:textId="277D1EE4" w:rsidR="00D678FF" w:rsidRPr="00EE5690" w:rsidRDefault="00D678FF" w:rsidP="002D2FB4">
      <w:pPr>
        <w:rPr>
          <w:rFonts w:cs="Arial"/>
        </w:rPr>
      </w:pPr>
      <w:r w:rsidRPr="00EE5690">
        <w:rPr>
          <w:rFonts w:cs="Arial"/>
        </w:rPr>
        <w:t xml:space="preserve">In this chapter an economical model is created calculating the cost of plantation of one single tree. This model </w:t>
      </w:r>
      <w:proofErr w:type="gramStart"/>
      <w:r w:rsidRPr="00EE5690">
        <w:rPr>
          <w:rFonts w:cs="Arial"/>
        </w:rPr>
        <w:t>takes into account</w:t>
      </w:r>
      <w:proofErr w:type="gramEnd"/>
      <w:r w:rsidRPr="00EE5690">
        <w:rPr>
          <w:rFonts w:cs="Arial"/>
        </w:rPr>
        <w:t xml:space="preserve"> specific factors that influence the cost of the plantation such as the soil texture, the slope of the area, the manual or the mechanical way of the plantation, the accessibility to cities and the </w:t>
      </w:r>
      <w:r w:rsidR="00962A93" w:rsidRPr="00EE5690">
        <w:rPr>
          <w:rFonts w:cs="Arial"/>
        </w:rPr>
        <w:t>labor</w:t>
      </w:r>
      <w:r w:rsidRPr="00EE5690">
        <w:rPr>
          <w:rFonts w:cs="Arial"/>
        </w:rPr>
        <w:t xml:space="preserve"> cost level of the countries in EU. After the ML detection from the Task 2.3 the areas with high suitability for forestry are used for the calculation of the price.</w:t>
      </w:r>
    </w:p>
    <w:p w14:paraId="4E38740F" w14:textId="77777777" w:rsidR="00D678FF" w:rsidRPr="00EE5690" w:rsidRDefault="00D678FF" w:rsidP="002D2FB4">
      <w:pPr>
        <w:rPr>
          <w:rFonts w:cs="Arial"/>
        </w:rPr>
      </w:pPr>
      <w:r w:rsidRPr="00EE5690">
        <w:rPr>
          <w:rFonts w:cs="Arial"/>
        </w:rPr>
        <w:t>The concentration of CO</w:t>
      </w:r>
      <w:r w:rsidRPr="00EE5690">
        <w:rPr>
          <w:rFonts w:cs="Arial"/>
          <w:vertAlign w:val="subscript"/>
        </w:rPr>
        <w:t>2</w:t>
      </w:r>
      <w:r w:rsidRPr="00EE5690">
        <w:rPr>
          <w:rFonts w:cs="Arial"/>
        </w:rPr>
        <w:t xml:space="preserve"> and other greenhouse gases (GHGs) in the atmosphere has increased dramatically over the last century and is expected to continue to rise, with the majority of the increase caused by the burning of fossil fuels and the conversion of tropical forests to agricultural land </w:t>
      </w:r>
      <w:r w:rsidRPr="00EE5690">
        <w:rPr>
          <w:rFonts w:cs="Arial"/>
        </w:rPr>
        <w:fldChar w:fldCharType="begin" w:fldLock="1"/>
      </w:r>
      <w:r w:rsidRPr="00EE5690">
        <w:rPr>
          <w:rFonts w:cs="Arial"/>
        </w:rPr>
        <w:instrText>ADDIN CSL_CITATION {"citationItems":[{"id":"ITEM-1","itemData":{"DOI":"10.1023/A","ISSN":"02545330","abstract":"The problem of characterizing the least expensive bond portfolio that enables one to meet his/her liability to pay C dollars K years from now is dealt with in this article. Bond prices are allowed to be either overpriced or underpriced at the purchase time, while at the sale time the bonds are suppose to be fairly priced. Assuming shifts in spot rates to occur instantly after the acquisition of a bond portfolio Z and to follow fairly general type of behavior described by the condition (2), we give both necessary and sufficient conditions for Z to solve the immunization problem above. Our model is general enough to cover situations with twists in the yield curve. Making use of the K-T conditions, we explain in remark 7 why we focus on search of an optimal portfolio in the class of barbell strategies. Finally, by means of the K-T conditions we find an optimal bond portfolio which solves the immunization problem. © J.C. Baltzer AG, Science Publishers.","author":[{"dropping-particle":"","family":"Paustian","given":"K","non-dropping-particle":"","parse-names":false,"suffix":""},{"dropping-particle":"","family":"Six","given":"J","non-dropping-particle":"","parse-names":false,"suffix":""},{"dropping-particle":"","family":"Elliott","given":"ET","non-dropping-particle":"","parse-names":false,"suffix":""},{"dropping-particle":"","family":"Hunt","given":"HW","non-dropping-particle":"","parse-names":false,"suffix":""}],"container-title":"Biochemistry","id":"ITEM-1","issue":"1-4","issued":{"date-parts":[["2000"]]},"page":"131-141","title":"Management options for reducing CO2 emissions from agricultural soils","type":"article-journal","volume":"97"},"uris":["http://www.mendeley.com/documents/?uuid=8d787a39-ce7b-44c5-a239-5226941423bf"]}],"mendeley":{"formattedCitation":"(Paustian et al., 2000)","plainTextFormattedCitation":"(Paustian et al., 2000)","previouslyFormattedCitation":"(Paustian et al., 2000)"},"properties":{"noteIndex":0},"schema":"https://github.com/citation-style-language/schema/raw/master/csl-citation.json"}</w:instrText>
      </w:r>
      <w:r w:rsidRPr="00EE5690">
        <w:rPr>
          <w:rFonts w:cs="Arial"/>
        </w:rPr>
        <w:fldChar w:fldCharType="separate"/>
      </w:r>
      <w:r w:rsidRPr="00EE5690">
        <w:rPr>
          <w:rFonts w:cs="Arial"/>
          <w:noProof/>
        </w:rPr>
        <w:t>(Paustian et al., 2000)</w:t>
      </w:r>
      <w:r w:rsidRPr="00EE5690">
        <w:rPr>
          <w:rFonts w:cs="Arial"/>
        </w:rPr>
        <w:fldChar w:fldCharType="end"/>
      </w:r>
      <w:r w:rsidRPr="00EE5690">
        <w:rPr>
          <w:rFonts w:cs="Arial"/>
        </w:rPr>
        <w:t>. Since 1750, atmospheric CO</w:t>
      </w:r>
      <w:r w:rsidRPr="00EE5690">
        <w:rPr>
          <w:rFonts w:cs="Arial"/>
          <w:vertAlign w:val="subscript"/>
        </w:rPr>
        <w:t>2</w:t>
      </w:r>
      <w:r w:rsidRPr="00EE5690">
        <w:rPr>
          <w:rFonts w:cs="Arial"/>
        </w:rPr>
        <w:t xml:space="preserve"> concentrations have increased by 30%, with a sharp increase in the previous 50 years </w:t>
      </w:r>
      <w:r w:rsidRPr="00EE5690">
        <w:rPr>
          <w:rFonts w:cs="Arial"/>
        </w:rPr>
        <w:fldChar w:fldCharType="begin" w:fldLock="1"/>
      </w:r>
      <w:r w:rsidRPr="00EE5690">
        <w:rPr>
          <w:rFonts w:cs="Arial"/>
        </w:rPr>
        <w:instrText>ADDIN CSL_CITATION {"citationItems":[{"id":"ITEM-1","itemData":{"ISBN":"0521 80767 0","abstract":"The Intergovernmental Panel on Climate Change (IPCC) was jointly established by the World Meteorological Organization (WMO) and the United Nations Environment Programme (UNEP) in 1988. Its terms of reference include (i) to assess available scientific and socio-economic information on climate change and its impacts and on the options for mitigating climate change and adapting to it and (ii) to provide, on request, scientific/technical/socio-economic advice to the Conference of the Parties (COP) to the United Nations Framework Convention on Climate Change (UNFCCC). From 1990, the IPCC has produced a series of Assessment Reports, Special Reports, Technical Papers, methodologies and other products that have become standard works of reference, widely used by policy- makers,","author":[{"dropping-particle":"","family":"IPCC","given":"2001: Climate change","non-dropping-particle":"","parse-names":false,"suffix":""}],"container-title":"Cambridge University Press","id":"ITEM-1","issued":{"date-parts":[["2001"]]},"page":"94","title":"Contribution of Working Group I to the Third Assessment Report of the Intergovernmental Panel on Climate Change [Houghton, J.T. Ding, Y. Griggs, D.J. Noguer, M. Linden, P.J. van der Dai, X. Maskell, K. Johnson, C.A.]","type":"article-journal"},"uris":["http://www.mendeley.com/documents/?uuid=ed0102ff-a373-4b0e-bed3-fc8e62e571da"]}],"mendeley":{"formattedCitation":"(IPCC, 2001)","plainTextFormattedCitation":"(IPCC, 2001)","previouslyFormattedCitation":"(IPCC, 2001)"},"properties":{"noteIndex":0},"schema":"https://github.com/citation-style-language/schema/raw/master/csl-citation.json"}</w:instrText>
      </w:r>
      <w:r w:rsidRPr="00EE5690">
        <w:rPr>
          <w:rFonts w:cs="Arial"/>
        </w:rPr>
        <w:fldChar w:fldCharType="separate"/>
      </w:r>
      <w:r w:rsidRPr="00EE5690">
        <w:rPr>
          <w:rFonts w:cs="Arial"/>
          <w:noProof/>
        </w:rPr>
        <w:t>(IPCC, 2001)</w:t>
      </w:r>
      <w:r w:rsidRPr="00EE5690">
        <w:rPr>
          <w:rFonts w:cs="Arial"/>
        </w:rPr>
        <w:fldChar w:fldCharType="end"/>
      </w:r>
      <w:r w:rsidRPr="00EE5690">
        <w:rPr>
          <w:rFonts w:cs="Arial"/>
        </w:rPr>
        <w:t xml:space="preserve">. One of the feasible choices for neutralizing the gases emitted by fossil fuel combustion and minimizing the potential effects of global warming is to invest in the forestry sector to store carbon in trees and forests. In regional, national, and worldwide greenhouse gas balances, perennial vegetation, particularly forests, plays a critical role. The protection of existing forests and woodlands, as well as the establishment of new ones, will aid in the reduction of greenhouse gas emissions </w:t>
      </w:r>
      <w:r w:rsidRPr="00EE5690">
        <w:rPr>
          <w:rFonts w:cs="Arial"/>
        </w:rPr>
        <w:fldChar w:fldCharType="begin" w:fldLock="1"/>
      </w:r>
      <w:r w:rsidRPr="00EE5690">
        <w:rPr>
          <w:rFonts w:cs="Arial"/>
        </w:rPr>
        <w:instrText>ADDIN CSL_CITATION {"citationItems":[{"id":"ITEM-1","itemData":{"DOI":"10.1007/s10457-012-9573-x","ISSN":"01674366","abstract":"Ever since the Kyoto Protocol, agroforestry has gained increased attention as a strategy to sequester carbon (C) and mitigate global climate change. Agroforestry has been recognized as having the greatest potential for C sequestration of all the land uses analyzed in the Land-Use, Land-Use Change and Forestry report of the IPCC; however, our understanding of C sequestration in specific agroforestry practices from around the world is rudimentary at best. Similarly, while agroforestry is well recognized as a land use practice capable of producing biomass for biopower and biofuels, very little information is available on this topic. This thematic issue is an attempt to bring together a collection of articles on C sequestration and biomass for energy, two topics that are inextricably interlinked and of great importance to the agroforestry community the world over. These papers not only address the aboveground C sequestration, but also the belowground C and the role of decomposition and nutrient cycling in determining the size of soil C pool using specific case studies. In addition to providing allometric methods for quantifying biomass production, the biological and economic realities of producing biomass in agroforestry practices are also discussed. © 2012 Springer Science+Business Media Dordrecht.","author":[{"dropping-particle":"","family":"Jose","given":"Shibu","non-dropping-particle":"","parse-names":false,"suffix":""},{"dropping-particle":"","family":"Bardhan","given":"Sougata","non-dropping-particle":"","parse-names":false,"suffix":""}],"container-title":"Agroforestry Systems","id":"ITEM-1","issue":"2","issued":{"date-parts":[["2012"]]},"page":"105-111","title":"Agroforestry for biomass production and carbon sequestration: An overview","type":"article-journal","volume":"86"},"uris":["http://www.mendeley.com/documents/?uuid=50355c11-53f6-4e74-8fac-2cf09b22b28f"]}],"mendeley":{"formattedCitation":"(Jose &amp; Bardhan, 2012)","plainTextFormattedCitation":"(Jose &amp; Bardhan, 2012)","previouslyFormattedCitation":"(Jose &amp; Bardhan, 2012)"},"properties":{"noteIndex":0},"schema":"https://github.com/citation-style-language/schema/raw/master/csl-citation.json"}</w:instrText>
      </w:r>
      <w:r w:rsidRPr="00EE5690">
        <w:rPr>
          <w:rFonts w:cs="Arial"/>
        </w:rPr>
        <w:fldChar w:fldCharType="separate"/>
      </w:r>
      <w:r w:rsidRPr="00EE5690">
        <w:rPr>
          <w:rFonts w:cs="Arial"/>
          <w:noProof/>
        </w:rPr>
        <w:t>(Jose &amp; Bardhan, 2012)</w:t>
      </w:r>
      <w:r w:rsidRPr="00EE5690">
        <w:rPr>
          <w:rFonts w:cs="Arial"/>
        </w:rPr>
        <w:fldChar w:fldCharType="end"/>
      </w:r>
      <w:r w:rsidRPr="00EE5690">
        <w:rPr>
          <w:rFonts w:cs="Arial"/>
        </w:rPr>
        <w:t xml:space="preserve">. </w:t>
      </w:r>
      <w:r w:rsidRPr="00EE5690">
        <w:rPr>
          <w:rFonts w:cs="Arial"/>
        </w:rPr>
        <w:lastRenderedPageBreak/>
        <w:t>Simultaneously helping biodiversity conservation, floral and faunal diversity, solving issues such as soil degradation and salinity, and in certain cases earning money from timber and other goods, as well as carbon rights.</w:t>
      </w:r>
    </w:p>
    <w:p w14:paraId="66C93BA3" w14:textId="1D608753" w:rsidR="00D678FF" w:rsidRPr="00EE5690" w:rsidRDefault="00D678FF" w:rsidP="002D2FB4">
      <w:pPr>
        <w:rPr>
          <w:rFonts w:cs="Arial"/>
        </w:rPr>
      </w:pPr>
      <w:r w:rsidRPr="00EE5690">
        <w:rPr>
          <w:rFonts w:cs="Arial"/>
        </w:rPr>
        <w:t xml:space="preserve">The EU's biodiversity policy for 2030, known as the European Green Deal, addresses the protection and restoration of nature by setting </w:t>
      </w:r>
      <w:proofErr w:type="gramStart"/>
      <w:r w:rsidRPr="00EE5690">
        <w:rPr>
          <w:rFonts w:cs="Arial"/>
        </w:rPr>
        <w:t>a number of</w:t>
      </w:r>
      <w:proofErr w:type="gramEnd"/>
      <w:r w:rsidRPr="00EE5690">
        <w:rPr>
          <w:rFonts w:cs="Arial"/>
        </w:rPr>
        <w:t xml:space="preserve"> particular pledges and targets. One of the pledges is to plant at least 3 billion additional trees in Europe by 2030, all while adhering to ecological principles. A path for action to achieve this commitment will be included in the EU forest strategy. This commitment will not, by itself, solve the climate or biodiversity problems. Additional worldwide or European planting pledges much exceeding the 3 billion are required, as are other ambitious efforts on forest and tree conservation, environmental and biodiversity protection, and significant greenhouse gas emission reductions in other sectors. Carbon sequestration's impacts will only become obvious in the following decades. However, because trees take decades to grow, immediate action is required to achieve the additional carbon sequestration that will be needed in the future. Planting new trees is a supplement to broader conservation efforts, not an alternative for preserving existing trees </w:t>
      </w:r>
      <w:r w:rsidRPr="00EE5690">
        <w:rPr>
          <w:rFonts w:cs="Arial"/>
        </w:rPr>
        <w:fldChar w:fldCharType="begin" w:fldLock="1"/>
      </w:r>
      <w:r w:rsidR="00EA04B8" w:rsidRPr="00EE5690">
        <w:rPr>
          <w:rFonts w:cs="Arial"/>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Pr="00EE5690">
        <w:rPr>
          <w:rFonts w:cs="Arial"/>
        </w:rPr>
        <w:fldChar w:fldCharType="separate"/>
      </w:r>
      <w:r w:rsidR="00EA04B8" w:rsidRPr="00EE5690">
        <w:rPr>
          <w:rFonts w:cs="Arial"/>
          <w:noProof/>
        </w:rPr>
        <w:t>(European Commission, 2021d)</w:t>
      </w:r>
      <w:r w:rsidRPr="00EE5690">
        <w:rPr>
          <w:rFonts w:cs="Arial"/>
        </w:rPr>
        <w:fldChar w:fldCharType="end"/>
      </w:r>
      <w:r w:rsidRPr="00EE5690">
        <w:rPr>
          <w:rFonts w:cs="Arial"/>
        </w:rPr>
        <w:t>.</w:t>
      </w:r>
    </w:p>
    <w:p w14:paraId="5101D466" w14:textId="17F7BBEE" w:rsidR="00D678FF" w:rsidRPr="00EE5690" w:rsidRDefault="00D678FF" w:rsidP="002D2FB4">
      <w:pPr>
        <w:rPr>
          <w:rFonts w:cs="Arial"/>
        </w:rPr>
      </w:pPr>
      <w:r w:rsidRPr="00EE5690">
        <w:rPr>
          <w:rFonts w:cs="Arial"/>
        </w:rPr>
        <w:t xml:space="preserve">The Commission lays out </w:t>
      </w:r>
      <w:proofErr w:type="gramStart"/>
      <w:r w:rsidRPr="00EE5690">
        <w:rPr>
          <w:rFonts w:cs="Arial"/>
        </w:rPr>
        <w:t>a number of</w:t>
      </w:r>
      <w:proofErr w:type="gramEnd"/>
      <w:r w:rsidRPr="00EE5690">
        <w:rPr>
          <w:rFonts w:cs="Arial"/>
        </w:rPr>
        <w:t xml:space="preserve"> broad conditions and resources that can be utilized to help particular projects succeed by ensuring that they follow EU guidelines and allowing them to carry the 'EU 3 billion trees' label. By providing adequate financing, the EU should enable planting projects. Furthermore, the EU should offer policy and technical support, create a visual identity for the pledge, increase communication about it, help in capacity building, and encourage the exchange of best practices. Finally, the Commission should establish a system to monitor the progress toward the goal, as well as an "EU tree counter" to visualize this progress </w:t>
      </w:r>
      <w:r w:rsidRPr="00EE5690">
        <w:rPr>
          <w:rFonts w:cs="Arial"/>
        </w:rPr>
        <w:fldChar w:fldCharType="begin" w:fldLock="1"/>
      </w:r>
      <w:r w:rsidR="00EA04B8" w:rsidRPr="00EE5690">
        <w:rPr>
          <w:rFonts w:cs="Arial"/>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Pr="00EE5690">
        <w:rPr>
          <w:rFonts w:cs="Arial"/>
        </w:rPr>
        <w:fldChar w:fldCharType="separate"/>
      </w:r>
      <w:r w:rsidR="00EA04B8" w:rsidRPr="00EE5690">
        <w:rPr>
          <w:rFonts w:cs="Arial"/>
          <w:noProof/>
        </w:rPr>
        <w:t>(European Commission, 2021d)</w:t>
      </w:r>
      <w:r w:rsidRPr="00EE5690">
        <w:rPr>
          <w:rFonts w:cs="Arial"/>
        </w:rPr>
        <w:fldChar w:fldCharType="end"/>
      </w:r>
      <w:r w:rsidRPr="00EE5690">
        <w:rPr>
          <w:rFonts w:cs="Arial"/>
        </w:rPr>
        <w:t>.</w:t>
      </w:r>
    </w:p>
    <w:p w14:paraId="4E3E3461" w14:textId="70BE3BDF" w:rsidR="00D678FF" w:rsidRPr="00EE5690" w:rsidRDefault="00D678FF" w:rsidP="002D2FB4">
      <w:pPr>
        <w:rPr>
          <w:rFonts w:cs="Arial"/>
        </w:rPr>
      </w:pPr>
      <w:r w:rsidRPr="00EE5690">
        <w:rPr>
          <w:rFonts w:cs="Arial"/>
        </w:rPr>
        <w:t xml:space="preserve">The Commission will establish recommendations on biodiversity-friendly afforestation and reforestation, as well as sustainable forestry practices, in collaboration with Member State experts, forestry stakeholders, and NGOs, as indicated in the biodiversity strategy for 2030. Regarding the goal to plant 3 billion trees, the guidelines will promote planting that maximizes biodiversity and climate benefits. The Working Group Forest and Nature is working on developing guidelines for biodiversity-friendly afforestation and reforestation. Agroforestry and trees in agricultural areas, as well as urban trees, will be addressed. All tree-planting projects receiving EU funds should adhere to these guidelines </w:t>
      </w:r>
      <w:r w:rsidRPr="00EE5690">
        <w:rPr>
          <w:rFonts w:cs="Arial"/>
        </w:rPr>
        <w:fldChar w:fldCharType="begin" w:fldLock="1"/>
      </w:r>
      <w:r w:rsidR="00EA04B8" w:rsidRPr="00EE5690">
        <w:rPr>
          <w:rFonts w:cs="Arial"/>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Pr="00EE5690">
        <w:rPr>
          <w:rFonts w:cs="Arial"/>
        </w:rPr>
        <w:fldChar w:fldCharType="separate"/>
      </w:r>
      <w:r w:rsidR="00EA04B8" w:rsidRPr="00EE5690">
        <w:rPr>
          <w:rFonts w:cs="Arial"/>
          <w:noProof/>
        </w:rPr>
        <w:t>(European Commission, 2021d)</w:t>
      </w:r>
      <w:r w:rsidRPr="00EE5690">
        <w:rPr>
          <w:rFonts w:cs="Arial"/>
        </w:rPr>
        <w:fldChar w:fldCharType="end"/>
      </w:r>
      <w:r w:rsidRPr="00EE5690">
        <w:rPr>
          <w:rFonts w:cs="Arial"/>
        </w:rPr>
        <w:t>.</w:t>
      </w:r>
    </w:p>
    <w:p w14:paraId="436C5996" w14:textId="77777777" w:rsidR="00D678FF" w:rsidRPr="00EE5690" w:rsidRDefault="00D678FF" w:rsidP="002D2FB4">
      <w:pPr>
        <w:rPr>
          <w:rFonts w:cs="Arial"/>
        </w:rPr>
      </w:pPr>
      <w:proofErr w:type="gramStart"/>
      <w:r w:rsidRPr="00EE5690">
        <w:rPr>
          <w:rFonts w:cs="Arial"/>
        </w:rPr>
        <w:lastRenderedPageBreak/>
        <w:t>In order to</w:t>
      </w:r>
      <w:proofErr w:type="gramEnd"/>
      <w:r w:rsidRPr="00EE5690">
        <w:rPr>
          <w:rFonts w:cs="Arial"/>
        </w:rPr>
        <w:t xml:space="preserve"> count towards the pledge, tree-planting initiatives will need to fulfil the following conditions: </w:t>
      </w:r>
    </w:p>
    <w:p w14:paraId="2EB59BFF" w14:textId="77777777" w:rsidR="00D678FF" w:rsidRPr="00EE5690" w:rsidRDefault="00D678FF" w:rsidP="00A01330">
      <w:pPr>
        <w:pStyle w:val="ListParagraph"/>
        <w:numPr>
          <w:ilvl w:val="0"/>
          <w:numId w:val="14"/>
        </w:numPr>
        <w:spacing w:before="0" w:after="160"/>
        <w:rPr>
          <w:rFonts w:cs="Arial"/>
        </w:rPr>
      </w:pPr>
      <w:r w:rsidRPr="00EE5690">
        <w:rPr>
          <w:rFonts w:cs="Arial"/>
        </w:rPr>
        <w:t>Comply with the principle of additionality.</w:t>
      </w:r>
    </w:p>
    <w:p w14:paraId="082E4A93" w14:textId="77777777" w:rsidR="00D678FF" w:rsidRPr="00EE5690" w:rsidRDefault="00D678FF" w:rsidP="00A01330">
      <w:pPr>
        <w:pStyle w:val="ListParagraph"/>
        <w:numPr>
          <w:ilvl w:val="0"/>
          <w:numId w:val="14"/>
        </w:numPr>
        <w:spacing w:before="0" w:after="160"/>
        <w:rPr>
          <w:rFonts w:cs="Arial"/>
        </w:rPr>
      </w:pPr>
      <w:r w:rsidRPr="00EE5690">
        <w:rPr>
          <w:rFonts w:cs="Arial"/>
        </w:rPr>
        <w:t xml:space="preserve">Benefit biodiversity and the climate in line with the do no significant harm principle, </w:t>
      </w:r>
      <w:proofErr w:type="gramStart"/>
      <w:r w:rsidRPr="00EE5690">
        <w:rPr>
          <w:rFonts w:cs="Arial"/>
        </w:rPr>
        <w:t>in particular excluding</w:t>
      </w:r>
      <w:proofErr w:type="gramEnd"/>
      <w:r w:rsidRPr="00EE5690">
        <w:rPr>
          <w:rFonts w:cs="Arial"/>
        </w:rPr>
        <w:t xml:space="preserve"> the planting of invasive alien species.</w:t>
      </w:r>
    </w:p>
    <w:p w14:paraId="72EFA112" w14:textId="77777777" w:rsidR="00D678FF" w:rsidRPr="00EE5690" w:rsidRDefault="00D678FF" w:rsidP="00A01330">
      <w:pPr>
        <w:pStyle w:val="ListParagraph"/>
        <w:numPr>
          <w:ilvl w:val="0"/>
          <w:numId w:val="14"/>
        </w:numPr>
        <w:spacing w:before="0" w:after="160"/>
        <w:rPr>
          <w:rFonts w:cs="Arial"/>
        </w:rPr>
      </w:pPr>
      <w:r w:rsidRPr="00EE5690">
        <w:rPr>
          <w:rFonts w:cs="Arial"/>
        </w:rPr>
        <w:t>Plant only native tree species, unless it can be demonstrated that they are no longer adapted to projected climatic and pedo-hydrological conditions.</w:t>
      </w:r>
    </w:p>
    <w:p w14:paraId="6E032E2A" w14:textId="2F8D2675" w:rsidR="00D678FF" w:rsidRPr="00EE5690" w:rsidRDefault="00D678FF" w:rsidP="002D2FB4">
      <w:pPr>
        <w:rPr>
          <w:rFonts w:cs="Arial"/>
        </w:rPr>
      </w:pPr>
      <w:r w:rsidRPr="00EE5690">
        <w:rPr>
          <w:rFonts w:cs="Arial"/>
        </w:rPr>
        <w:t xml:space="preserve">The work involved in tree planting will require continual, significant investment, from seedlings to workforce costs for afforestation, land preparations and planting activities, to regular monitoring procedures. This work could be financed or co-financed using some of the EU financing mechanisms available. Under the Horizon Europe research and innovation financing initiative, Cluster 6 (Food, Bioeconomy, Natural Resources, Agriculture, and Environment) will promote the planting of 3 billion trees through expanding scientific understanding on restoration, afforestation, and reforestation. By improving practical knowledge on forest composition and forest management practices that support the objectives of climate change mitigation, adaptation, biodiversity, and bioeconomy of newly established or restored forests, research and innovation will contribute to the initiative and increase its impact. The goal is to increase synergies while minimizing trade-offs. Experience and lessons learnt from current or prior funded research programs, such as B4EST or </w:t>
      </w:r>
      <w:r w:rsidR="00A649A5" w:rsidRPr="00EE5690">
        <w:rPr>
          <w:rStyle w:val="IntenseEmphasis"/>
          <w:rFonts w:cs="Arial"/>
        </w:rPr>
        <w:t>MAIL</w:t>
      </w:r>
      <w:r w:rsidRPr="00EE5690">
        <w:rPr>
          <w:rFonts w:cs="Arial"/>
        </w:rPr>
        <w:t xml:space="preserve">, could be leveraged to create a knowledge base to support the initiative </w:t>
      </w:r>
      <w:r w:rsidRPr="00EE5690">
        <w:rPr>
          <w:rFonts w:cs="Arial"/>
        </w:rPr>
        <w:fldChar w:fldCharType="begin" w:fldLock="1"/>
      </w:r>
      <w:r w:rsidR="00EA04B8" w:rsidRPr="00EE5690">
        <w:rPr>
          <w:rFonts w:cs="Arial"/>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Pr="00EE5690">
        <w:rPr>
          <w:rFonts w:cs="Arial"/>
        </w:rPr>
        <w:fldChar w:fldCharType="separate"/>
      </w:r>
      <w:r w:rsidR="00EA04B8" w:rsidRPr="00EE5690">
        <w:rPr>
          <w:rFonts w:cs="Arial"/>
          <w:noProof/>
        </w:rPr>
        <w:t>(European Commission, 2021d)</w:t>
      </w:r>
      <w:r w:rsidRPr="00EE5690">
        <w:rPr>
          <w:rFonts w:cs="Arial"/>
        </w:rPr>
        <w:fldChar w:fldCharType="end"/>
      </w:r>
      <w:r w:rsidRPr="00EE5690">
        <w:rPr>
          <w:rFonts w:cs="Arial"/>
        </w:rPr>
        <w:t>.</w:t>
      </w:r>
    </w:p>
    <w:p w14:paraId="0B0F0091" w14:textId="77777777" w:rsidR="00D678FF" w:rsidRPr="00EE5690" w:rsidRDefault="00D678FF" w:rsidP="002D2FB4">
      <w:pPr>
        <w:rPr>
          <w:rFonts w:cs="Arial"/>
        </w:rPr>
      </w:pPr>
      <w:r w:rsidRPr="00EE5690">
        <w:rPr>
          <w:rFonts w:cs="Arial"/>
        </w:rPr>
        <w:t xml:space="preserve">Due to technical, political, and socioeconomic factors such as difficulties in establishing measurement methodologies, non-permanence of carbon in forests, high land opportunity costs, and transaction costs generated by a weak and complex climate agreement in the Land Use Land Use Change and Forestry (LULUCF) sector, the use of carbon sequestration projects to mitigate climate change is limited to a small fraction of their potential biological capacity </w:t>
      </w:r>
      <w:r w:rsidRPr="00EE5690">
        <w:rPr>
          <w:rFonts w:cs="Arial"/>
        </w:rPr>
        <w:fldChar w:fldCharType="begin" w:fldLock="1"/>
      </w:r>
      <w:r w:rsidRPr="00EE5690">
        <w:rPr>
          <w:rFonts w:cs="Arial"/>
        </w:rPr>
        <w:instrText>ADDIN CSL_CITATION {"citationItems":[{"id":"ITEM-1","itemData":{"DOI":"10.3763/cpol.2001.0105","ISSN":"17527457","abstract":"One strategy for mitigating the increase in atmospheric carbon dioxide is to expand the size of the terrestrial carbon sink, particularly forests, essentially using trees as biological scrubbers. Within relevant ranges of carbon abatement targets, augmenting carbon sequestration by protecting and expanding biomass sinks can potentially make large contributions at costs that are comparable or lower than for emission source controls. The Kyoto protocol to the framework convention on climate change includes many provisions for forest and land use carbon sequestration projects and activities in its signatories' overall greenhouse gas mitigation plans. In particular, the protocol provides a joint implementation provision and a clean development mechanism that would allow nations to claim credit for carbon sequestration projects undertaken in cooperation with other countries. However, there are many obstacles for implementing an effective program of land use change and forestry carbon credits, especially measurement challenges. This paper explains the difficulty that even impartial analysts have in assessing the carbon offset benefits of projects. When these measurement challenges are combined with self-interest, asymmetries of information, and large numbers, it prevents to a project-based forest and land use carbon credit program may be insurmountable. © 2001 Taylor and Francis Group, LLC.","author":[{"dropping-particle":"","family":"Richards","given":"Kenneth","non-dropping-particle":"","parse-names":false,"suffix":""},{"dropping-particle":"","family":"Andersson","given":"Krister","non-dropping-particle":"","parse-names":false,"suffix":""}],"container-title":"Climate Policy","id":"ITEM-1","issue":"1","issued":{"date-parts":[["2001"]]},"page":"41-54","title":"The leaky sink: Persistent obstacles to a forest carbon sequestration program based on individual projects","type":"article-journal","volume":"1"},"uris":["http://www.mendeley.com/documents/?uuid=1440b838-6c91-4302-a1ed-1a3d03d9acc9"]},{"id":"ITEM-2","itemData":{"author":[{"dropping-particle":"","family":"Dixon","given":"R. K.","non-dropping-particle":"","parse-names":false,"suffix":""},{"dropping-particle":"","family":"Andrasko","given":"K. J.","non-dropping-particle":"","parse-names":false,"suffix":""},{"dropping-particle":"","family":"Sussman","given":"F. G.","non-dropping-particle":"","parse-names":false,"suffix":""},{"dropping-particle":"","family":"Lavinson","given":"M. A.","non-dropping-particle":"","parse-names":false,"suffix":""},{"dropping-particle":"","family":"Trexler","given":"M. C.","non-dropping-particle":"","parse-names":false,"suffix":""},{"dropping-particle":"","family":"Vinson","given":"T. S.","non-dropping-particle":"","parse-names":false,"suffix":""}],"container-title":"Water, Air and Soil Pollution","id":"ITEM-2","issued":{"date-parts":[["1993"]]},"page":"561–577","title":"Forest Sector Carbon Offset Projects: Near-Term Opportunities to Mitigate Greenhouse Gas Emissions","type":"article-journal","volume":"70"},"uris":["http://www.mendeley.com/documents/?uuid=7a615bdc-ec57-486b-ba6c-70b738a706bb"]}],"mendeley":{"formattedCitation":"(Dixon et al., 1993; K. Richards &amp; Andersson, 2001)","plainTextFormattedCitation":"(Dixon et al., 1993; K. Richards &amp; Andersson, 2001)","previouslyFormattedCitation":"(Dixon et al., 1993; K. Richards &amp; Andersson, 2001)"},"properties":{"noteIndex":0},"schema":"https://github.com/citation-style-language/schema/raw/master/csl-citation.json"}</w:instrText>
      </w:r>
      <w:r w:rsidRPr="00EE5690">
        <w:rPr>
          <w:rFonts w:cs="Arial"/>
        </w:rPr>
        <w:fldChar w:fldCharType="separate"/>
      </w:r>
      <w:r w:rsidRPr="00EE5690">
        <w:rPr>
          <w:rFonts w:cs="Arial"/>
          <w:noProof/>
        </w:rPr>
        <w:t>(Dixon et al., 1993; K. Richards &amp; Andersson, 2001)</w:t>
      </w:r>
      <w:r w:rsidRPr="00EE5690">
        <w:rPr>
          <w:rFonts w:cs="Arial"/>
        </w:rPr>
        <w:fldChar w:fldCharType="end"/>
      </w:r>
      <w:r w:rsidRPr="00EE5690">
        <w:rPr>
          <w:rFonts w:cs="Arial"/>
        </w:rPr>
        <w:t xml:space="preserve">. Furthermore, when costing carbon sequestration initiatives, the use of multiple methods, concepts, and terms has made comparing estimates from different projects and research difficult </w:t>
      </w:r>
      <w:r w:rsidRPr="00EE5690">
        <w:rPr>
          <w:rFonts w:cs="Arial"/>
        </w:rPr>
        <w:fldChar w:fldCharType="begin" w:fldLock="1"/>
      </w:r>
      <w:r w:rsidRPr="00EE5690">
        <w:rPr>
          <w:rFonts w:cs="Arial"/>
        </w:rPr>
        <w:instrText>ADDIN CSL_CITATION {"citationItems":[{"id":"ITEM-1","itemData":{"author":[{"dropping-particle":"","family":"Richards","given":"K. R.","non-dropping-particle":"","parse-names":false,"suffix":""},{"dropping-particle":"","family":"Stokes","given":"Carrie","non-dropping-particle":"","parse-names":false,"suffix":""}],"container-title":"Climatic Change","id":"ITEM-1","issue":"1993","issued":{"date-parts":[["2004"]]},"page":"1-48","title":"a Review of Forest Carbon Sequestration Cost Studies","type":"article-journal","volume":"63"},"uris":["http://www.mendeley.com/documents/?uuid=7e0a1863-2787-4003-94e0-40c5a9944a75"]}],"mendeley":{"formattedCitation":"(K. R. Richards &amp; Stokes, 2004)","plainTextFormattedCitation":"(K. R. Richards &amp; Stokes, 2004)","previouslyFormattedCitation":"(K. R. Richards &amp; Stokes, 2004)"},"properties":{"noteIndex":0},"schema":"https://github.com/citation-style-language/schema/raw/master/csl-citation.json"}</w:instrText>
      </w:r>
      <w:r w:rsidRPr="00EE5690">
        <w:rPr>
          <w:rFonts w:cs="Arial"/>
        </w:rPr>
        <w:fldChar w:fldCharType="separate"/>
      </w:r>
      <w:r w:rsidRPr="00EE5690">
        <w:rPr>
          <w:rFonts w:cs="Arial"/>
          <w:noProof/>
        </w:rPr>
        <w:t>(K. R. Richards &amp; Stokes, 2004)</w:t>
      </w:r>
      <w:r w:rsidRPr="00EE5690">
        <w:rPr>
          <w:rFonts w:cs="Arial"/>
        </w:rPr>
        <w:fldChar w:fldCharType="end"/>
      </w:r>
      <w:r w:rsidRPr="00EE5690">
        <w:rPr>
          <w:rFonts w:cs="Arial"/>
        </w:rPr>
        <w:t xml:space="preserve">. Market-based procedures are applied, with the goal of achieving an optimal allocation of limited resources by determining the carbon price through a demand-supply equilibrium. The application of market processes could result in a win–win situation in which buyers and sellers get the surpluses of consumers and producers, respectively, creating incentives for both groups of actors to participate. </w:t>
      </w:r>
      <w:r w:rsidRPr="00EE5690">
        <w:rPr>
          <w:rFonts w:cs="Arial"/>
        </w:rPr>
        <w:lastRenderedPageBreak/>
        <w:t xml:space="preserve">Afforestation/Reforestation Projects (ARP) are being developed in both the compliance (Kyoto Protocol obligations) and voluntary carbon markets, but despite the tremendous potential for implementation, participation is low </w:t>
      </w:r>
      <w:r w:rsidRPr="00EE5690">
        <w:rPr>
          <w:rFonts w:cs="Arial"/>
        </w:rPr>
        <w:fldChar w:fldCharType="begin" w:fldLock="1"/>
      </w:r>
      <w:r w:rsidRPr="00EE5690">
        <w:rPr>
          <w:rFonts w:cs="Arial"/>
        </w:rPr>
        <w:instrText>ADDIN CSL_CITATION {"citationItems":[{"id":"ITEM-1","itemData":{"DOI":"10.1016/j.ecolecon.2009.09.007","ISSN":"09218009","abstract":"Carbon sequestration in forest sinks is an important strategy to remove greenhouse gases and to mitigate climate change; however its implementation has been limited under the Clean Development Mechanism of the Kyoto Protocol which has not created the incentives for widespread implementation. The objective of this paper is to analyze the sequestration costs of agroforestry afforestation and reforestation projects (ARPs) following a partial market equilibrium using average cost curves and economic break even analysis to identify the supply costs. The modelling done in this work contrasts the voluntary and clean development mechanism transaction costs. Data is based on the voluntary project, Scolel Té, being implemented in Mexico. Cost curves are developed for seven different sequestration options considering transaction and implementation costs; information from agricultural production in Chiapas Mexico is used to integrate opportunity costs of two agroforestry practices suggesting that sequestration costs may follow a \"U\" shape, with an initial reduction due to economies of scale and a subsequent increase caused by high opportunity costs. The widespread implementation of agroforestry options not requiring complete land conversion (e.g. living fences and coffee under shade) might be cost effective strategies not generating high opportunity costs. Results also suggest that payments in the early years of the project and lower transaction costs favour the development of ARPs in the voluntary market especially in marginal rural areas with high discount rates. © 2009 Elsevier B.V. All rights reserved.","author":[{"dropping-particle":"","family":"Torres","given":"Arturo Balderas","non-dropping-particle":"","parse-names":false,"suffix":""},{"dropping-particle":"","family":"Marchant","given":"Rob","non-dropping-particle":"","parse-names":false,"suffix":""},{"dropping-particle":"","family":"Lovett","given":"Jon C.","non-dropping-particle":"","parse-names":false,"suffix":""},{"dropping-particle":"","family":"Smart","given":"James C.R.","non-dropping-particle":"","parse-names":false,"suffix":""},{"dropping-particle":"","family":"Tipper","given":"Richard","non-dropping-particle":"","parse-names":false,"suffix":""}],"container-title":"Ecological Economics","id":"ITEM-1","issue":"3","issued":{"date-parts":[["2010"]]},"page":"469-477","publisher":"Elsevier B.V.","title":"Analysis of the carbon sequestration costs of afforestation and reforestation agroforestry practices and the use of cost curves to evaluate their potential for implementation of climate change mitigation","type":"article-journal","volume":"69"},"uris":["http://www.mendeley.com/documents/?uuid=59c9f7fb-cc05-4341-b178-a48b7fb7c13e"]}],"mendeley":{"formattedCitation":"(Torres et al., 2010)","plainTextFormattedCitation":"(Torres et al., 2010)","previouslyFormattedCitation":"(Torres et al., 2010)"},"properties":{"noteIndex":0},"schema":"https://github.com/citation-style-language/schema/raw/master/csl-citation.json"}</w:instrText>
      </w:r>
      <w:r w:rsidRPr="00EE5690">
        <w:rPr>
          <w:rFonts w:cs="Arial"/>
        </w:rPr>
        <w:fldChar w:fldCharType="separate"/>
      </w:r>
      <w:r w:rsidRPr="00EE5690">
        <w:rPr>
          <w:rFonts w:cs="Arial"/>
          <w:noProof/>
        </w:rPr>
        <w:t>(Torres et al., 2010)</w:t>
      </w:r>
      <w:r w:rsidRPr="00EE5690">
        <w:rPr>
          <w:rFonts w:cs="Arial"/>
        </w:rPr>
        <w:fldChar w:fldCharType="end"/>
      </w:r>
      <w:r w:rsidRPr="00EE5690">
        <w:rPr>
          <w:rFonts w:cs="Arial"/>
        </w:rPr>
        <w:t>.</w:t>
      </w:r>
    </w:p>
    <w:p w14:paraId="59955F2A" w14:textId="4E433C4E" w:rsidR="00D678FF" w:rsidRPr="00EE5690" w:rsidRDefault="00D678FF" w:rsidP="002D2FB4">
      <w:pPr>
        <w:rPr>
          <w:rFonts w:cs="Arial"/>
        </w:rPr>
      </w:pPr>
      <w:r w:rsidRPr="00EE5690">
        <w:rPr>
          <w:rFonts w:cs="Arial"/>
        </w:rPr>
        <w:t>The costing of ARPs is a complicated procedure. Costs are commonly reported in the range of 1 to 8 $/ton-C, however extreme amounts have been reported in studies ranging from 0 to 1</w:t>
      </w:r>
      <w:r w:rsidR="00B77E9C">
        <w:rPr>
          <w:rFonts w:cs="Arial"/>
        </w:rPr>
        <w:t>,</w:t>
      </w:r>
      <w:r w:rsidRPr="00EE5690">
        <w:rPr>
          <w:rFonts w:cs="Arial"/>
        </w:rPr>
        <w:t>778 $/ton-C or even 6</w:t>
      </w:r>
      <w:r w:rsidR="00B77E9C">
        <w:rPr>
          <w:rFonts w:cs="Arial"/>
        </w:rPr>
        <w:t>,</w:t>
      </w:r>
      <w:r w:rsidRPr="00EE5690">
        <w:rPr>
          <w:rFonts w:cs="Arial"/>
        </w:rPr>
        <w:t xml:space="preserve">070 $/ton-C. According to Richards and Stokes (2004), estimates were difficult to compare due to inconsistencies in definitions, assumptions, and methodologies. To model carbon sequestration, they use the flow summation approach, average storage method, and discounting method </w:t>
      </w:r>
      <w:r w:rsidRPr="00EE5690">
        <w:rPr>
          <w:rFonts w:cs="Arial"/>
        </w:rPr>
        <w:fldChar w:fldCharType="begin" w:fldLock="1"/>
      </w:r>
      <w:r w:rsidRPr="00EE5690">
        <w:rPr>
          <w:rFonts w:cs="Arial"/>
        </w:rPr>
        <w:instrText>ADDIN CSL_CITATION {"citationItems":[{"id":"ITEM-1","itemData":{"abstract":"Under Kyoto, forestry activities that sequester carbon can be used to create CO2 offset credits that could obviate the need for lifestyle-changing reductions in fossil fuel use. Credits are earned by storing carbon in forest ecosystems and wood products, although CO2 emissions are also mitigated by delaying deforestation, which accounts for one-quarter of anthropogenic CO2 emissions. Non-permanent carbon offsets from forest activities are difficult to compare with each other and with mitigation strategies because they differ in how long they prevent CO2 from entering the atmosphere. In this paper, we investigate issues of carbon sequestration in detail, but in particular we expand in comprehensive fashion on earlier work comparing carbon mitigation activities according to how long they can lower atmospheric CO2 levels. The duration problem is modeled theoretically. Meta-regression analysis with 1047 observations from 68 studies is then used to determine whether the duration problem leads to inconclusive results between carbon-uptake costs and carbon sequestration. In addition, from the regression analysis, it is possible to estimate potential costs of carbon uptake via forestry activities for various scenarios. It turns out that forestry activities are competitive with emissions reduction in tropical regions and, perhaps, in boreal regions, but certainly not in Europe.","author":[{"dropping-particle":"","family":"Kooten","given":"G. C.","non-dropping-particle":"Van","parse-names":false,"suffix":""},{"dropping-particle":"","family":"Wang","given":"Yichuan","non-dropping-particle":"","parse-names":false,"suffix":""},{"dropping-particle":"","family":"Laaksonen-craig","given":"Susanna","non-dropping-particle":"","parse-names":false,"suffix":""}],"container-title":"Selected Paper prepared for presentation at the American Agricultural Economics Association Annual Meeting. United States","id":"ITEM-1","issued":{"date-parts":[["2007"]]},"title":"Carbon sequestration in forest ecosystems as a strategy for mitigating climate change","type":"article-journal"},"uris":["http://www.mendeley.com/documents/?uuid=c87016d9-ae4a-4493-a76c-8675b3dac65b"]},{"id":"ITEM-2","itemData":{"author":[{"dropping-particle":"","family":"Richards","given":"K. R.","non-dropping-particle":"","parse-names":false,"suffix":""},{"dropping-particle":"","family":"Stokes","given":"Carrie","non-dropping-particle":"","parse-names":false,"suffix":""}],"container-title":"Climatic Change","id":"ITEM-2","issue":"1993","issued":{"date-parts":[["2004"]]},"page":"1-48","title":"a Review of Forest Carbon Sequestration Cost Studies","type":"article-journal","volume":"63"},"uris":["http://www.mendeley.com/documents/?uuid=7e0a1863-2787-4003-94e0-40c5a9944a75"]}],"mendeley":{"formattedCitation":"(K. R. Richards &amp; Stokes, 2004; Van Kooten et al., 2007)","plainTextFormattedCitation":"(K. R. Richards &amp; Stokes, 2004; Van Kooten et al., 2007)","previouslyFormattedCitation":"(K. R. Richards &amp; Stokes, 2004; Van Kooten et al., 2007)"},"properties":{"noteIndex":0},"schema":"https://github.com/citation-style-language/schema/raw/master/csl-citation.json"}</w:instrText>
      </w:r>
      <w:r w:rsidRPr="00EE5690">
        <w:rPr>
          <w:rFonts w:cs="Arial"/>
        </w:rPr>
        <w:fldChar w:fldCharType="separate"/>
      </w:r>
      <w:r w:rsidRPr="00EE5690">
        <w:rPr>
          <w:rFonts w:cs="Arial"/>
          <w:noProof/>
        </w:rPr>
        <w:t>(K. R. Richards &amp; Stokes, 2004; Van Kooten et al., 2007)</w:t>
      </w:r>
      <w:r w:rsidRPr="00EE5690">
        <w:rPr>
          <w:rFonts w:cs="Arial"/>
        </w:rPr>
        <w:fldChar w:fldCharType="end"/>
      </w:r>
      <w:r w:rsidRPr="00EE5690">
        <w:rPr>
          <w:rFonts w:cs="Arial"/>
        </w:rPr>
        <w:t xml:space="preserve">. To make comparisons easier, according to Richards and Stokes, studies should describe the practices to be implemented as well as the long-term sequestration pathway; the baseline without the project, the geographical scope, and a description of the costs; and all information and assumptions connected to the methodology. Furthermore, they understand that the opportunity cost of land is the most essential factor and difficult in costing estimation </w:t>
      </w:r>
      <w:r w:rsidRPr="00EE5690">
        <w:rPr>
          <w:rFonts w:cs="Arial"/>
        </w:rPr>
        <w:fldChar w:fldCharType="begin" w:fldLock="1"/>
      </w:r>
      <w:r w:rsidRPr="00EE5690">
        <w:rPr>
          <w:rFonts w:cs="Arial"/>
        </w:rPr>
        <w:instrText>ADDIN CSL_CITATION {"citationItems":[{"id":"ITEM-1","itemData":{"author":[{"dropping-particle":"","family":"Richards","given":"K. R.","non-dropping-particle":"","parse-names":false,"suffix":""},{"dropping-particle":"","family":"Stokes","given":"Carrie","non-dropping-particle":"","parse-names":false,"suffix":""}],"container-title":"Climatic Change","id":"ITEM-1","issue":"1993","issued":{"date-parts":[["2004"]]},"page":"1-48","title":"a Review of Forest Carbon Sequestration Cost Studies","type":"article-journal","volume":"63"},"uris":["http://www.mendeley.com/documents/?uuid=7e0a1863-2787-4003-94e0-40c5a9944a75"]}],"mendeley":{"formattedCitation":"(K. R. Richards &amp; Stokes, 2004)","plainTextFormattedCitation":"(K. R. Richards &amp; Stokes, 2004)","previouslyFormattedCitation":"(K. R. Richards &amp; Stokes, 2004)"},"properties":{"noteIndex":0},"schema":"https://github.com/citation-style-language/schema/raw/master/csl-citation.json"}</w:instrText>
      </w:r>
      <w:r w:rsidRPr="00EE5690">
        <w:rPr>
          <w:rFonts w:cs="Arial"/>
        </w:rPr>
        <w:fldChar w:fldCharType="separate"/>
      </w:r>
      <w:r w:rsidRPr="00EE5690">
        <w:rPr>
          <w:rFonts w:cs="Arial"/>
          <w:noProof/>
        </w:rPr>
        <w:t>(K. R. Richards &amp; Stokes, 2004)</w:t>
      </w:r>
      <w:r w:rsidRPr="00EE5690">
        <w:rPr>
          <w:rFonts w:cs="Arial"/>
        </w:rPr>
        <w:fldChar w:fldCharType="end"/>
      </w:r>
      <w:r w:rsidRPr="00EE5690">
        <w:rPr>
          <w:rFonts w:cs="Arial"/>
        </w:rPr>
        <w:t>.</w:t>
      </w:r>
    </w:p>
    <w:p w14:paraId="5270B9B4" w14:textId="408EC304" w:rsidR="00D678FF" w:rsidRPr="00EE5690" w:rsidRDefault="00D678FF" w:rsidP="002D2FB4">
      <w:pPr>
        <w:rPr>
          <w:rFonts w:cs="Arial"/>
        </w:rPr>
      </w:pPr>
      <w:r w:rsidRPr="00EE5690">
        <w:rPr>
          <w:rFonts w:cs="Arial"/>
        </w:rPr>
        <w:t xml:space="preserve">Demand for Afforestation/Reforestation Projects should be increased </w:t>
      </w:r>
      <w:proofErr w:type="gramStart"/>
      <w:r w:rsidRPr="00EE5690">
        <w:rPr>
          <w:rFonts w:cs="Arial"/>
        </w:rPr>
        <w:t>in order to</w:t>
      </w:r>
      <w:proofErr w:type="gramEnd"/>
      <w:r w:rsidRPr="00EE5690">
        <w:rPr>
          <w:rFonts w:cs="Arial"/>
        </w:rPr>
        <w:t xml:space="preserve"> generate incentives for their implementation. Given that reduced costs may mean lower revenues for landowners in marginal areas, the major tactics for improving Afforestation/Reforestation Projects implementation should focus on negotiating greater carbon payments, investing in high-quality baselines to facilitate landowner participation, and lowering transaction costs. Up-front carbon payments to landowners and lower transaction costs in the voluntary market, it is believed, create more realistic conditions for Afforestation/Reforestation Projects development in marginal rural regions than the existing CDM system </w:t>
      </w:r>
      <w:r w:rsidRPr="00EE5690">
        <w:rPr>
          <w:rFonts w:cs="Arial"/>
        </w:rPr>
        <w:fldChar w:fldCharType="begin" w:fldLock="1"/>
      </w:r>
      <w:r w:rsidRPr="00EE5690">
        <w:rPr>
          <w:rFonts w:cs="Arial"/>
        </w:rPr>
        <w:instrText>ADDIN CSL_CITATION {"citationItems":[{"id":"ITEM-1","itemData":{"DOI":"10.1016/j.ecolecon.2009.09.007","ISSN":"09218009","abstract":"Carbon sequestration in forest sinks is an important strategy to remove greenhouse gases and to mitigate climate change; however its implementation has been limited under the Clean Development Mechanism of the Kyoto Protocol which has not created the incentives for widespread implementation. The objective of this paper is to analyze the sequestration costs of agroforestry afforestation and reforestation projects (ARPs) following a partial market equilibrium using average cost curves and economic break even analysis to identify the supply costs. The modelling done in this work contrasts the voluntary and clean development mechanism transaction costs. Data is based on the voluntary project, Scolel Té, being implemented in Mexico. Cost curves are developed for seven different sequestration options considering transaction and implementation costs; information from agricultural production in Chiapas Mexico is used to integrate opportunity costs of two agroforestry practices suggesting that sequestration costs may follow a \"U\" shape, with an initial reduction due to economies of scale and a subsequent increase caused by high opportunity costs. The widespread implementation of agroforestry options not requiring complete land conversion (e.g. living fences and coffee under shade) might be cost effective strategies not generating high opportunity costs. Results also suggest that payments in the early years of the project and lower transaction costs favour the development of ARPs in the voluntary market especially in marginal rural areas with high discount rates. © 2009 Elsevier B.V. All rights reserved.","author":[{"dropping-particle":"","family":"Torres","given":"Arturo Balderas","non-dropping-particle":"","parse-names":false,"suffix":""},{"dropping-particle":"","family":"Marchant","given":"Rob","non-dropping-particle":"","parse-names":false,"suffix":""},{"dropping-particle":"","family":"Lovett","given":"Jon C.","non-dropping-particle":"","parse-names":false,"suffix":""},{"dropping-particle":"","family":"Smart","given":"James C.R.","non-dropping-particle":"","parse-names":false,"suffix":""},{"dropping-particle":"","family":"Tipper","given":"Richard","non-dropping-particle":"","parse-names":false,"suffix":""}],"container-title":"Ecological Economics","id":"ITEM-1","issue":"3","issued":{"date-parts":[["2010"]]},"page":"469-477","publisher":"Elsevier B.V.","title":"Analysis of the carbon sequestration costs of afforestation and reforestation agroforestry practices and the use of cost curves to evaluate their potential for implementation of climate change mitigation","type":"article-journal","volume":"69"},"uris":["http://www.mendeley.com/documents/?uuid=59c9f7fb-cc05-4341-b178-a48b7fb7c13e"]}],"mendeley":{"formattedCitation":"(Torres et al., 2010)","plainTextFormattedCitation":"(Torres et al., 2010)","previouslyFormattedCitation":"(Torres et al., 2010)"},"properties":{"noteIndex":0},"schema":"https://github.com/citation-style-language/schema/raw/master/csl-citation.json"}</w:instrText>
      </w:r>
      <w:r w:rsidRPr="00EE5690">
        <w:rPr>
          <w:rFonts w:cs="Arial"/>
        </w:rPr>
        <w:fldChar w:fldCharType="separate"/>
      </w:r>
      <w:r w:rsidRPr="00EE5690">
        <w:rPr>
          <w:rFonts w:cs="Arial"/>
          <w:noProof/>
        </w:rPr>
        <w:t>(Torres et al., 2010)</w:t>
      </w:r>
      <w:r w:rsidRPr="00EE5690">
        <w:rPr>
          <w:rFonts w:cs="Arial"/>
        </w:rPr>
        <w:fldChar w:fldCharType="end"/>
      </w:r>
      <w:r w:rsidRPr="00EE5690">
        <w:rPr>
          <w:rFonts w:cs="Arial"/>
        </w:rPr>
        <w:t>.</w:t>
      </w:r>
    </w:p>
    <w:p w14:paraId="3FDC39A9" w14:textId="44D7706B" w:rsidR="00D678FF" w:rsidRPr="00EE5690" w:rsidRDefault="00D678FF" w:rsidP="005D4B20">
      <w:pPr>
        <w:pStyle w:val="MAIL11"/>
      </w:pPr>
      <w:bookmarkStart w:id="99" w:name="_Toc91752400"/>
      <w:r w:rsidRPr="00EE5690">
        <w:lastRenderedPageBreak/>
        <w:t>Economical afforestation model in Marginal Lands</w:t>
      </w:r>
      <w:bookmarkEnd w:id="99"/>
    </w:p>
    <w:p w14:paraId="16B4BC9B" w14:textId="03CD4445" w:rsidR="00D678FF" w:rsidRPr="00EE5690" w:rsidRDefault="00672A62" w:rsidP="00D461B8">
      <w:pPr>
        <w:keepNext/>
        <w:jc w:val="center"/>
        <w:rPr>
          <w:rFonts w:cs="Arial"/>
        </w:rPr>
      </w:pPr>
      <w:r w:rsidRPr="00EE5690">
        <w:rPr>
          <w:rFonts w:cs="Arial"/>
          <w:noProof/>
        </w:rPr>
        <w:drawing>
          <wp:inline distT="0" distB="0" distL="0" distR="0" wp14:anchorId="06FF0DC3" wp14:editId="3B4F5810">
            <wp:extent cx="5273675" cy="3103245"/>
            <wp:effectExtent l="0" t="0" r="0" b="1905"/>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3675" cy="3103245"/>
                    </a:xfrm>
                    <a:prstGeom prst="rect">
                      <a:avLst/>
                    </a:prstGeom>
                    <a:noFill/>
                  </pic:spPr>
                </pic:pic>
              </a:graphicData>
            </a:graphic>
          </wp:inline>
        </w:drawing>
      </w:r>
    </w:p>
    <w:p w14:paraId="75AB8638" w14:textId="2C15671E" w:rsidR="00D678FF" w:rsidRPr="00B77E9C" w:rsidRDefault="00D678FF" w:rsidP="00D461B8">
      <w:pPr>
        <w:pStyle w:val="Caption"/>
        <w:rPr>
          <w:rFonts w:cs="Arial"/>
        </w:rPr>
      </w:pPr>
      <w:bookmarkStart w:id="100" w:name="_Toc91752507"/>
      <w:r w:rsidRPr="00B77E9C">
        <w:rPr>
          <w:rFonts w:cs="Arial"/>
        </w:rPr>
        <w:t xml:space="preserve">Figure </w:t>
      </w:r>
      <w:r w:rsidRPr="00B77E9C">
        <w:rPr>
          <w:rFonts w:cs="Arial"/>
        </w:rPr>
        <w:fldChar w:fldCharType="begin"/>
      </w:r>
      <w:r w:rsidRPr="00B77E9C">
        <w:rPr>
          <w:rFonts w:cs="Arial"/>
        </w:rPr>
        <w:instrText xml:space="preserve"> SEQ Figure \* ARABIC </w:instrText>
      </w:r>
      <w:r w:rsidRPr="00B77E9C">
        <w:rPr>
          <w:rFonts w:cs="Arial"/>
        </w:rPr>
        <w:fldChar w:fldCharType="separate"/>
      </w:r>
      <w:r w:rsidR="0073710A">
        <w:rPr>
          <w:rFonts w:cs="Arial"/>
          <w:noProof/>
        </w:rPr>
        <w:t>23</w:t>
      </w:r>
      <w:r w:rsidRPr="00B77E9C">
        <w:rPr>
          <w:rFonts w:cs="Arial"/>
        </w:rPr>
        <w:fldChar w:fldCharType="end"/>
      </w:r>
      <w:r w:rsidRPr="00B77E9C">
        <w:rPr>
          <w:rFonts w:cs="Arial"/>
        </w:rPr>
        <w:t xml:space="preserve"> </w:t>
      </w:r>
      <w:r w:rsidR="001432D2" w:rsidRPr="00B77E9C">
        <w:rPr>
          <w:rFonts w:cs="Arial"/>
        </w:rPr>
        <w:t xml:space="preserve">Methodology’s </w:t>
      </w:r>
      <w:r w:rsidRPr="00B77E9C">
        <w:rPr>
          <w:rFonts w:cs="Arial"/>
        </w:rPr>
        <w:t xml:space="preserve">Workflow of the </w:t>
      </w:r>
      <w:r w:rsidR="001432D2" w:rsidRPr="00B77E9C">
        <w:rPr>
          <w:rFonts w:cs="Arial"/>
        </w:rPr>
        <w:t>economical afforestation model of ML</w:t>
      </w:r>
      <w:bookmarkEnd w:id="100"/>
    </w:p>
    <w:p w14:paraId="2D7C2FDF" w14:textId="0814C303" w:rsidR="001432D2" w:rsidRPr="00EE5690" w:rsidRDefault="001432D2" w:rsidP="009E12D8">
      <w:pPr>
        <w:pStyle w:val="MAIL111"/>
      </w:pPr>
      <w:bookmarkStart w:id="101" w:name="_Toc91752401"/>
      <w:r w:rsidRPr="00EE5690">
        <w:t>Base Price Calculation</w:t>
      </w:r>
      <w:bookmarkEnd w:id="101"/>
    </w:p>
    <w:p w14:paraId="5E439116" w14:textId="031F1929" w:rsidR="001432D2" w:rsidRPr="00EE5690" w:rsidRDefault="001432D2" w:rsidP="002D2FB4">
      <w:pPr>
        <w:rPr>
          <w:rFonts w:cs="Arial"/>
        </w:rPr>
      </w:pPr>
      <w:r w:rsidRPr="00EE5690">
        <w:rPr>
          <w:rFonts w:cs="Arial"/>
        </w:rPr>
        <w:t>Using as reference site the Spanish website ‘</w:t>
      </w:r>
      <w:proofErr w:type="spellStart"/>
      <w:r w:rsidRPr="00EE5690">
        <w:rPr>
          <w:rFonts w:cs="Arial"/>
        </w:rPr>
        <w:t>Tarifas</w:t>
      </w:r>
      <w:proofErr w:type="spellEnd"/>
      <w:r w:rsidRPr="00EE5690">
        <w:rPr>
          <w:rFonts w:cs="Arial"/>
        </w:rPr>
        <w:t xml:space="preserve"> </w:t>
      </w:r>
      <w:proofErr w:type="spellStart"/>
      <w:r w:rsidRPr="00EE5690">
        <w:rPr>
          <w:rFonts w:cs="Arial"/>
        </w:rPr>
        <w:t>Tragsa</w:t>
      </w:r>
      <w:proofErr w:type="spellEnd"/>
      <w:r w:rsidRPr="00EE5690">
        <w:rPr>
          <w:rFonts w:cs="Arial"/>
        </w:rPr>
        <w:t xml:space="preserve">’, the prices for forest plantation were calculated. Three basic operations as the opening a hole on the ground (manually or mechanically), the plantation of one tree and the covering of the ground hole were </w:t>
      </w:r>
      <w:proofErr w:type="gramStart"/>
      <w:r w:rsidRPr="00EE5690">
        <w:rPr>
          <w:rFonts w:cs="Arial"/>
        </w:rPr>
        <w:t>taken into account</w:t>
      </w:r>
      <w:proofErr w:type="gramEnd"/>
      <w:r w:rsidRPr="00EE5690">
        <w:rPr>
          <w:rFonts w:cs="Arial"/>
        </w:rPr>
        <w:t xml:space="preserve"> in order to define the base price of planting a single tree. Since there were many factors that influence the price such as the slope of the ground (&lt;50% or &gt;50 %), the density of the trees (&lt;700 or &gt;700), the consistence of the soil (loose, transit, rocky) and the dimension of the hole (60x60x60 cm), an RStudio-script </w:t>
      </w:r>
      <w:r w:rsidR="00D461B8">
        <w:rPr>
          <w:rFonts w:cs="Arial"/>
        </w:rPr>
        <w:t xml:space="preserve">was </w:t>
      </w:r>
      <w:r w:rsidRPr="00EE5690">
        <w:rPr>
          <w:rFonts w:cs="Arial"/>
        </w:rPr>
        <w:t xml:space="preserve">created for </w:t>
      </w:r>
      <w:r w:rsidR="00D461B8">
        <w:rPr>
          <w:rFonts w:cs="Arial"/>
        </w:rPr>
        <w:t xml:space="preserve">the </w:t>
      </w:r>
      <w:r w:rsidR="00D461B8" w:rsidRPr="00EE5690">
        <w:rPr>
          <w:rFonts w:cs="Arial"/>
        </w:rPr>
        <w:t xml:space="preserve">definition </w:t>
      </w:r>
      <w:r w:rsidR="00D461B8">
        <w:rPr>
          <w:rFonts w:cs="Arial"/>
        </w:rPr>
        <w:t xml:space="preserve">of </w:t>
      </w:r>
      <w:r w:rsidRPr="00EE5690">
        <w:rPr>
          <w:rFonts w:cs="Arial"/>
        </w:rPr>
        <w:t>the base price and the percentage</w:t>
      </w:r>
      <w:r w:rsidR="00D461B8">
        <w:rPr>
          <w:rFonts w:cs="Arial"/>
        </w:rPr>
        <w:t xml:space="preserve"> by</w:t>
      </w:r>
      <w:r w:rsidRPr="00EE5690">
        <w:rPr>
          <w:rFonts w:cs="Arial"/>
        </w:rPr>
        <w:t xml:space="preserve"> which each factor influences the base price.</w:t>
      </w:r>
    </w:p>
    <w:p w14:paraId="6121E304" w14:textId="56D25EE6" w:rsidR="001432D2" w:rsidRPr="00EE5690" w:rsidRDefault="001432D2" w:rsidP="002D2FB4">
      <w:pPr>
        <w:rPr>
          <w:rFonts w:cs="Arial"/>
        </w:rPr>
      </w:pPr>
      <w:r w:rsidRPr="00EE5690">
        <w:rPr>
          <w:rFonts w:cs="Arial"/>
        </w:rPr>
        <w:t>After running the script, the outcoming result was the base price by a manual way of planting a tree was 16.51 euros and the mechanical way was 5.28 euros.</w:t>
      </w:r>
    </w:p>
    <w:p w14:paraId="72B3A2A4" w14:textId="6A320FA3" w:rsidR="001432D2" w:rsidRPr="00EE5690" w:rsidRDefault="001432D2" w:rsidP="009E12D8">
      <w:pPr>
        <w:pStyle w:val="MAIL111"/>
      </w:pPr>
      <w:bookmarkStart w:id="102" w:name="_Toc91752402"/>
      <w:r w:rsidRPr="00EE5690">
        <w:t>Data Collection and Discount Rates</w:t>
      </w:r>
      <w:bookmarkEnd w:id="102"/>
    </w:p>
    <w:p w14:paraId="5DFD8CDD" w14:textId="15F126F0" w:rsidR="001432D2" w:rsidRPr="00EE5690" w:rsidRDefault="001432D2" w:rsidP="002D2FB4">
      <w:pPr>
        <w:rPr>
          <w:rFonts w:cs="Arial"/>
        </w:rPr>
      </w:pPr>
      <w:r w:rsidRPr="00EE5690">
        <w:rPr>
          <w:rFonts w:cs="Arial"/>
        </w:rPr>
        <w:t xml:space="preserve">While the aim of this procedure is to illustrate the factors that influence the price of tree plantation in marginal lands, the factors that </w:t>
      </w:r>
      <w:r w:rsidR="00D461B8">
        <w:rPr>
          <w:rFonts w:cs="Arial"/>
        </w:rPr>
        <w:t xml:space="preserve">were </w:t>
      </w:r>
      <w:proofErr w:type="gramStart"/>
      <w:r w:rsidR="00D461B8">
        <w:rPr>
          <w:rFonts w:cs="Arial"/>
        </w:rPr>
        <w:t xml:space="preserve">taken </w:t>
      </w:r>
      <w:r w:rsidRPr="00EE5690">
        <w:rPr>
          <w:rFonts w:cs="Arial"/>
        </w:rPr>
        <w:t>into account</w:t>
      </w:r>
      <w:proofErr w:type="gramEnd"/>
      <w:r w:rsidRPr="00EE5690">
        <w:rPr>
          <w:rFonts w:cs="Arial"/>
        </w:rPr>
        <w:t xml:space="preserve"> from the above process were the slope and the soil consistence. When slope is less or equal to 50% </w:t>
      </w:r>
      <w:r w:rsidRPr="00EE5690">
        <w:rPr>
          <w:rFonts w:cs="Arial"/>
        </w:rPr>
        <w:lastRenderedPageBreak/>
        <w:t xml:space="preserve">influences the price at -9% and when it is above 50% at 9%. When the soil is </w:t>
      </w:r>
      <w:proofErr w:type="gramStart"/>
      <w:r w:rsidRPr="00EE5690">
        <w:rPr>
          <w:rFonts w:cs="Arial"/>
        </w:rPr>
        <w:t>loose</w:t>
      </w:r>
      <w:proofErr w:type="gramEnd"/>
      <w:r w:rsidRPr="00EE5690">
        <w:rPr>
          <w:rFonts w:cs="Arial"/>
        </w:rPr>
        <w:t xml:space="preserve"> the price is influenced at -60%, when it is transit at 16% and when it is rocky at 45%. </w:t>
      </w:r>
    </w:p>
    <w:p w14:paraId="6311E581" w14:textId="3A755F9A" w:rsidR="001432D2" w:rsidRPr="00EE5690" w:rsidRDefault="001432D2" w:rsidP="002D2FB4">
      <w:pPr>
        <w:rPr>
          <w:rFonts w:cs="Arial"/>
        </w:rPr>
      </w:pPr>
      <w:r w:rsidRPr="00EE5690">
        <w:rPr>
          <w:rFonts w:cs="Arial"/>
        </w:rPr>
        <w:t xml:space="preserve">Google Earth Engine (GEE) </w:t>
      </w:r>
      <w:r w:rsidR="00D461B8">
        <w:rPr>
          <w:rFonts w:cs="Arial"/>
        </w:rPr>
        <w:t xml:space="preserve">was </w:t>
      </w:r>
      <w:r w:rsidRPr="00EE5690">
        <w:rPr>
          <w:rFonts w:cs="Arial"/>
        </w:rPr>
        <w:t xml:space="preserve">used for the </w:t>
      </w:r>
      <w:proofErr w:type="spellStart"/>
      <w:r w:rsidRPr="00EE5690">
        <w:rPr>
          <w:rFonts w:cs="Arial"/>
        </w:rPr>
        <w:t>economical</w:t>
      </w:r>
      <w:proofErr w:type="spellEnd"/>
      <w:r w:rsidRPr="00EE5690">
        <w:rPr>
          <w:rFonts w:cs="Arial"/>
        </w:rPr>
        <w:t xml:space="preserve"> model creation. </w:t>
      </w:r>
      <w:proofErr w:type="gramStart"/>
      <w:r w:rsidRPr="00EE5690">
        <w:rPr>
          <w:rFonts w:cs="Arial"/>
        </w:rPr>
        <w:t>First of all</w:t>
      </w:r>
      <w:proofErr w:type="gramEnd"/>
      <w:r w:rsidRPr="00EE5690">
        <w:rPr>
          <w:rFonts w:cs="Arial"/>
        </w:rPr>
        <w:t xml:space="preserve">, the most important map of Marginal Lands which produced in task 2.3 of </w:t>
      </w:r>
      <w:r w:rsidR="00A649A5" w:rsidRPr="00EE5690">
        <w:rPr>
          <w:rStyle w:val="IntenseEmphasis"/>
          <w:rFonts w:cs="Arial"/>
        </w:rPr>
        <w:t>MAIL</w:t>
      </w:r>
      <w:r w:rsidRPr="00EE5690">
        <w:rPr>
          <w:rFonts w:cs="Arial"/>
        </w:rPr>
        <w:t xml:space="preserve"> Project, imported in the platform of Google Earth Engine. Spatial data such as Digital Elevation Model (GTOPO30: Global 30 Arc-Second Elevation), Accessibility to Cities 2015 (Travel time to the nearest densely populated area), Texture of the soil by USDA Systems, were collected from Google Earth Engine’s data Catalog. Moreover, </w:t>
      </w:r>
      <w:proofErr w:type="gramStart"/>
      <w:r w:rsidRPr="00EE5690">
        <w:rPr>
          <w:rFonts w:cs="Arial"/>
        </w:rPr>
        <w:t>due to the fact that</w:t>
      </w:r>
      <w:proofErr w:type="gramEnd"/>
      <w:r w:rsidRPr="00EE5690">
        <w:rPr>
          <w:rFonts w:cs="Arial"/>
        </w:rPr>
        <w:t xml:space="preserve"> the price of </w:t>
      </w:r>
      <w:r w:rsidR="00962A93" w:rsidRPr="00EE5690">
        <w:rPr>
          <w:rFonts w:cs="Arial"/>
        </w:rPr>
        <w:t>labor</w:t>
      </w:r>
      <w:r w:rsidRPr="00EE5690">
        <w:rPr>
          <w:rFonts w:cs="Arial"/>
        </w:rPr>
        <w:t xml:space="preserve"> differs from country to country, </w:t>
      </w:r>
      <w:r w:rsidR="00962A93" w:rsidRPr="00EE5690">
        <w:rPr>
          <w:rFonts w:cs="Arial"/>
        </w:rPr>
        <w:t>Labor</w:t>
      </w:r>
      <w:r w:rsidRPr="00EE5690">
        <w:rPr>
          <w:rFonts w:cs="Arial"/>
        </w:rPr>
        <w:t xml:space="preserve"> Cost level (</w:t>
      </w:r>
      <w:proofErr w:type="spellStart"/>
      <w:r w:rsidRPr="00EE5690">
        <w:rPr>
          <w:rFonts w:cs="Arial"/>
        </w:rPr>
        <w:t>LCl</w:t>
      </w:r>
      <w:proofErr w:type="spellEnd"/>
      <w:r w:rsidRPr="00EE5690">
        <w:rPr>
          <w:rFonts w:cs="Arial"/>
        </w:rPr>
        <w:t xml:space="preserve">) which concerns compensation of employees plus taxes minus subsidies, (more analytically, industry, construction and services, except public administration, </w:t>
      </w:r>
      <w:r w:rsidR="00962A93" w:rsidRPr="00EE5690">
        <w:rPr>
          <w:rFonts w:cs="Arial"/>
        </w:rPr>
        <w:t>defense</w:t>
      </w:r>
      <w:r w:rsidRPr="00EE5690">
        <w:rPr>
          <w:rFonts w:cs="Arial"/>
        </w:rPr>
        <w:t xml:space="preserve">, compulsory social security) collected from Eurostat. The countries prices estimated as weights using as base country the Spain since the data for the computation of the base price came from there. </w:t>
      </w:r>
      <w:proofErr w:type="gramStart"/>
      <w:r w:rsidRPr="00EE5690">
        <w:rPr>
          <w:rFonts w:cs="Arial"/>
        </w:rPr>
        <w:t>In order to</w:t>
      </w:r>
      <w:proofErr w:type="gramEnd"/>
      <w:r w:rsidRPr="00EE5690">
        <w:rPr>
          <w:rFonts w:cs="Arial"/>
        </w:rPr>
        <w:t xml:space="preserve"> spatialize the </w:t>
      </w:r>
      <w:proofErr w:type="spellStart"/>
      <w:r w:rsidRPr="00EE5690">
        <w:rPr>
          <w:rFonts w:cs="Arial"/>
        </w:rPr>
        <w:t>LCl</w:t>
      </w:r>
      <w:proofErr w:type="spellEnd"/>
      <w:r w:rsidRPr="00EE5690">
        <w:rPr>
          <w:rFonts w:cs="Arial"/>
        </w:rPr>
        <w:t xml:space="preserve"> prices Nuts 0 shapefile was also collected by Eurostat and combined, by the join tool in ArcMap, with </w:t>
      </w:r>
      <w:proofErr w:type="spellStart"/>
      <w:r w:rsidRPr="00EE5690">
        <w:rPr>
          <w:rFonts w:cs="Arial"/>
        </w:rPr>
        <w:t>LCl</w:t>
      </w:r>
      <w:proofErr w:type="spellEnd"/>
      <w:r w:rsidRPr="00EE5690">
        <w:rPr>
          <w:rFonts w:cs="Arial"/>
        </w:rPr>
        <w:t xml:space="preserve"> values.  </w:t>
      </w:r>
    </w:p>
    <w:p w14:paraId="409E834B" w14:textId="77777777" w:rsidR="001432D2" w:rsidRPr="00EE5690" w:rsidRDefault="001432D2" w:rsidP="002D2FB4">
      <w:pPr>
        <w:rPr>
          <w:rFonts w:cs="Arial"/>
        </w:rPr>
      </w:pPr>
      <w:r w:rsidRPr="00EE5690">
        <w:rPr>
          <w:rFonts w:cs="Arial"/>
        </w:rPr>
        <w:t xml:space="preserve">ML’s map has four classes, class 0, 1, 2 and 3, where 0 marginal land does not exist, 1 defined as Marginal lands with high plantation suitability, 2 as Marginal lands with low plantation suitability and 3 as potentially unsuitable lands. Since the aim of the model is the afforestation, ML map reclassified as binary map considering 0, 2 and 3 classes as 0 and class 1 as 1. This binary ML map multiplied by the base prices (manual and mechanical). </w:t>
      </w:r>
    </w:p>
    <w:p w14:paraId="1C1FB0A3" w14:textId="77777777" w:rsidR="001432D2" w:rsidRPr="00EE5690" w:rsidRDefault="001432D2" w:rsidP="002D2FB4">
      <w:pPr>
        <w:rPr>
          <w:rFonts w:cs="Arial"/>
        </w:rPr>
      </w:pPr>
      <w:r w:rsidRPr="00EE5690">
        <w:rPr>
          <w:rFonts w:cs="Arial"/>
        </w:rPr>
        <w:t>Furthermore, for the calculation of the distance of any ML to the nearest populated city, weights had to been calculated using the following equation:</w:t>
      </w:r>
    </w:p>
    <w:p w14:paraId="06C80F45" w14:textId="77777777" w:rsidR="001432D2" w:rsidRPr="00EE5690" w:rsidRDefault="003B0DE2" w:rsidP="002D2FB4">
      <w:pPr>
        <w:rPr>
          <w:rFonts w:cs="Arial"/>
        </w:rPr>
      </w:pPr>
      <m:oMathPara>
        <m:oMath>
          <m:sSub>
            <m:sSubPr>
              <m:ctrlPr>
                <w:rPr>
                  <w:rFonts w:ascii="Cambria Math" w:hAnsi="Cambria Math" w:cs="Arial"/>
                </w:rPr>
              </m:ctrlPr>
            </m:sSubPr>
            <m:e>
              <m:r>
                <w:rPr>
                  <w:rFonts w:ascii="Cambria Math" w:hAnsi="Cambria Math" w:cs="Arial"/>
                </w:rPr>
                <m:t>W</m:t>
              </m:r>
            </m:e>
            <m:sub>
              <m:r>
                <w:rPr>
                  <w:rFonts w:ascii="Cambria Math" w:hAnsi="Cambria Math" w:cs="Arial"/>
                </w:rPr>
                <m:t>acc</m:t>
              </m:r>
            </m:sub>
          </m:sSub>
          <m:r>
            <m:rPr>
              <m:sty m:val="p"/>
            </m:rPr>
            <w:rPr>
              <w:rFonts w:ascii="Cambria Math" w:hAnsi="Cambria Math" w:cs="Arial"/>
            </w:rPr>
            <m:t>=1-</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b</m:t>
                  </m:r>
                </m:e>
                <m:sub>
                  <m:r>
                    <w:rPr>
                      <w:rFonts w:ascii="Cambria Math" w:hAnsi="Cambria Math" w:cs="Arial"/>
                    </w:rPr>
                    <m:t>i</m:t>
                  </m:r>
                </m:sub>
              </m:sSub>
            </m:num>
            <m:den>
              <m:sSub>
                <m:sSubPr>
                  <m:ctrlPr>
                    <w:rPr>
                      <w:rFonts w:ascii="Cambria Math" w:hAnsi="Cambria Math" w:cs="Arial"/>
                    </w:rPr>
                  </m:ctrlPr>
                </m:sSubPr>
                <m:e>
                  <m:r>
                    <w:rPr>
                      <w:rFonts w:ascii="Cambria Math" w:hAnsi="Cambria Math" w:cs="Arial"/>
                    </w:rPr>
                    <m:t>b</m:t>
                  </m:r>
                </m:e>
                <m:sub>
                  <m:r>
                    <w:rPr>
                      <w:rFonts w:ascii="Cambria Math" w:hAnsi="Cambria Math" w:cs="Arial"/>
                    </w:rPr>
                    <m:t>max</m:t>
                  </m:r>
                </m:sub>
              </m:sSub>
            </m:den>
          </m:f>
        </m:oMath>
      </m:oMathPara>
    </w:p>
    <w:p w14:paraId="43FE8A6E" w14:textId="77777777" w:rsidR="001432D2" w:rsidRPr="00EE5690" w:rsidRDefault="001432D2" w:rsidP="002D2FB4">
      <w:pPr>
        <w:rPr>
          <w:rFonts w:cs="Arial"/>
        </w:rPr>
      </w:pPr>
      <w:r w:rsidRPr="00EE5690">
        <w:rPr>
          <w:rFonts w:cs="Arial"/>
        </w:rPr>
        <w:t xml:space="preserve">Where, </w:t>
      </w:r>
      <w:proofErr w:type="spellStart"/>
      <w:r w:rsidRPr="00EE5690">
        <w:rPr>
          <w:rFonts w:cs="Arial"/>
        </w:rPr>
        <w:t>W</w:t>
      </w:r>
      <w:r w:rsidRPr="00EE5690">
        <w:rPr>
          <w:rFonts w:cs="Arial"/>
          <w:vertAlign w:val="subscript"/>
        </w:rPr>
        <w:t>acc</w:t>
      </w:r>
      <w:proofErr w:type="spellEnd"/>
      <w:r w:rsidRPr="00EE5690">
        <w:rPr>
          <w:rFonts w:cs="Arial"/>
          <w:vertAlign w:val="subscript"/>
        </w:rPr>
        <w:t xml:space="preserve"> </w:t>
      </w:r>
      <w:r w:rsidRPr="00EE5690">
        <w:rPr>
          <w:rFonts w:cs="Arial"/>
        </w:rPr>
        <w:t>is the weight of the accessibility to cities, b</w:t>
      </w:r>
      <w:r w:rsidRPr="00EE5690">
        <w:rPr>
          <w:rFonts w:cs="Arial"/>
          <w:vertAlign w:val="subscript"/>
        </w:rPr>
        <w:t>i</w:t>
      </w:r>
      <w:r w:rsidRPr="00EE5690">
        <w:rPr>
          <w:rFonts w:cs="Arial"/>
        </w:rPr>
        <w:t xml:space="preserve"> is each value of accessibility to cities map (defined in hours) and </w:t>
      </w:r>
      <w:proofErr w:type="spellStart"/>
      <w:r w:rsidRPr="00EE5690">
        <w:rPr>
          <w:rFonts w:cs="Arial"/>
        </w:rPr>
        <w:t>b</w:t>
      </w:r>
      <w:r w:rsidRPr="00EE5690">
        <w:rPr>
          <w:rFonts w:cs="Arial"/>
          <w:vertAlign w:val="subscript"/>
        </w:rPr>
        <w:t>max</w:t>
      </w:r>
      <w:proofErr w:type="spellEnd"/>
      <w:r w:rsidRPr="00EE5690">
        <w:rPr>
          <w:rFonts w:cs="Arial"/>
        </w:rPr>
        <w:t xml:space="preserve"> is the maximum value of accessibility to cities map. This new layer came out from the above equation multiplied with the ML binary map.</w:t>
      </w:r>
    </w:p>
    <w:p w14:paraId="171178ED" w14:textId="77777777" w:rsidR="001432D2" w:rsidRPr="00EE5690" w:rsidRDefault="001432D2" w:rsidP="002D2FB4">
      <w:pPr>
        <w:rPr>
          <w:rFonts w:cs="Arial"/>
        </w:rPr>
      </w:pPr>
      <w:r w:rsidRPr="00EE5690">
        <w:rPr>
          <w:rFonts w:cs="Arial"/>
        </w:rPr>
        <w:t xml:space="preserve">The Nuts level 0 shapefile with the weights of the </w:t>
      </w:r>
      <w:proofErr w:type="spellStart"/>
      <w:r w:rsidRPr="00EE5690">
        <w:rPr>
          <w:rFonts w:cs="Arial"/>
        </w:rPr>
        <w:t>LCl</w:t>
      </w:r>
      <w:proofErr w:type="spellEnd"/>
      <w:r w:rsidRPr="00EE5690">
        <w:rPr>
          <w:rFonts w:cs="Arial"/>
        </w:rPr>
        <w:t xml:space="preserve"> rasterized in GEE and the multiplied as well with the ML binary map.</w:t>
      </w:r>
    </w:p>
    <w:p w14:paraId="1458E335" w14:textId="6B46DB31" w:rsidR="001432D2" w:rsidRPr="00EE5690" w:rsidRDefault="001432D2" w:rsidP="002D2FB4">
      <w:pPr>
        <w:rPr>
          <w:rFonts w:cs="Arial"/>
        </w:rPr>
      </w:pPr>
      <w:r w:rsidRPr="00EE5690">
        <w:rPr>
          <w:rFonts w:cs="Arial"/>
        </w:rPr>
        <w:t>From the Digital Elevation Model,</w:t>
      </w:r>
      <w:r w:rsidR="00D461B8">
        <w:rPr>
          <w:rFonts w:cs="Arial"/>
        </w:rPr>
        <w:t xml:space="preserve"> the</w:t>
      </w:r>
      <w:r w:rsidRPr="00EE5690">
        <w:rPr>
          <w:rFonts w:cs="Arial"/>
        </w:rPr>
        <w:t xml:space="preserve"> slope was estimated by the function of </w:t>
      </w:r>
      <w:proofErr w:type="spellStart"/>
      <w:r w:rsidRPr="00EE5690">
        <w:rPr>
          <w:rFonts w:cs="Arial"/>
        </w:rPr>
        <w:t>Terrain.slope</w:t>
      </w:r>
      <w:proofErr w:type="spellEnd"/>
      <w:r w:rsidRPr="00EE5690">
        <w:rPr>
          <w:rFonts w:cs="Arial"/>
        </w:rPr>
        <w:t xml:space="preserve"> in GEE and converted from degrees to percentage. The slope reclassified </w:t>
      </w:r>
      <w:r w:rsidRPr="00EE5690">
        <w:rPr>
          <w:rFonts w:cs="Arial"/>
        </w:rPr>
        <w:lastRenderedPageBreak/>
        <w:t>into two categories of less than equal to 50% and greater than 50% and revalued as -0.09 and 0.09, respectively.</w:t>
      </w:r>
    </w:p>
    <w:p w14:paraId="31112A31" w14:textId="697E0D00" w:rsidR="001432D2" w:rsidRPr="00EE5690" w:rsidRDefault="001432D2" w:rsidP="002D2FB4">
      <w:pPr>
        <w:rPr>
          <w:rFonts w:cs="Arial"/>
        </w:rPr>
      </w:pPr>
      <w:r w:rsidRPr="00EE5690">
        <w:rPr>
          <w:rFonts w:cs="Arial"/>
        </w:rPr>
        <w:t xml:space="preserve">The Texture of the soil USDA layer is separated by twelve classes: clay, silty clay, sandy clay, silty clay loam, clay loam, sandy clay loam, silt, silt loam, loam, sandy loam, loamy </w:t>
      </w:r>
      <w:proofErr w:type="gramStart"/>
      <w:r w:rsidRPr="00EE5690">
        <w:rPr>
          <w:rFonts w:cs="Arial"/>
        </w:rPr>
        <w:t>sand</w:t>
      </w:r>
      <w:proofErr w:type="gramEnd"/>
      <w:r w:rsidRPr="00EE5690">
        <w:rPr>
          <w:rFonts w:cs="Arial"/>
        </w:rPr>
        <w:t xml:space="preserve"> and sand. These classes </w:t>
      </w:r>
      <w:r w:rsidR="008A42DD">
        <w:rPr>
          <w:rFonts w:cs="Arial"/>
        </w:rPr>
        <w:t xml:space="preserve">were </w:t>
      </w:r>
      <w:r w:rsidRPr="00EE5690">
        <w:rPr>
          <w:rFonts w:cs="Arial"/>
        </w:rPr>
        <w:t xml:space="preserve">reclassified to three, so clay, silty clay, sandy </w:t>
      </w:r>
      <w:proofErr w:type="gramStart"/>
      <w:r w:rsidRPr="00EE5690">
        <w:rPr>
          <w:rFonts w:cs="Arial"/>
        </w:rPr>
        <w:t>clay</w:t>
      </w:r>
      <w:proofErr w:type="gramEnd"/>
      <w:r w:rsidRPr="00EE5690">
        <w:rPr>
          <w:rFonts w:cs="Arial"/>
        </w:rPr>
        <w:t xml:space="preserve"> and silty clay loam assumed as loose soil and got the value of -0.6, the classes clay loam, sandy clay loam, silt and silt loam assumed as transit soil and got the value of 0.16 and the last loam, sandy loam, loamy sand and sand classes assumed as rocky soil and got the value of 0.45.</w:t>
      </w:r>
    </w:p>
    <w:p w14:paraId="7A8C6DA4" w14:textId="1540D2BA" w:rsidR="001432D2" w:rsidRPr="00EE5690" w:rsidRDefault="001432D2" w:rsidP="002D2FB4">
      <w:pPr>
        <w:rPr>
          <w:rFonts w:cs="Arial"/>
        </w:rPr>
      </w:pPr>
      <w:r w:rsidRPr="00EE5690">
        <w:rPr>
          <w:rFonts w:cs="Arial"/>
        </w:rPr>
        <w:t xml:space="preserve">The European economic model for the forestation planting </w:t>
      </w:r>
      <w:r w:rsidR="008A42DD">
        <w:rPr>
          <w:rFonts w:cs="Arial"/>
        </w:rPr>
        <w:t xml:space="preserve">was </w:t>
      </w:r>
      <w:r w:rsidRPr="00EE5690">
        <w:rPr>
          <w:rFonts w:cs="Arial"/>
        </w:rPr>
        <w:t>calculated by the following equations for manual and mechanical way of plantation:</w:t>
      </w:r>
    </w:p>
    <w:p w14:paraId="78573698" w14:textId="77777777" w:rsidR="001432D2" w:rsidRPr="00EE5690" w:rsidRDefault="001432D2" w:rsidP="002D2FB4">
      <w:pPr>
        <w:rPr>
          <w:rFonts w:cs="Arial"/>
        </w:rPr>
      </w:pPr>
      <m:oMathPara>
        <m:oMath>
          <m:r>
            <w:rPr>
              <w:rFonts w:ascii="Cambria Math" w:hAnsi="Cambria Math" w:cs="Arial"/>
            </w:rPr>
            <m:t>manual</m:t>
          </m:r>
          <m:r>
            <m:rPr>
              <m:sty m:val="p"/>
            </m:rPr>
            <w:rPr>
              <w:rFonts w:ascii="Cambria Math" w:hAnsi="Cambria Math" w:cs="Arial"/>
            </w:rPr>
            <m:t>=</m:t>
          </m:r>
          <m:sSub>
            <m:sSubPr>
              <m:ctrlPr>
                <w:rPr>
                  <w:rFonts w:ascii="Cambria Math" w:hAnsi="Cambria Math" w:cs="Arial"/>
                </w:rPr>
              </m:ctrlPr>
            </m:sSubPr>
            <m:e>
              <m:r>
                <w:rPr>
                  <w:rFonts w:ascii="Cambria Math" w:hAnsi="Cambria Math" w:cs="Arial"/>
                </w:rPr>
                <m:t>bp</m:t>
              </m:r>
            </m:e>
            <m:sub>
              <m:r>
                <w:rPr>
                  <w:rFonts w:ascii="Cambria Math" w:hAnsi="Cambria Math" w:cs="Arial"/>
                </w:rPr>
                <m:t>man</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W</m:t>
              </m:r>
            </m:e>
            <m:sub>
              <m:r>
                <w:rPr>
                  <w:rFonts w:ascii="Cambria Math" w:hAnsi="Cambria Math" w:cs="Arial"/>
                </w:rPr>
                <m:t>acc</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bp</m:t>
              </m:r>
            </m:e>
            <m:sub>
              <m:r>
                <w:rPr>
                  <w:rFonts w:ascii="Cambria Math" w:hAnsi="Cambria Math" w:cs="Arial"/>
                </w:rPr>
                <m:t>man</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W</m:t>
              </m:r>
            </m:e>
            <m:sub>
              <m:r>
                <w:rPr>
                  <w:rFonts w:ascii="Cambria Math" w:hAnsi="Cambria Math" w:cs="Arial"/>
                </w:rPr>
                <m:t>LCl</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bp</m:t>
              </m:r>
            </m:e>
            <m:sub>
              <m:r>
                <w:rPr>
                  <w:rFonts w:ascii="Cambria Math" w:hAnsi="Cambria Math" w:cs="Arial"/>
                </w:rPr>
                <m:t>man</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W</m:t>
              </m:r>
            </m:e>
            <m:sub>
              <m:r>
                <w:rPr>
                  <w:rFonts w:ascii="Cambria Math" w:hAnsi="Cambria Math" w:cs="Arial"/>
                </w:rPr>
                <m:t>sl</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bp</m:t>
              </m:r>
            </m:e>
            <m:sub>
              <m:r>
                <w:rPr>
                  <w:rFonts w:ascii="Cambria Math" w:hAnsi="Cambria Math" w:cs="Arial"/>
                </w:rPr>
                <m:t>man</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W</m:t>
              </m:r>
            </m:e>
            <m:sub>
              <m:r>
                <w:rPr>
                  <w:rFonts w:ascii="Cambria Math" w:hAnsi="Cambria Math" w:cs="Arial"/>
                </w:rPr>
                <m:t>soil</m:t>
              </m:r>
            </m:sub>
          </m:sSub>
        </m:oMath>
      </m:oMathPara>
    </w:p>
    <w:p w14:paraId="44D65589" w14:textId="77777777" w:rsidR="001432D2" w:rsidRPr="00EE5690" w:rsidRDefault="001432D2" w:rsidP="002D2FB4">
      <w:pPr>
        <w:rPr>
          <w:rFonts w:eastAsiaTheme="minorEastAsia" w:cs="Arial"/>
        </w:rPr>
      </w:pPr>
      <m:oMathPara>
        <m:oMath>
          <m:r>
            <w:rPr>
              <w:rFonts w:ascii="Cambria Math" w:hAnsi="Cambria Math" w:cs="Arial"/>
            </w:rPr>
            <m:t>mechanical</m:t>
          </m:r>
          <m:r>
            <m:rPr>
              <m:sty m:val="p"/>
            </m:rPr>
            <w:rPr>
              <w:rFonts w:ascii="Cambria Math" w:hAnsi="Cambria Math" w:cs="Arial"/>
            </w:rPr>
            <m:t>=</m:t>
          </m:r>
          <m:sSub>
            <m:sSubPr>
              <m:ctrlPr>
                <w:rPr>
                  <w:rFonts w:ascii="Cambria Math" w:hAnsi="Cambria Math" w:cs="Arial"/>
                </w:rPr>
              </m:ctrlPr>
            </m:sSubPr>
            <m:e>
              <m:r>
                <w:rPr>
                  <w:rFonts w:ascii="Cambria Math" w:hAnsi="Cambria Math" w:cs="Arial"/>
                </w:rPr>
                <m:t>bp</m:t>
              </m:r>
            </m:e>
            <m:sub>
              <m:r>
                <w:rPr>
                  <w:rFonts w:ascii="Cambria Math" w:hAnsi="Cambria Math" w:cs="Arial"/>
                </w:rPr>
                <m:t>mec</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W</m:t>
              </m:r>
            </m:e>
            <m:sub>
              <m:r>
                <w:rPr>
                  <w:rFonts w:ascii="Cambria Math" w:hAnsi="Cambria Math" w:cs="Arial"/>
                </w:rPr>
                <m:t>acc</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bp</m:t>
              </m:r>
            </m:e>
            <m:sub>
              <m:r>
                <w:rPr>
                  <w:rFonts w:ascii="Cambria Math" w:hAnsi="Cambria Math" w:cs="Arial"/>
                </w:rPr>
                <m:t>mec</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W</m:t>
              </m:r>
            </m:e>
            <m:sub>
              <m:r>
                <w:rPr>
                  <w:rFonts w:ascii="Cambria Math" w:hAnsi="Cambria Math" w:cs="Arial"/>
                </w:rPr>
                <m:t>LCl</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bp</m:t>
              </m:r>
            </m:e>
            <m:sub>
              <m:r>
                <w:rPr>
                  <w:rFonts w:ascii="Cambria Math" w:hAnsi="Cambria Math" w:cs="Arial"/>
                </w:rPr>
                <m:t>mec</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W</m:t>
              </m:r>
            </m:e>
            <m:sub>
              <m:r>
                <w:rPr>
                  <w:rFonts w:ascii="Cambria Math" w:hAnsi="Cambria Math" w:cs="Arial"/>
                </w:rPr>
                <m:t>sl</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bp</m:t>
              </m:r>
            </m:e>
            <m:sub>
              <m:r>
                <w:rPr>
                  <w:rFonts w:ascii="Cambria Math" w:hAnsi="Cambria Math" w:cs="Arial"/>
                </w:rPr>
                <m:t>mec</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W</m:t>
              </m:r>
            </m:e>
            <m:sub>
              <m:r>
                <w:rPr>
                  <w:rFonts w:ascii="Cambria Math" w:hAnsi="Cambria Math" w:cs="Arial"/>
                </w:rPr>
                <m:t>soil</m:t>
              </m:r>
            </m:sub>
          </m:sSub>
        </m:oMath>
      </m:oMathPara>
    </w:p>
    <w:p w14:paraId="6D9C4D65" w14:textId="77777777" w:rsidR="001432D2" w:rsidRPr="00EE5690" w:rsidRDefault="001432D2" w:rsidP="002D2FB4">
      <w:pPr>
        <w:rPr>
          <w:rFonts w:cs="Arial"/>
        </w:rPr>
      </w:pPr>
    </w:p>
    <w:p w14:paraId="205219B9" w14:textId="77777777" w:rsidR="001432D2" w:rsidRPr="00EE5690" w:rsidRDefault="001432D2" w:rsidP="002D2FB4">
      <w:pPr>
        <w:rPr>
          <w:rFonts w:cs="Arial"/>
        </w:rPr>
      </w:pPr>
      <w:r w:rsidRPr="00EE5690">
        <w:rPr>
          <w:rFonts w:cs="Arial"/>
        </w:rPr>
        <w:t xml:space="preserve">Where, </w:t>
      </w:r>
      <w:proofErr w:type="spellStart"/>
      <w:r w:rsidRPr="00EE5690">
        <w:rPr>
          <w:rFonts w:cs="Arial"/>
        </w:rPr>
        <w:t>bp</w:t>
      </w:r>
      <w:r w:rsidRPr="00EE5690">
        <w:rPr>
          <w:rFonts w:cs="Arial"/>
          <w:vertAlign w:val="subscript"/>
        </w:rPr>
        <w:t>man</w:t>
      </w:r>
      <w:proofErr w:type="spellEnd"/>
      <w:r w:rsidRPr="00EE5690">
        <w:rPr>
          <w:rFonts w:cs="Arial"/>
        </w:rPr>
        <w:t xml:space="preserve"> and </w:t>
      </w:r>
      <w:proofErr w:type="spellStart"/>
      <w:r w:rsidRPr="00EE5690">
        <w:rPr>
          <w:rFonts w:cs="Arial"/>
        </w:rPr>
        <w:t>bp</w:t>
      </w:r>
      <w:r w:rsidRPr="00EE5690">
        <w:rPr>
          <w:rFonts w:cs="Arial"/>
          <w:vertAlign w:val="subscript"/>
        </w:rPr>
        <w:t>mec</w:t>
      </w:r>
      <w:proofErr w:type="spellEnd"/>
      <w:r w:rsidRPr="00EE5690">
        <w:rPr>
          <w:rFonts w:cs="Arial"/>
        </w:rPr>
        <w:t xml:space="preserve"> are the manual and the mechanical base prices, respectively, </w:t>
      </w:r>
      <w:proofErr w:type="spellStart"/>
      <w:r w:rsidRPr="00EE5690">
        <w:rPr>
          <w:rFonts w:cs="Arial"/>
        </w:rPr>
        <w:t>W</w:t>
      </w:r>
      <w:r w:rsidRPr="00EE5690">
        <w:rPr>
          <w:rFonts w:cs="Arial"/>
          <w:vertAlign w:val="subscript"/>
        </w:rPr>
        <w:t>acc</w:t>
      </w:r>
      <w:proofErr w:type="spellEnd"/>
      <w:r w:rsidRPr="00EE5690">
        <w:rPr>
          <w:rFonts w:cs="Arial"/>
          <w:vertAlign w:val="subscript"/>
        </w:rPr>
        <w:t xml:space="preserve"> </w:t>
      </w:r>
      <w:r w:rsidRPr="00EE5690">
        <w:rPr>
          <w:rFonts w:cs="Arial"/>
        </w:rPr>
        <w:t xml:space="preserve">is the weight of the accessibility to cities, </w:t>
      </w:r>
      <w:proofErr w:type="spellStart"/>
      <w:r w:rsidRPr="00EE5690">
        <w:rPr>
          <w:rFonts w:cs="Arial"/>
        </w:rPr>
        <w:t>W</w:t>
      </w:r>
      <w:r w:rsidRPr="00EE5690">
        <w:rPr>
          <w:rFonts w:cs="Arial"/>
          <w:vertAlign w:val="subscript"/>
        </w:rPr>
        <w:t>LCl</w:t>
      </w:r>
      <w:proofErr w:type="spellEnd"/>
      <w:r w:rsidRPr="00EE5690">
        <w:rPr>
          <w:rFonts w:cs="Arial"/>
          <w:vertAlign w:val="subscript"/>
        </w:rPr>
        <w:t xml:space="preserve"> </w:t>
      </w:r>
      <w:r w:rsidRPr="00EE5690">
        <w:rPr>
          <w:rFonts w:cs="Arial"/>
        </w:rPr>
        <w:t xml:space="preserve">is the weight of </w:t>
      </w:r>
      <w:proofErr w:type="spellStart"/>
      <w:r w:rsidRPr="00EE5690">
        <w:rPr>
          <w:rFonts w:cs="Arial"/>
        </w:rPr>
        <w:t>LCl</w:t>
      </w:r>
      <w:proofErr w:type="spellEnd"/>
      <w:r w:rsidRPr="00EE5690">
        <w:rPr>
          <w:rFonts w:cs="Arial"/>
        </w:rPr>
        <w:t xml:space="preserve"> based on Spain, </w:t>
      </w:r>
      <w:proofErr w:type="spellStart"/>
      <w:r w:rsidRPr="00EE5690">
        <w:rPr>
          <w:rFonts w:cs="Arial"/>
        </w:rPr>
        <w:t>W</w:t>
      </w:r>
      <w:r w:rsidRPr="00EE5690">
        <w:rPr>
          <w:rFonts w:cs="Arial"/>
          <w:vertAlign w:val="subscript"/>
        </w:rPr>
        <w:t>sl</w:t>
      </w:r>
      <w:proofErr w:type="spellEnd"/>
      <w:r w:rsidRPr="00EE5690">
        <w:rPr>
          <w:rFonts w:cs="Arial"/>
        </w:rPr>
        <w:t xml:space="preserve"> is the weight of slope and </w:t>
      </w:r>
      <w:proofErr w:type="spellStart"/>
      <w:r w:rsidRPr="00EE5690">
        <w:rPr>
          <w:rFonts w:cs="Arial"/>
        </w:rPr>
        <w:t>W</w:t>
      </w:r>
      <w:r w:rsidRPr="00EE5690">
        <w:rPr>
          <w:rFonts w:cs="Arial"/>
          <w:vertAlign w:val="subscript"/>
        </w:rPr>
        <w:t>soil</w:t>
      </w:r>
      <w:proofErr w:type="spellEnd"/>
      <w:r w:rsidRPr="00EE5690">
        <w:rPr>
          <w:rFonts w:cs="Arial"/>
          <w:vertAlign w:val="subscript"/>
        </w:rPr>
        <w:t xml:space="preserve"> </w:t>
      </w:r>
      <w:r w:rsidRPr="00EE5690">
        <w:rPr>
          <w:rFonts w:cs="Arial"/>
        </w:rPr>
        <w:t xml:space="preserve">is the weight of soil texture. </w:t>
      </w:r>
    </w:p>
    <w:p w14:paraId="08B195C4" w14:textId="43DC535C" w:rsidR="001432D2" w:rsidRPr="00EE5690" w:rsidRDefault="001432D2" w:rsidP="002D2FB4">
      <w:pPr>
        <w:rPr>
          <w:rFonts w:cs="Arial"/>
        </w:rPr>
      </w:pPr>
      <w:r w:rsidRPr="00EE5690">
        <w:rPr>
          <w:rFonts w:cs="Arial"/>
        </w:rPr>
        <w:t xml:space="preserve">It should be </w:t>
      </w:r>
      <w:r w:rsidR="00D461B8">
        <w:rPr>
          <w:rFonts w:cs="Arial"/>
        </w:rPr>
        <w:t>noted</w:t>
      </w:r>
      <w:r w:rsidRPr="00EE5690">
        <w:rPr>
          <w:rFonts w:cs="Arial"/>
        </w:rPr>
        <w:t xml:space="preserve"> that this model does not </w:t>
      </w:r>
      <w:proofErr w:type="gramStart"/>
      <w:r w:rsidRPr="00EE5690">
        <w:rPr>
          <w:rFonts w:cs="Arial"/>
        </w:rPr>
        <w:t>take into account</w:t>
      </w:r>
      <w:proofErr w:type="gramEnd"/>
      <w:r w:rsidRPr="00EE5690">
        <w:rPr>
          <w:rFonts w:cs="Arial"/>
        </w:rPr>
        <w:t xml:space="preserve"> the cost of seedling, the different tree species, the maintenance of the trees after planting, any biological condition of the soil or local conditions.</w:t>
      </w:r>
    </w:p>
    <w:p w14:paraId="7FEDE78B" w14:textId="0BDB3D3C" w:rsidR="001432D2" w:rsidRPr="00EE5690" w:rsidRDefault="001432D2" w:rsidP="005D4B20">
      <w:pPr>
        <w:pStyle w:val="MAIL11"/>
      </w:pPr>
      <w:bookmarkStart w:id="103" w:name="_Toc91752403"/>
      <w:r w:rsidRPr="00EE5690">
        <w:t xml:space="preserve">Results of the </w:t>
      </w:r>
      <w:proofErr w:type="spellStart"/>
      <w:r w:rsidRPr="00EE5690">
        <w:t>economical</w:t>
      </w:r>
      <w:proofErr w:type="spellEnd"/>
      <w:r w:rsidRPr="00EE5690">
        <w:t xml:space="preserve"> model</w:t>
      </w:r>
      <w:bookmarkEnd w:id="103"/>
    </w:p>
    <w:p w14:paraId="180AB092" w14:textId="58669DAF" w:rsidR="00962A93" w:rsidRPr="00EE5690" w:rsidRDefault="00962A93" w:rsidP="002D2FB4">
      <w:pPr>
        <w:rPr>
          <w:rFonts w:cs="Arial"/>
        </w:rPr>
      </w:pPr>
      <w:r w:rsidRPr="00EE5690">
        <w:rPr>
          <w:rFonts w:cs="Arial"/>
        </w:rPr>
        <w:t xml:space="preserve">The results of the </w:t>
      </w:r>
      <w:proofErr w:type="spellStart"/>
      <w:r w:rsidRPr="00EE5690">
        <w:rPr>
          <w:rFonts w:cs="Arial"/>
        </w:rPr>
        <w:t>economical</w:t>
      </w:r>
      <w:proofErr w:type="spellEnd"/>
      <w:r w:rsidRPr="00EE5690">
        <w:rPr>
          <w:rFonts w:cs="Arial"/>
        </w:rPr>
        <w:t xml:space="preserve"> model are illustrated in the two figures below. The first figure shows the cost by manual soil preparation. The </w:t>
      </w:r>
      <w:r w:rsidR="008A42DD" w:rsidRPr="00EE5690">
        <w:rPr>
          <w:rFonts w:cs="Arial"/>
        </w:rPr>
        <w:t>redder</w:t>
      </w:r>
      <w:r w:rsidRPr="00EE5690">
        <w:rPr>
          <w:rFonts w:cs="Arial"/>
        </w:rPr>
        <w:t xml:space="preserve"> the color the more expensive is the planting. The second figure represents the cost of mechanical soil preparation. The second figure shows a clear difference in the price comparing to the first figure. The model estimates the cost of planting trees based on the distance of the cities and the labor cost of each country and this is the reason why some isolated areas, as well as the wealthier countries, are presented more expensive in both maps.</w:t>
      </w:r>
    </w:p>
    <w:p w14:paraId="7094F107" w14:textId="2948DCFC" w:rsidR="00962A93" w:rsidRPr="00EE5690" w:rsidRDefault="00962A93" w:rsidP="00D461B8">
      <w:pPr>
        <w:keepNext/>
        <w:jc w:val="center"/>
        <w:rPr>
          <w:rFonts w:cs="Arial"/>
        </w:rPr>
      </w:pPr>
      <w:r w:rsidRPr="00EE5690">
        <w:rPr>
          <w:rFonts w:cs="Arial"/>
          <w:noProof/>
        </w:rPr>
        <w:lastRenderedPageBreak/>
        <w:drawing>
          <wp:inline distT="0" distB="0" distL="0" distR="0" wp14:anchorId="42CC591F" wp14:editId="6DF22511">
            <wp:extent cx="3552825" cy="3331426"/>
            <wp:effectExtent l="0" t="0" r="0" b="2540"/>
            <wp:docPr id="50" name="Εικόνα 50"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Εικόνα 50" descr="Εικόνα που περιέχει χάρτης&#10;&#10;Περιγραφή που δημιουργήθηκε αυτόματα"/>
                    <pic:cNvPicPr/>
                  </pic:nvPicPr>
                  <pic:blipFill>
                    <a:blip r:embed="rId45">
                      <a:extLst>
                        <a:ext uri="{28A0092B-C50C-407E-A947-70E740481C1C}">
                          <a14:useLocalDpi xmlns:a14="http://schemas.microsoft.com/office/drawing/2010/main" val="0"/>
                        </a:ext>
                      </a:extLst>
                    </a:blip>
                    <a:stretch>
                      <a:fillRect/>
                    </a:stretch>
                  </pic:blipFill>
                  <pic:spPr>
                    <a:xfrm>
                      <a:off x="0" y="0"/>
                      <a:ext cx="3555012" cy="3333477"/>
                    </a:xfrm>
                    <a:prstGeom prst="rect">
                      <a:avLst/>
                    </a:prstGeom>
                  </pic:spPr>
                </pic:pic>
              </a:graphicData>
            </a:graphic>
          </wp:inline>
        </w:drawing>
      </w:r>
    </w:p>
    <w:p w14:paraId="49A9E275" w14:textId="1AB96204" w:rsidR="001432D2" w:rsidRPr="008A42DD" w:rsidRDefault="00962A93" w:rsidP="00D461B8">
      <w:pPr>
        <w:pStyle w:val="Caption"/>
        <w:rPr>
          <w:rFonts w:cs="Arial"/>
        </w:rPr>
      </w:pPr>
      <w:bookmarkStart w:id="104" w:name="_Toc91752508"/>
      <w:r w:rsidRPr="008A42DD">
        <w:rPr>
          <w:rFonts w:cs="Arial"/>
        </w:rPr>
        <w:t xml:space="preserve">Figure </w:t>
      </w:r>
      <w:r w:rsidRPr="008A42DD">
        <w:rPr>
          <w:rFonts w:cs="Arial"/>
        </w:rPr>
        <w:fldChar w:fldCharType="begin"/>
      </w:r>
      <w:r w:rsidRPr="008A42DD">
        <w:rPr>
          <w:rFonts w:cs="Arial"/>
        </w:rPr>
        <w:instrText xml:space="preserve"> SEQ Figure \* ARABIC </w:instrText>
      </w:r>
      <w:r w:rsidRPr="008A42DD">
        <w:rPr>
          <w:rFonts w:cs="Arial"/>
        </w:rPr>
        <w:fldChar w:fldCharType="separate"/>
      </w:r>
      <w:r w:rsidR="0073710A">
        <w:rPr>
          <w:rFonts w:cs="Arial"/>
          <w:noProof/>
        </w:rPr>
        <w:t>24</w:t>
      </w:r>
      <w:r w:rsidRPr="008A42DD">
        <w:rPr>
          <w:rFonts w:cs="Arial"/>
        </w:rPr>
        <w:fldChar w:fldCharType="end"/>
      </w:r>
      <w:r w:rsidRPr="008A42DD">
        <w:rPr>
          <w:rFonts w:cs="Arial"/>
        </w:rPr>
        <w:t xml:space="preserve"> Cost of manual soil preparation</w:t>
      </w:r>
      <w:bookmarkEnd w:id="104"/>
    </w:p>
    <w:p w14:paraId="1ACF0F1D" w14:textId="530E1BF0" w:rsidR="006F1C88" w:rsidRPr="00EE5690" w:rsidRDefault="00962A93" w:rsidP="00D461B8">
      <w:pPr>
        <w:keepNext/>
        <w:jc w:val="center"/>
        <w:rPr>
          <w:rFonts w:cs="Arial"/>
        </w:rPr>
      </w:pPr>
      <w:r w:rsidRPr="00EE5690">
        <w:rPr>
          <w:rFonts w:cs="Arial"/>
          <w:noProof/>
          <w:lang w:val="en-GB"/>
        </w:rPr>
        <w:drawing>
          <wp:inline distT="0" distB="0" distL="0" distR="0" wp14:anchorId="3B3E40CC" wp14:editId="7D84F369">
            <wp:extent cx="3553200" cy="3320754"/>
            <wp:effectExtent l="0" t="0" r="9525" b="0"/>
            <wp:docPr id="51" name="Εικόνα 51"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Εικόνα 51" descr="Εικόνα που περιέχει χάρτης&#10;&#10;Περιγραφή που δημιουργήθηκε αυτόματα"/>
                    <pic:cNvPicPr/>
                  </pic:nvPicPr>
                  <pic:blipFill>
                    <a:blip r:embed="rId46">
                      <a:extLst>
                        <a:ext uri="{28A0092B-C50C-407E-A947-70E740481C1C}">
                          <a14:useLocalDpi xmlns:a14="http://schemas.microsoft.com/office/drawing/2010/main" val="0"/>
                        </a:ext>
                      </a:extLst>
                    </a:blip>
                    <a:stretch>
                      <a:fillRect/>
                    </a:stretch>
                  </pic:blipFill>
                  <pic:spPr>
                    <a:xfrm>
                      <a:off x="0" y="0"/>
                      <a:ext cx="3553200" cy="3320754"/>
                    </a:xfrm>
                    <a:prstGeom prst="rect">
                      <a:avLst/>
                    </a:prstGeom>
                  </pic:spPr>
                </pic:pic>
              </a:graphicData>
            </a:graphic>
          </wp:inline>
        </w:drawing>
      </w:r>
    </w:p>
    <w:p w14:paraId="2433D69F" w14:textId="557D0299" w:rsidR="00962A93" w:rsidRPr="008A42DD" w:rsidRDefault="006F1C88" w:rsidP="00D461B8">
      <w:pPr>
        <w:pStyle w:val="Caption"/>
        <w:rPr>
          <w:rFonts w:cs="Arial"/>
        </w:rPr>
      </w:pPr>
      <w:bookmarkStart w:id="105" w:name="_Toc91752509"/>
      <w:r w:rsidRPr="008A42DD">
        <w:rPr>
          <w:rFonts w:cs="Arial"/>
        </w:rPr>
        <w:t xml:space="preserve">Figure </w:t>
      </w:r>
      <w:r w:rsidRPr="008A42DD">
        <w:rPr>
          <w:rFonts w:cs="Arial"/>
        </w:rPr>
        <w:fldChar w:fldCharType="begin"/>
      </w:r>
      <w:r w:rsidRPr="008A42DD">
        <w:rPr>
          <w:rFonts w:cs="Arial"/>
        </w:rPr>
        <w:instrText xml:space="preserve"> SEQ Figure \* ARABIC </w:instrText>
      </w:r>
      <w:r w:rsidRPr="008A42DD">
        <w:rPr>
          <w:rFonts w:cs="Arial"/>
        </w:rPr>
        <w:fldChar w:fldCharType="separate"/>
      </w:r>
      <w:r w:rsidR="0073710A">
        <w:rPr>
          <w:rFonts w:cs="Arial"/>
          <w:noProof/>
        </w:rPr>
        <w:t>25</w:t>
      </w:r>
      <w:r w:rsidRPr="008A42DD">
        <w:rPr>
          <w:rFonts w:cs="Arial"/>
        </w:rPr>
        <w:fldChar w:fldCharType="end"/>
      </w:r>
      <w:r w:rsidRPr="008A42DD">
        <w:rPr>
          <w:rFonts w:cs="Arial"/>
        </w:rPr>
        <w:t xml:space="preserve"> Cost of mechanical soil preparation</w:t>
      </w:r>
      <w:bookmarkEnd w:id="105"/>
    </w:p>
    <w:p w14:paraId="6E738E1C" w14:textId="157765A1" w:rsidR="006F1C88" w:rsidRPr="00EE5690" w:rsidRDefault="006F1C88" w:rsidP="002D2FB4">
      <w:pPr>
        <w:rPr>
          <w:rFonts w:cs="Arial"/>
        </w:rPr>
      </w:pPr>
      <w:r w:rsidRPr="00EE5690">
        <w:rPr>
          <w:rFonts w:cs="Arial"/>
        </w:rPr>
        <w:t>The table below shows the average price, in euros, per European country for planting 1</w:t>
      </w:r>
      <w:r w:rsidR="00D461B8">
        <w:rPr>
          <w:rFonts w:cs="Arial"/>
        </w:rPr>
        <w:t>,</w:t>
      </w:r>
      <w:r w:rsidRPr="00EE5690">
        <w:rPr>
          <w:rFonts w:cs="Arial"/>
        </w:rPr>
        <w:t xml:space="preserve">000 trees per hectare. It represents the cost of tree plantation (opening a hole, planting, </w:t>
      </w:r>
      <w:r w:rsidRPr="00EE5690">
        <w:rPr>
          <w:rFonts w:cs="Arial"/>
        </w:rPr>
        <w:lastRenderedPageBreak/>
        <w:t>covering the hole) in a mechanical and manual way using as parameters the slope of the terrain, the soil texture and labor cost of each country and the distance from the cities. The difference on the price between those two methods of planting (manual and mechanical) is significant. The average price in Europe for the manual planting is approximately 32,500 € and for the mechanical planting 11,000 €.</w:t>
      </w:r>
    </w:p>
    <w:p w14:paraId="7A39CA15" w14:textId="068490F2" w:rsidR="008B7B94" w:rsidRPr="008A42DD" w:rsidRDefault="008B7B94" w:rsidP="00642ACC">
      <w:pPr>
        <w:pStyle w:val="Caption"/>
        <w:keepNext/>
        <w:rPr>
          <w:rFonts w:cs="Arial"/>
        </w:rPr>
      </w:pPr>
      <w:bookmarkStart w:id="106" w:name="_Toc91752561"/>
      <w:r w:rsidRPr="008A42DD">
        <w:rPr>
          <w:rFonts w:cs="Arial"/>
        </w:rPr>
        <w:t xml:space="preserve">Table </w:t>
      </w:r>
      <w:r w:rsidRPr="008A42DD">
        <w:rPr>
          <w:rFonts w:cs="Arial"/>
        </w:rPr>
        <w:fldChar w:fldCharType="begin"/>
      </w:r>
      <w:r w:rsidRPr="008A42DD">
        <w:rPr>
          <w:rFonts w:cs="Arial"/>
        </w:rPr>
        <w:instrText xml:space="preserve"> SEQ Table \* ARABIC </w:instrText>
      </w:r>
      <w:r w:rsidRPr="008A42DD">
        <w:rPr>
          <w:rFonts w:cs="Arial"/>
        </w:rPr>
        <w:fldChar w:fldCharType="separate"/>
      </w:r>
      <w:r w:rsidR="0073710A">
        <w:rPr>
          <w:rFonts w:cs="Arial"/>
          <w:noProof/>
        </w:rPr>
        <w:t>22</w:t>
      </w:r>
      <w:r w:rsidRPr="008A42DD">
        <w:rPr>
          <w:rFonts w:cs="Arial"/>
        </w:rPr>
        <w:fldChar w:fldCharType="end"/>
      </w:r>
      <w:r w:rsidRPr="008A42DD">
        <w:rPr>
          <w:rFonts w:cs="Arial"/>
        </w:rPr>
        <w:t xml:space="preserve"> Average prices, in euros, per European country for planting 1</w:t>
      </w:r>
      <w:r w:rsidR="00642ACC" w:rsidRPr="008A42DD">
        <w:rPr>
          <w:rFonts w:cs="Arial"/>
        </w:rPr>
        <w:t>,</w:t>
      </w:r>
      <w:r w:rsidRPr="008A42DD">
        <w:rPr>
          <w:rFonts w:cs="Arial"/>
        </w:rPr>
        <w:t>000 trees per ha</w:t>
      </w:r>
      <w:bookmarkEnd w:id="106"/>
    </w:p>
    <w:tbl>
      <w:tblPr>
        <w:tblStyle w:val="TableGrid"/>
        <w:tblW w:w="8500" w:type="dxa"/>
        <w:tblLook w:val="04A0" w:firstRow="1" w:lastRow="0" w:firstColumn="1" w:lastColumn="0" w:noHBand="0" w:noVBand="1"/>
      </w:tblPr>
      <w:tblGrid>
        <w:gridCol w:w="3256"/>
        <w:gridCol w:w="2835"/>
        <w:gridCol w:w="2409"/>
      </w:tblGrid>
      <w:tr w:rsidR="00642ACC" w:rsidRPr="00A967F9" w14:paraId="6E3F6EF0" w14:textId="77777777" w:rsidTr="0022057B">
        <w:trPr>
          <w:trHeight w:val="300"/>
        </w:trPr>
        <w:tc>
          <w:tcPr>
            <w:tcW w:w="3256" w:type="dxa"/>
            <w:shd w:val="clear" w:color="auto" w:fill="BFBFBF" w:themeFill="background1" w:themeFillShade="BF"/>
            <w:noWrap/>
            <w:vAlign w:val="center"/>
            <w:hideMark/>
          </w:tcPr>
          <w:p w14:paraId="65AA7BE1" w14:textId="77777777" w:rsidR="00642ACC" w:rsidRPr="00A967F9" w:rsidRDefault="00642ACC" w:rsidP="0022057B">
            <w:pPr>
              <w:jc w:val="center"/>
              <w:rPr>
                <w:rFonts w:cs="Arial"/>
                <w:b/>
                <w:bCs/>
                <w:noProof/>
                <w:sz w:val="18"/>
                <w:szCs w:val="18"/>
              </w:rPr>
            </w:pPr>
            <w:r w:rsidRPr="00A967F9">
              <w:rPr>
                <w:rFonts w:cs="Arial"/>
                <w:b/>
                <w:bCs/>
                <w:noProof/>
                <w:sz w:val="18"/>
                <w:szCs w:val="18"/>
              </w:rPr>
              <w:t>Countries</w:t>
            </w:r>
          </w:p>
        </w:tc>
        <w:tc>
          <w:tcPr>
            <w:tcW w:w="2835" w:type="dxa"/>
            <w:shd w:val="clear" w:color="auto" w:fill="BFBFBF" w:themeFill="background1" w:themeFillShade="BF"/>
            <w:noWrap/>
            <w:vAlign w:val="center"/>
            <w:hideMark/>
          </w:tcPr>
          <w:p w14:paraId="585F48E5" w14:textId="77777777" w:rsidR="00642ACC" w:rsidRPr="00A967F9" w:rsidRDefault="00642ACC" w:rsidP="0022057B">
            <w:pPr>
              <w:jc w:val="center"/>
              <w:rPr>
                <w:rFonts w:cs="Arial"/>
                <w:b/>
                <w:bCs/>
                <w:noProof/>
                <w:sz w:val="18"/>
                <w:szCs w:val="18"/>
              </w:rPr>
            </w:pPr>
            <w:r w:rsidRPr="00A967F9">
              <w:rPr>
                <w:rFonts w:cs="Arial"/>
                <w:b/>
                <w:bCs/>
                <w:noProof/>
                <w:sz w:val="18"/>
                <w:szCs w:val="18"/>
              </w:rPr>
              <w:t>Average Price (€) of Manual Planting of 1000 trees</w:t>
            </w:r>
          </w:p>
        </w:tc>
        <w:tc>
          <w:tcPr>
            <w:tcW w:w="2409" w:type="dxa"/>
            <w:shd w:val="clear" w:color="auto" w:fill="BFBFBF" w:themeFill="background1" w:themeFillShade="BF"/>
            <w:noWrap/>
            <w:vAlign w:val="center"/>
            <w:hideMark/>
          </w:tcPr>
          <w:p w14:paraId="5A7C5115" w14:textId="77777777" w:rsidR="00642ACC" w:rsidRPr="00A967F9" w:rsidRDefault="00642ACC" w:rsidP="0022057B">
            <w:pPr>
              <w:jc w:val="center"/>
              <w:rPr>
                <w:rFonts w:cs="Arial"/>
                <w:b/>
                <w:bCs/>
                <w:noProof/>
                <w:sz w:val="18"/>
                <w:szCs w:val="18"/>
              </w:rPr>
            </w:pPr>
            <w:r w:rsidRPr="00A967F9">
              <w:rPr>
                <w:rFonts w:cs="Arial"/>
                <w:b/>
                <w:bCs/>
                <w:noProof/>
                <w:sz w:val="18"/>
                <w:szCs w:val="18"/>
              </w:rPr>
              <w:t>Average Price (€) of Mechanical Planting of 1000 trees</w:t>
            </w:r>
          </w:p>
        </w:tc>
      </w:tr>
      <w:tr w:rsidR="00642ACC" w:rsidRPr="00A967F9" w14:paraId="7AC251BB" w14:textId="77777777" w:rsidTr="0022057B">
        <w:trPr>
          <w:trHeight w:val="300"/>
        </w:trPr>
        <w:tc>
          <w:tcPr>
            <w:tcW w:w="3256" w:type="dxa"/>
            <w:shd w:val="clear" w:color="auto" w:fill="FFE5D2" w:themeFill="accent5" w:themeFillTint="33"/>
            <w:noWrap/>
            <w:hideMark/>
          </w:tcPr>
          <w:p w14:paraId="128FE500" w14:textId="77777777" w:rsidR="00642ACC" w:rsidRPr="00A967F9" w:rsidRDefault="00642ACC" w:rsidP="0022057B">
            <w:pPr>
              <w:rPr>
                <w:rFonts w:cs="Arial"/>
                <w:noProof/>
                <w:sz w:val="18"/>
                <w:szCs w:val="18"/>
              </w:rPr>
            </w:pPr>
            <w:r w:rsidRPr="00A967F9">
              <w:rPr>
                <w:rFonts w:cs="Arial"/>
                <w:noProof/>
                <w:sz w:val="18"/>
                <w:szCs w:val="18"/>
              </w:rPr>
              <w:t>Albania</w:t>
            </w:r>
          </w:p>
        </w:tc>
        <w:tc>
          <w:tcPr>
            <w:tcW w:w="2835" w:type="dxa"/>
            <w:noWrap/>
            <w:hideMark/>
          </w:tcPr>
          <w:p w14:paraId="3550F58F" w14:textId="77777777" w:rsidR="00642ACC" w:rsidRPr="00A967F9" w:rsidRDefault="00642ACC" w:rsidP="0022057B">
            <w:pPr>
              <w:rPr>
                <w:rFonts w:cs="Arial"/>
                <w:noProof/>
                <w:sz w:val="18"/>
                <w:szCs w:val="18"/>
              </w:rPr>
            </w:pPr>
            <w:r w:rsidRPr="00A967F9">
              <w:rPr>
                <w:rFonts w:cs="Arial"/>
                <w:noProof/>
                <w:sz w:val="18"/>
                <w:szCs w:val="18"/>
              </w:rPr>
              <w:t>13,667</w:t>
            </w:r>
          </w:p>
        </w:tc>
        <w:tc>
          <w:tcPr>
            <w:tcW w:w="2409" w:type="dxa"/>
            <w:noWrap/>
            <w:hideMark/>
          </w:tcPr>
          <w:p w14:paraId="7DE95081" w14:textId="77777777" w:rsidR="00642ACC" w:rsidRPr="00A967F9" w:rsidRDefault="00642ACC" w:rsidP="0022057B">
            <w:pPr>
              <w:rPr>
                <w:rFonts w:cs="Arial"/>
                <w:noProof/>
                <w:sz w:val="18"/>
                <w:szCs w:val="18"/>
              </w:rPr>
            </w:pPr>
            <w:r w:rsidRPr="00A967F9">
              <w:rPr>
                <w:rFonts w:cs="Arial"/>
                <w:noProof/>
                <w:sz w:val="18"/>
                <w:szCs w:val="18"/>
              </w:rPr>
              <w:t>4,638</w:t>
            </w:r>
          </w:p>
        </w:tc>
      </w:tr>
      <w:tr w:rsidR="00642ACC" w:rsidRPr="00A967F9" w14:paraId="15CC5579" w14:textId="77777777" w:rsidTr="0022057B">
        <w:trPr>
          <w:trHeight w:val="300"/>
        </w:trPr>
        <w:tc>
          <w:tcPr>
            <w:tcW w:w="3256" w:type="dxa"/>
            <w:shd w:val="clear" w:color="auto" w:fill="FFE5D2" w:themeFill="accent5" w:themeFillTint="33"/>
            <w:noWrap/>
            <w:hideMark/>
          </w:tcPr>
          <w:p w14:paraId="0BC6704B" w14:textId="77777777" w:rsidR="00642ACC" w:rsidRPr="00A967F9" w:rsidRDefault="00642ACC" w:rsidP="0022057B">
            <w:pPr>
              <w:rPr>
                <w:rFonts w:cs="Arial"/>
                <w:noProof/>
                <w:sz w:val="18"/>
                <w:szCs w:val="18"/>
              </w:rPr>
            </w:pPr>
            <w:r w:rsidRPr="00A967F9">
              <w:rPr>
                <w:rFonts w:cs="Arial"/>
                <w:noProof/>
                <w:sz w:val="18"/>
                <w:szCs w:val="18"/>
              </w:rPr>
              <w:t>Andorra</w:t>
            </w:r>
          </w:p>
        </w:tc>
        <w:tc>
          <w:tcPr>
            <w:tcW w:w="2835" w:type="dxa"/>
            <w:noWrap/>
            <w:hideMark/>
          </w:tcPr>
          <w:p w14:paraId="56CE9C60" w14:textId="77777777" w:rsidR="00642ACC" w:rsidRPr="00A967F9" w:rsidRDefault="00642ACC" w:rsidP="0022057B">
            <w:pPr>
              <w:rPr>
                <w:rFonts w:cs="Arial"/>
                <w:noProof/>
                <w:sz w:val="18"/>
                <w:szCs w:val="18"/>
              </w:rPr>
            </w:pPr>
            <w:r w:rsidRPr="00A967F9">
              <w:rPr>
                <w:rFonts w:cs="Arial"/>
                <w:noProof/>
                <w:sz w:val="18"/>
                <w:szCs w:val="18"/>
              </w:rPr>
              <w:t>43,675</w:t>
            </w:r>
          </w:p>
        </w:tc>
        <w:tc>
          <w:tcPr>
            <w:tcW w:w="2409" w:type="dxa"/>
            <w:noWrap/>
            <w:hideMark/>
          </w:tcPr>
          <w:p w14:paraId="4F51F261" w14:textId="77777777" w:rsidR="00642ACC" w:rsidRPr="00A967F9" w:rsidRDefault="00642ACC" w:rsidP="0022057B">
            <w:pPr>
              <w:rPr>
                <w:rFonts w:cs="Arial"/>
                <w:noProof/>
                <w:sz w:val="18"/>
                <w:szCs w:val="18"/>
              </w:rPr>
            </w:pPr>
            <w:r w:rsidRPr="00A967F9">
              <w:rPr>
                <w:rFonts w:cs="Arial"/>
                <w:noProof/>
                <w:sz w:val="18"/>
                <w:szCs w:val="18"/>
              </w:rPr>
              <w:t>14,823</w:t>
            </w:r>
          </w:p>
        </w:tc>
      </w:tr>
      <w:tr w:rsidR="00642ACC" w:rsidRPr="00A967F9" w14:paraId="1200815B" w14:textId="77777777" w:rsidTr="0022057B">
        <w:trPr>
          <w:trHeight w:val="300"/>
        </w:trPr>
        <w:tc>
          <w:tcPr>
            <w:tcW w:w="3256" w:type="dxa"/>
            <w:shd w:val="clear" w:color="auto" w:fill="FFE5D2" w:themeFill="accent5" w:themeFillTint="33"/>
            <w:noWrap/>
            <w:hideMark/>
          </w:tcPr>
          <w:p w14:paraId="5AF7BB74" w14:textId="77777777" w:rsidR="00642ACC" w:rsidRPr="00A967F9" w:rsidRDefault="00642ACC" w:rsidP="0022057B">
            <w:pPr>
              <w:rPr>
                <w:rFonts w:cs="Arial"/>
                <w:noProof/>
                <w:sz w:val="18"/>
                <w:szCs w:val="18"/>
              </w:rPr>
            </w:pPr>
            <w:r w:rsidRPr="00A967F9">
              <w:rPr>
                <w:rFonts w:cs="Arial"/>
                <w:noProof/>
                <w:sz w:val="18"/>
                <w:szCs w:val="18"/>
              </w:rPr>
              <w:t>Austria</w:t>
            </w:r>
          </w:p>
        </w:tc>
        <w:tc>
          <w:tcPr>
            <w:tcW w:w="2835" w:type="dxa"/>
            <w:noWrap/>
            <w:hideMark/>
          </w:tcPr>
          <w:p w14:paraId="6CDF2954" w14:textId="77777777" w:rsidR="00642ACC" w:rsidRPr="00A967F9" w:rsidRDefault="00642ACC" w:rsidP="0022057B">
            <w:pPr>
              <w:rPr>
                <w:rFonts w:cs="Arial"/>
                <w:noProof/>
                <w:sz w:val="18"/>
                <w:szCs w:val="18"/>
              </w:rPr>
            </w:pPr>
            <w:r w:rsidRPr="00A967F9">
              <w:rPr>
                <w:rFonts w:cs="Arial"/>
                <w:noProof/>
                <w:sz w:val="18"/>
                <w:szCs w:val="18"/>
              </w:rPr>
              <w:t>43,474</w:t>
            </w:r>
          </w:p>
        </w:tc>
        <w:tc>
          <w:tcPr>
            <w:tcW w:w="2409" w:type="dxa"/>
            <w:noWrap/>
            <w:hideMark/>
          </w:tcPr>
          <w:p w14:paraId="484173B3" w14:textId="77777777" w:rsidR="00642ACC" w:rsidRPr="00A967F9" w:rsidRDefault="00642ACC" w:rsidP="0022057B">
            <w:pPr>
              <w:rPr>
                <w:rFonts w:cs="Arial"/>
                <w:noProof/>
                <w:sz w:val="18"/>
                <w:szCs w:val="18"/>
              </w:rPr>
            </w:pPr>
            <w:r w:rsidRPr="00A967F9">
              <w:rPr>
                <w:rFonts w:cs="Arial"/>
                <w:noProof/>
                <w:sz w:val="18"/>
                <w:szCs w:val="18"/>
              </w:rPr>
              <w:t>14,755</w:t>
            </w:r>
          </w:p>
        </w:tc>
      </w:tr>
      <w:tr w:rsidR="00642ACC" w:rsidRPr="00A967F9" w14:paraId="6528A75B" w14:textId="77777777" w:rsidTr="0022057B">
        <w:trPr>
          <w:trHeight w:val="300"/>
        </w:trPr>
        <w:tc>
          <w:tcPr>
            <w:tcW w:w="3256" w:type="dxa"/>
            <w:shd w:val="clear" w:color="auto" w:fill="FFE5D2" w:themeFill="accent5" w:themeFillTint="33"/>
            <w:noWrap/>
            <w:hideMark/>
          </w:tcPr>
          <w:p w14:paraId="386F460B" w14:textId="77777777" w:rsidR="00642ACC" w:rsidRPr="00A967F9" w:rsidRDefault="00642ACC" w:rsidP="0022057B">
            <w:pPr>
              <w:rPr>
                <w:rFonts w:cs="Arial"/>
                <w:noProof/>
                <w:sz w:val="18"/>
                <w:szCs w:val="18"/>
              </w:rPr>
            </w:pPr>
            <w:r w:rsidRPr="00A967F9">
              <w:rPr>
                <w:rFonts w:cs="Arial"/>
                <w:noProof/>
                <w:sz w:val="18"/>
                <w:szCs w:val="18"/>
              </w:rPr>
              <w:t>Belgium</w:t>
            </w:r>
          </w:p>
        </w:tc>
        <w:tc>
          <w:tcPr>
            <w:tcW w:w="2835" w:type="dxa"/>
            <w:noWrap/>
            <w:hideMark/>
          </w:tcPr>
          <w:p w14:paraId="1FDEE080" w14:textId="77777777" w:rsidR="00642ACC" w:rsidRPr="00A967F9" w:rsidRDefault="00642ACC" w:rsidP="0022057B">
            <w:pPr>
              <w:rPr>
                <w:rFonts w:cs="Arial"/>
                <w:noProof/>
                <w:sz w:val="18"/>
                <w:szCs w:val="18"/>
              </w:rPr>
            </w:pPr>
            <w:r w:rsidRPr="00A967F9">
              <w:rPr>
                <w:rFonts w:cs="Arial"/>
                <w:noProof/>
                <w:sz w:val="18"/>
                <w:szCs w:val="18"/>
              </w:rPr>
              <w:t>48,458</w:t>
            </w:r>
          </w:p>
        </w:tc>
        <w:tc>
          <w:tcPr>
            <w:tcW w:w="2409" w:type="dxa"/>
            <w:noWrap/>
            <w:hideMark/>
          </w:tcPr>
          <w:p w14:paraId="4457536F" w14:textId="77777777" w:rsidR="00642ACC" w:rsidRPr="00A967F9" w:rsidRDefault="00642ACC" w:rsidP="0022057B">
            <w:pPr>
              <w:rPr>
                <w:rFonts w:cs="Arial"/>
                <w:noProof/>
                <w:sz w:val="18"/>
                <w:szCs w:val="18"/>
              </w:rPr>
            </w:pPr>
            <w:r w:rsidRPr="00A967F9">
              <w:rPr>
                <w:rFonts w:cs="Arial"/>
                <w:noProof/>
                <w:sz w:val="18"/>
                <w:szCs w:val="18"/>
              </w:rPr>
              <w:t>16,446</w:t>
            </w:r>
          </w:p>
        </w:tc>
      </w:tr>
      <w:tr w:rsidR="00642ACC" w:rsidRPr="00A967F9" w14:paraId="6D9686A6" w14:textId="77777777" w:rsidTr="0022057B">
        <w:trPr>
          <w:trHeight w:val="300"/>
        </w:trPr>
        <w:tc>
          <w:tcPr>
            <w:tcW w:w="3256" w:type="dxa"/>
            <w:shd w:val="clear" w:color="auto" w:fill="FFE5D2" w:themeFill="accent5" w:themeFillTint="33"/>
            <w:noWrap/>
            <w:hideMark/>
          </w:tcPr>
          <w:p w14:paraId="63A94CB0" w14:textId="77777777" w:rsidR="00642ACC" w:rsidRPr="00A967F9" w:rsidRDefault="00642ACC" w:rsidP="0022057B">
            <w:pPr>
              <w:rPr>
                <w:rFonts w:cs="Arial"/>
                <w:noProof/>
                <w:sz w:val="18"/>
                <w:szCs w:val="18"/>
              </w:rPr>
            </w:pPr>
            <w:r w:rsidRPr="00A967F9">
              <w:rPr>
                <w:rFonts w:cs="Arial"/>
                <w:noProof/>
                <w:sz w:val="18"/>
                <w:szCs w:val="18"/>
              </w:rPr>
              <w:t>Bosnia and Herzegovina</w:t>
            </w:r>
          </w:p>
        </w:tc>
        <w:tc>
          <w:tcPr>
            <w:tcW w:w="2835" w:type="dxa"/>
            <w:noWrap/>
            <w:hideMark/>
          </w:tcPr>
          <w:p w14:paraId="70EFD4BA" w14:textId="77777777" w:rsidR="00642ACC" w:rsidRPr="00A967F9" w:rsidRDefault="00642ACC" w:rsidP="0022057B">
            <w:pPr>
              <w:rPr>
                <w:rFonts w:cs="Arial"/>
                <w:noProof/>
                <w:sz w:val="18"/>
                <w:szCs w:val="18"/>
              </w:rPr>
            </w:pPr>
            <w:r w:rsidRPr="00A967F9">
              <w:rPr>
                <w:rFonts w:cs="Arial"/>
                <w:noProof/>
                <w:sz w:val="18"/>
                <w:szCs w:val="18"/>
              </w:rPr>
              <w:t>16,207</w:t>
            </w:r>
          </w:p>
        </w:tc>
        <w:tc>
          <w:tcPr>
            <w:tcW w:w="2409" w:type="dxa"/>
            <w:noWrap/>
            <w:hideMark/>
          </w:tcPr>
          <w:p w14:paraId="3BC0C6C7" w14:textId="77777777" w:rsidR="00642ACC" w:rsidRPr="00A967F9" w:rsidRDefault="00642ACC" w:rsidP="0022057B">
            <w:pPr>
              <w:rPr>
                <w:rFonts w:cs="Arial"/>
                <w:noProof/>
                <w:sz w:val="18"/>
                <w:szCs w:val="18"/>
              </w:rPr>
            </w:pPr>
            <w:r w:rsidRPr="00A967F9">
              <w:rPr>
                <w:rFonts w:cs="Arial"/>
                <w:noProof/>
                <w:sz w:val="18"/>
                <w:szCs w:val="18"/>
              </w:rPr>
              <w:t>5,501</w:t>
            </w:r>
          </w:p>
        </w:tc>
      </w:tr>
      <w:tr w:rsidR="00642ACC" w:rsidRPr="00A967F9" w14:paraId="56BDEA4C" w14:textId="77777777" w:rsidTr="0022057B">
        <w:trPr>
          <w:trHeight w:val="300"/>
        </w:trPr>
        <w:tc>
          <w:tcPr>
            <w:tcW w:w="3256" w:type="dxa"/>
            <w:shd w:val="clear" w:color="auto" w:fill="FFE5D2" w:themeFill="accent5" w:themeFillTint="33"/>
            <w:noWrap/>
            <w:hideMark/>
          </w:tcPr>
          <w:p w14:paraId="42B87DA6" w14:textId="77777777" w:rsidR="00642ACC" w:rsidRPr="00A967F9" w:rsidRDefault="00642ACC" w:rsidP="0022057B">
            <w:pPr>
              <w:rPr>
                <w:rFonts w:cs="Arial"/>
                <w:noProof/>
                <w:sz w:val="18"/>
                <w:szCs w:val="18"/>
              </w:rPr>
            </w:pPr>
            <w:r w:rsidRPr="00A967F9">
              <w:rPr>
                <w:rFonts w:cs="Arial"/>
                <w:noProof/>
                <w:sz w:val="18"/>
                <w:szCs w:val="18"/>
              </w:rPr>
              <w:t>Bulgaria</w:t>
            </w:r>
          </w:p>
        </w:tc>
        <w:tc>
          <w:tcPr>
            <w:tcW w:w="2835" w:type="dxa"/>
            <w:noWrap/>
            <w:hideMark/>
          </w:tcPr>
          <w:p w14:paraId="3AB92026" w14:textId="77777777" w:rsidR="00642ACC" w:rsidRPr="00A967F9" w:rsidRDefault="00642ACC" w:rsidP="0022057B">
            <w:pPr>
              <w:rPr>
                <w:rFonts w:cs="Arial"/>
                <w:noProof/>
                <w:sz w:val="18"/>
                <w:szCs w:val="18"/>
              </w:rPr>
            </w:pPr>
            <w:r w:rsidRPr="00A967F9">
              <w:rPr>
                <w:rFonts w:cs="Arial"/>
                <w:noProof/>
                <w:sz w:val="18"/>
                <w:szCs w:val="18"/>
              </w:rPr>
              <w:t>18,844</w:t>
            </w:r>
          </w:p>
        </w:tc>
        <w:tc>
          <w:tcPr>
            <w:tcW w:w="2409" w:type="dxa"/>
            <w:noWrap/>
            <w:hideMark/>
          </w:tcPr>
          <w:p w14:paraId="6B131949" w14:textId="77777777" w:rsidR="00642ACC" w:rsidRPr="00A967F9" w:rsidRDefault="00642ACC" w:rsidP="0022057B">
            <w:pPr>
              <w:rPr>
                <w:rFonts w:cs="Arial"/>
                <w:noProof/>
                <w:sz w:val="18"/>
                <w:szCs w:val="18"/>
              </w:rPr>
            </w:pPr>
            <w:r w:rsidRPr="00A967F9">
              <w:rPr>
                <w:rFonts w:cs="Arial"/>
                <w:noProof/>
                <w:sz w:val="18"/>
                <w:szCs w:val="18"/>
              </w:rPr>
              <w:t>6,396</w:t>
            </w:r>
          </w:p>
        </w:tc>
      </w:tr>
      <w:tr w:rsidR="00642ACC" w:rsidRPr="00A967F9" w14:paraId="5ABCD0F5" w14:textId="77777777" w:rsidTr="0022057B">
        <w:trPr>
          <w:trHeight w:val="300"/>
        </w:trPr>
        <w:tc>
          <w:tcPr>
            <w:tcW w:w="3256" w:type="dxa"/>
            <w:shd w:val="clear" w:color="auto" w:fill="FFE5D2" w:themeFill="accent5" w:themeFillTint="33"/>
            <w:noWrap/>
            <w:hideMark/>
          </w:tcPr>
          <w:p w14:paraId="4ED24B49" w14:textId="77777777" w:rsidR="00642ACC" w:rsidRPr="00A967F9" w:rsidRDefault="00642ACC" w:rsidP="0022057B">
            <w:pPr>
              <w:rPr>
                <w:rFonts w:cs="Arial"/>
                <w:noProof/>
                <w:sz w:val="18"/>
                <w:szCs w:val="18"/>
              </w:rPr>
            </w:pPr>
            <w:r w:rsidRPr="00A967F9">
              <w:rPr>
                <w:rFonts w:cs="Arial"/>
                <w:noProof/>
                <w:sz w:val="18"/>
                <w:szCs w:val="18"/>
              </w:rPr>
              <w:t>Croatia</w:t>
            </w:r>
          </w:p>
        </w:tc>
        <w:tc>
          <w:tcPr>
            <w:tcW w:w="2835" w:type="dxa"/>
            <w:noWrap/>
            <w:hideMark/>
          </w:tcPr>
          <w:p w14:paraId="749F1C03" w14:textId="77777777" w:rsidR="00642ACC" w:rsidRPr="00A967F9" w:rsidRDefault="00642ACC" w:rsidP="0022057B">
            <w:pPr>
              <w:rPr>
                <w:rFonts w:cs="Arial"/>
                <w:noProof/>
                <w:sz w:val="18"/>
                <w:szCs w:val="18"/>
              </w:rPr>
            </w:pPr>
            <w:r w:rsidRPr="00A967F9">
              <w:rPr>
                <w:rFonts w:cs="Arial"/>
                <w:noProof/>
                <w:sz w:val="18"/>
                <w:szCs w:val="18"/>
              </w:rPr>
              <w:t>19,154</w:t>
            </w:r>
          </w:p>
        </w:tc>
        <w:tc>
          <w:tcPr>
            <w:tcW w:w="2409" w:type="dxa"/>
            <w:noWrap/>
            <w:hideMark/>
          </w:tcPr>
          <w:p w14:paraId="17029FE5" w14:textId="77777777" w:rsidR="00642ACC" w:rsidRPr="00A967F9" w:rsidRDefault="00642ACC" w:rsidP="0022057B">
            <w:pPr>
              <w:rPr>
                <w:rFonts w:cs="Arial"/>
                <w:noProof/>
                <w:sz w:val="18"/>
                <w:szCs w:val="18"/>
              </w:rPr>
            </w:pPr>
            <w:r w:rsidRPr="00A967F9">
              <w:rPr>
                <w:rFonts w:cs="Arial"/>
                <w:noProof/>
                <w:sz w:val="18"/>
                <w:szCs w:val="18"/>
              </w:rPr>
              <w:t>6,501</w:t>
            </w:r>
          </w:p>
        </w:tc>
      </w:tr>
      <w:tr w:rsidR="00642ACC" w:rsidRPr="00A967F9" w14:paraId="3191700F" w14:textId="77777777" w:rsidTr="0022057B">
        <w:trPr>
          <w:trHeight w:val="300"/>
        </w:trPr>
        <w:tc>
          <w:tcPr>
            <w:tcW w:w="3256" w:type="dxa"/>
            <w:shd w:val="clear" w:color="auto" w:fill="FFE5D2" w:themeFill="accent5" w:themeFillTint="33"/>
            <w:noWrap/>
            <w:hideMark/>
          </w:tcPr>
          <w:p w14:paraId="18A92CC2" w14:textId="77777777" w:rsidR="00642ACC" w:rsidRPr="00A967F9" w:rsidRDefault="00642ACC" w:rsidP="0022057B">
            <w:pPr>
              <w:rPr>
                <w:rFonts w:cs="Arial"/>
                <w:noProof/>
                <w:sz w:val="18"/>
                <w:szCs w:val="18"/>
              </w:rPr>
            </w:pPr>
            <w:r w:rsidRPr="00A967F9">
              <w:rPr>
                <w:rFonts w:cs="Arial"/>
                <w:noProof/>
                <w:sz w:val="18"/>
                <w:szCs w:val="18"/>
              </w:rPr>
              <w:t>Cyprus</w:t>
            </w:r>
          </w:p>
        </w:tc>
        <w:tc>
          <w:tcPr>
            <w:tcW w:w="2835" w:type="dxa"/>
            <w:noWrap/>
            <w:hideMark/>
          </w:tcPr>
          <w:p w14:paraId="2D26DB94" w14:textId="77777777" w:rsidR="00642ACC" w:rsidRPr="00A967F9" w:rsidRDefault="00642ACC" w:rsidP="0022057B">
            <w:pPr>
              <w:rPr>
                <w:rFonts w:cs="Arial"/>
                <w:noProof/>
                <w:sz w:val="18"/>
                <w:szCs w:val="18"/>
              </w:rPr>
            </w:pPr>
            <w:r w:rsidRPr="00A967F9">
              <w:rPr>
                <w:rFonts w:cs="Arial"/>
                <w:noProof/>
                <w:sz w:val="18"/>
                <w:szCs w:val="18"/>
              </w:rPr>
              <w:t>26,616</w:t>
            </w:r>
          </w:p>
        </w:tc>
        <w:tc>
          <w:tcPr>
            <w:tcW w:w="2409" w:type="dxa"/>
            <w:noWrap/>
            <w:hideMark/>
          </w:tcPr>
          <w:p w14:paraId="46C29315" w14:textId="77777777" w:rsidR="00642ACC" w:rsidRPr="00A967F9" w:rsidRDefault="00642ACC" w:rsidP="0022057B">
            <w:pPr>
              <w:rPr>
                <w:rFonts w:cs="Arial"/>
                <w:noProof/>
                <w:sz w:val="18"/>
                <w:szCs w:val="18"/>
              </w:rPr>
            </w:pPr>
            <w:r w:rsidRPr="00A967F9">
              <w:rPr>
                <w:rFonts w:cs="Arial"/>
                <w:noProof/>
                <w:sz w:val="18"/>
                <w:szCs w:val="18"/>
              </w:rPr>
              <w:t>9,033</w:t>
            </w:r>
          </w:p>
        </w:tc>
      </w:tr>
      <w:tr w:rsidR="00642ACC" w:rsidRPr="00A967F9" w14:paraId="33AEEDE6" w14:textId="77777777" w:rsidTr="0022057B">
        <w:trPr>
          <w:trHeight w:val="300"/>
        </w:trPr>
        <w:tc>
          <w:tcPr>
            <w:tcW w:w="3256" w:type="dxa"/>
            <w:shd w:val="clear" w:color="auto" w:fill="FFE5D2" w:themeFill="accent5" w:themeFillTint="33"/>
            <w:noWrap/>
            <w:hideMark/>
          </w:tcPr>
          <w:p w14:paraId="3384CAB7" w14:textId="77777777" w:rsidR="00642ACC" w:rsidRPr="00A967F9" w:rsidRDefault="00642ACC" w:rsidP="0022057B">
            <w:pPr>
              <w:rPr>
                <w:rFonts w:cs="Arial"/>
                <w:noProof/>
                <w:sz w:val="18"/>
                <w:szCs w:val="18"/>
              </w:rPr>
            </w:pPr>
            <w:r w:rsidRPr="00A967F9">
              <w:rPr>
                <w:rFonts w:cs="Arial"/>
                <w:noProof/>
                <w:sz w:val="18"/>
                <w:szCs w:val="18"/>
              </w:rPr>
              <w:t>Czech Republic</w:t>
            </w:r>
          </w:p>
        </w:tc>
        <w:tc>
          <w:tcPr>
            <w:tcW w:w="2835" w:type="dxa"/>
            <w:noWrap/>
            <w:hideMark/>
          </w:tcPr>
          <w:p w14:paraId="08618B1A" w14:textId="77777777" w:rsidR="00642ACC" w:rsidRPr="00A967F9" w:rsidRDefault="00642ACC" w:rsidP="0022057B">
            <w:pPr>
              <w:rPr>
                <w:rFonts w:cs="Arial"/>
                <w:noProof/>
                <w:sz w:val="18"/>
                <w:szCs w:val="18"/>
              </w:rPr>
            </w:pPr>
            <w:r w:rsidRPr="00A967F9">
              <w:rPr>
                <w:rFonts w:cs="Arial"/>
                <w:noProof/>
                <w:sz w:val="18"/>
                <w:szCs w:val="18"/>
              </w:rPr>
              <w:t>27,715</w:t>
            </w:r>
          </w:p>
        </w:tc>
        <w:tc>
          <w:tcPr>
            <w:tcW w:w="2409" w:type="dxa"/>
            <w:noWrap/>
            <w:hideMark/>
          </w:tcPr>
          <w:p w14:paraId="212215E6" w14:textId="77777777" w:rsidR="00642ACC" w:rsidRPr="00A967F9" w:rsidRDefault="00642ACC" w:rsidP="0022057B">
            <w:pPr>
              <w:rPr>
                <w:rFonts w:cs="Arial"/>
                <w:noProof/>
                <w:sz w:val="18"/>
                <w:szCs w:val="18"/>
              </w:rPr>
            </w:pPr>
            <w:r w:rsidRPr="00A967F9">
              <w:rPr>
                <w:rFonts w:cs="Arial"/>
                <w:noProof/>
                <w:sz w:val="18"/>
                <w:szCs w:val="18"/>
              </w:rPr>
              <w:t>9,406</w:t>
            </w:r>
          </w:p>
        </w:tc>
      </w:tr>
      <w:tr w:rsidR="00642ACC" w:rsidRPr="00A967F9" w14:paraId="1F1C5C04" w14:textId="77777777" w:rsidTr="0022057B">
        <w:trPr>
          <w:trHeight w:val="300"/>
        </w:trPr>
        <w:tc>
          <w:tcPr>
            <w:tcW w:w="3256" w:type="dxa"/>
            <w:shd w:val="clear" w:color="auto" w:fill="FFE5D2" w:themeFill="accent5" w:themeFillTint="33"/>
            <w:noWrap/>
            <w:hideMark/>
          </w:tcPr>
          <w:p w14:paraId="58E9661F" w14:textId="77777777" w:rsidR="00642ACC" w:rsidRPr="00A967F9" w:rsidRDefault="00642ACC" w:rsidP="0022057B">
            <w:pPr>
              <w:rPr>
                <w:rFonts w:cs="Arial"/>
                <w:noProof/>
                <w:sz w:val="18"/>
                <w:szCs w:val="18"/>
              </w:rPr>
            </w:pPr>
            <w:r w:rsidRPr="00A967F9">
              <w:rPr>
                <w:rFonts w:cs="Arial"/>
                <w:noProof/>
                <w:sz w:val="18"/>
                <w:szCs w:val="18"/>
              </w:rPr>
              <w:t>Denmark</w:t>
            </w:r>
          </w:p>
        </w:tc>
        <w:tc>
          <w:tcPr>
            <w:tcW w:w="2835" w:type="dxa"/>
            <w:noWrap/>
            <w:hideMark/>
          </w:tcPr>
          <w:p w14:paraId="0CFF9DBD" w14:textId="77777777" w:rsidR="00642ACC" w:rsidRPr="00A967F9" w:rsidRDefault="00642ACC" w:rsidP="0022057B">
            <w:pPr>
              <w:rPr>
                <w:rFonts w:cs="Arial"/>
                <w:noProof/>
                <w:sz w:val="18"/>
                <w:szCs w:val="18"/>
              </w:rPr>
            </w:pPr>
            <w:r w:rsidRPr="00A967F9">
              <w:rPr>
                <w:rFonts w:cs="Arial"/>
                <w:noProof/>
                <w:sz w:val="18"/>
                <w:szCs w:val="18"/>
              </w:rPr>
              <w:t>55,646</w:t>
            </w:r>
          </w:p>
        </w:tc>
        <w:tc>
          <w:tcPr>
            <w:tcW w:w="2409" w:type="dxa"/>
            <w:noWrap/>
            <w:hideMark/>
          </w:tcPr>
          <w:p w14:paraId="45531368" w14:textId="77777777" w:rsidR="00642ACC" w:rsidRPr="00A967F9" w:rsidRDefault="00642ACC" w:rsidP="0022057B">
            <w:pPr>
              <w:rPr>
                <w:rFonts w:cs="Arial"/>
                <w:noProof/>
                <w:sz w:val="18"/>
                <w:szCs w:val="18"/>
              </w:rPr>
            </w:pPr>
            <w:r w:rsidRPr="00A967F9">
              <w:rPr>
                <w:rFonts w:cs="Arial"/>
                <w:noProof/>
                <w:sz w:val="18"/>
                <w:szCs w:val="18"/>
              </w:rPr>
              <w:t>18,886</w:t>
            </w:r>
          </w:p>
        </w:tc>
      </w:tr>
      <w:tr w:rsidR="00642ACC" w:rsidRPr="00A967F9" w14:paraId="55ED9213" w14:textId="77777777" w:rsidTr="0022057B">
        <w:trPr>
          <w:trHeight w:val="300"/>
        </w:trPr>
        <w:tc>
          <w:tcPr>
            <w:tcW w:w="3256" w:type="dxa"/>
            <w:shd w:val="clear" w:color="auto" w:fill="FFE5D2" w:themeFill="accent5" w:themeFillTint="33"/>
            <w:noWrap/>
            <w:hideMark/>
          </w:tcPr>
          <w:p w14:paraId="1E02DA20" w14:textId="77777777" w:rsidR="00642ACC" w:rsidRPr="00A967F9" w:rsidRDefault="00642ACC" w:rsidP="0022057B">
            <w:pPr>
              <w:rPr>
                <w:rFonts w:cs="Arial"/>
                <w:noProof/>
                <w:sz w:val="18"/>
                <w:szCs w:val="18"/>
              </w:rPr>
            </w:pPr>
            <w:r w:rsidRPr="00A967F9">
              <w:rPr>
                <w:rFonts w:cs="Arial"/>
                <w:noProof/>
                <w:sz w:val="18"/>
                <w:szCs w:val="18"/>
              </w:rPr>
              <w:t>Estonia</w:t>
            </w:r>
          </w:p>
        </w:tc>
        <w:tc>
          <w:tcPr>
            <w:tcW w:w="2835" w:type="dxa"/>
            <w:noWrap/>
            <w:hideMark/>
          </w:tcPr>
          <w:p w14:paraId="6E76BAD7" w14:textId="77777777" w:rsidR="00642ACC" w:rsidRPr="00A967F9" w:rsidRDefault="00642ACC" w:rsidP="0022057B">
            <w:pPr>
              <w:rPr>
                <w:rFonts w:cs="Arial"/>
                <w:noProof/>
                <w:sz w:val="18"/>
                <w:szCs w:val="18"/>
              </w:rPr>
            </w:pPr>
            <w:r w:rsidRPr="00A967F9">
              <w:rPr>
                <w:rFonts w:cs="Arial"/>
                <w:noProof/>
                <w:sz w:val="18"/>
                <w:szCs w:val="18"/>
              </w:rPr>
              <w:t>30,764</w:t>
            </w:r>
          </w:p>
        </w:tc>
        <w:tc>
          <w:tcPr>
            <w:tcW w:w="2409" w:type="dxa"/>
            <w:noWrap/>
            <w:hideMark/>
          </w:tcPr>
          <w:p w14:paraId="5BEAB34E" w14:textId="77777777" w:rsidR="00642ACC" w:rsidRPr="00A967F9" w:rsidRDefault="00642ACC" w:rsidP="0022057B">
            <w:pPr>
              <w:rPr>
                <w:rFonts w:cs="Arial"/>
                <w:noProof/>
                <w:sz w:val="18"/>
                <w:szCs w:val="18"/>
              </w:rPr>
            </w:pPr>
            <w:r w:rsidRPr="00A967F9">
              <w:rPr>
                <w:rFonts w:cs="Arial"/>
                <w:noProof/>
                <w:sz w:val="18"/>
                <w:szCs w:val="18"/>
              </w:rPr>
              <w:t>10,441</w:t>
            </w:r>
          </w:p>
        </w:tc>
      </w:tr>
      <w:tr w:rsidR="00642ACC" w:rsidRPr="00A967F9" w14:paraId="205B07DE" w14:textId="77777777" w:rsidTr="0022057B">
        <w:trPr>
          <w:trHeight w:val="300"/>
        </w:trPr>
        <w:tc>
          <w:tcPr>
            <w:tcW w:w="3256" w:type="dxa"/>
            <w:shd w:val="clear" w:color="auto" w:fill="FFE5D2" w:themeFill="accent5" w:themeFillTint="33"/>
            <w:noWrap/>
            <w:hideMark/>
          </w:tcPr>
          <w:p w14:paraId="1609BB78" w14:textId="77777777" w:rsidR="00642ACC" w:rsidRPr="00A967F9" w:rsidRDefault="00642ACC" w:rsidP="0022057B">
            <w:pPr>
              <w:rPr>
                <w:rFonts w:cs="Arial"/>
                <w:noProof/>
                <w:sz w:val="18"/>
                <w:szCs w:val="18"/>
              </w:rPr>
            </w:pPr>
            <w:r w:rsidRPr="00A967F9">
              <w:rPr>
                <w:rFonts w:cs="Arial"/>
                <w:noProof/>
                <w:sz w:val="18"/>
                <w:szCs w:val="18"/>
              </w:rPr>
              <w:t>Finland</w:t>
            </w:r>
          </w:p>
        </w:tc>
        <w:tc>
          <w:tcPr>
            <w:tcW w:w="2835" w:type="dxa"/>
            <w:noWrap/>
            <w:hideMark/>
          </w:tcPr>
          <w:p w14:paraId="0E69B8E6" w14:textId="77777777" w:rsidR="00642ACC" w:rsidRPr="00A967F9" w:rsidRDefault="00642ACC" w:rsidP="0022057B">
            <w:pPr>
              <w:rPr>
                <w:rFonts w:cs="Arial"/>
                <w:noProof/>
                <w:sz w:val="18"/>
                <w:szCs w:val="18"/>
              </w:rPr>
            </w:pPr>
            <w:r w:rsidRPr="00A967F9">
              <w:rPr>
                <w:rFonts w:cs="Arial"/>
                <w:noProof/>
                <w:sz w:val="18"/>
                <w:szCs w:val="18"/>
              </w:rPr>
              <w:t>45,649</w:t>
            </w:r>
          </w:p>
        </w:tc>
        <w:tc>
          <w:tcPr>
            <w:tcW w:w="2409" w:type="dxa"/>
            <w:noWrap/>
            <w:hideMark/>
          </w:tcPr>
          <w:p w14:paraId="08E6FBEA" w14:textId="77777777" w:rsidR="00642ACC" w:rsidRPr="00A967F9" w:rsidRDefault="00642ACC" w:rsidP="0022057B">
            <w:pPr>
              <w:rPr>
                <w:rFonts w:cs="Arial"/>
                <w:noProof/>
                <w:sz w:val="18"/>
                <w:szCs w:val="18"/>
              </w:rPr>
            </w:pPr>
            <w:r w:rsidRPr="00A967F9">
              <w:rPr>
                <w:rFonts w:cs="Arial"/>
                <w:noProof/>
                <w:sz w:val="18"/>
                <w:szCs w:val="18"/>
              </w:rPr>
              <w:t>15,493</w:t>
            </w:r>
          </w:p>
        </w:tc>
      </w:tr>
      <w:tr w:rsidR="00642ACC" w:rsidRPr="00A967F9" w14:paraId="7AF0CF4C" w14:textId="77777777" w:rsidTr="0022057B">
        <w:trPr>
          <w:trHeight w:val="300"/>
        </w:trPr>
        <w:tc>
          <w:tcPr>
            <w:tcW w:w="3256" w:type="dxa"/>
            <w:shd w:val="clear" w:color="auto" w:fill="FFE5D2" w:themeFill="accent5" w:themeFillTint="33"/>
            <w:noWrap/>
            <w:hideMark/>
          </w:tcPr>
          <w:p w14:paraId="5F498A8A" w14:textId="77777777" w:rsidR="00642ACC" w:rsidRPr="00A967F9" w:rsidRDefault="00642ACC" w:rsidP="0022057B">
            <w:pPr>
              <w:rPr>
                <w:rFonts w:cs="Arial"/>
                <w:noProof/>
                <w:sz w:val="18"/>
                <w:szCs w:val="18"/>
              </w:rPr>
            </w:pPr>
            <w:r w:rsidRPr="00A967F9">
              <w:rPr>
                <w:rFonts w:cs="Arial"/>
                <w:noProof/>
                <w:sz w:val="18"/>
                <w:szCs w:val="18"/>
              </w:rPr>
              <w:t>France</w:t>
            </w:r>
          </w:p>
        </w:tc>
        <w:tc>
          <w:tcPr>
            <w:tcW w:w="2835" w:type="dxa"/>
            <w:noWrap/>
            <w:hideMark/>
          </w:tcPr>
          <w:p w14:paraId="2354C77F" w14:textId="77777777" w:rsidR="00642ACC" w:rsidRPr="00A967F9" w:rsidRDefault="00642ACC" w:rsidP="0022057B">
            <w:pPr>
              <w:rPr>
                <w:rFonts w:cs="Arial"/>
                <w:noProof/>
                <w:sz w:val="18"/>
                <w:szCs w:val="18"/>
              </w:rPr>
            </w:pPr>
            <w:r w:rsidRPr="00A967F9">
              <w:rPr>
                <w:rFonts w:cs="Arial"/>
                <w:noProof/>
                <w:sz w:val="18"/>
                <w:szCs w:val="18"/>
              </w:rPr>
              <w:t>44,664</w:t>
            </w:r>
          </w:p>
        </w:tc>
        <w:tc>
          <w:tcPr>
            <w:tcW w:w="2409" w:type="dxa"/>
            <w:noWrap/>
            <w:hideMark/>
          </w:tcPr>
          <w:p w14:paraId="0676142E" w14:textId="77777777" w:rsidR="00642ACC" w:rsidRPr="00A967F9" w:rsidRDefault="00642ACC" w:rsidP="0022057B">
            <w:pPr>
              <w:rPr>
                <w:rFonts w:cs="Arial"/>
                <w:noProof/>
                <w:sz w:val="18"/>
                <w:szCs w:val="18"/>
              </w:rPr>
            </w:pPr>
            <w:r w:rsidRPr="00A967F9">
              <w:rPr>
                <w:rFonts w:cs="Arial"/>
                <w:noProof/>
                <w:sz w:val="18"/>
                <w:szCs w:val="18"/>
              </w:rPr>
              <w:t>15,159</w:t>
            </w:r>
          </w:p>
        </w:tc>
      </w:tr>
      <w:tr w:rsidR="00642ACC" w:rsidRPr="00A967F9" w14:paraId="6E0B9933" w14:textId="77777777" w:rsidTr="0022057B">
        <w:trPr>
          <w:trHeight w:val="300"/>
        </w:trPr>
        <w:tc>
          <w:tcPr>
            <w:tcW w:w="3256" w:type="dxa"/>
            <w:shd w:val="clear" w:color="auto" w:fill="FFE5D2" w:themeFill="accent5" w:themeFillTint="33"/>
            <w:noWrap/>
            <w:hideMark/>
          </w:tcPr>
          <w:p w14:paraId="034D855C" w14:textId="77777777" w:rsidR="00642ACC" w:rsidRPr="00A967F9" w:rsidRDefault="00642ACC" w:rsidP="0022057B">
            <w:pPr>
              <w:rPr>
                <w:rFonts w:cs="Arial"/>
                <w:noProof/>
                <w:sz w:val="18"/>
                <w:szCs w:val="18"/>
              </w:rPr>
            </w:pPr>
            <w:r w:rsidRPr="00A967F9">
              <w:rPr>
                <w:rFonts w:cs="Arial"/>
                <w:noProof/>
                <w:sz w:val="18"/>
                <w:szCs w:val="18"/>
              </w:rPr>
              <w:t>Germany</w:t>
            </w:r>
          </w:p>
        </w:tc>
        <w:tc>
          <w:tcPr>
            <w:tcW w:w="2835" w:type="dxa"/>
            <w:noWrap/>
            <w:hideMark/>
          </w:tcPr>
          <w:p w14:paraId="5001B984" w14:textId="77777777" w:rsidR="00642ACC" w:rsidRPr="00A967F9" w:rsidRDefault="00642ACC" w:rsidP="0022057B">
            <w:pPr>
              <w:rPr>
                <w:rFonts w:cs="Arial"/>
                <w:noProof/>
                <w:sz w:val="18"/>
                <w:szCs w:val="18"/>
              </w:rPr>
            </w:pPr>
            <w:r w:rsidRPr="00A967F9">
              <w:rPr>
                <w:rFonts w:cs="Arial"/>
                <w:noProof/>
                <w:sz w:val="18"/>
                <w:szCs w:val="18"/>
              </w:rPr>
              <w:t>45,161</w:t>
            </w:r>
          </w:p>
        </w:tc>
        <w:tc>
          <w:tcPr>
            <w:tcW w:w="2409" w:type="dxa"/>
            <w:noWrap/>
            <w:hideMark/>
          </w:tcPr>
          <w:p w14:paraId="6D36E567" w14:textId="77777777" w:rsidR="00642ACC" w:rsidRPr="00A967F9" w:rsidRDefault="00642ACC" w:rsidP="0022057B">
            <w:pPr>
              <w:rPr>
                <w:rFonts w:cs="Arial"/>
                <w:noProof/>
                <w:sz w:val="18"/>
                <w:szCs w:val="18"/>
              </w:rPr>
            </w:pPr>
            <w:r w:rsidRPr="00A967F9">
              <w:rPr>
                <w:rFonts w:cs="Arial"/>
                <w:noProof/>
                <w:sz w:val="18"/>
                <w:szCs w:val="18"/>
              </w:rPr>
              <w:t>15,327</w:t>
            </w:r>
          </w:p>
        </w:tc>
      </w:tr>
      <w:tr w:rsidR="00642ACC" w:rsidRPr="00A967F9" w14:paraId="4EE589DE" w14:textId="77777777" w:rsidTr="0022057B">
        <w:trPr>
          <w:trHeight w:val="300"/>
        </w:trPr>
        <w:tc>
          <w:tcPr>
            <w:tcW w:w="3256" w:type="dxa"/>
            <w:shd w:val="clear" w:color="auto" w:fill="FFE5D2" w:themeFill="accent5" w:themeFillTint="33"/>
            <w:noWrap/>
            <w:hideMark/>
          </w:tcPr>
          <w:p w14:paraId="4E01323C" w14:textId="77777777" w:rsidR="00642ACC" w:rsidRPr="00A967F9" w:rsidRDefault="00642ACC" w:rsidP="0022057B">
            <w:pPr>
              <w:rPr>
                <w:rFonts w:cs="Arial"/>
                <w:noProof/>
                <w:sz w:val="18"/>
                <w:szCs w:val="18"/>
              </w:rPr>
            </w:pPr>
            <w:r w:rsidRPr="00A967F9">
              <w:rPr>
                <w:rFonts w:cs="Arial"/>
                <w:noProof/>
                <w:sz w:val="18"/>
                <w:szCs w:val="18"/>
              </w:rPr>
              <w:t>Greece</w:t>
            </w:r>
          </w:p>
        </w:tc>
        <w:tc>
          <w:tcPr>
            <w:tcW w:w="2835" w:type="dxa"/>
            <w:noWrap/>
            <w:hideMark/>
          </w:tcPr>
          <w:p w14:paraId="1EF1199E" w14:textId="77777777" w:rsidR="00642ACC" w:rsidRPr="00A967F9" w:rsidRDefault="00642ACC" w:rsidP="0022057B">
            <w:pPr>
              <w:rPr>
                <w:rFonts w:cs="Arial"/>
                <w:noProof/>
                <w:sz w:val="18"/>
                <w:szCs w:val="18"/>
              </w:rPr>
            </w:pPr>
            <w:r w:rsidRPr="00A967F9">
              <w:rPr>
                <w:rFonts w:cs="Arial"/>
                <w:noProof/>
                <w:sz w:val="18"/>
                <w:szCs w:val="18"/>
              </w:rPr>
              <w:t>26,582</w:t>
            </w:r>
          </w:p>
        </w:tc>
        <w:tc>
          <w:tcPr>
            <w:tcW w:w="2409" w:type="dxa"/>
            <w:noWrap/>
            <w:hideMark/>
          </w:tcPr>
          <w:p w14:paraId="22707281" w14:textId="77777777" w:rsidR="00642ACC" w:rsidRPr="00A967F9" w:rsidRDefault="00642ACC" w:rsidP="0022057B">
            <w:pPr>
              <w:rPr>
                <w:rFonts w:cs="Arial"/>
                <w:noProof/>
                <w:sz w:val="18"/>
                <w:szCs w:val="18"/>
              </w:rPr>
            </w:pPr>
            <w:r w:rsidRPr="00A967F9">
              <w:rPr>
                <w:rFonts w:cs="Arial"/>
                <w:noProof/>
                <w:sz w:val="18"/>
                <w:szCs w:val="18"/>
              </w:rPr>
              <w:t>9,022</w:t>
            </w:r>
          </w:p>
        </w:tc>
      </w:tr>
      <w:tr w:rsidR="00642ACC" w:rsidRPr="00A967F9" w14:paraId="1A4FD2BE" w14:textId="77777777" w:rsidTr="0022057B">
        <w:trPr>
          <w:trHeight w:val="300"/>
        </w:trPr>
        <w:tc>
          <w:tcPr>
            <w:tcW w:w="3256" w:type="dxa"/>
            <w:shd w:val="clear" w:color="auto" w:fill="FFE5D2" w:themeFill="accent5" w:themeFillTint="33"/>
            <w:noWrap/>
            <w:hideMark/>
          </w:tcPr>
          <w:p w14:paraId="56E6DCAB" w14:textId="77777777" w:rsidR="00642ACC" w:rsidRPr="00A967F9" w:rsidRDefault="00642ACC" w:rsidP="0022057B">
            <w:pPr>
              <w:rPr>
                <w:rFonts w:cs="Arial"/>
                <w:noProof/>
                <w:sz w:val="18"/>
                <w:szCs w:val="18"/>
              </w:rPr>
            </w:pPr>
            <w:r w:rsidRPr="00A967F9">
              <w:rPr>
                <w:rFonts w:cs="Arial"/>
                <w:noProof/>
                <w:sz w:val="18"/>
                <w:szCs w:val="18"/>
              </w:rPr>
              <w:t>Hungary</w:t>
            </w:r>
          </w:p>
        </w:tc>
        <w:tc>
          <w:tcPr>
            <w:tcW w:w="2835" w:type="dxa"/>
            <w:noWrap/>
            <w:hideMark/>
          </w:tcPr>
          <w:p w14:paraId="71AC6FD9" w14:textId="77777777" w:rsidR="00642ACC" w:rsidRPr="00A967F9" w:rsidRDefault="00642ACC" w:rsidP="0022057B">
            <w:pPr>
              <w:rPr>
                <w:rFonts w:cs="Arial"/>
                <w:noProof/>
                <w:sz w:val="18"/>
                <w:szCs w:val="18"/>
              </w:rPr>
            </w:pPr>
            <w:r w:rsidRPr="00A967F9">
              <w:rPr>
                <w:rFonts w:cs="Arial"/>
                <w:noProof/>
                <w:sz w:val="18"/>
                <w:szCs w:val="18"/>
              </w:rPr>
              <w:t>24,206</w:t>
            </w:r>
          </w:p>
        </w:tc>
        <w:tc>
          <w:tcPr>
            <w:tcW w:w="2409" w:type="dxa"/>
            <w:noWrap/>
            <w:hideMark/>
          </w:tcPr>
          <w:p w14:paraId="7F4BCEF7" w14:textId="77777777" w:rsidR="00642ACC" w:rsidRPr="00A967F9" w:rsidRDefault="00642ACC" w:rsidP="0022057B">
            <w:pPr>
              <w:rPr>
                <w:rFonts w:cs="Arial"/>
                <w:noProof/>
                <w:sz w:val="18"/>
                <w:szCs w:val="18"/>
              </w:rPr>
            </w:pPr>
            <w:r w:rsidRPr="00A967F9">
              <w:rPr>
                <w:rFonts w:cs="Arial"/>
                <w:noProof/>
                <w:sz w:val="18"/>
                <w:szCs w:val="18"/>
              </w:rPr>
              <w:t>8,216</w:t>
            </w:r>
          </w:p>
        </w:tc>
      </w:tr>
      <w:tr w:rsidR="00642ACC" w:rsidRPr="00A967F9" w14:paraId="60900799" w14:textId="77777777" w:rsidTr="0022057B">
        <w:trPr>
          <w:trHeight w:val="300"/>
        </w:trPr>
        <w:tc>
          <w:tcPr>
            <w:tcW w:w="3256" w:type="dxa"/>
            <w:shd w:val="clear" w:color="auto" w:fill="FFE5D2" w:themeFill="accent5" w:themeFillTint="33"/>
            <w:noWrap/>
            <w:hideMark/>
          </w:tcPr>
          <w:p w14:paraId="035483FE" w14:textId="77777777" w:rsidR="00642ACC" w:rsidRPr="00A967F9" w:rsidRDefault="00642ACC" w:rsidP="0022057B">
            <w:pPr>
              <w:rPr>
                <w:rFonts w:cs="Arial"/>
                <w:noProof/>
                <w:sz w:val="18"/>
                <w:szCs w:val="18"/>
              </w:rPr>
            </w:pPr>
            <w:r w:rsidRPr="00A967F9">
              <w:rPr>
                <w:rFonts w:cs="Arial"/>
                <w:noProof/>
                <w:sz w:val="18"/>
                <w:szCs w:val="18"/>
              </w:rPr>
              <w:t>Iceland</w:t>
            </w:r>
          </w:p>
        </w:tc>
        <w:tc>
          <w:tcPr>
            <w:tcW w:w="2835" w:type="dxa"/>
            <w:noWrap/>
            <w:hideMark/>
          </w:tcPr>
          <w:p w14:paraId="5C5846E4" w14:textId="77777777" w:rsidR="00642ACC" w:rsidRPr="00A967F9" w:rsidRDefault="00642ACC" w:rsidP="0022057B">
            <w:pPr>
              <w:rPr>
                <w:rFonts w:cs="Arial"/>
                <w:noProof/>
                <w:sz w:val="18"/>
                <w:szCs w:val="18"/>
              </w:rPr>
            </w:pPr>
            <w:r w:rsidRPr="00A967F9">
              <w:rPr>
                <w:rFonts w:cs="Arial"/>
                <w:noProof/>
                <w:sz w:val="18"/>
                <w:szCs w:val="18"/>
              </w:rPr>
              <w:t>48,468</w:t>
            </w:r>
          </w:p>
        </w:tc>
        <w:tc>
          <w:tcPr>
            <w:tcW w:w="2409" w:type="dxa"/>
            <w:noWrap/>
            <w:hideMark/>
          </w:tcPr>
          <w:p w14:paraId="41A48BB2" w14:textId="77777777" w:rsidR="00642ACC" w:rsidRPr="00A967F9" w:rsidRDefault="00642ACC" w:rsidP="0022057B">
            <w:pPr>
              <w:rPr>
                <w:rFonts w:cs="Arial"/>
                <w:noProof/>
                <w:sz w:val="18"/>
                <w:szCs w:val="18"/>
              </w:rPr>
            </w:pPr>
            <w:r w:rsidRPr="00A967F9">
              <w:rPr>
                <w:rFonts w:cs="Arial"/>
                <w:noProof/>
                <w:sz w:val="18"/>
                <w:szCs w:val="18"/>
              </w:rPr>
              <w:t>16,450</w:t>
            </w:r>
          </w:p>
        </w:tc>
      </w:tr>
      <w:tr w:rsidR="00642ACC" w:rsidRPr="00A967F9" w14:paraId="2A574259" w14:textId="77777777" w:rsidTr="0022057B">
        <w:trPr>
          <w:trHeight w:val="300"/>
        </w:trPr>
        <w:tc>
          <w:tcPr>
            <w:tcW w:w="3256" w:type="dxa"/>
            <w:shd w:val="clear" w:color="auto" w:fill="FFE5D2" w:themeFill="accent5" w:themeFillTint="33"/>
            <w:noWrap/>
            <w:hideMark/>
          </w:tcPr>
          <w:p w14:paraId="108073EB" w14:textId="77777777" w:rsidR="00642ACC" w:rsidRPr="00A967F9" w:rsidRDefault="00642ACC" w:rsidP="0022057B">
            <w:pPr>
              <w:rPr>
                <w:rFonts w:cs="Arial"/>
                <w:noProof/>
                <w:sz w:val="18"/>
                <w:szCs w:val="18"/>
              </w:rPr>
            </w:pPr>
            <w:r w:rsidRPr="00A967F9">
              <w:rPr>
                <w:rFonts w:cs="Arial"/>
                <w:noProof/>
                <w:sz w:val="18"/>
                <w:szCs w:val="18"/>
              </w:rPr>
              <w:t>Ireland</w:t>
            </w:r>
          </w:p>
        </w:tc>
        <w:tc>
          <w:tcPr>
            <w:tcW w:w="2835" w:type="dxa"/>
            <w:noWrap/>
            <w:hideMark/>
          </w:tcPr>
          <w:p w14:paraId="2AEBB119" w14:textId="77777777" w:rsidR="00642ACC" w:rsidRPr="00A967F9" w:rsidRDefault="00642ACC" w:rsidP="0022057B">
            <w:pPr>
              <w:rPr>
                <w:rFonts w:cs="Arial"/>
                <w:noProof/>
                <w:sz w:val="18"/>
                <w:szCs w:val="18"/>
              </w:rPr>
            </w:pPr>
            <w:r w:rsidRPr="00A967F9">
              <w:rPr>
                <w:rFonts w:cs="Arial"/>
                <w:noProof/>
                <w:sz w:val="18"/>
                <w:szCs w:val="18"/>
              </w:rPr>
              <w:t>42,582</w:t>
            </w:r>
          </w:p>
        </w:tc>
        <w:tc>
          <w:tcPr>
            <w:tcW w:w="2409" w:type="dxa"/>
            <w:noWrap/>
            <w:hideMark/>
          </w:tcPr>
          <w:p w14:paraId="2EF5E4CC" w14:textId="77777777" w:rsidR="00642ACC" w:rsidRPr="00A967F9" w:rsidRDefault="00642ACC" w:rsidP="0022057B">
            <w:pPr>
              <w:rPr>
                <w:rFonts w:cs="Arial"/>
                <w:noProof/>
                <w:sz w:val="18"/>
                <w:szCs w:val="18"/>
              </w:rPr>
            </w:pPr>
            <w:r w:rsidRPr="00A967F9">
              <w:rPr>
                <w:rFonts w:cs="Arial"/>
                <w:noProof/>
                <w:sz w:val="18"/>
                <w:szCs w:val="18"/>
              </w:rPr>
              <w:t>14,452</w:t>
            </w:r>
          </w:p>
        </w:tc>
      </w:tr>
      <w:tr w:rsidR="00642ACC" w:rsidRPr="00A967F9" w14:paraId="604814C3" w14:textId="77777777" w:rsidTr="0022057B">
        <w:trPr>
          <w:trHeight w:val="300"/>
        </w:trPr>
        <w:tc>
          <w:tcPr>
            <w:tcW w:w="3256" w:type="dxa"/>
            <w:shd w:val="clear" w:color="auto" w:fill="FFE5D2" w:themeFill="accent5" w:themeFillTint="33"/>
            <w:noWrap/>
            <w:hideMark/>
          </w:tcPr>
          <w:p w14:paraId="70991ACF" w14:textId="77777777" w:rsidR="00642ACC" w:rsidRPr="00A967F9" w:rsidRDefault="00642ACC" w:rsidP="0022057B">
            <w:pPr>
              <w:rPr>
                <w:rFonts w:cs="Arial"/>
                <w:noProof/>
                <w:sz w:val="18"/>
                <w:szCs w:val="18"/>
              </w:rPr>
            </w:pPr>
            <w:r w:rsidRPr="00A967F9">
              <w:rPr>
                <w:rFonts w:cs="Arial"/>
                <w:noProof/>
                <w:sz w:val="18"/>
                <w:szCs w:val="18"/>
              </w:rPr>
              <w:t>Italy</w:t>
            </w:r>
          </w:p>
        </w:tc>
        <w:tc>
          <w:tcPr>
            <w:tcW w:w="2835" w:type="dxa"/>
            <w:noWrap/>
            <w:hideMark/>
          </w:tcPr>
          <w:p w14:paraId="3CA6662B" w14:textId="77777777" w:rsidR="00642ACC" w:rsidRPr="00A967F9" w:rsidRDefault="00642ACC" w:rsidP="0022057B">
            <w:pPr>
              <w:rPr>
                <w:rFonts w:cs="Arial"/>
                <w:noProof/>
                <w:sz w:val="18"/>
                <w:szCs w:val="18"/>
              </w:rPr>
            </w:pPr>
            <w:r w:rsidRPr="00A967F9">
              <w:rPr>
                <w:rFonts w:cs="Arial"/>
                <w:noProof/>
                <w:sz w:val="18"/>
                <w:szCs w:val="18"/>
              </w:rPr>
              <w:t>35,490</w:t>
            </w:r>
          </w:p>
        </w:tc>
        <w:tc>
          <w:tcPr>
            <w:tcW w:w="2409" w:type="dxa"/>
            <w:noWrap/>
            <w:hideMark/>
          </w:tcPr>
          <w:p w14:paraId="56AA59E9" w14:textId="77777777" w:rsidR="00642ACC" w:rsidRPr="00A967F9" w:rsidRDefault="00642ACC" w:rsidP="0022057B">
            <w:pPr>
              <w:rPr>
                <w:rFonts w:cs="Arial"/>
                <w:noProof/>
                <w:sz w:val="18"/>
                <w:szCs w:val="18"/>
              </w:rPr>
            </w:pPr>
            <w:r w:rsidRPr="00A967F9">
              <w:rPr>
                <w:rFonts w:cs="Arial"/>
                <w:noProof/>
                <w:sz w:val="18"/>
                <w:szCs w:val="18"/>
              </w:rPr>
              <w:t>12,045</w:t>
            </w:r>
          </w:p>
        </w:tc>
      </w:tr>
      <w:tr w:rsidR="00642ACC" w:rsidRPr="00A967F9" w14:paraId="295D00C3" w14:textId="77777777" w:rsidTr="0022057B">
        <w:trPr>
          <w:trHeight w:val="300"/>
        </w:trPr>
        <w:tc>
          <w:tcPr>
            <w:tcW w:w="3256" w:type="dxa"/>
            <w:shd w:val="clear" w:color="auto" w:fill="FFE5D2" w:themeFill="accent5" w:themeFillTint="33"/>
            <w:noWrap/>
            <w:hideMark/>
          </w:tcPr>
          <w:p w14:paraId="485163DE" w14:textId="77777777" w:rsidR="00642ACC" w:rsidRPr="00A967F9" w:rsidRDefault="00642ACC" w:rsidP="0022057B">
            <w:pPr>
              <w:rPr>
                <w:rFonts w:cs="Arial"/>
                <w:noProof/>
                <w:sz w:val="18"/>
                <w:szCs w:val="18"/>
              </w:rPr>
            </w:pPr>
            <w:r w:rsidRPr="00A967F9">
              <w:rPr>
                <w:rFonts w:cs="Arial"/>
                <w:noProof/>
                <w:sz w:val="18"/>
                <w:szCs w:val="18"/>
              </w:rPr>
              <w:t>Latvia</w:t>
            </w:r>
          </w:p>
        </w:tc>
        <w:tc>
          <w:tcPr>
            <w:tcW w:w="2835" w:type="dxa"/>
            <w:noWrap/>
            <w:hideMark/>
          </w:tcPr>
          <w:p w14:paraId="75710C1E" w14:textId="77777777" w:rsidR="00642ACC" w:rsidRPr="00A967F9" w:rsidRDefault="00642ACC" w:rsidP="0022057B">
            <w:pPr>
              <w:rPr>
                <w:rFonts w:cs="Arial"/>
                <w:noProof/>
                <w:sz w:val="18"/>
                <w:szCs w:val="18"/>
              </w:rPr>
            </w:pPr>
            <w:r w:rsidRPr="00A967F9">
              <w:rPr>
                <w:rFonts w:cs="Arial"/>
                <w:noProof/>
                <w:sz w:val="18"/>
                <w:szCs w:val="18"/>
              </w:rPr>
              <w:t>28,744</w:t>
            </w:r>
          </w:p>
        </w:tc>
        <w:tc>
          <w:tcPr>
            <w:tcW w:w="2409" w:type="dxa"/>
            <w:noWrap/>
            <w:hideMark/>
          </w:tcPr>
          <w:p w14:paraId="0CEADE40" w14:textId="77777777" w:rsidR="00642ACC" w:rsidRPr="00A967F9" w:rsidRDefault="00642ACC" w:rsidP="0022057B">
            <w:pPr>
              <w:rPr>
                <w:rFonts w:cs="Arial"/>
                <w:noProof/>
                <w:sz w:val="18"/>
                <w:szCs w:val="18"/>
              </w:rPr>
            </w:pPr>
            <w:r w:rsidRPr="00A967F9">
              <w:rPr>
                <w:rFonts w:cs="Arial"/>
                <w:noProof/>
                <w:sz w:val="18"/>
                <w:szCs w:val="18"/>
              </w:rPr>
              <w:t>9,756</w:t>
            </w:r>
          </w:p>
        </w:tc>
      </w:tr>
      <w:tr w:rsidR="00642ACC" w:rsidRPr="00A967F9" w14:paraId="38C69563" w14:textId="77777777" w:rsidTr="0022057B">
        <w:trPr>
          <w:trHeight w:val="300"/>
        </w:trPr>
        <w:tc>
          <w:tcPr>
            <w:tcW w:w="3256" w:type="dxa"/>
            <w:shd w:val="clear" w:color="auto" w:fill="FFE5D2" w:themeFill="accent5" w:themeFillTint="33"/>
            <w:noWrap/>
            <w:hideMark/>
          </w:tcPr>
          <w:p w14:paraId="6FF30590" w14:textId="77777777" w:rsidR="00642ACC" w:rsidRPr="00A967F9" w:rsidRDefault="00642ACC" w:rsidP="0022057B">
            <w:pPr>
              <w:rPr>
                <w:rFonts w:cs="Arial"/>
                <w:noProof/>
                <w:sz w:val="18"/>
                <w:szCs w:val="18"/>
              </w:rPr>
            </w:pPr>
            <w:r w:rsidRPr="00A967F9">
              <w:rPr>
                <w:rFonts w:cs="Arial"/>
                <w:noProof/>
                <w:sz w:val="18"/>
                <w:szCs w:val="18"/>
              </w:rPr>
              <w:t>Liechtenstein</w:t>
            </w:r>
          </w:p>
        </w:tc>
        <w:tc>
          <w:tcPr>
            <w:tcW w:w="2835" w:type="dxa"/>
            <w:noWrap/>
            <w:hideMark/>
          </w:tcPr>
          <w:p w14:paraId="59296583" w14:textId="77777777" w:rsidR="00642ACC" w:rsidRPr="00A967F9" w:rsidRDefault="00642ACC" w:rsidP="0022057B">
            <w:pPr>
              <w:rPr>
                <w:rFonts w:cs="Arial"/>
                <w:noProof/>
                <w:sz w:val="18"/>
                <w:szCs w:val="18"/>
              </w:rPr>
            </w:pPr>
            <w:r w:rsidRPr="00A967F9">
              <w:rPr>
                <w:rFonts w:cs="Arial"/>
                <w:noProof/>
                <w:sz w:val="18"/>
                <w:szCs w:val="18"/>
              </w:rPr>
              <w:t>18,398</w:t>
            </w:r>
          </w:p>
        </w:tc>
        <w:tc>
          <w:tcPr>
            <w:tcW w:w="2409" w:type="dxa"/>
            <w:noWrap/>
            <w:hideMark/>
          </w:tcPr>
          <w:p w14:paraId="24284AB4" w14:textId="77777777" w:rsidR="00642ACC" w:rsidRPr="00A967F9" w:rsidRDefault="00642ACC" w:rsidP="0022057B">
            <w:pPr>
              <w:rPr>
                <w:rFonts w:cs="Arial"/>
                <w:noProof/>
                <w:sz w:val="18"/>
                <w:szCs w:val="18"/>
              </w:rPr>
            </w:pPr>
            <w:r w:rsidRPr="00A967F9">
              <w:rPr>
                <w:rFonts w:cs="Arial"/>
                <w:noProof/>
                <w:sz w:val="18"/>
                <w:szCs w:val="18"/>
              </w:rPr>
              <w:t>6,244</w:t>
            </w:r>
          </w:p>
        </w:tc>
      </w:tr>
      <w:tr w:rsidR="00642ACC" w:rsidRPr="00A967F9" w14:paraId="3953750B" w14:textId="77777777" w:rsidTr="0022057B">
        <w:trPr>
          <w:trHeight w:val="300"/>
        </w:trPr>
        <w:tc>
          <w:tcPr>
            <w:tcW w:w="3256" w:type="dxa"/>
            <w:shd w:val="clear" w:color="auto" w:fill="FFE5D2" w:themeFill="accent5" w:themeFillTint="33"/>
            <w:noWrap/>
            <w:hideMark/>
          </w:tcPr>
          <w:p w14:paraId="355DC112" w14:textId="77777777" w:rsidR="00642ACC" w:rsidRPr="00A967F9" w:rsidRDefault="00642ACC" w:rsidP="0022057B">
            <w:pPr>
              <w:rPr>
                <w:rFonts w:cs="Arial"/>
                <w:noProof/>
                <w:sz w:val="18"/>
                <w:szCs w:val="18"/>
              </w:rPr>
            </w:pPr>
            <w:r w:rsidRPr="00A967F9">
              <w:rPr>
                <w:rFonts w:cs="Arial"/>
                <w:noProof/>
                <w:sz w:val="18"/>
                <w:szCs w:val="18"/>
              </w:rPr>
              <w:t>Lithuania</w:t>
            </w:r>
          </w:p>
        </w:tc>
        <w:tc>
          <w:tcPr>
            <w:tcW w:w="2835" w:type="dxa"/>
            <w:noWrap/>
            <w:hideMark/>
          </w:tcPr>
          <w:p w14:paraId="68C49BAA" w14:textId="77777777" w:rsidR="00642ACC" w:rsidRPr="00A967F9" w:rsidRDefault="00642ACC" w:rsidP="0022057B">
            <w:pPr>
              <w:rPr>
                <w:rFonts w:cs="Arial"/>
                <w:noProof/>
                <w:sz w:val="18"/>
                <w:szCs w:val="18"/>
              </w:rPr>
            </w:pPr>
            <w:r w:rsidRPr="00A967F9">
              <w:rPr>
                <w:rFonts w:cs="Arial"/>
                <w:noProof/>
                <w:sz w:val="18"/>
                <w:szCs w:val="18"/>
              </w:rPr>
              <w:t>28,177</w:t>
            </w:r>
          </w:p>
        </w:tc>
        <w:tc>
          <w:tcPr>
            <w:tcW w:w="2409" w:type="dxa"/>
            <w:noWrap/>
            <w:hideMark/>
          </w:tcPr>
          <w:p w14:paraId="5994B793" w14:textId="77777777" w:rsidR="00642ACC" w:rsidRPr="00A967F9" w:rsidRDefault="00642ACC" w:rsidP="0022057B">
            <w:pPr>
              <w:rPr>
                <w:rFonts w:cs="Arial"/>
                <w:noProof/>
                <w:sz w:val="18"/>
                <w:szCs w:val="18"/>
              </w:rPr>
            </w:pPr>
            <w:r w:rsidRPr="00A967F9">
              <w:rPr>
                <w:rFonts w:cs="Arial"/>
                <w:noProof/>
                <w:sz w:val="18"/>
                <w:szCs w:val="18"/>
              </w:rPr>
              <w:t>9,563</w:t>
            </w:r>
          </w:p>
        </w:tc>
      </w:tr>
      <w:tr w:rsidR="00642ACC" w:rsidRPr="00A967F9" w14:paraId="00360675" w14:textId="77777777" w:rsidTr="0022057B">
        <w:trPr>
          <w:trHeight w:val="300"/>
        </w:trPr>
        <w:tc>
          <w:tcPr>
            <w:tcW w:w="3256" w:type="dxa"/>
            <w:shd w:val="clear" w:color="auto" w:fill="FFE5D2" w:themeFill="accent5" w:themeFillTint="33"/>
            <w:noWrap/>
            <w:hideMark/>
          </w:tcPr>
          <w:p w14:paraId="51BDFD63" w14:textId="77777777" w:rsidR="00642ACC" w:rsidRPr="00A967F9" w:rsidRDefault="00642ACC" w:rsidP="0022057B">
            <w:pPr>
              <w:rPr>
                <w:rFonts w:cs="Arial"/>
                <w:noProof/>
                <w:sz w:val="18"/>
                <w:szCs w:val="18"/>
              </w:rPr>
            </w:pPr>
            <w:r w:rsidRPr="00A967F9">
              <w:rPr>
                <w:rFonts w:cs="Arial"/>
                <w:noProof/>
                <w:sz w:val="18"/>
                <w:szCs w:val="18"/>
              </w:rPr>
              <w:t>Luxembourg</w:t>
            </w:r>
          </w:p>
        </w:tc>
        <w:tc>
          <w:tcPr>
            <w:tcW w:w="2835" w:type="dxa"/>
            <w:noWrap/>
            <w:hideMark/>
          </w:tcPr>
          <w:p w14:paraId="00AEA95E" w14:textId="77777777" w:rsidR="00642ACC" w:rsidRPr="00A967F9" w:rsidRDefault="00642ACC" w:rsidP="0022057B">
            <w:pPr>
              <w:rPr>
                <w:rFonts w:cs="Arial"/>
                <w:noProof/>
                <w:sz w:val="18"/>
                <w:szCs w:val="18"/>
              </w:rPr>
            </w:pPr>
            <w:r w:rsidRPr="00A967F9">
              <w:rPr>
                <w:rFonts w:cs="Arial"/>
                <w:noProof/>
                <w:sz w:val="18"/>
                <w:szCs w:val="18"/>
              </w:rPr>
              <w:t>48,856</w:t>
            </w:r>
          </w:p>
        </w:tc>
        <w:tc>
          <w:tcPr>
            <w:tcW w:w="2409" w:type="dxa"/>
            <w:noWrap/>
            <w:hideMark/>
          </w:tcPr>
          <w:p w14:paraId="47A42BED" w14:textId="77777777" w:rsidR="00642ACC" w:rsidRPr="00A967F9" w:rsidRDefault="00642ACC" w:rsidP="0022057B">
            <w:pPr>
              <w:rPr>
                <w:rFonts w:cs="Arial"/>
                <w:noProof/>
                <w:sz w:val="18"/>
                <w:szCs w:val="18"/>
              </w:rPr>
            </w:pPr>
            <w:r w:rsidRPr="00A967F9">
              <w:rPr>
                <w:rFonts w:cs="Arial"/>
                <w:noProof/>
                <w:sz w:val="18"/>
                <w:szCs w:val="18"/>
              </w:rPr>
              <w:t>16,581</w:t>
            </w:r>
          </w:p>
        </w:tc>
      </w:tr>
      <w:tr w:rsidR="00642ACC" w:rsidRPr="00A967F9" w14:paraId="5FBB0CB0" w14:textId="77777777" w:rsidTr="0022057B">
        <w:trPr>
          <w:trHeight w:val="300"/>
        </w:trPr>
        <w:tc>
          <w:tcPr>
            <w:tcW w:w="3256" w:type="dxa"/>
            <w:shd w:val="clear" w:color="auto" w:fill="FFE5D2" w:themeFill="accent5" w:themeFillTint="33"/>
            <w:noWrap/>
            <w:hideMark/>
          </w:tcPr>
          <w:p w14:paraId="33A26FE6" w14:textId="77777777" w:rsidR="00642ACC" w:rsidRPr="00A967F9" w:rsidRDefault="00642ACC" w:rsidP="0022057B">
            <w:pPr>
              <w:rPr>
                <w:rFonts w:cs="Arial"/>
                <w:noProof/>
                <w:sz w:val="18"/>
                <w:szCs w:val="18"/>
              </w:rPr>
            </w:pPr>
            <w:r w:rsidRPr="00A967F9">
              <w:rPr>
                <w:rFonts w:cs="Arial"/>
                <w:noProof/>
                <w:sz w:val="18"/>
                <w:szCs w:val="18"/>
              </w:rPr>
              <w:t>Monaco</w:t>
            </w:r>
          </w:p>
        </w:tc>
        <w:tc>
          <w:tcPr>
            <w:tcW w:w="2835" w:type="dxa"/>
            <w:noWrap/>
            <w:hideMark/>
          </w:tcPr>
          <w:p w14:paraId="79ABA9A3" w14:textId="77777777" w:rsidR="00642ACC" w:rsidRPr="00A967F9" w:rsidRDefault="00642ACC" w:rsidP="0022057B">
            <w:pPr>
              <w:rPr>
                <w:rFonts w:cs="Arial"/>
                <w:noProof/>
                <w:sz w:val="18"/>
                <w:szCs w:val="18"/>
              </w:rPr>
            </w:pPr>
            <w:r w:rsidRPr="00A967F9">
              <w:rPr>
                <w:rFonts w:cs="Arial"/>
                <w:noProof/>
                <w:sz w:val="18"/>
                <w:szCs w:val="18"/>
              </w:rPr>
              <w:t>37,795</w:t>
            </w:r>
          </w:p>
        </w:tc>
        <w:tc>
          <w:tcPr>
            <w:tcW w:w="2409" w:type="dxa"/>
            <w:noWrap/>
            <w:hideMark/>
          </w:tcPr>
          <w:p w14:paraId="4997CDB2" w14:textId="77777777" w:rsidR="00642ACC" w:rsidRPr="00A967F9" w:rsidRDefault="00642ACC" w:rsidP="0022057B">
            <w:pPr>
              <w:rPr>
                <w:rFonts w:cs="Arial"/>
                <w:noProof/>
                <w:sz w:val="18"/>
                <w:szCs w:val="18"/>
              </w:rPr>
            </w:pPr>
            <w:r w:rsidRPr="00A967F9">
              <w:rPr>
                <w:rFonts w:cs="Arial"/>
                <w:noProof/>
                <w:sz w:val="18"/>
                <w:szCs w:val="18"/>
              </w:rPr>
              <w:t>12,827</w:t>
            </w:r>
          </w:p>
        </w:tc>
      </w:tr>
      <w:tr w:rsidR="00642ACC" w:rsidRPr="00A967F9" w14:paraId="5BFFDEF5" w14:textId="77777777" w:rsidTr="0022057B">
        <w:trPr>
          <w:trHeight w:val="300"/>
        </w:trPr>
        <w:tc>
          <w:tcPr>
            <w:tcW w:w="3256" w:type="dxa"/>
            <w:shd w:val="clear" w:color="auto" w:fill="FFE5D2" w:themeFill="accent5" w:themeFillTint="33"/>
            <w:noWrap/>
            <w:hideMark/>
          </w:tcPr>
          <w:p w14:paraId="25E2B2C7" w14:textId="77777777" w:rsidR="00642ACC" w:rsidRPr="00A967F9" w:rsidRDefault="00642ACC" w:rsidP="0022057B">
            <w:pPr>
              <w:rPr>
                <w:rFonts w:cs="Arial"/>
                <w:noProof/>
                <w:sz w:val="18"/>
                <w:szCs w:val="18"/>
              </w:rPr>
            </w:pPr>
            <w:r w:rsidRPr="00A967F9">
              <w:rPr>
                <w:rFonts w:cs="Arial"/>
                <w:noProof/>
                <w:sz w:val="18"/>
                <w:szCs w:val="18"/>
              </w:rPr>
              <w:t>Montenegro</w:t>
            </w:r>
          </w:p>
        </w:tc>
        <w:tc>
          <w:tcPr>
            <w:tcW w:w="2835" w:type="dxa"/>
            <w:noWrap/>
            <w:hideMark/>
          </w:tcPr>
          <w:p w14:paraId="04F132EB" w14:textId="77777777" w:rsidR="00642ACC" w:rsidRPr="00A967F9" w:rsidRDefault="00642ACC" w:rsidP="0022057B">
            <w:pPr>
              <w:rPr>
                <w:rFonts w:cs="Arial"/>
                <w:noProof/>
                <w:sz w:val="18"/>
                <w:szCs w:val="18"/>
              </w:rPr>
            </w:pPr>
            <w:r w:rsidRPr="00A967F9">
              <w:rPr>
                <w:rFonts w:cs="Arial"/>
                <w:noProof/>
                <w:sz w:val="18"/>
                <w:szCs w:val="18"/>
              </w:rPr>
              <w:t>15,814</w:t>
            </w:r>
          </w:p>
        </w:tc>
        <w:tc>
          <w:tcPr>
            <w:tcW w:w="2409" w:type="dxa"/>
            <w:noWrap/>
            <w:hideMark/>
          </w:tcPr>
          <w:p w14:paraId="343B24CF" w14:textId="77777777" w:rsidR="00642ACC" w:rsidRPr="00A967F9" w:rsidRDefault="00642ACC" w:rsidP="0022057B">
            <w:pPr>
              <w:rPr>
                <w:rFonts w:cs="Arial"/>
                <w:noProof/>
                <w:sz w:val="18"/>
                <w:szCs w:val="18"/>
              </w:rPr>
            </w:pPr>
            <w:r w:rsidRPr="00A967F9">
              <w:rPr>
                <w:rFonts w:cs="Arial"/>
                <w:noProof/>
                <w:sz w:val="18"/>
                <w:szCs w:val="18"/>
              </w:rPr>
              <w:t>5,367</w:t>
            </w:r>
          </w:p>
        </w:tc>
      </w:tr>
      <w:tr w:rsidR="00642ACC" w:rsidRPr="00A967F9" w14:paraId="1CF15FFA" w14:textId="77777777" w:rsidTr="0022057B">
        <w:trPr>
          <w:trHeight w:val="300"/>
        </w:trPr>
        <w:tc>
          <w:tcPr>
            <w:tcW w:w="3256" w:type="dxa"/>
            <w:shd w:val="clear" w:color="auto" w:fill="FFE5D2" w:themeFill="accent5" w:themeFillTint="33"/>
            <w:noWrap/>
            <w:hideMark/>
          </w:tcPr>
          <w:p w14:paraId="02193AF8" w14:textId="77777777" w:rsidR="00642ACC" w:rsidRPr="00A967F9" w:rsidRDefault="00642ACC" w:rsidP="0022057B">
            <w:pPr>
              <w:rPr>
                <w:rFonts w:cs="Arial"/>
                <w:noProof/>
                <w:sz w:val="18"/>
                <w:szCs w:val="18"/>
              </w:rPr>
            </w:pPr>
            <w:r w:rsidRPr="00A967F9">
              <w:rPr>
                <w:rFonts w:cs="Arial"/>
                <w:noProof/>
                <w:sz w:val="18"/>
                <w:szCs w:val="18"/>
              </w:rPr>
              <w:t>Netherlands</w:t>
            </w:r>
          </w:p>
        </w:tc>
        <w:tc>
          <w:tcPr>
            <w:tcW w:w="2835" w:type="dxa"/>
            <w:noWrap/>
            <w:hideMark/>
          </w:tcPr>
          <w:p w14:paraId="1CF7E708" w14:textId="77777777" w:rsidR="00642ACC" w:rsidRPr="00A967F9" w:rsidRDefault="00642ACC" w:rsidP="0022057B">
            <w:pPr>
              <w:rPr>
                <w:rFonts w:cs="Arial"/>
                <w:noProof/>
                <w:sz w:val="18"/>
                <w:szCs w:val="18"/>
              </w:rPr>
            </w:pPr>
            <w:r w:rsidRPr="00A967F9">
              <w:rPr>
                <w:rFonts w:cs="Arial"/>
                <w:noProof/>
                <w:sz w:val="18"/>
                <w:szCs w:val="18"/>
              </w:rPr>
              <w:t>43,516</w:t>
            </w:r>
          </w:p>
        </w:tc>
        <w:tc>
          <w:tcPr>
            <w:tcW w:w="2409" w:type="dxa"/>
            <w:noWrap/>
            <w:hideMark/>
          </w:tcPr>
          <w:p w14:paraId="6D66D474" w14:textId="77777777" w:rsidR="00642ACC" w:rsidRPr="00A967F9" w:rsidRDefault="00642ACC" w:rsidP="0022057B">
            <w:pPr>
              <w:rPr>
                <w:rFonts w:cs="Arial"/>
                <w:noProof/>
                <w:sz w:val="18"/>
                <w:szCs w:val="18"/>
              </w:rPr>
            </w:pPr>
            <w:r w:rsidRPr="00A967F9">
              <w:rPr>
                <w:rFonts w:cs="Arial"/>
                <w:noProof/>
                <w:sz w:val="18"/>
                <w:szCs w:val="18"/>
              </w:rPr>
              <w:t>14,769</w:t>
            </w:r>
          </w:p>
        </w:tc>
      </w:tr>
      <w:tr w:rsidR="00642ACC" w:rsidRPr="00A967F9" w14:paraId="6BCD2252" w14:textId="77777777" w:rsidTr="0022057B">
        <w:trPr>
          <w:trHeight w:val="300"/>
        </w:trPr>
        <w:tc>
          <w:tcPr>
            <w:tcW w:w="3256" w:type="dxa"/>
            <w:shd w:val="clear" w:color="auto" w:fill="FFE5D2" w:themeFill="accent5" w:themeFillTint="33"/>
            <w:noWrap/>
            <w:hideMark/>
          </w:tcPr>
          <w:p w14:paraId="72FBBAC8" w14:textId="77777777" w:rsidR="00642ACC" w:rsidRPr="00A967F9" w:rsidRDefault="00642ACC" w:rsidP="0022057B">
            <w:pPr>
              <w:rPr>
                <w:rFonts w:cs="Arial"/>
                <w:noProof/>
                <w:sz w:val="18"/>
                <w:szCs w:val="18"/>
              </w:rPr>
            </w:pPr>
            <w:r w:rsidRPr="00A967F9">
              <w:rPr>
                <w:rFonts w:cs="Arial"/>
                <w:noProof/>
                <w:sz w:val="18"/>
                <w:szCs w:val="18"/>
              </w:rPr>
              <w:t>Norway</w:t>
            </w:r>
          </w:p>
        </w:tc>
        <w:tc>
          <w:tcPr>
            <w:tcW w:w="2835" w:type="dxa"/>
            <w:noWrap/>
            <w:hideMark/>
          </w:tcPr>
          <w:p w14:paraId="3E397701" w14:textId="77777777" w:rsidR="00642ACC" w:rsidRPr="00A967F9" w:rsidRDefault="00642ACC" w:rsidP="0022057B">
            <w:pPr>
              <w:rPr>
                <w:rFonts w:cs="Arial"/>
                <w:noProof/>
                <w:sz w:val="18"/>
                <w:szCs w:val="18"/>
              </w:rPr>
            </w:pPr>
            <w:r w:rsidRPr="00A967F9">
              <w:rPr>
                <w:rFonts w:cs="Arial"/>
                <w:noProof/>
                <w:sz w:val="18"/>
                <w:szCs w:val="18"/>
              </w:rPr>
              <w:t>54,338</w:t>
            </w:r>
          </w:p>
        </w:tc>
        <w:tc>
          <w:tcPr>
            <w:tcW w:w="2409" w:type="dxa"/>
            <w:noWrap/>
            <w:hideMark/>
          </w:tcPr>
          <w:p w14:paraId="3D972E04" w14:textId="77777777" w:rsidR="00642ACC" w:rsidRPr="00A967F9" w:rsidRDefault="00642ACC" w:rsidP="0022057B">
            <w:pPr>
              <w:rPr>
                <w:rFonts w:cs="Arial"/>
                <w:noProof/>
                <w:sz w:val="18"/>
                <w:szCs w:val="18"/>
              </w:rPr>
            </w:pPr>
            <w:r w:rsidRPr="00A967F9">
              <w:rPr>
                <w:rFonts w:cs="Arial"/>
                <w:noProof/>
                <w:sz w:val="18"/>
                <w:szCs w:val="18"/>
              </w:rPr>
              <w:t>18,442</w:t>
            </w:r>
          </w:p>
        </w:tc>
      </w:tr>
      <w:tr w:rsidR="00642ACC" w:rsidRPr="00A967F9" w14:paraId="0B285E82" w14:textId="77777777" w:rsidTr="0022057B">
        <w:trPr>
          <w:trHeight w:val="300"/>
        </w:trPr>
        <w:tc>
          <w:tcPr>
            <w:tcW w:w="3256" w:type="dxa"/>
            <w:shd w:val="clear" w:color="auto" w:fill="FFE5D2" w:themeFill="accent5" w:themeFillTint="33"/>
            <w:noWrap/>
            <w:hideMark/>
          </w:tcPr>
          <w:p w14:paraId="37AA9FF2" w14:textId="77777777" w:rsidR="00642ACC" w:rsidRPr="00A967F9" w:rsidRDefault="00642ACC" w:rsidP="0022057B">
            <w:pPr>
              <w:rPr>
                <w:rFonts w:cs="Arial"/>
                <w:noProof/>
                <w:sz w:val="18"/>
                <w:szCs w:val="18"/>
              </w:rPr>
            </w:pPr>
            <w:r w:rsidRPr="00A967F9">
              <w:rPr>
                <w:rFonts w:cs="Arial"/>
                <w:noProof/>
                <w:sz w:val="18"/>
                <w:szCs w:val="18"/>
              </w:rPr>
              <w:t>Poland</w:t>
            </w:r>
          </w:p>
        </w:tc>
        <w:tc>
          <w:tcPr>
            <w:tcW w:w="2835" w:type="dxa"/>
            <w:noWrap/>
            <w:hideMark/>
          </w:tcPr>
          <w:p w14:paraId="27C6E001" w14:textId="77777777" w:rsidR="00642ACC" w:rsidRPr="00A967F9" w:rsidRDefault="00642ACC" w:rsidP="0022057B">
            <w:pPr>
              <w:rPr>
                <w:rFonts w:cs="Arial"/>
                <w:noProof/>
                <w:sz w:val="18"/>
                <w:szCs w:val="18"/>
              </w:rPr>
            </w:pPr>
            <w:r w:rsidRPr="00A967F9">
              <w:rPr>
                <w:rFonts w:cs="Arial"/>
                <w:noProof/>
                <w:sz w:val="18"/>
                <w:szCs w:val="18"/>
              </w:rPr>
              <w:t>27,360</w:t>
            </w:r>
          </w:p>
        </w:tc>
        <w:tc>
          <w:tcPr>
            <w:tcW w:w="2409" w:type="dxa"/>
            <w:noWrap/>
            <w:hideMark/>
          </w:tcPr>
          <w:p w14:paraId="138C5F15" w14:textId="77777777" w:rsidR="00642ACC" w:rsidRPr="00A967F9" w:rsidRDefault="00642ACC" w:rsidP="0022057B">
            <w:pPr>
              <w:rPr>
                <w:rFonts w:cs="Arial"/>
                <w:noProof/>
                <w:sz w:val="18"/>
                <w:szCs w:val="18"/>
              </w:rPr>
            </w:pPr>
            <w:r w:rsidRPr="00A967F9">
              <w:rPr>
                <w:rFonts w:cs="Arial"/>
                <w:noProof/>
                <w:sz w:val="18"/>
                <w:szCs w:val="18"/>
              </w:rPr>
              <w:t>9,286</w:t>
            </w:r>
          </w:p>
        </w:tc>
      </w:tr>
      <w:tr w:rsidR="00642ACC" w:rsidRPr="00A967F9" w14:paraId="6651498C" w14:textId="77777777" w:rsidTr="0022057B">
        <w:trPr>
          <w:trHeight w:val="300"/>
        </w:trPr>
        <w:tc>
          <w:tcPr>
            <w:tcW w:w="3256" w:type="dxa"/>
            <w:shd w:val="clear" w:color="auto" w:fill="FFE5D2" w:themeFill="accent5" w:themeFillTint="33"/>
            <w:noWrap/>
            <w:hideMark/>
          </w:tcPr>
          <w:p w14:paraId="26BE4558" w14:textId="77777777" w:rsidR="00642ACC" w:rsidRPr="00A967F9" w:rsidRDefault="00642ACC" w:rsidP="0022057B">
            <w:pPr>
              <w:rPr>
                <w:rFonts w:cs="Arial"/>
                <w:noProof/>
                <w:sz w:val="18"/>
                <w:szCs w:val="18"/>
              </w:rPr>
            </w:pPr>
            <w:r w:rsidRPr="00A967F9">
              <w:rPr>
                <w:rFonts w:cs="Arial"/>
                <w:noProof/>
                <w:sz w:val="18"/>
                <w:szCs w:val="18"/>
              </w:rPr>
              <w:t>Portugal</w:t>
            </w:r>
          </w:p>
        </w:tc>
        <w:tc>
          <w:tcPr>
            <w:tcW w:w="2835" w:type="dxa"/>
            <w:noWrap/>
            <w:hideMark/>
          </w:tcPr>
          <w:p w14:paraId="6C770992" w14:textId="77777777" w:rsidR="00642ACC" w:rsidRPr="00A967F9" w:rsidRDefault="00642ACC" w:rsidP="0022057B">
            <w:pPr>
              <w:rPr>
                <w:rFonts w:cs="Arial"/>
                <w:noProof/>
                <w:sz w:val="18"/>
                <w:szCs w:val="18"/>
              </w:rPr>
            </w:pPr>
            <w:r w:rsidRPr="00A967F9">
              <w:rPr>
                <w:rFonts w:cs="Arial"/>
                <w:noProof/>
                <w:sz w:val="18"/>
                <w:szCs w:val="18"/>
              </w:rPr>
              <w:t>29,916</w:t>
            </w:r>
          </w:p>
        </w:tc>
        <w:tc>
          <w:tcPr>
            <w:tcW w:w="2409" w:type="dxa"/>
            <w:noWrap/>
            <w:hideMark/>
          </w:tcPr>
          <w:p w14:paraId="2DB7269E" w14:textId="77777777" w:rsidR="00642ACC" w:rsidRPr="00A967F9" w:rsidRDefault="00642ACC" w:rsidP="0022057B">
            <w:pPr>
              <w:rPr>
                <w:rFonts w:cs="Arial"/>
                <w:noProof/>
                <w:sz w:val="18"/>
                <w:szCs w:val="18"/>
              </w:rPr>
            </w:pPr>
            <w:r w:rsidRPr="00A967F9">
              <w:rPr>
                <w:rFonts w:cs="Arial"/>
                <w:noProof/>
                <w:sz w:val="18"/>
                <w:szCs w:val="18"/>
              </w:rPr>
              <w:t>10,153</w:t>
            </w:r>
          </w:p>
        </w:tc>
      </w:tr>
      <w:tr w:rsidR="00642ACC" w:rsidRPr="00A967F9" w14:paraId="562332EF" w14:textId="77777777" w:rsidTr="0022057B">
        <w:trPr>
          <w:trHeight w:val="300"/>
        </w:trPr>
        <w:tc>
          <w:tcPr>
            <w:tcW w:w="3256" w:type="dxa"/>
            <w:shd w:val="clear" w:color="auto" w:fill="FFE5D2" w:themeFill="accent5" w:themeFillTint="33"/>
            <w:noWrap/>
            <w:hideMark/>
          </w:tcPr>
          <w:p w14:paraId="577F6B01" w14:textId="77777777" w:rsidR="00642ACC" w:rsidRPr="00A967F9" w:rsidRDefault="00642ACC" w:rsidP="0022057B">
            <w:pPr>
              <w:rPr>
                <w:rFonts w:cs="Arial"/>
                <w:noProof/>
                <w:sz w:val="18"/>
                <w:szCs w:val="18"/>
              </w:rPr>
            </w:pPr>
            <w:r w:rsidRPr="00A967F9">
              <w:rPr>
                <w:rFonts w:cs="Arial"/>
                <w:noProof/>
                <w:sz w:val="18"/>
                <w:szCs w:val="18"/>
              </w:rPr>
              <w:t>Romania</w:t>
            </w:r>
          </w:p>
        </w:tc>
        <w:tc>
          <w:tcPr>
            <w:tcW w:w="2835" w:type="dxa"/>
            <w:noWrap/>
            <w:hideMark/>
          </w:tcPr>
          <w:p w14:paraId="4E38FBD3" w14:textId="77777777" w:rsidR="00642ACC" w:rsidRPr="00A967F9" w:rsidRDefault="00642ACC" w:rsidP="0022057B">
            <w:pPr>
              <w:rPr>
                <w:rFonts w:cs="Arial"/>
                <w:noProof/>
                <w:sz w:val="18"/>
                <w:szCs w:val="18"/>
              </w:rPr>
            </w:pPr>
            <w:r w:rsidRPr="00A967F9">
              <w:rPr>
                <w:rFonts w:cs="Arial"/>
                <w:noProof/>
                <w:sz w:val="18"/>
                <w:szCs w:val="18"/>
              </w:rPr>
              <w:t>21,885</w:t>
            </w:r>
          </w:p>
        </w:tc>
        <w:tc>
          <w:tcPr>
            <w:tcW w:w="2409" w:type="dxa"/>
            <w:noWrap/>
            <w:hideMark/>
          </w:tcPr>
          <w:p w14:paraId="7B21AE28" w14:textId="77777777" w:rsidR="00642ACC" w:rsidRPr="00A967F9" w:rsidRDefault="00642ACC" w:rsidP="0022057B">
            <w:pPr>
              <w:rPr>
                <w:rFonts w:cs="Arial"/>
                <w:noProof/>
                <w:sz w:val="18"/>
                <w:szCs w:val="18"/>
              </w:rPr>
            </w:pPr>
            <w:r w:rsidRPr="00A967F9">
              <w:rPr>
                <w:rFonts w:cs="Arial"/>
                <w:noProof/>
                <w:sz w:val="18"/>
                <w:szCs w:val="18"/>
              </w:rPr>
              <w:t>7,428</w:t>
            </w:r>
          </w:p>
        </w:tc>
      </w:tr>
      <w:tr w:rsidR="00642ACC" w:rsidRPr="00A967F9" w14:paraId="17021F88" w14:textId="77777777" w:rsidTr="0022057B">
        <w:trPr>
          <w:trHeight w:val="300"/>
        </w:trPr>
        <w:tc>
          <w:tcPr>
            <w:tcW w:w="3256" w:type="dxa"/>
            <w:shd w:val="clear" w:color="auto" w:fill="FFE5D2" w:themeFill="accent5" w:themeFillTint="33"/>
            <w:noWrap/>
            <w:hideMark/>
          </w:tcPr>
          <w:p w14:paraId="1F65E526" w14:textId="77777777" w:rsidR="00642ACC" w:rsidRPr="00A967F9" w:rsidRDefault="00642ACC" w:rsidP="0022057B">
            <w:pPr>
              <w:rPr>
                <w:rFonts w:cs="Arial"/>
                <w:noProof/>
                <w:sz w:val="18"/>
                <w:szCs w:val="18"/>
              </w:rPr>
            </w:pPr>
            <w:r w:rsidRPr="00A967F9">
              <w:rPr>
                <w:rFonts w:cs="Arial"/>
                <w:noProof/>
                <w:sz w:val="18"/>
                <w:szCs w:val="18"/>
              </w:rPr>
              <w:lastRenderedPageBreak/>
              <w:t>Serbia</w:t>
            </w:r>
          </w:p>
        </w:tc>
        <w:tc>
          <w:tcPr>
            <w:tcW w:w="2835" w:type="dxa"/>
            <w:noWrap/>
            <w:hideMark/>
          </w:tcPr>
          <w:p w14:paraId="2314B2FB" w14:textId="77777777" w:rsidR="00642ACC" w:rsidRPr="00A967F9" w:rsidRDefault="00642ACC" w:rsidP="0022057B">
            <w:pPr>
              <w:rPr>
                <w:rFonts w:cs="Arial"/>
                <w:noProof/>
                <w:sz w:val="18"/>
                <w:szCs w:val="18"/>
              </w:rPr>
            </w:pPr>
            <w:r w:rsidRPr="00A967F9">
              <w:rPr>
                <w:rFonts w:cs="Arial"/>
                <w:noProof/>
                <w:sz w:val="18"/>
                <w:szCs w:val="18"/>
              </w:rPr>
              <w:t>15,307</w:t>
            </w:r>
          </w:p>
        </w:tc>
        <w:tc>
          <w:tcPr>
            <w:tcW w:w="2409" w:type="dxa"/>
            <w:noWrap/>
            <w:hideMark/>
          </w:tcPr>
          <w:p w14:paraId="6C23084B" w14:textId="77777777" w:rsidR="00642ACC" w:rsidRPr="00A967F9" w:rsidRDefault="00642ACC" w:rsidP="0022057B">
            <w:pPr>
              <w:rPr>
                <w:rFonts w:cs="Arial"/>
                <w:noProof/>
                <w:sz w:val="18"/>
                <w:szCs w:val="18"/>
              </w:rPr>
            </w:pPr>
            <w:r w:rsidRPr="00A967F9">
              <w:rPr>
                <w:rFonts w:cs="Arial"/>
                <w:noProof/>
                <w:sz w:val="18"/>
                <w:szCs w:val="18"/>
              </w:rPr>
              <w:t>5,195</w:t>
            </w:r>
          </w:p>
        </w:tc>
      </w:tr>
      <w:tr w:rsidR="00642ACC" w:rsidRPr="00A967F9" w14:paraId="6A63B06E" w14:textId="77777777" w:rsidTr="0022057B">
        <w:trPr>
          <w:trHeight w:val="300"/>
        </w:trPr>
        <w:tc>
          <w:tcPr>
            <w:tcW w:w="3256" w:type="dxa"/>
            <w:shd w:val="clear" w:color="auto" w:fill="FFE5D2" w:themeFill="accent5" w:themeFillTint="33"/>
            <w:noWrap/>
            <w:hideMark/>
          </w:tcPr>
          <w:p w14:paraId="478068AA" w14:textId="77777777" w:rsidR="00642ACC" w:rsidRPr="00A967F9" w:rsidRDefault="00642ACC" w:rsidP="0022057B">
            <w:pPr>
              <w:rPr>
                <w:rFonts w:cs="Arial"/>
                <w:noProof/>
                <w:sz w:val="18"/>
                <w:szCs w:val="18"/>
              </w:rPr>
            </w:pPr>
            <w:r w:rsidRPr="00A967F9">
              <w:rPr>
                <w:rFonts w:cs="Arial"/>
                <w:noProof/>
                <w:sz w:val="18"/>
                <w:szCs w:val="18"/>
              </w:rPr>
              <w:t>Slovakia</w:t>
            </w:r>
          </w:p>
        </w:tc>
        <w:tc>
          <w:tcPr>
            <w:tcW w:w="2835" w:type="dxa"/>
            <w:noWrap/>
            <w:hideMark/>
          </w:tcPr>
          <w:p w14:paraId="243C2DCE" w14:textId="77777777" w:rsidR="00642ACC" w:rsidRPr="00A967F9" w:rsidRDefault="00642ACC" w:rsidP="0022057B">
            <w:pPr>
              <w:rPr>
                <w:rFonts w:cs="Arial"/>
                <w:noProof/>
                <w:sz w:val="18"/>
                <w:szCs w:val="18"/>
              </w:rPr>
            </w:pPr>
            <w:r w:rsidRPr="00A967F9">
              <w:rPr>
                <w:rFonts w:cs="Arial"/>
                <w:noProof/>
                <w:sz w:val="18"/>
                <w:szCs w:val="18"/>
              </w:rPr>
              <w:t>26,655</w:t>
            </w:r>
          </w:p>
        </w:tc>
        <w:tc>
          <w:tcPr>
            <w:tcW w:w="2409" w:type="dxa"/>
            <w:noWrap/>
            <w:hideMark/>
          </w:tcPr>
          <w:p w14:paraId="33B60ED4" w14:textId="77777777" w:rsidR="00642ACC" w:rsidRPr="00A967F9" w:rsidRDefault="00642ACC" w:rsidP="0022057B">
            <w:pPr>
              <w:rPr>
                <w:rFonts w:cs="Arial"/>
                <w:noProof/>
                <w:sz w:val="18"/>
                <w:szCs w:val="18"/>
              </w:rPr>
            </w:pPr>
            <w:r w:rsidRPr="00A967F9">
              <w:rPr>
                <w:rFonts w:cs="Arial"/>
                <w:noProof/>
                <w:sz w:val="18"/>
                <w:szCs w:val="18"/>
              </w:rPr>
              <w:t>9,047</w:t>
            </w:r>
          </w:p>
        </w:tc>
      </w:tr>
      <w:tr w:rsidR="00642ACC" w:rsidRPr="00A967F9" w14:paraId="234D6FB9" w14:textId="77777777" w:rsidTr="0022057B">
        <w:trPr>
          <w:trHeight w:val="300"/>
        </w:trPr>
        <w:tc>
          <w:tcPr>
            <w:tcW w:w="3256" w:type="dxa"/>
            <w:shd w:val="clear" w:color="auto" w:fill="FFE5D2" w:themeFill="accent5" w:themeFillTint="33"/>
            <w:noWrap/>
            <w:hideMark/>
          </w:tcPr>
          <w:p w14:paraId="0D746EDD" w14:textId="77777777" w:rsidR="00642ACC" w:rsidRPr="00A967F9" w:rsidRDefault="00642ACC" w:rsidP="0022057B">
            <w:pPr>
              <w:rPr>
                <w:rFonts w:cs="Arial"/>
                <w:noProof/>
                <w:sz w:val="18"/>
                <w:szCs w:val="18"/>
              </w:rPr>
            </w:pPr>
            <w:r w:rsidRPr="00A967F9">
              <w:rPr>
                <w:rFonts w:cs="Arial"/>
                <w:noProof/>
                <w:sz w:val="18"/>
                <w:szCs w:val="18"/>
              </w:rPr>
              <w:t>Slovenia</w:t>
            </w:r>
          </w:p>
        </w:tc>
        <w:tc>
          <w:tcPr>
            <w:tcW w:w="2835" w:type="dxa"/>
            <w:noWrap/>
            <w:hideMark/>
          </w:tcPr>
          <w:p w14:paraId="46CDD446" w14:textId="77777777" w:rsidR="00642ACC" w:rsidRPr="00A967F9" w:rsidRDefault="00642ACC" w:rsidP="0022057B">
            <w:pPr>
              <w:rPr>
                <w:rFonts w:cs="Arial"/>
                <w:noProof/>
                <w:sz w:val="18"/>
                <w:szCs w:val="18"/>
              </w:rPr>
            </w:pPr>
            <w:r w:rsidRPr="00A967F9">
              <w:rPr>
                <w:rFonts w:cs="Arial"/>
                <w:noProof/>
                <w:sz w:val="18"/>
                <w:szCs w:val="18"/>
              </w:rPr>
              <w:t>30,044</w:t>
            </w:r>
          </w:p>
        </w:tc>
        <w:tc>
          <w:tcPr>
            <w:tcW w:w="2409" w:type="dxa"/>
            <w:noWrap/>
            <w:hideMark/>
          </w:tcPr>
          <w:p w14:paraId="61555FEA" w14:textId="77777777" w:rsidR="00642ACC" w:rsidRPr="00A967F9" w:rsidRDefault="00642ACC" w:rsidP="0022057B">
            <w:pPr>
              <w:rPr>
                <w:rFonts w:cs="Arial"/>
                <w:noProof/>
                <w:sz w:val="18"/>
                <w:szCs w:val="18"/>
              </w:rPr>
            </w:pPr>
            <w:r w:rsidRPr="00A967F9">
              <w:rPr>
                <w:rFonts w:cs="Arial"/>
                <w:noProof/>
                <w:sz w:val="18"/>
                <w:szCs w:val="18"/>
              </w:rPr>
              <w:t>10,197</w:t>
            </w:r>
          </w:p>
        </w:tc>
      </w:tr>
      <w:tr w:rsidR="00642ACC" w:rsidRPr="00A967F9" w14:paraId="3F1813D3" w14:textId="77777777" w:rsidTr="0022057B">
        <w:trPr>
          <w:trHeight w:val="300"/>
        </w:trPr>
        <w:tc>
          <w:tcPr>
            <w:tcW w:w="3256" w:type="dxa"/>
            <w:shd w:val="clear" w:color="auto" w:fill="FFE5D2" w:themeFill="accent5" w:themeFillTint="33"/>
            <w:noWrap/>
            <w:hideMark/>
          </w:tcPr>
          <w:p w14:paraId="6CC3CC45" w14:textId="77777777" w:rsidR="00642ACC" w:rsidRPr="00A967F9" w:rsidRDefault="00642ACC" w:rsidP="0022057B">
            <w:pPr>
              <w:rPr>
                <w:rFonts w:cs="Arial"/>
                <w:noProof/>
                <w:sz w:val="18"/>
                <w:szCs w:val="18"/>
              </w:rPr>
            </w:pPr>
            <w:r w:rsidRPr="00A967F9">
              <w:rPr>
                <w:rFonts w:cs="Arial"/>
                <w:noProof/>
                <w:sz w:val="18"/>
                <w:szCs w:val="18"/>
              </w:rPr>
              <w:t>Spain</w:t>
            </w:r>
          </w:p>
        </w:tc>
        <w:tc>
          <w:tcPr>
            <w:tcW w:w="2835" w:type="dxa"/>
            <w:noWrap/>
            <w:hideMark/>
          </w:tcPr>
          <w:p w14:paraId="2E805885" w14:textId="77777777" w:rsidR="00642ACC" w:rsidRPr="00A967F9" w:rsidRDefault="00642ACC" w:rsidP="0022057B">
            <w:pPr>
              <w:rPr>
                <w:rFonts w:cs="Arial"/>
                <w:noProof/>
                <w:sz w:val="18"/>
                <w:szCs w:val="18"/>
              </w:rPr>
            </w:pPr>
            <w:r w:rsidRPr="00A967F9">
              <w:rPr>
                <w:rFonts w:cs="Arial"/>
                <w:noProof/>
                <w:sz w:val="18"/>
                <w:szCs w:val="18"/>
              </w:rPr>
              <w:t>33,400</w:t>
            </w:r>
          </w:p>
        </w:tc>
        <w:tc>
          <w:tcPr>
            <w:tcW w:w="2409" w:type="dxa"/>
            <w:noWrap/>
            <w:hideMark/>
          </w:tcPr>
          <w:p w14:paraId="0CD0BE10" w14:textId="77777777" w:rsidR="00642ACC" w:rsidRPr="00A967F9" w:rsidRDefault="00642ACC" w:rsidP="0022057B">
            <w:pPr>
              <w:rPr>
                <w:rFonts w:cs="Arial"/>
                <w:noProof/>
                <w:sz w:val="18"/>
                <w:szCs w:val="18"/>
              </w:rPr>
            </w:pPr>
            <w:r w:rsidRPr="00A967F9">
              <w:rPr>
                <w:rFonts w:cs="Arial"/>
                <w:noProof/>
                <w:sz w:val="18"/>
                <w:szCs w:val="18"/>
              </w:rPr>
              <w:t>11,336</w:t>
            </w:r>
          </w:p>
        </w:tc>
      </w:tr>
      <w:tr w:rsidR="00642ACC" w:rsidRPr="00A967F9" w14:paraId="5FBBE8A7" w14:textId="77777777" w:rsidTr="0022057B">
        <w:trPr>
          <w:trHeight w:val="300"/>
        </w:trPr>
        <w:tc>
          <w:tcPr>
            <w:tcW w:w="3256" w:type="dxa"/>
            <w:shd w:val="clear" w:color="auto" w:fill="FFE5D2" w:themeFill="accent5" w:themeFillTint="33"/>
            <w:noWrap/>
            <w:hideMark/>
          </w:tcPr>
          <w:p w14:paraId="19BD5F58" w14:textId="77777777" w:rsidR="00642ACC" w:rsidRPr="00A967F9" w:rsidRDefault="00642ACC" w:rsidP="0022057B">
            <w:pPr>
              <w:rPr>
                <w:rFonts w:cs="Arial"/>
                <w:noProof/>
                <w:sz w:val="18"/>
                <w:szCs w:val="18"/>
              </w:rPr>
            </w:pPr>
            <w:r w:rsidRPr="00A967F9">
              <w:rPr>
                <w:rFonts w:cs="Arial"/>
                <w:noProof/>
                <w:sz w:val="18"/>
                <w:szCs w:val="18"/>
              </w:rPr>
              <w:t>Sweden</w:t>
            </w:r>
          </w:p>
        </w:tc>
        <w:tc>
          <w:tcPr>
            <w:tcW w:w="2835" w:type="dxa"/>
            <w:noWrap/>
            <w:hideMark/>
          </w:tcPr>
          <w:p w14:paraId="10FF76B5" w14:textId="77777777" w:rsidR="00642ACC" w:rsidRPr="00A967F9" w:rsidRDefault="00642ACC" w:rsidP="0022057B">
            <w:pPr>
              <w:rPr>
                <w:rFonts w:cs="Arial"/>
                <w:noProof/>
                <w:sz w:val="18"/>
                <w:szCs w:val="18"/>
              </w:rPr>
            </w:pPr>
            <w:r w:rsidRPr="00A967F9">
              <w:rPr>
                <w:rFonts w:cs="Arial"/>
                <w:noProof/>
                <w:sz w:val="18"/>
                <w:szCs w:val="18"/>
              </w:rPr>
              <w:t>45,303</w:t>
            </w:r>
          </w:p>
        </w:tc>
        <w:tc>
          <w:tcPr>
            <w:tcW w:w="2409" w:type="dxa"/>
            <w:noWrap/>
            <w:hideMark/>
          </w:tcPr>
          <w:p w14:paraId="3379B906" w14:textId="77777777" w:rsidR="00642ACC" w:rsidRPr="00A967F9" w:rsidRDefault="00642ACC" w:rsidP="0022057B">
            <w:pPr>
              <w:rPr>
                <w:rFonts w:cs="Arial"/>
                <w:noProof/>
                <w:sz w:val="18"/>
                <w:szCs w:val="18"/>
              </w:rPr>
            </w:pPr>
            <w:r w:rsidRPr="00A967F9">
              <w:rPr>
                <w:rFonts w:cs="Arial"/>
                <w:noProof/>
                <w:sz w:val="18"/>
                <w:szCs w:val="18"/>
              </w:rPr>
              <w:t>15,376</w:t>
            </w:r>
          </w:p>
        </w:tc>
      </w:tr>
      <w:tr w:rsidR="00642ACC" w:rsidRPr="00A967F9" w14:paraId="3DD18AE5" w14:textId="77777777" w:rsidTr="0022057B">
        <w:trPr>
          <w:trHeight w:val="300"/>
        </w:trPr>
        <w:tc>
          <w:tcPr>
            <w:tcW w:w="3256" w:type="dxa"/>
            <w:shd w:val="clear" w:color="auto" w:fill="FFE5D2" w:themeFill="accent5" w:themeFillTint="33"/>
            <w:noWrap/>
            <w:hideMark/>
          </w:tcPr>
          <w:p w14:paraId="46D947D4" w14:textId="77777777" w:rsidR="00642ACC" w:rsidRPr="00A967F9" w:rsidRDefault="00642ACC" w:rsidP="0022057B">
            <w:pPr>
              <w:rPr>
                <w:rFonts w:cs="Arial"/>
                <w:noProof/>
                <w:sz w:val="18"/>
                <w:szCs w:val="18"/>
              </w:rPr>
            </w:pPr>
            <w:r w:rsidRPr="00A967F9">
              <w:rPr>
                <w:rFonts w:cs="Arial"/>
                <w:noProof/>
                <w:sz w:val="18"/>
                <w:szCs w:val="18"/>
              </w:rPr>
              <w:t>Switzerland</w:t>
            </w:r>
          </w:p>
        </w:tc>
        <w:tc>
          <w:tcPr>
            <w:tcW w:w="2835" w:type="dxa"/>
            <w:noWrap/>
            <w:hideMark/>
          </w:tcPr>
          <w:p w14:paraId="18A55ED8" w14:textId="77777777" w:rsidR="00642ACC" w:rsidRPr="00A967F9" w:rsidRDefault="00642ACC" w:rsidP="0022057B">
            <w:pPr>
              <w:rPr>
                <w:rFonts w:cs="Arial"/>
                <w:noProof/>
                <w:sz w:val="18"/>
                <w:szCs w:val="18"/>
              </w:rPr>
            </w:pPr>
            <w:r w:rsidRPr="00A967F9">
              <w:rPr>
                <w:rFonts w:cs="Arial"/>
                <w:noProof/>
                <w:sz w:val="18"/>
                <w:szCs w:val="18"/>
              </w:rPr>
              <w:t>17,457</w:t>
            </w:r>
          </w:p>
        </w:tc>
        <w:tc>
          <w:tcPr>
            <w:tcW w:w="2409" w:type="dxa"/>
            <w:noWrap/>
            <w:hideMark/>
          </w:tcPr>
          <w:p w14:paraId="1B343B3E" w14:textId="77777777" w:rsidR="00642ACC" w:rsidRPr="00A967F9" w:rsidRDefault="00642ACC" w:rsidP="0022057B">
            <w:pPr>
              <w:rPr>
                <w:rFonts w:cs="Arial"/>
                <w:noProof/>
                <w:sz w:val="18"/>
                <w:szCs w:val="18"/>
              </w:rPr>
            </w:pPr>
            <w:r w:rsidRPr="00A967F9">
              <w:rPr>
                <w:rFonts w:cs="Arial"/>
                <w:noProof/>
                <w:sz w:val="18"/>
                <w:szCs w:val="18"/>
              </w:rPr>
              <w:t>5,925</w:t>
            </w:r>
          </w:p>
        </w:tc>
      </w:tr>
      <w:tr w:rsidR="00642ACC" w:rsidRPr="00A967F9" w14:paraId="4FD8F7ED" w14:textId="77777777" w:rsidTr="0022057B">
        <w:trPr>
          <w:trHeight w:val="300"/>
        </w:trPr>
        <w:tc>
          <w:tcPr>
            <w:tcW w:w="3256" w:type="dxa"/>
            <w:shd w:val="clear" w:color="auto" w:fill="FFE5D2" w:themeFill="accent5" w:themeFillTint="33"/>
            <w:noWrap/>
            <w:hideMark/>
          </w:tcPr>
          <w:p w14:paraId="2ACA5713" w14:textId="77777777" w:rsidR="00642ACC" w:rsidRPr="00A967F9" w:rsidRDefault="00642ACC" w:rsidP="0022057B">
            <w:pPr>
              <w:rPr>
                <w:rFonts w:cs="Arial"/>
                <w:noProof/>
                <w:sz w:val="18"/>
                <w:szCs w:val="18"/>
              </w:rPr>
            </w:pPr>
            <w:r w:rsidRPr="00A967F9">
              <w:rPr>
                <w:rFonts w:cs="Arial"/>
                <w:noProof/>
                <w:sz w:val="18"/>
                <w:szCs w:val="18"/>
              </w:rPr>
              <w:t>The former Yugoslav Republic of Macedonia</w:t>
            </w:r>
          </w:p>
        </w:tc>
        <w:tc>
          <w:tcPr>
            <w:tcW w:w="2835" w:type="dxa"/>
            <w:noWrap/>
            <w:hideMark/>
          </w:tcPr>
          <w:p w14:paraId="2F7B2C40" w14:textId="77777777" w:rsidR="00642ACC" w:rsidRPr="00A967F9" w:rsidRDefault="00642ACC" w:rsidP="0022057B">
            <w:pPr>
              <w:rPr>
                <w:rFonts w:cs="Arial"/>
                <w:noProof/>
                <w:sz w:val="18"/>
                <w:szCs w:val="18"/>
              </w:rPr>
            </w:pPr>
            <w:r w:rsidRPr="00A967F9">
              <w:rPr>
                <w:rFonts w:cs="Arial"/>
                <w:noProof/>
                <w:sz w:val="18"/>
                <w:szCs w:val="18"/>
              </w:rPr>
              <w:t>15,325</w:t>
            </w:r>
          </w:p>
        </w:tc>
        <w:tc>
          <w:tcPr>
            <w:tcW w:w="2409" w:type="dxa"/>
            <w:noWrap/>
            <w:hideMark/>
          </w:tcPr>
          <w:p w14:paraId="235D5D82" w14:textId="77777777" w:rsidR="00642ACC" w:rsidRPr="00A967F9" w:rsidRDefault="00642ACC" w:rsidP="0022057B">
            <w:pPr>
              <w:rPr>
                <w:rFonts w:cs="Arial"/>
                <w:noProof/>
                <w:sz w:val="18"/>
                <w:szCs w:val="18"/>
              </w:rPr>
            </w:pPr>
            <w:r w:rsidRPr="00A967F9">
              <w:rPr>
                <w:rFonts w:cs="Arial"/>
                <w:noProof/>
                <w:sz w:val="18"/>
                <w:szCs w:val="18"/>
              </w:rPr>
              <w:t>5,201</w:t>
            </w:r>
          </w:p>
        </w:tc>
      </w:tr>
    </w:tbl>
    <w:p w14:paraId="550D72DA" w14:textId="16287E1C" w:rsidR="006F1C88" w:rsidRPr="00EE5690" w:rsidRDefault="00811EA2" w:rsidP="005D4B20">
      <w:pPr>
        <w:pStyle w:val="MAIL11"/>
      </w:pPr>
      <w:bookmarkStart w:id="107" w:name="_Toc91752404"/>
      <w:r w:rsidRPr="005D4B20">
        <w:t>Discussion</w:t>
      </w:r>
      <w:bookmarkEnd w:id="107"/>
    </w:p>
    <w:p w14:paraId="323A4449" w14:textId="2FE5B1A4" w:rsidR="000E6BE5" w:rsidRPr="00EE5690" w:rsidRDefault="00811EA2" w:rsidP="002D2FB4">
      <w:pPr>
        <w:rPr>
          <w:rFonts w:cs="Arial"/>
        </w:rPr>
      </w:pPr>
      <w:r w:rsidRPr="00EE5690">
        <w:rPr>
          <w:rFonts w:cs="Arial"/>
        </w:rPr>
        <w:t xml:space="preserve">The expenses of planting 3 billion trees through artificial regeneration/afforestation were assessed by the European Commission. For the first 15-20 years, cost estimates for soil preparation, planting, and care are based on a previous study </w:t>
      </w:r>
      <w:r w:rsidRPr="00EE5690">
        <w:rPr>
          <w:rFonts w:cs="Arial"/>
        </w:rPr>
        <w:fldChar w:fldCharType="begin" w:fldLock="1"/>
      </w:r>
      <w:r w:rsidRPr="00EE5690">
        <w:rPr>
          <w:rFonts w:cs="Arial"/>
        </w:rPr>
        <w:instrText>ADDIN CSL_CITATION {"citationItems":[{"id":"ITEM-1","itemData":{"DOI":"10.1080/02827581.2016.1221128","ISSN":"0282-7581","author":[{"dropping-particle":"","family":"Fulvio","given":"Fulvio","non-dropping-particle":"Di","parse-names":false,"suffix":""},{"dropping-particle":"","family":"Forsell","given":"Nicklas","non-dropping-particle":"","parse-names":false,"suffix":""},{"dropping-particle":"","family":"Lindroos","given":"Ola","non-dropping-particle":"","parse-names":false,"suffix":""},{"dropping-particle":"","family":"Korosuo","given":"Anu","non-dropping-particle":"","parse-names":false,"suffix":""},{"dropping-particle":"","family":"Gusti","given":"Mykola","non-dropping-particle":"","parse-names":false,"suffix":""}],"container-title":"Scandinavian Journal of Forest Research","id":"ITEM-1","issue":"7","issued":{"date-parts":[["2016","10","2"]]},"page":"691-707","title":"Spatially explicit assessment of roundwood and logging residues availability and costs for the EU28","type":"article-journal","volume":"31"},"uris":["http://www.mendeley.com/documents/?uuid=45b94598-ebe4-4019-bde3-24a96e12b015"]}],"mendeley":{"formattedCitation":"(Di Fulvio et al., 2016)","plainTextFormattedCitation":"(Di Fulvio et al., 2016)","previouslyFormattedCitation":"(Di Fulvio et al., 2016)"},"properties":{"noteIndex":0},"schema":"https://github.com/citation-style-language/schema/raw/master/csl-citation.json"}</w:instrText>
      </w:r>
      <w:r w:rsidRPr="00EE5690">
        <w:rPr>
          <w:rFonts w:cs="Arial"/>
        </w:rPr>
        <w:fldChar w:fldCharType="separate"/>
      </w:r>
      <w:r w:rsidRPr="00EE5690">
        <w:rPr>
          <w:rFonts w:cs="Arial"/>
          <w:noProof/>
        </w:rPr>
        <w:t>(Di Fulvio et al., 2016)</w:t>
      </w:r>
      <w:r w:rsidRPr="00EE5690">
        <w:rPr>
          <w:rFonts w:cs="Arial"/>
        </w:rPr>
        <w:fldChar w:fldCharType="end"/>
      </w:r>
      <w:r w:rsidRPr="00EE5690">
        <w:rPr>
          <w:rFonts w:cs="Arial"/>
        </w:rPr>
        <w:t xml:space="preserve">  that has been scaled to all EU Member States. Estimates were produced based on a density of 1</w:t>
      </w:r>
      <w:r w:rsidR="00B122F7">
        <w:rPr>
          <w:rFonts w:cs="Arial"/>
        </w:rPr>
        <w:t>,</w:t>
      </w:r>
      <w:r w:rsidRPr="00EE5690">
        <w:rPr>
          <w:rFonts w:cs="Arial"/>
        </w:rPr>
        <w:t>500 trees per hectare, requiring two million hectares of land and a seedling price of 0.52 EUR. The costs are for the year 2020, and there are no assumptions about the species or leaf type, biogeographic conditions, or local situations. In practice, costs can vary greatly depending on site characteristics like as terrain and access, water availability, proper species selection, soil conditions, and preparation and maintenance methods. The figures in the tables below are approximations based on ideal planting and tree development conditions. These costs are lower than the EU average of 4</w:t>
      </w:r>
      <w:r w:rsidR="00B122F7">
        <w:rPr>
          <w:rFonts w:cs="Arial"/>
        </w:rPr>
        <w:t>,</w:t>
      </w:r>
      <w:r w:rsidRPr="00EE5690">
        <w:rPr>
          <w:rFonts w:cs="Arial"/>
        </w:rPr>
        <w:t xml:space="preserve">000 EUR per hectare under CAP </w:t>
      </w:r>
      <w:r w:rsidRPr="00EE5690">
        <w:rPr>
          <w:rFonts w:cs="Arial"/>
        </w:rPr>
        <w:fldChar w:fldCharType="begin" w:fldLock="1"/>
      </w:r>
      <w:r w:rsidRPr="00EE5690">
        <w:rPr>
          <w:rFonts w:cs="Arial"/>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Kata","author":[{"dropping-particle":"","family":"European Commission","given":"","non-dropping-particle":"","parse-names":false,"suffix":""}],"container-title":"SWD(2019) 51 final","id":"ITEM-1","issued":{"date-parts":[["2019"]]},"title":"REPORT FROM THE COMMISSION TO THE EUROPEAN PARLIAMENT AND THE COUNCIL on the implementation of the Water Framework Directive (2000/60/EC) and the Floods Directive (2007/60/EC) Second River Basin Management Plans First Flood Risk Management Plans","type":"article-journal"},"uris":["http://www.mendeley.com/documents/?uuid=8f39e111-13f9-4433-a583-e07e757f9fb8"]}],"mendeley":{"formattedCitation":"(European Commission, 2019)","plainTextFormattedCitation":"(European Commission, 2019)","previouslyFormattedCitation":"(European Commission, 2019)"},"properties":{"noteIndex":0},"schema":"https://github.com/citation-style-language/schema/raw/master/csl-citation.json"}</w:instrText>
      </w:r>
      <w:r w:rsidRPr="00EE5690">
        <w:rPr>
          <w:rFonts w:cs="Arial"/>
        </w:rPr>
        <w:fldChar w:fldCharType="separate"/>
      </w:r>
      <w:r w:rsidRPr="00EE5690">
        <w:rPr>
          <w:rFonts w:cs="Arial"/>
          <w:noProof/>
        </w:rPr>
        <w:t>(European Commission, 2019)</w:t>
      </w:r>
      <w:r w:rsidRPr="00EE5690">
        <w:rPr>
          <w:rFonts w:cs="Arial"/>
        </w:rPr>
        <w:fldChar w:fldCharType="end"/>
      </w:r>
      <w:r w:rsidRPr="00EE5690">
        <w:rPr>
          <w:rFonts w:cs="Arial"/>
        </w:rPr>
        <w:t xml:space="preserve">. Costs can increase to and even exceed 10,000 EUR per hectare in certain circumstances </w:t>
      </w:r>
      <w:r w:rsidRPr="00EE5690">
        <w:rPr>
          <w:rFonts w:cs="Arial"/>
        </w:rPr>
        <w:fldChar w:fldCharType="begin" w:fldLock="1"/>
      </w:r>
      <w:r w:rsidRPr="00EE5690">
        <w:rPr>
          <w:rFonts w:cs="Arial"/>
        </w:rPr>
        <w:instrText>ADDIN CSL_CITATION {"citationItems":[{"id":"ITEM-1","itemData":{"ISBN":"9789279655760","author":[{"dropping-particle":"","family":"European Economic Interest Grouping","given":"","non-dropping-particle":"","parse-names":false,"suffix":""}],"id":"ITEM-1","issue":"September","issued":{"date-parts":[["2018"]]},"title":"Evaluation study of the forestry measures under Rural Development","type":"book"},"uris":["http://www.mendeley.com/documents/?uuid=3991d10e-c2b3-423f-a8ea-8f57dacb719d"]}],"mendeley":{"formattedCitation":"(European Economic Interest Grouping, 2018)","plainTextFormattedCitation":"(European Economic Interest Grouping, 2018)","previouslyFormattedCitation":"(European Economic Interest Grouping, 2018)"},"properties":{"noteIndex":0},"schema":"https://github.com/citation-style-language/schema/raw/master/csl-citation.json"}</w:instrText>
      </w:r>
      <w:r w:rsidRPr="00EE5690">
        <w:rPr>
          <w:rFonts w:cs="Arial"/>
        </w:rPr>
        <w:fldChar w:fldCharType="separate"/>
      </w:r>
      <w:r w:rsidRPr="00EE5690">
        <w:rPr>
          <w:rFonts w:cs="Arial"/>
          <w:noProof/>
        </w:rPr>
        <w:t>(European Economic Interest Grouping, 2018)</w:t>
      </w:r>
      <w:r w:rsidRPr="00EE5690">
        <w:rPr>
          <w:rFonts w:cs="Arial"/>
        </w:rPr>
        <w:fldChar w:fldCharType="end"/>
      </w:r>
      <w:r w:rsidRPr="00EE5690">
        <w:rPr>
          <w:rFonts w:cs="Arial"/>
        </w:rPr>
        <w:t>.</w:t>
      </w:r>
    </w:p>
    <w:p w14:paraId="268D17E3" w14:textId="69AE21BB" w:rsidR="000E6BE5" w:rsidRPr="008A42DD" w:rsidRDefault="000E6BE5" w:rsidP="00B122F7">
      <w:pPr>
        <w:pStyle w:val="Caption"/>
        <w:keepNext/>
        <w:rPr>
          <w:rFonts w:cs="Arial"/>
        </w:rPr>
      </w:pPr>
      <w:bookmarkStart w:id="108" w:name="_Toc91752562"/>
      <w:r w:rsidRPr="008A42DD">
        <w:rPr>
          <w:rFonts w:cs="Arial"/>
        </w:rPr>
        <w:t xml:space="preserve">Table </w:t>
      </w:r>
      <w:r w:rsidRPr="008A42DD">
        <w:rPr>
          <w:rFonts w:cs="Arial"/>
        </w:rPr>
        <w:fldChar w:fldCharType="begin"/>
      </w:r>
      <w:r w:rsidRPr="008A42DD">
        <w:rPr>
          <w:rFonts w:cs="Arial"/>
        </w:rPr>
        <w:instrText xml:space="preserve"> SEQ Table \* ARABIC </w:instrText>
      </w:r>
      <w:r w:rsidRPr="008A42DD">
        <w:rPr>
          <w:rFonts w:cs="Arial"/>
        </w:rPr>
        <w:fldChar w:fldCharType="separate"/>
      </w:r>
      <w:r w:rsidR="0073710A">
        <w:rPr>
          <w:rFonts w:cs="Arial"/>
          <w:noProof/>
        </w:rPr>
        <w:t>23</w:t>
      </w:r>
      <w:r w:rsidRPr="008A42DD">
        <w:rPr>
          <w:rFonts w:cs="Arial"/>
        </w:rPr>
        <w:fldChar w:fldCharType="end"/>
      </w:r>
      <w:r w:rsidRPr="008A42DD">
        <w:rPr>
          <w:rFonts w:cs="Arial"/>
          <w:lang w:val="en-US"/>
        </w:rPr>
        <w:t xml:space="preserve"> </w:t>
      </w:r>
      <w:r w:rsidRPr="008A42DD">
        <w:rPr>
          <w:rFonts w:cs="Arial"/>
        </w:rPr>
        <w:t xml:space="preserve">Planting cost estimation </w:t>
      </w:r>
      <w:r w:rsidR="004201DA" w:rsidRPr="008A42DD">
        <w:rPr>
          <w:rFonts w:cs="Arial"/>
        </w:rPr>
        <w:t>by European Commission (</w:t>
      </w:r>
      <w:r w:rsidR="004201DA" w:rsidRPr="008A42DD">
        <w:rPr>
          <w:rFonts w:cs="Arial"/>
        </w:rPr>
        <w:fldChar w:fldCharType="begin" w:fldLock="1"/>
      </w:r>
      <w:r w:rsidR="004201DA" w:rsidRPr="008A42DD">
        <w:rPr>
          <w:rFonts w:cs="Arial"/>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2021d)","manualFormatting":"Source: European Commission, 2021d)","plainTextFormattedCitation":"(European Commission, 2021d)"},"properties":{"noteIndex":0},"schema":"https://github.com/citation-style-language/schema/raw/master/csl-citation.json"}</w:instrText>
      </w:r>
      <w:r w:rsidR="004201DA" w:rsidRPr="008A42DD">
        <w:rPr>
          <w:rFonts w:cs="Arial"/>
        </w:rPr>
        <w:fldChar w:fldCharType="separate"/>
      </w:r>
      <w:r w:rsidR="004201DA" w:rsidRPr="008A42DD">
        <w:rPr>
          <w:rFonts w:cs="Arial"/>
          <w:noProof/>
        </w:rPr>
        <w:t>Source: European Commission, 2021d)</w:t>
      </w:r>
      <w:bookmarkEnd w:id="108"/>
      <w:r w:rsidR="004201DA" w:rsidRPr="008A42DD">
        <w:rPr>
          <w:rFonts w:cs="Arial"/>
        </w:rPr>
        <w:fldChar w:fldCharType="end"/>
      </w:r>
    </w:p>
    <w:tbl>
      <w:tblPr>
        <w:tblW w:w="850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17"/>
        <w:gridCol w:w="1555"/>
        <w:gridCol w:w="1279"/>
        <w:gridCol w:w="1417"/>
        <w:gridCol w:w="1417"/>
        <w:gridCol w:w="1417"/>
      </w:tblGrid>
      <w:tr w:rsidR="00B122F7" w:rsidRPr="00A967F9" w14:paraId="104A0F07" w14:textId="77777777" w:rsidTr="0022057B">
        <w:trPr>
          <w:trHeight w:val="283"/>
        </w:trPr>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8CB0F5" w14:textId="77777777" w:rsidR="00B122F7" w:rsidRPr="00A967F9" w:rsidRDefault="00B122F7" w:rsidP="00B122F7">
            <w:pPr>
              <w:spacing w:before="0" w:after="0" w:line="240" w:lineRule="auto"/>
              <w:jc w:val="center"/>
              <w:rPr>
                <w:b/>
                <w:bCs/>
                <w:sz w:val="18"/>
                <w:szCs w:val="18"/>
              </w:rPr>
            </w:pPr>
            <w:r w:rsidRPr="00A967F9">
              <w:rPr>
                <w:b/>
                <w:bCs/>
                <w:sz w:val="18"/>
                <w:szCs w:val="18"/>
              </w:rPr>
              <w:t>Member State</w:t>
            </w:r>
          </w:p>
        </w:tc>
        <w:tc>
          <w:tcPr>
            <w:tcW w:w="15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6D6FFC" w14:textId="77777777" w:rsidR="00B122F7" w:rsidRPr="00A967F9" w:rsidRDefault="00B122F7" w:rsidP="00B122F7">
            <w:pPr>
              <w:spacing w:before="0" w:after="0" w:line="240" w:lineRule="auto"/>
              <w:jc w:val="center"/>
              <w:rPr>
                <w:b/>
                <w:bCs/>
                <w:sz w:val="18"/>
                <w:szCs w:val="18"/>
              </w:rPr>
            </w:pPr>
            <w:r w:rsidRPr="00A967F9">
              <w:rPr>
                <w:b/>
                <w:bCs/>
                <w:sz w:val="18"/>
                <w:szCs w:val="18"/>
              </w:rPr>
              <w:t>Soil</w:t>
            </w:r>
            <w:r w:rsidRPr="00A967F9">
              <w:rPr>
                <w:b/>
                <w:bCs/>
                <w:sz w:val="18"/>
                <w:szCs w:val="18"/>
              </w:rPr>
              <w:br/>
              <w:t>preparation</w:t>
            </w:r>
            <w:r w:rsidRPr="00A967F9">
              <w:rPr>
                <w:b/>
                <w:bCs/>
                <w:sz w:val="18"/>
                <w:szCs w:val="18"/>
              </w:rPr>
              <w:br/>
              <w:t>[€]</w:t>
            </w:r>
          </w:p>
        </w:tc>
        <w:tc>
          <w:tcPr>
            <w:tcW w:w="127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6DED3C" w14:textId="77777777" w:rsidR="00B122F7" w:rsidRPr="00A967F9" w:rsidRDefault="00B122F7" w:rsidP="00B122F7">
            <w:pPr>
              <w:spacing w:before="0" w:after="0" w:line="240" w:lineRule="auto"/>
              <w:jc w:val="center"/>
              <w:rPr>
                <w:b/>
                <w:bCs/>
                <w:sz w:val="18"/>
                <w:szCs w:val="18"/>
              </w:rPr>
            </w:pPr>
            <w:r w:rsidRPr="00A967F9">
              <w:rPr>
                <w:b/>
                <w:bCs/>
                <w:sz w:val="18"/>
                <w:szCs w:val="18"/>
              </w:rPr>
              <w:t>Minimum</w:t>
            </w:r>
            <w:r w:rsidRPr="00A967F9">
              <w:rPr>
                <w:b/>
                <w:bCs/>
                <w:sz w:val="18"/>
                <w:szCs w:val="18"/>
              </w:rPr>
              <w:br/>
              <w:t>for planting</w:t>
            </w:r>
            <w:r w:rsidRPr="00A967F9">
              <w:rPr>
                <w:b/>
                <w:bCs/>
                <w:sz w:val="18"/>
                <w:szCs w:val="18"/>
              </w:rPr>
              <w:br/>
              <w:t>&amp; thinning</w:t>
            </w:r>
            <w:r w:rsidRPr="00A967F9">
              <w:rPr>
                <w:b/>
                <w:bCs/>
                <w:sz w:val="18"/>
                <w:szCs w:val="18"/>
              </w:rPr>
              <w:br/>
              <w:t>[€]</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331D12" w14:textId="77777777" w:rsidR="00B122F7" w:rsidRPr="00A967F9" w:rsidRDefault="00B122F7" w:rsidP="00B122F7">
            <w:pPr>
              <w:spacing w:before="0" w:after="0" w:line="240" w:lineRule="auto"/>
              <w:jc w:val="center"/>
              <w:rPr>
                <w:b/>
                <w:bCs/>
                <w:sz w:val="18"/>
                <w:szCs w:val="18"/>
              </w:rPr>
            </w:pPr>
            <w:r w:rsidRPr="00A967F9">
              <w:rPr>
                <w:b/>
                <w:bCs/>
                <w:sz w:val="18"/>
                <w:szCs w:val="18"/>
              </w:rPr>
              <w:t>Maximum</w:t>
            </w:r>
            <w:r w:rsidRPr="00A967F9">
              <w:rPr>
                <w:b/>
                <w:bCs/>
                <w:sz w:val="18"/>
                <w:szCs w:val="18"/>
              </w:rPr>
              <w:br/>
              <w:t>for planting</w:t>
            </w:r>
            <w:r w:rsidRPr="00A967F9">
              <w:rPr>
                <w:b/>
                <w:bCs/>
                <w:sz w:val="18"/>
                <w:szCs w:val="18"/>
              </w:rPr>
              <w:br/>
              <w:t>&amp; thinning</w:t>
            </w:r>
            <w:r w:rsidRPr="00A967F9">
              <w:rPr>
                <w:b/>
                <w:bCs/>
                <w:sz w:val="18"/>
                <w:szCs w:val="18"/>
              </w:rPr>
              <w:br/>
              <w:t>[€]</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EF0233" w14:textId="77777777" w:rsidR="00B122F7" w:rsidRPr="00A967F9" w:rsidRDefault="00B122F7" w:rsidP="00B122F7">
            <w:pPr>
              <w:spacing w:before="0" w:after="0" w:line="240" w:lineRule="auto"/>
              <w:jc w:val="center"/>
              <w:rPr>
                <w:b/>
                <w:bCs/>
                <w:sz w:val="18"/>
                <w:szCs w:val="18"/>
              </w:rPr>
            </w:pPr>
            <w:r w:rsidRPr="00A967F9">
              <w:rPr>
                <w:b/>
                <w:bCs/>
                <w:sz w:val="18"/>
                <w:szCs w:val="18"/>
              </w:rPr>
              <w:t>Total</w:t>
            </w:r>
            <w:r w:rsidRPr="00A967F9">
              <w:rPr>
                <w:b/>
                <w:bCs/>
                <w:sz w:val="18"/>
                <w:szCs w:val="18"/>
              </w:rPr>
              <w:br/>
              <w:t>average</w:t>
            </w:r>
            <w:r w:rsidRPr="00A967F9">
              <w:rPr>
                <w:b/>
                <w:bCs/>
                <w:sz w:val="18"/>
                <w:szCs w:val="18"/>
              </w:rPr>
              <w:br/>
              <w:t>minimum,</w:t>
            </w:r>
            <w:r w:rsidRPr="00A967F9">
              <w:rPr>
                <w:b/>
                <w:bCs/>
                <w:sz w:val="18"/>
                <w:szCs w:val="18"/>
              </w:rPr>
              <w:br/>
              <w:t>[€/ha]</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341D04" w14:textId="77777777" w:rsidR="00B122F7" w:rsidRPr="00A967F9" w:rsidRDefault="00B122F7" w:rsidP="00B122F7">
            <w:pPr>
              <w:spacing w:before="0" w:after="0" w:line="240" w:lineRule="auto"/>
              <w:jc w:val="center"/>
              <w:rPr>
                <w:b/>
                <w:bCs/>
                <w:sz w:val="18"/>
                <w:szCs w:val="18"/>
              </w:rPr>
            </w:pPr>
            <w:r w:rsidRPr="00A967F9">
              <w:rPr>
                <w:b/>
                <w:bCs/>
                <w:sz w:val="18"/>
                <w:szCs w:val="18"/>
              </w:rPr>
              <w:t>Total</w:t>
            </w:r>
            <w:r w:rsidRPr="00A967F9">
              <w:rPr>
                <w:b/>
                <w:bCs/>
                <w:sz w:val="18"/>
                <w:szCs w:val="18"/>
              </w:rPr>
              <w:br/>
              <w:t>average</w:t>
            </w:r>
            <w:r w:rsidRPr="00A967F9">
              <w:rPr>
                <w:b/>
                <w:bCs/>
                <w:sz w:val="18"/>
                <w:szCs w:val="18"/>
              </w:rPr>
              <w:br/>
              <w:t>maximum,</w:t>
            </w:r>
            <w:r w:rsidRPr="00A967F9">
              <w:rPr>
                <w:b/>
                <w:bCs/>
                <w:sz w:val="18"/>
                <w:szCs w:val="18"/>
              </w:rPr>
              <w:br/>
              <w:t>[€/ha]</w:t>
            </w:r>
          </w:p>
        </w:tc>
      </w:tr>
      <w:tr w:rsidR="00B122F7" w:rsidRPr="00A967F9" w14:paraId="7AABE355"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042F3A97" w14:textId="77777777" w:rsidR="00B122F7" w:rsidRPr="00A967F9" w:rsidRDefault="00B122F7" w:rsidP="00B122F7">
            <w:pPr>
              <w:spacing w:before="0" w:after="0" w:line="240" w:lineRule="auto"/>
              <w:contextualSpacing/>
              <w:rPr>
                <w:sz w:val="18"/>
                <w:szCs w:val="18"/>
              </w:rPr>
            </w:pPr>
            <w:r w:rsidRPr="00A967F9">
              <w:rPr>
                <w:sz w:val="18"/>
                <w:szCs w:val="18"/>
              </w:rPr>
              <w:t xml:space="preserve">Austria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22E76B6E"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650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231113C2" w14:textId="611A91ED"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016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12FC72D" w14:textId="09AAC7E0" w:rsidR="00B122F7" w:rsidRPr="00A967F9" w:rsidRDefault="00B122F7" w:rsidP="00B122F7">
            <w:pPr>
              <w:spacing w:before="0" w:after="0" w:line="240" w:lineRule="auto"/>
              <w:contextualSpacing/>
              <w:jc w:val="right"/>
              <w:rPr>
                <w:sz w:val="18"/>
                <w:szCs w:val="18"/>
              </w:rPr>
            </w:pPr>
            <w:r w:rsidRPr="00A967F9">
              <w:rPr>
                <w:sz w:val="18"/>
                <w:szCs w:val="18"/>
              </w:rPr>
              <w:t>2</w:t>
            </w:r>
            <w:r>
              <w:rPr>
                <w:sz w:val="18"/>
                <w:szCs w:val="18"/>
              </w:rPr>
              <w:t>,</w:t>
            </w:r>
            <w:r w:rsidRPr="00A967F9">
              <w:rPr>
                <w:sz w:val="18"/>
                <w:szCs w:val="18"/>
              </w:rPr>
              <w:t xml:space="preserve">084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0F8F10D" w14:textId="7F1EFF0B"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446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944422F" w14:textId="699F8093" w:rsidR="00B122F7" w:rsidRPr="00A967F9" w:rsidRDefault="00B122F7" w:rsidP="00B122F7">
            <w:pPr>
              <w:spacing w:before="0" w:after="0" w:line="240" w:lineRule="auto"/>
              <w:contextualSpacing/>
              <w:jc w:val="right"/>
              <w:rPr>
                <w:sz w:val="18"/>
                <w:szCs w:val="18"/>
              </w:rPr>
            </w:pPr>
            <w:r w:rsidRPr="00A967F9">
              <w:rPr>
                <w:sz w:val="18"/>
                <w:szCs w:val="18"/>
              </w:rPr>
              <w:t>3</w:t>
            </w:r>
            <w:r w:rsidR="008D2892">
              <w:rPr>
                <w:sz w:val="18"/>
                <w:szCs w:val="18"/>
              </w:rPr>
              <w:t>,</w:t>
            </w:r>
            <w:r w:rsidRPr="00A967F9">
              <w:rPr>
                <w:sz w:val="18"/>
                <w:szCs w:val="18"/>
              </w:rPr>
              <w:t>514</w:t>
            </w:r>
          </w:p>
        </w:tc>
      </w:tr>
      <w:tr w:rsidR="00B122F7" w:rsidRPr="00A967F9" w14:paraId="4FA3E482"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2F3D2C84" w14:textId="77777777" w:rsidR="00B122F7" w:rsidRPr="00A967F9" w:rsidRDefault="00B122F7" w:rsidP="00B122F7">
            <w:pPr>
              <w:spacing w:before="0" w:after="0" w:line="240" w:lineRule="auto"/>
              <w:contextualSpacing/>
              <w:rPr>
                <w:sz w:val="18"/>
                <w:szCs w:val="18"/>
              </w:rPr>
            </w:pPr>
            <w:r w:rsidRPr="00A967F9">
              <w:rPr>
                <w:sz w:val="18"/>
                <w:szCs w:val="18"/>
              </w:rPr>
              <w:t xml:space="preserve">Belgium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58E18883"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512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5F3EEB25" w14:textId="376D3D56"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080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BCFD751" w14:textId="7E184FBC"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483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83EEFB" w14:textId="0CA1725A"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373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373E1A2" w14:textId="5786AF4B"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775</w:t>
            </w:r>
          </w:p>
        </w:tc>
      </w:tr>
      <w:tr w:rsidR="00B122F7" w:rsidRPr="00A967F9" w14:paraId="53DD73ED"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5D823534" w14:textId="77777777" w:rsidR="00B122F7" w:rsidRPr="00A967F9" w:rsidRDefault="00B122F7" w:rsidP="00B122F7">
            <w:pPr>
              <w:spacing w:before="0" w:after="0" w:line="240" w:lineRule="auto"/>
              <w:contextualSpacing/>
              <w:rPr>
                <w:sz w:val="18"/>
                <w:szCs w:val="18"/>
              </w:rPr>
            </w:pPr>
            <w:r w:rsidRPr="00A967F9">
              <w:rPr>
                <w:sz w:val="18"/>
                <w:szCs w:val="18"/>
              </w:rPr>
              <w:t xml:space="preserve">Bulgaria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673FEDE5"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455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1A965A83"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382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51B11C9"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537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A85F65B" w14:textId="01E26D4E"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618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048CC97" w14:textId="403B1382"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773</w:t>
            </w:r>
          </w:p>
        </w:tc>
      </w:tr>
      <w:tr w:rsidR="00B122F7" w:rsidRPr="00A967F9" w14:paraId="71D5E30E"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71B53857" w14:textId="77777777" w:rsidR="00B122F7" w:rsidRPr="00A967F9" w:rsidRDefault="00B122F7" w:rsidP="00B122F7">
            <w:pPr>
              <w:spacing w:before="0" w:after="0" w:line="240" w:lineRule="auto"/>
              <w:contextualSpacing/>
              <w:rPr>
                <w:sz w:val="18"/>
                <w:szCs w:val="18"/>
              </w:rPr>
            </w:pPr>
            <w:r w:rsidRPr="00A967F9">
              <w:rPr>
                <w:sz w:val="18"/>
                <w:szCs w:val="18"/>
              </w:rPr>
              <w:t xml:space="preserve">Croatia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503F5B5D"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493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29A0DF12"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575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B9A78AD"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809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0145519" w14:textId="0A5964F9"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849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116829" w14:textId="7A343116"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083</w:t>
            </w:r>
          </w:p>
        </w:tc>
      </w:tr>
      <w:tr w:rsidR="00B122F7" w:rsidRPr="00A967F9" w14:paraId="29B440DD"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35747B29" w14:textId="77777777" w:rsidR="00B122F7" w:rsidRPr="00A967F9" w:rsidRDefault="00B122F7" w:rsidP="00B122F7">
            <w:pPr>
              <w:spacing w:before="0" w:after="0" w:line="240" w:lineRule="auto"/>
              <w:contextualSpacing/>
              <w:rPr>
                <w:sz w:val="18"/>
                <w:szCs w:val="18"/>
              </w:rPr>
            </w:pPr>
            <w:r w:rsidRPr="00A967F9">
              <w:rPr>
                <w:sz w:val="18"/>
                <w:szCs w:val="18"/>
              </w:rPr>
              <w:t xml:space="preserve">Cyprus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50A59D19"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650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7C88B3AD"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687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361EDC2" w14:textId="79598B01"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321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EEAF354" w14:textId="24107AA7"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118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685E524" w14:textId="657524A6"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752</w:t>
            </w:r>
          </w:p>
        </w:tc>
      </w:tr>
      <w:tr w:rsidR="00B122F7" w:rsidRPr="00A967F9" w14:paraId="5ED9BB18"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03292D43" w14:textId="77777777" w:rsidR="00B122F7" w:rsidRPr="00A967F9" w:rsidRDefault="00B122F7" w:rsidP="00B122F7">
            <w:pPr>
              <w:spacing w:before="0" w:after="0" w:line="240" w:lineRule="auto"/>
              <w:contextualSpacing/>
              <w:rPr>
                <w:sz w:val="18"/>
                <w:szCs w:val="18"/>
              </w:rPr>
            </w:pPr>
            <w:r w:rsidRPr="00A967F9">
              <w:rPr>
                <w:sz w:val="18"/>
                <w:szCs w:val="18"/>
              </w:rPr>
              <w:t xml:space="preserve">Czechia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5DBA280C"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447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499F43DB"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575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DFAFDD3"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809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0E87C9E" w14:textId="15FC8FBB"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802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20181B5" w14:textId="176DD3E0"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036</w:t>
            </w:r>
          </w:p>
        </w:tc>
      </w:tr>
      <w:tr w:rsidR="00B122F7" w:rsidRPr="00A967F9" w14:paraId="638EC918"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61EB665A" w14:textId="77777777" w:rsidR="00B122F7" w:rsidRPr="00A967F9" w:rsidRDefault="00B122F7" w:rsidP="00B122F7">
            <w:pPr>
              <w:spacing w:before="0" w:after="0" w:line="240" w:lineRule="auto"/>
              <w:contextualSpacing/>
              <w:rPr>
                <w:sz w:val="18"/>
                <w:szCs w:val="18"/>
              </w:rPr>
            </w:pPr>
            <w:r w:rsidRPr="00A967F9">
              <w:rPr>
                <w:sz w:val="18"/>
                <w:szCs w:val="18"/>
              </w:rPr>
              <w:t xml:space="preserve">Denmark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1EC27459"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463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24F63228"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998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3EEE860" w14:textId="784436F9"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366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F55550F" w14:textId="71C3A135"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242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7AD0468" w14:textId="42B95D7A"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610</w:t>
            </w:r>
          </w:p>
        </w:tc>
      </w:tr>
      <w:tr w:rsidR="00B122F7" w:rsidRPr="00A967F9" w14:paraId="21A6F33F"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77C58A36" w14:textId="77777777" w:rsidR="00B122F7" w:rsidRPr="00A967F9" w:rsidRDefault="00B122F7" w:rsidP="00B122F7">
            <w:pPr>
              <w:spacing w:before="0" w:after="0" w:line="240" w:lineRule="auto"/>
              <w:contextualSpacing/>
              <w:rPr>
                <w:sz w:val="18"/>
                <w:szCs w:val="18"/>
              </w:rPr>
            </w:pPr>
            <w:r w:rsidRPr="00A967F9">
              <w:rPr>
                <w:sz w:val="18"/>
                <w:szCs w:val="18"/>
              </w:rPr>
              <w:lastRenderedPageBreak/>
              <w:t xml:space="preserve">Estonia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70543A6B"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400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6A51FE00"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571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8A2BD3"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782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DC03815" w14:textId="68B20164"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752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2347631" w14:textId="332BA661"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962</w:t>
            </w:r>
          </w:p>
        </w:tc>
      </w:tr>
      <w:tr w:rsidR="00B122F7" w:rsidRPr="00A967F9" w14:paraId="20431001"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1CCE6944" w14:textId="77777777" w:rsidR="00B122F7" w:rsidRPr="00A967F9" w:rsidRDefault="00B122F7" w:rsidP="00B122F7">
            <w:pPr>
              <w:spacing w:before="0" w:after="0" w:line="240" w:lineRule="auto"/>
              <w:contextualSpacing/>
              <w:rPr>
                <w:sz w:val="18"/>
                <w:szCs w:val="18"/>
              </w:rPr>
            </w:pPr>
            <w:r w:rsidRPr="00A967F9">
              <w:rPr>
                <w:sz w:val="18"/>
                <w:szCs w:val="18"/>
              </w:rPr>
              <w:t xml:space="preserve">Finland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35A92414"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499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34D9ECF5" w14:textId="744839A9"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067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76436BE" w14:textId="04F0BB38"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501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A94D24B" w14:textId="79280898"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346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A5454B9" w14:textId="4543210B"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780</w:t>
            </w:r>
          </w:p>
        </w:tc>
      </w:tr>
      <w:tr w:rsidR="00B122F7" w:rsidRPr="00A967F9" w14:paraId="15CC469F"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47C9C530" w14:textId="77777777" w:rsidR="00B122F7" w:rsidRPr="00A967F9" w:rsidRDefault="00B122F7" w:rsidP="00B122F7">
            <w:pPr>
              <w:spacing w:before="0" w:after="0" w:line="240" w:lineRule="auto"/>
              <w:contextualSpacing/>
              <w:rPr>
                <w:sz w:val="18"/>
                <w:szCs w:val="18"/>
              </w:rPr>
            </w:pPr>
            <w:r w:rsidRPr="00A967F9">
              <w:rPr>
                <w:sz w:val="18"/>
                <w:szCs w:val="18"/>
              </w:rPr>
              <w:t xml:space="preserve">France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229E9F93"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564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3A5C9BC6" w14:textId="4A435455"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019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DD0DED0" w14:textId="323D8461" w:rsidR="00B122F7" w:rsidRPr="00A967F9" w:rsidRDefault="00B122F7" w:rsidP="00B122F7">
            <w:pPr>
              <w:spacing w:before="0" w:after="0" w:line="240" w:lineRule="auto"/>
              <w:contextualSpacing/>
              <w:jc w:val="right"/>
              <w:rPr>
                <w:sz w:val="18"/>
                <w:szCs w:val="18"/>
              </w:rPr>
            </w:pPr>
            <w:r w:rsidRPr="00A967F9">
              <w:rPr>
                <w:sz w:val="18"/>
                <w:szCs w:val="18"/>
              </w:rPr>
              <w:t>2</w:t>
            </w:r>
            <w:r>
              <w:rPr>
                <w:sz w:val="18"/>
                <w:szCs w:val="18"/>
              </w:rPr>
              <w:t>,</w:t>
            </w:r>
            <w:r w:rsidRPr="00A967F9">
              <w:rPr>
                <w:sz w:val="18"/>
                <w:szCs w:val="18"/>
              </w:rPr>
              <w:t xml:space="preserve">093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10089E9" w14:textId="69A3FA85"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364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CB779E6" w14:textId="23DECC20" w:rsidR="00B122F7" w:rsidRPr="00A967F9" w:rsidRDefault="00B122F7" w:rsidP="00B122F7">
            <w:pPr>
              <w:spacing w:before="0" w:after="0" w:line="240" w:lineRule="auto"/>
              <w:contextualSpacing/>
              <w:jc w:val="right"/>
              <w:rPr>
                <w:sz w:val="18"/>
                <w:szCs w:val="18"/>
              </w:rPr>
            </w:pPr>
            <w:r w:rsidRPr="00A967F9">
              <w:rPr>
                <w:sz w:val="18"/>
                <w:szCs w:val="18"/>
              </w:rPr>
              <w:t>3</w:t>
            </w:r>
            <w:r w:rsidR="008D2892">
              <w:rPr>
                <w:sz w:val="18"/>
                <w:szCs w:val="18"/>
              </w:rPr>
              <w:t>,</w:t>
            </w:r>
            <w:r w:rsidRPr="00A967F9">
              <w:rPr>
                <w:sz w:val="18"/>
                <w:szCs w:val="18"/>
              </w:rPr>
              <w:t>437</w:t>
            </w:r>
          </w:p>
        </w:tc>
      </w:tr>
      <w:tr w:rsidR="00B122F7" w:rsidRPr="00A967F9" w14:paraId="6E1A2575"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58BE01F9" w14:textId="77777777" w:rsidR="00B122F7" w:rsidRPr="00A967F9" w:rsidRDefault="00B122F7" w:rsidP="00B122F7">
            <w:pPr>
              <w:spacing w:before="0" w:after="0" w:line="240" w:lineRule="auto"/>
              <w:contextualSpacing/>
              <w:rPr>
                <w:sz w:val="18"/>
                <w:szCs w:val="18"/>
              </w:rPr>
            </w:pPr>
            <w:r w:rsidRPr="00A967F9">
              <w:rPr>
                <w:sz w:val="18"/>
                <w:szCs w:val="18"/>
              </w:rPr>
              <w:t xml:space="preserve">Germany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0C5EA0DA"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526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254D742F"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940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76EF043" w14:textId="59705A3C"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929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04153A" w14:textId="5C08162D"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246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5AF3892" w14:textId="689E4EC3" w:rsidR="00B122F7" w:rsidRPr="00A967F9" w:rsidRDefault="00B122F7" w:rsidP="00B122F7">
            <w:pPr>
              <w:spacing w:before="0" w:after="0" w:line="240" w:lineRule="auto"/>
              <w:contextualSpacing/>
              <w:jc w:val="right"/>
              <w:rPr>
                <w:sz w:val="18"/>
                <w:szCs w:val="18"/>
              </w:rPr>
            </w:pPr>
            <w:r w:rsidRPr="00A967F9">
              <w:rPr>
                <w:sz w:val="18"/>
                <w:szCs w:val="18"/>
              </w:rPr>
              <w:t>3</w:t>
            </w:r>
            <w:r w:rsidR="008D2892">
              <w:rPr>
                <w:sz w:val="18"/>
                <w:szCs w:val="18"/>
              </w:rPr>
              <w:t>,</w:t>
            </w:r>
            <w:r w:rsidRPr="00A967F9">
              <w:rPr>
                <w:sz w:val="18"/>
                <w:szCs w:val="18"/>
              </w:rPr>
              <w:t>235</w:t>
            </w:r>
          </w:p>
        </w:tc>
      </w:tr>
      <w:tr w:rsidR="00B122F7" w:rsidRPr="00A967F9" w14:paraId="36040AFA"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7C1BF355" w14:textId="77777777" w:rsidR="00B122F7" w:rsidRPr="00A967F9" w:rsidRDefault="00B122F7" w:rsidP="00B122F7">
            <w:pPr>
              <w:spacing w:before="0" w:after="0" w:line="240" w:lineRule="auto"/>
              <w:contextualSpacing/>
              <w:rPr>
                <w:sz w:val="18"/>
                <w:szCs w:val="18"/>
              </w:rPr>
            </w:pPr>
            <w:r w:rsidRPr="00A967F9">
              <w:rPr>
                <w:sz w:val="18"/>
                <w:szCs w:val="18"/>
              </w:rPr>
              <w:t xml:space="preserve">Greece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57531191"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612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28D5D419"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680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E36968E" w14:textId="04366668"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396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F3A8665" w14:textId="7E56A13C"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072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342D578" w14:textId="73CDA9E4"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789</w:t>
            </w:r>
          </w:p>
        </w:tc>
      </w:tr>
      <w:tr w:rsidR="00B122F7" w:rsidRPr="00A967F9" w14:paraId="56B35A63"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5425DD02" w14:textId="77777777" w:rsidR="00B122F7" w:rsidRPr="00A967F9" w:rsidRDefault="00B122F7" w:rsidP="00B122F7">
            <w:pPr>
              <w:spacing w:before="0" w:after="0" w:line="240" w:lineRule="auto"/>
              <w:contextualSpacing/>
              <w:rPr>
                <w:sz w:val="18"/>
                <w:szCs w:val="18"/>
              </w:rPr>
            </w:pPr>
            <w:r w:rsidRPr="00A967F9">
              <w:rPr>
                <w:sz w:val="18"/>
                <w:szCs w:val="18"/>
              </w:rPr>
              <w:t xml:space="preserve">Hungary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4B9C6B72"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439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4AD2C676"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487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31472BD"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667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2827648" w14:textId="7C2C5A55"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707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20075C8" w14:textId="510B801B"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887</w:t>
            </w:r>
          </w:p>
        </w:tc>
      </w:tr>
      <w:tr w:rsidR="00B122F7" w:rsidRPr="00A967F9" w14:paraId="5D8C5CBF"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399F74E9" w14:textId="77777777" w:rsidR="00B122F7" w:rsidRPr="00A967F9" w:rsidRDefault="00B122F7" w:rsidP="00B122F7">
            <w:pPr>
              <w:spacing w:before="0" w:after="0" w:line="240" w:lineRule="auto"/>
              <w:contextualSpacing/>
              <w:rPr>
                <w:sz w:val="18"/>
                <w:szCs w:val="18"/>
              </w:rPr>
            </w:pPr>
            <w:r w:rsidRPr="00A967F9">
              <w:rPr>
                <w:sz w:val="18"/>
                <w:szCs w:val="18"/>
              </w:rPr>
              <w:t xml:space="preserve">Ireland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3554EC88"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536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1602E7BD"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808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880F855" w14:textId="3651B204"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139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6C390F8" w14:textId="2726FCB0"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124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79D6DDC" w14:textId="13527185"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455</w:t>
            </w:r>
          </w:p>
        </w:tc>
      </w:tr>
      <w:tr w:rsidR="00B122F7" w:rsidRPr="00A967F9" w14:paraId="30B57A85"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6CCF04B1" w14:textId="77777777" w:rsidR="00B122F7" w:rsidRPr="00A967F9" w:rsidRDefault="00B122F7" w:rsidP="00B122F7">
            <w:pPr>
              <w:spacing w:before="0" w:after="0" w:line="240" w:lineRule="auto"/>
              <w:contextualSpacing/>
              <w:rPr>
                <w:sz w:val="18"/>
                <w:szCs w:val="18"/>
              </w:rPr>
            </w:pPr>
            <w:r w:rsidRPr="00A967F9">
              <w:rPr>
                <w:sz w:val="18"/>
                <w:szCs w:val="18"/>
              </w:rPr>
              <w:t xml:space="preserve">Italy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5CF3FD6D"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659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174E13A5"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862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9545AA3" w14:textId="30E6AB94"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770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25F3D0" w14:textId="51A57633"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301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F0728CF" w14:textId="28DF3338" w:rsidR="00B122F7" w:rsidRPr="00A967F9" w:rsidRDefault="00B122F7" w:rsidP="00B122F7">
            <w:pPr>
              <w:spacing w:before="0" w:after="0" w:line="240" w:lineRule="auto"/>
              <w:contextualSpacing/>
              <w:jc w:val="right"/>
              <w:rPr>
                <w:sz w:val="18"/>
                <w:szCs w:val="18"/>
              </w:rPr>
            </w:pPr>
            <w:r w:rsidRPr="00A967F9">
              <w:rPr>
                <w:sz w:val="18"/>
                <w:szCs w:val="18"/>
              </w:rPr>
              <w:t>3</w:t>
            </w:r>
            <w:r w:rsidR="008D2892">
              <w:rPr>
                <w:sz w:val="18"/>
                <w:szCs w:val="18"/>
              </w:rPr>
              <w:t>,</w:t>
            </w:r>
            <w:r w:rsidRPr="00A967F9">
              <w:rPr>
                <w:sz w:val="18"/>
                <w:szCs w:val="18"/>
              </w:rPr>
              <w:t>209</w:t>
            </w:r>
          </w:p>
        </w:tc>
      </w:tr>
      <w:tr w:rsidR="00B122F7" w:rsidRPr="00A967F9" w14:paraId="2E8F16FA"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3D2A1AAE" w14:textId="77777777" w:rsidR="00B122F7" w:rsidRPr="00A967F9" w:rsidRDefault="00B122F7" w:rsidP="00B122F7">
            <w:pPr>
              <w:spacing w:before="0" w:after="0" w:line="240" w:lineRule="auto"/>
              <w:contextualSpacing/>
              <w:rPr>
                <w:sz w:val="18"/>
                <w:szCs w:val="18"/>
              </w:rPr>
            </w:pPr>
            <w:r w:rsidRPr="00A967F9">
              <w:rPr>
                <w:sz w:val="18"/>
                <w:szCs w:val="18"/>
              </w:rPr>
              <w:t xml:space="preserve">Latvia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134E614D"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409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40F78384"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561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27D2FCC"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768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79FA4F0" w14:textId="4CB50C60"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751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2876088" w14:textId="0187400F"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957</w:t>
            </w:r>
          </w:p>
        </w:tc>
      </w:tr>
      <w:tr w:rsidR="00B122F7" w:rsidRPr="00A967F9" w14:paraId="551859F5"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427138EE" w14:textId="77777777" w:rsidR="00B122F7" w:rsidRPr="00A967F9" w:rsidRDefault="00B122F7" w:rsidP="00B122F7">
            <w:pPr>
              <w:spacing w:before="0" w:after="0" w:line="240" w:lineRule="auto"/>
              <w:contextualSpacing/>
              <w:rPr>
                <w:sz w:val="18"/>
                <w:szCs w:val="18"/>
              </w:rPr>
            </w:pPr>
            <w:r w:rsidRPr="00A967F9">
              <w:rPr>
                <w:sz w:val="18"/>
                <w:szCs w:val="18"/>
              </w:rPr>
              <w:t xml:space="preserve">Lithuania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0CA1E093"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387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39312046"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505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CAFF21A"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691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4E78CA9" w14:textId="58420747"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673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20C1897" w14:textId="73B0EEA4"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859</w:t>
            </w:r>
          </w:p>
        </w:tc>
      </w:tr>
      <w:tr w:rsidR="00B122F7" w:rsidRPr="00A967F9" w14:paraId="46BBF7DE"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hideMark/>
          </w:tcPr>
          <w:p w14:paraId="223FE4A5" w14:textId="77777777" w:rsidR="00B122F7" w:rsidRPr="00A967F9" w:rsidRDefault="00B122F7" w:rsidP="00B122F7">
            <w:pPr>
              <w:spacing w:before="0" w:after="0" w:line="240" w:lineRule="auto"/>
              <w:contextualSpacing/>
              <w:rPr>
                <w:sz w:val="18"/>
                <w:szCs w:val="18"/>
              </w:rPr>
            </w:pPr>
            <w:r w:rsidRPr="00A967F9">
              <w:rPr>
                <w:sz w:val="18"/>
                <w:szCs w:val="18"/>
              </w:rPr>
              <w:t xml:space="preserve">Luxembourg </w:t>
            </w:r>
          </w:p>
        </w:tc>
        <w:tc>
          <w:tcPr>
            <w:tcW w:w="1555" w:type="dxa"/>
            <w:tcBorders>
              <w:top w:val="single" w:sz="4" w:space="0" w:color="auto"/>
              <w:left w:val="single" w:sz="4" w:space="0" w:color="auto"/>
              <w:bottom w:val="single" w:sz="4" w:space="0" w:color="auto"/>
              <w:right w:val="single" w:sz="4" w:space="0" w:color="auto"/>
            </w:tcBorders>
            <w:vAlign w:val="center"/>
            <w:hideMark/>
          </w:tcPr>
          <w:p w14:paraId="08336337"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510 </w:t>
            </w:r>
          </w:p>
        </w:tc>
        <w:tc>
          <w:tcPr>
            <w:tcW w:w="1279" w:type="dxa"/>
            <w:tcBorders>
              <w:top w:val="single" w:sz="4" w:space="0" w:color="auto"/>
              <w:left w:val="single" w:sz="4" w:space="0" w:color="auto"/>
              <w:bottom w:val="single" w:sz="4" w:space="0" w:color="auto"/>
              <w:right w:val="single" w:sz="4" w:space="0" w:color="auto"/>
            </w:tcBorders>
            <w:vAlign w:val="center"/>
            <w:hideMark/>
          </w:tcPr>
          <w:p w14:paraId="3671DD38" w14:textId="72C651EA"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064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9407593" w14:textId="6C5A86FC"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498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8EB6623" w14:textId="36E4367E"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355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9BA2F79" w14:textId="11332734"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789</w:t>
            </w:r>
          </w:p>
        </w:tc>
      </w:tr>
      <w:tr w:rsidR="00B122F7" w:rsidRPr="00A967F9" w14:paraId="7E138FD6"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tcPr>
          <w:p w14:paraId="3420E15B" w14:textId="77777777" w:rsidR="00B122F7" w:rsidRPr="00A967F9" w:rsidRDefault="00B122F7" w:rsidP="00B122F7">
            <w:pPr>
              <w:spacing w:before="0" w:after="0" w:line="240" w:lineRule="auto"/>
              <w:contextualSpacing/>
              <w:rPr>
                <w:sz w:val="18"/>
                <w:szCs w:val="18"/>
              </w:rPr>
            </w:pPr>
            <w:r w:rsidRPr="00A967F9">
              <w:rPr>
                <w:sz w:val="18"/>
                <w:szCs w:val="18"/>
              </w:rPr>
              <w:t xml:space="preserve">Malta </w:t>
            </w:r>
          </w:p>
        </w:tc>
        <w:tc>
          <w:tcPr>
            <w:tcW w:w="1555" w:type="dxa"/>
            <w:tcBorders>
              <w:top w:val="single" w:sz="4" w:space="0" w:color="auto"/>
              <w:left w:val="single" w:sz="4" w:space="0" w:color="auto"/>
              <w:bottom w:val="single" w:sz="4" w:space="0" w:color="auto"/>
              <w:right w:val="single" w:sz="4" w:space="0" w:color="auto"/>
            </w:tcBorders>
            <w:vAlign w:val="center"/>
          </w:tcPr>
          <w:p w14:paraId="6C723480" w14:textId="77777777" w:rsidR="00B122F7" w:rsidRPr="00A967F9" w:rsidRDefault="00B122F7" w:rsidP="00B122F7">
            <w:pPr>
              <w:spacing w:before="0" w:after="0" w:line="240" w:lineRule="auto"/>
              <w:contextualSpacing/>
              <w:jc w:val="right"/>
              <w:rPr>
                <w:sz w:val="18"/>
                <w:szCs w:val="18"/>
              </w:rPr>
            </w:pPr>
            <w:r w:rsidRPr="00A967F9">
              <w:rPr>
                <w:sz w:val="18"/>
                <w:szCs w:val="18"/>
              </w:rPr>
              <w:t>-</w:t>
            </w:r>
          </w:p>
        </w:tc>
        <w:tc>
          <w:tcPr>
            <w:tcW w:w="1279" w:type="dxa"/>
            <w:tcBorders>
              <w:top w:val="single" w:sz="4" w:space="0" w:color="auto"/>
              <w:left w:val="single" w:sz="4" w:space="0" w:color="auto"/>
              <w:bottom w:val="single" w:sz="4" w:space="0" w:color="auto"/>
              <w:right w:val="single" w:sz="4" w:space="0" w:color="auto"/>
            </w:tcBorders>
            <w:vAlign w:val="center"/>
          </w:tcPr>
          <w:p w14:paraId="74550789" w14:textId="77777777" w:rsidR="00B122F7" w:rsidRPr="00A967F9" w:rsidRDefault="00B122F7" w:rsidP="00B122F7">
            <w:pPr>
              <w:spacing w:before="0" w:after="0" w:line="240" w:lineRule="auto"/>
              <w:contextualSpacing/>
              <w:jc w:val="right"/>
              <w:rPr>
                <w:sz w:val="18"/>
                <w:szCs w:val="18"/>
              </w:rPr>
            </w:pPr>
            <w:r w:rsidRPr="00A967F9">
              <w:rPr>
                <w:sz w:val="18"/>
                <w:szCs w:val="18"/>
              </w:rPr>
              <w:t>-</w:t>
            </w:r>
          </w:p>
        </w:tc>
        <w:tc>
          <w:tcPr>
            <w:tcW w:w="1417" w:type="dxa"/>
            <w:tcBorders>
              <w:top w:val="single" w:sz="4" w:space="0" w:color="auto"/>
              <w:left w:val="single" w:sz="4" w:space="0" w:color="auto"/>
              <w:bottom w:val="single" w:sz="4" w:space="0" w:color="auto"/>
              <w:right w:val="single" w:sz="4" w:space="0" w:color="auto"/>
            </w:tcBorders>
            <w:vAlign w:val="center"/>
          </w:tcPr>
          <w:p w14:paraId="7D0F087A" w14:textId="77777777" w:rsidR="00B122F7" w:rsidRPr="00A967F9" w:rsidRDefault="00B122F7" w:rsidP="00B122F7">
            <w:pPr>
              <w:spacing w:before="0" w:after="0" w:line="240" w:lineRule="auto"/>
              <w:contextualSpacing/>
              <w:jc w:val="right"/>
              <w:rPr>
                <w:sz w:val="18"/>
                <w:szCs w:val="18"/>
              </w:rPr>
            </w:pPr>
            <w:r w:rsidRPr="00A967F9">
              <w:rPr>
                <w:sz w:val="18"/>
                <w:szCs w:val="18"/>
              </w:rPr>
              <w:t>-</w:t>
            </w:r>
          </w:p>
        </w:tc>
        <w:tc>
          <w:tcPr>
            <w:tcW w:w="1417" w:type="dxa"/>
            <w:tcBorders>
              <w:top w:val="single" w:sz="4" w:space="0" w:color="auto"/>
              <w:left w:val="single" w:sz="4" w:space="0" w:color="auto"/>
              <w:bottom w:val="single" w:sz="4" w:space="0" w:color="auto"/>
              <w:right w:val="single" w:sz="4" w:space="0" w:color="auto"/>
            </w:tcBorders>
            <w:vAlign w:val="center"/>
          </w:tcPr>
          <w:p w14:paraId="44C53E4F"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781 </w:t>
            </w:r>
          </w:p>
        </w:tc>
        <w:tc>
          <w:tcPr>
            <w:tcW w:w="1417" w:type="dxa"/>
            <w:tcBorders>
              <w:top w:val="single" w:sz="4" w:space="0" w:color="auto"/>
              <w:left w:val="single" w:sz="4" w:space="0" w:color="auto"/>
              <w:bottom w:val="single" w:sz="4" w:space="0" w:color="auto"/>
              <w:right w:val="single" w:sz="4" w:space="0" w:color="auto"/>
            </w:tcBorders>
            <w:vAlign w:val="center"/>
          </w:tcPr>
          <w:p w14:paraId="5DF43EA1" w14:textId="77777777" w:rsidR="00B122F7" w:rsidRPr="00A967F9" w:rsidRDefault="00B122F7" w:rsidP="00B122F7">
            <w:pPr>
              <w:spacing w:before="0" w:after="0" w:line="240" w:lineRule="auto"/>
              <w:contextualSpacing/>
              <w:jc w:val="right"/>
              <w:rPr>
                <w:sz w:val="18"/>
                <w:szCs w:val="18"/>
              </w:rPr>
            </w:pPr>
            <w:r w:rsidRPr="00A967F9">
              <w:rPr>
                <w:sz w:val="18"/>
                <w:szCs w:val="18"/>
              </w:rPr>
              <w:t>781</w:t>
            </w:r>
          </w:p>
        </w:tc>
      </w:tr>
      <w:tr w:rsidR="00B122F7" w:rsidRPr="00A967F9" w14:paraId="4E36B649"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tcPr>
          <w:p w14:paraId="4F81ED6B" w14:textId="77777777" w:rsidR="00B122F7" w:rsidRPr="00A967F9" w:rsidRDefault="00B122F7" w:rsidP="00B122F7">
            <w:pPr>
              <w:spacing w:before="0" w:after="0" w:line="240" w:lineRule="auto"/>
              <w:contextualSpacing/>
              <w:rPr>
                <w:sz w:val="18"/>
                <w:szCs w:val="18"/>
              </w:rPr>
            </w:pPr>
            <w:r w:rsidRPr="00A967F9">
              <w:rPr>
                <w:sz w:val="18"/>
                <w:szCs w:val="18"/>
              </w:rPr>
              <w:t xml:space="preserve">Netherlands </w:t>
            </w:r>
          </w:p>
        </w:tc>
        <w:tc>
          <w:tcPr>
            <w:tcW w:w="1555" w:type="dxa"/>
            <w:tcBorders>
              <w:top w:val="single" w:sz="4" w:space="0" w:color="auto"/>
              <w:left w:val="single" w:sz="4" w:space="0" w:color="auto"/>
              <w:bottom w:val="single" w:sz="4" w:space="0" w:color="auto"/>
              <w:right w:val="single" w:sz="4" w:space="0" w:color="auto"/>
            </w:tcBorders>
            <w:vAlign w:val="center"/>
          </w:tcPr>
          <w:p w14:paraId="467DF245"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463 </w:t>
            </w:r>
          </w:p>
        </w:tc>
        <w:tc>
          <w:tcPr>
            <w:tcW w:w="1279" w:type="dxa"/>
            <w:tcBorders>
              <w:top w:val="single" w:sz="4" w:space="0" w:color="auto"/>
              <w:left w:val="single" w:sz="4" w:space="0" w:color="auto"/>
              <w:bottom w:val="single" w:sz="4" w:space="0" w:color="auto"/>
              <w:right w:val="single" w:sz="4" w:space="0" w:color="auto"/>
            </w:tcBorders>
            <w:vAlign w:val="center"/>
          </w:tcPr>
          <w:p w14:paraId="68C41715"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988 </w:t>
            </w:r>
          </w:p>
        </w:tc>
        <w:tc>
          <w:tcPr>
            <w:tcW w:w="1417" w:type="dxa"/>
            <w:tcBorders>
              <w:top w:val="single" w:sz="4" w:space="0" w:color="auto"/>
              <w:left w:val="single" w:sz="4" w:space="0" w:color="auto"/>
              <w:bottom w:val="single" w:sz="4" w:space="0" w:color="auto"/>
              <w:right w:val="single" w:sz="4" w:space="0" w:color="auto"/>
            </w:tcBorders>
            <w:vAlign w:val="center"/>
          </w:tcPr>
          <w:p w14:paraId="45B66E8C" w14:textId="63F00E23"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350 </w:t>
            </w:r>
          </w:p>
        </w:tc>
        <w:tc>
          <w:tcPr>
            <w:tcW w:w="1417" w:type="dxa"/>
            <w:tcBorders>
              <w:top w:val="single" w:sz="4" w:space="0" w:color="auto"/>
              <w:left w:val="single" w:sz="4" w:space="0" w:color="auto"/>
              <w:bottom w:val="single" w:sz="4" w:space="0" w:color="auto"/>
              <w:right w:val="single" w:sz="4" w:space="0" w:color="auto"/>
            </w:tcBorders>
            <w:vAlign w:val="center"/>
          </w:tcPr>
          <w:p w14:paraId="02BBDC9C" w14:textId="0AECA88A"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232 </w:t>
            </w:r>
          </w:p>
        </w:tc>
        <w:tc>
          <w:tcPr>
            <w:tcW w:w="1417" w:type="dxa"/>
            <w:tcBorders>
              <w:top w:val="single" w:sz="4" w:space="0" w:color="auto"/>
              <w:left w:val="single" w:sz="4" w:space="0" w:color="auto"/>
              <w:bottom w:val="single" w:sz="4" w:space="0" w:color="auto"/>
              <w:right w:val="single" w:sz="4" w:space="0" w:color="auto"/>
            </w:tcBorders>
            <w:vAlign w:val="center"/>
          </w:tcPr>
          <w:p w14:paraId="7C0B07C9" w14:textId="59D67116"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594</w:t>
            </w:r>
          </w:p>
        </w:tc>
      </w:tr>
      <w:tr w:rsidR="00B122F7" w:rsidRPr="00A967F9" w14:paraId="2A46AB47"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tcPr>
          <w:p w14:paraId="23FC00A3" w14:textId="77777777" w:rsidR="00B122F7" w:rsidRPr="00A967F9" w:rsidRDefault="00B122F7" w:rsidP="00B122F7">
            <w:pPr>
              <w:spacing w:before="0" w:after="0" w:line="240" w:lineRule="auto"/>
              <w:contextualSpacing/>
              <w:rPr>
                <w:sz w:val="18"/>
                <w:szCs w:val="18"/>
              </w:rPr>
            </w:pPr>
            <w:r w:rsidRPr="00A967F9">
              <w:rPr>
                <w:sz w:val="18"/>
                <w:szCs w:val="18"/>
              </w:rPr>
              <w:t xml:space="preserve">Poland </w:t>
            </w:r>
          </w:p>
        </w:tc>
        <w:tc>
          <w:tcPr>
            <w:tcW w:w="1555" w:type="dxa"/>
            <w:tcBorders>
              <w:top w:val="single" w:sz="4" w:space="0" w:color="auto"/>
              <w:left w:val="single" w:sz="4" w:space="0" w:color="auto"/>
              <w:bottom w:val="single" w:sz="4" w:space="0" w:color="auto"/>
              <w:right w:val="single" w:sz="4" w:space="0" w:color="auto"/>
            </w:tcBorders>
            <w:vAlign w:val="center"/>
          </w:tcPr>
          <w:p w14:paraId="15B13932"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421 </w:t>
            </w:r>
          </w:p>
        </w:tc>
        <w:tc>
          <w:tcPr>
            <w:tcW w:w="1279" w:type="dxa"/>
            <w:tcBorders>
              <w:top w:val="single" w:sz="4" w:space="0" w:color="auto"/>
              <w:left w:val="single" w:sz="4" w:space="0" w:color="auto"/>
              <w:bottom w:val="single" w:sz="4" w:space="0" w:color="auto"/>
              <w:right w:val="single" w:sz="4" w:space="0" w:color="auto"/>
            </w:tcBorders>
            <w:vAlign w:val="center"/>
          </w:tcPr>
          <w:p w14:paraId="4AEBEDAF"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453 </w:t>
            </w:r>
          </w:p>
        </w:tc>
        <w:tc>
          <w:tcPr>
            <w:tcW w:w="1417" w:type="dxa"/>
            <w:tcBorders>
              <w:top w:val="single" w:sz="4" w:space="0" w:color="auto"/>
              <w:left w:val="single" w:sz="4" w:space="0" w:color="auto"/>
              <w:bottom w:val="single" w:sz="4" w:space="0" w:color="auto"/>
              <w:right w:val="single" w:sz="4" w:space="0" w:color="auto"/>
            </w:tcBorders>
            <w:vAlign w:val="center"/>
          </w:tcPr>
          <w:p w14:paraId="580A2718"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637 </w:t>
            </w:r>
          </w:p>
        </w:tc>
        <w:tc>
          <w:tcPr>
            <w:tcW w:w="1417" w:type="dxa"/>
            <w:tcBorders>
              <w:top w:val="single" w:sz="4" w:space="0" w:color="auto"/>
              <w:left w:val="single" w:sz="4" w:space="0" w:color="auto"/>
              <w:bottom w:val="single" w:sz="4" w:space="0" w:color="auto"/>
              <w:right w:val="single" w:sz="4" w:space="0" w:color="auto"/>
            </w:tcBorders>
            <w:vAlign w:val="center"/>
          </w:tcPr>
          <w:p w14:paraId="188A995D" w14:textId="0CC1EB86"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654 </w:t>
            </w:r>
          </w:p>
        </w:tc>
        <w:tc>
          <w:tcPr>
            <w:tcW w:w="1417" w:type="dxa"/>
            <w:tcBorders>
              <w:top w:val="single" w:sz="4" w:space="0" w:color="auto"/>
              <w:left w:val="single" w:sz="4" w:space="0" w:color="auto"/>
              <w:bottom w:val="single" w:sz="4" w:space="0" w:color="auto"/>
              <w:right w:val="single" w:sz="4" w:space="0" w:color="auto"/>
            </w:tcBorders>
            <w:vAlign w:val="center"/>
          </w:tcPr>
          <w:p w14:paraId="182A4FDE" w14:textId="0267839F"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838</w:t>
            </w:r>
          </w:p>
        </w:tc>
      </w:tr>
      <w:tr w:rsidR="00B122F7" w:rsidRPr="00A967F9" w14:paraId="49D81C07"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tcPr>
          <w:p w14:paraId="74257C09" w14:textId="77777777" w:rsidR="00B122F7" w:rsidRPr="00A967F9" w:rsidRDefault="00B122F7" w:rsidP="00B122F7">
            <w:pPr>
              <w:spacing w:before="0" w:after="0" w:line="240" w:lineRule="auto"/>
              <w:contextualSpacing/>
              <w:rPr>
                <w:sz w:val="18"/>
                <w:szCs w:val="18"/>
              </w:rPr>
            </w:pPr>
            <w:r w:rsidRPr="00A967F9">
              <w:rPr>
                <w:sz w:val="18"/>
                <w:szCs w:val="18"/>
              </w:rPr>
              <w:t xml:space="preserve">Portugal </w:t>
            </w:r>
          </w:p>
        </w:tc>
        <w:tc>
          <w:tcPr>
            <w:tcW w:w="1555" w:type="dxa"/>
            <w:tcBorders>
              <w:top w:val="single" w:sz="4" w:space="0" w:color="auto"/>
              <w:left w:val="single" w:sz="4" w:space="0" w:color="auto"/>
              <w:bottom w:val="single" w:sz="4" w:space="0" w:color="auto"/>
              <w:right w:val="single" w:sz="4" w:space="0" w:color="auto"/>
            </w:tcBorders>
            <w:vAlign w:val="center"/>
          </w:tcPr>
          <w:p w14:paraId="5D145CC7"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497 </w:t>
            </w:r>
          </w:p>
        </w:tc>
        <w:tc>
          <w:tcPr>
            <w:tcW w:w="1279" w:type="dxa"/>
            <w:tcBorders>
              <w:top w:val="single" w:sz="4" w:space="0" w:color="auto"/>
              <w:left w:val="single" w:sz="4" w:space="0" w:color="auto"/>
              <w:bottom w:val="single" w:sz="4" w:space="0" w:color="auto"/>
              <w:right w:val="single" w:sz="4" w:space="0" w:color="auto"/>
            </w:tcBorders>
            <w:vAlign w:val="center"/>
          </w:tcPr>
          <w:p w14:paraId="713833B4"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579 </w:t>
            </w:r>
          </w:p>
        </w:tc>
        <w:tc>
          <w:tcPr>
            <w:tcW w:w="1417" w:type="dxa"/>
            <w:tcBorders>
              <w:top w:val="single" w:sz="4" w:space="0" w:color="auto"/>
              <w:left w:val="single" w:sz="4" w:space="0" w:color="auto"/>
              <w:bottom w:val="single" w:sz="4" w:space="0" w:color="auto"/>
              <w:right w:val="single" w:sz="4" w:space="0" w:color="auto"/>
            </w:tcBorders>
            <w:vAlign w:val="center"/>
          </w:tcPr>
          <w:p w14:paraId="1424726F"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816 </w:t>
            </w:r>
          </w:p>
        </w:tc>
        <w:tc>
          <w:tcPr>
            <w:tcW w:w="1417" w:type="dxa"/>
            <w:tcBorders>
              <w:top w:val="single" w:sz="4" w:space="0" w:color="auto"/>
              <w:left w:val="single" w:sz="4" w:space="0" w:color="auto"/>
              <w:bottom w:val="single" w:sz="4" w:space="0" w:color="auto"/>
              <w:right w:val="single" w:sz="4" w:space="0" w:color="auto"/>
            </w:tcBorders>
            <w:vAlign w:val="center"/>
          </w:tcPr>
          <w:p w14:paraId="5546D17B" w14:textId="55F64C04"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856 </w:t>
            </w:r>
          </w:p>
        </w:tc>
        <w:tc>
          <w:tcPr>
            <w:tcW w:w="1417" w:type="dxa"/>
            <w:tcBorders>
              <w:top w:val="single" w:sz="4" w:space="0" w:color="auto"/>
              <w:left w:val="single" w:sz="4" w:space="0" w:color="auto"/>
              <w:bottom w:val="single" w:sz="4" w:space="0" w:color="auto"/>
              <w:right w:val="single" w:sz="4" w:space="0" w:color="auto"/>
            </w:tcBorders>
            <w:vAlign w:val="center"/>
          </w:tcPr>
          <w:p w14:paraId="18DF4EA0" w14:textId="6CD27951"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093</w:t>
            </w:r>
          </w:p>
        </w:tc>
      </w:tr>
      <w:tr w:rsidR="00B122F7" w:rsidRPr="00A967F9" w14:paraId="13424218"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tcPr>
          <w:p w14:paraId="02B81276" w14:textId="77777777" w:rsidR="00B122F7" w:rsidRPr="00A967F9" w:rsidRDefault="00B122F7" w:rsidP="00B122F7">
            <w:pPr>
              <w:spacing w:before="0" w:after="0" w:line="240" w:lineRule="auto"/>
              <w:contextualSpacing/>
              <w:rPr>
                <w:sz w:val="18"/>
                <w:szCs w:val="18"/>
              </w:rPr>
            </w:pPr>
            <w:r w:rsidRPr="00A967F9">
              <w:rPr>
                <w:sz w:val="18"/>
                <w:szCs w:val="18"/>
              </w:rPr>
              <w:t xml:space="preserve">Romania </w:t>
            </w:r>
          </w:p>
        </w:tc>
        <w:tc>
          <w:tcPr>
            <w:tcW w:w="1555" w:type="dxa"/>
            <w:tcBorders>
              <w:top w:val="single" w:sz="4" w:space="0" w:color="auto"/>
              <w:left w:val="single" w:sz="4" w:space="0" w:color="auto"/>
              <w:bottom w:val="single" w:sz="4" w:space="0" w:color="auto"/>
              <w:right w:val="single" w:sz="4" w:space="0" w:color="auto"/>
            </w:tcBorders>
            <w:vAlign w:val="center"/>
          </w:tcPr>
          <w:p w14:paraId="6AA8EB24"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463 </w:t>
            </w:r>
          </w:p>
        </w:tc>
        <w:tc>
          <w:tcPr>
            <w:tcW w:w="1279" w:type="dxa"/>
            <w:tcBorders>
              <w:top w:val="single" w:sz="4" w:space="0" w:color="auto"/>
              <w:left w:val="single" w:sz="4" w:space="0" w:color="auto"/>
              <w:bottom w:val="single" w:sz="4" w:space="0" w:color="auto"/>
              <w:right w:val="single" w:sz="4" w:space="0" w:color="auto"/>
            </w:tcBorders>
            <w:vAlign w:val="center"/>
          </w:tcPr>
          <w:p w14:paraId="6D51BFB6"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398 </w:t>
            </w:r>
          </w:p>
        </w:tc>
        <w:tc>
          <w:tcPr>
            <w:tcW w:w="1417" w:type="dxa"/>
            <w:tcBorders>
              <w:top w:val="single" w:sz="4" w:space="0" w:color="auto"/>
              <w:left w:val="single" w:sz="4" w:space="0" w:color="auto"/>
              <w:bottom w:val="single" w:sz="4" w:space="0" w:color="auto"/>
              <w:right w:val="single" w:sz="4" w:space="0" w:color="auto"/>
            </w:tcBorders>
            <w:vAlign w:val="center"/>
          </w:tcPr>
          <w:p w14:paraId="74348EB8"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816 </w:t>
            </w:r>
          </w:p>
        </w:tc>
        <w:tc>
          <w:tcPr>
            <w:tcW w:w="1417" w:type="dxa"/>
            <w:tcBorders>
              <w:top w:val="single" w:sz="4" w:space="0" w:color="auto"/>
              <w:left w:val="single" w:sz="4" w:space="0" w:color="auto"/>
              <w:bottom w:val="single" w:sz="4" w:space="0" w:color="auto"/>
              <w:right w:val="single" w:sz="4" w:space="0" w:color="auto"/>
            </w:tcBorders>
            <w:vAlign w:val="center"/>
          </w:tcPr>
          <w:p w14:paraId="1F540E60" w14:textId="76458505"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642 </w:t>
            </w:r>
          </w:p>
        </w:tc>
        <w:tc>
          <w:tcPr>
            <w:tcW w:w="1417" w:type="dxa"/>
            <w:tcBorders>
              <w:top w:val="single" w:sz="4" w:space="0" w:color="auto"/>
              <w:left w:val="single" w:sz="4" w:space="0" w:color="auto"/>
              <w:bottom w:val="single" w:sz="4" w:space="0" w:color="auto"/>
              <w:right w:val="single" w:sz="4" w:space="0" w:color="auto"/>
            </w:tcBorders>
            <w:vAlign w:val="center"/>
          </w:tcPr>
          <w:p w14:paraId="76B83125" w14:textId="4A8484DC"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060</w:t>
            </w:r>
          </w:p>
        </w:tc>
      </w:tr>
      <w:tr w:rsidR="00B122F7" w:rsidRPr="00A967F9" w14:paraId="69393B22"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tcPr>
          <w:p w14:paraId="6FEE4AB0" w14:textId="77777777" w:rsidR="00B122F7" w:rsidRPr="00A967F9" w:rsidRDefault="00B122F7" w:rsidP="00B122F7">
            <w:pPr>
              <w:spacing w:before="0" w:after="0" w:line="240" w:lineRule="auto"/>
              <w:contextualSpacing/>
              <w:rPr>
                <w:sz w:val="18"/>
                <w:szCs w:val="18"/>
              </w:rPr>
            </w:pPr>
            <w:r w:rsidRPr="00A967F9">
              <w:rPr>
                <w:sz w:val="18"/>
                <w:szCs w:val="18"/>
              </w:rPr>
              <w:t xml:space="preserve">Slovakia </w:t>
            </w:r>
          </w:p>
        </w:tc>
        <w:tc>
          <w:tcPr>
            <w:tcW w:w="1555" w:type="dxa"/>
            <w:tcBorders>
              <w:top w:val="single" w:sz="4" w:space="0" w:color="auto"/>
              <w:left w:val="single" w:sz="4" w:space="0" w:color="auto"/>
              <w:bottom w:val="single" w:sz="4" w:space="0" w:color="auto"/>
              <w:right w:val="single" w:sz="4" w:space="0" w:color="auto"/>
            </w:tcBorders>
            <w:vAlign w:val="center"/>
          </w:tcPr>
          <w:p w14:paraId="23B43614"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470 </w:t>
            </w:r>
          </w:p>
        </w:tc>
        <w:tc>
          <w:tcPr>
            <w:tcW w:w="1279" w:type="dxa"/>
            <w:tcBorders>
              <w:top w:val="single" w:sz="4" w:space="0" w:color="auto"/>
              <w:left w:val="single" w:sz="4" w:space="0" w:color="auto"/>
              <w:bottom w:val="single" w:sz="4" w:space="0" w:color="auto"/>
              <w:right w:val="single" w:sz="4" w:space="0" w:color="auto"/>
            </w:tcBorders>
            <w:vAlign w:val="center"/>
          </w:tcPr>
          <w:p w14:paraId="538B65B8"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563 </w:t>
            </w:r>
          </w:p>
        </w:tc>
        <w:tc>
          <w:tcPr>
            <w:tcW w:w="1417" w:type="dxa"/>
            <w:tcBorders>
              <w:top w:val="single" w:sz="4" w:space="0" w:color="auto"/>
              <w:left w:val="single" w:sz="4" w:space="0" w:color="auto"/>
              <w:bottom w:val="single" w:sz="4" w:space="0" w:color="auto"/>
              <w:right w:val="single" w:sz="4" w:space="0" w:color="auto"/>
            </w:tcBorders>
            <w:vAlign w:val="center"/>
          </w:tcPr>
          <w:p w14:paraId="25CA367C"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792 </w:t>
            </w:r>
          </w:p>
        </w:tc>
        <w:tc>
          <w:tcPr>
            <w:tcW w:w="1417" w:type="dxa"/>
            <w:tcBorders>
              <w:top w:val="single" w:sz="4" w:space="0" w:color="auto"/>
              <w:left w:val="single" w:sz="4" w:space="0" w:color="auto"/>
              <w:bottom w:val="single" w:sz="4" w:space="0" w:color="auto"/>
              <w:right w:val="single" w:sz="4" w:space="0" w:color="auto"/>
            </w:tcBorders>
            <w:vAlign w:val="center"/>
          </w:tcPr>
          <w:p w14:paraId="59990970" w14:textId="61D49B46" w:rsidR="00B122F7" w:rsidRPr="00A967F9" w:rsidRDefault="00B122F7" w:rsidP="00B122F7">
            <w:pPr>
              <w:spacing w:before="0" w:after="0" w:line="240" w:lineRule="auto"/>
              <w:contextualSpacing/>
              <w:jc w:val="right"/>
              <w:rPr>
                <w:sz w:val="18"/>
                <w:szCs w:val="18"/>
              </w:rPr>
            </w:pPr>
            <w:r w:rsidRPr="00A967F9">
              <w:rPr>
                <w:sz w:val="18"/>
                <w:szCs w:val="18"/>
              </w:rPr>
              <w:t>1</w:t>
            </w:r>
            <w:r w:rsidR="008D2892">
              <w:rPr>
                <w:sz w:val="18"/>
                <w:szCs w:val="18"/>
              </w:rPr>
              <w:t>,</w:t>
            </w:r>
            <w:r w:rsidRPr="00A967F9">
              <w:rPr>
                <w:sz w:val="18"/>
                <w:szCs w:val="18"/>
              </w:rPr>
              <w:t xml:space="preserve">814 </w:t>
            </w:r>
          </w:p>
        </w:tc>
        <w:tc>
          <w:tcPr>
            <w:tcW w:w="1417" w:type="dxa"/>
            <w:tcBorders>
              <w:top w:val="single" w:sz="4" w:space="0" w:color="auto"/>
              <w:left w:val="single" w:sz="4" w:space="0" w:color="auto"/>
              <w:bottom w:val="single" w:sz="4" w:space="0" w:color="auto"/>
              <w:right w:val="single" w:sz="4" w:space="0" w:color="auto"/>
            </w:tcBorders>
            <w:vAlign w:val="center"/>
          </w:tcPr>
          <w:p w14:paraId="5F0BF816" w14:textId="18F05710"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043</w:t>
            </w:r>
          </w:p>
        </w:tc>
      </w:tr>
      <w:tr w:rsidR="00B122F7" w:rsidRPr="00A967F9" w14:paraId="1F02A9A6"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tcPr>
          <w:p w14:paraId="539E6AB5" w14:textId="77777777" w:rsidR="00B122F7" w:rsidRPr="00A967F9" w:rsidRDefault="00B122F7" w:rsidP="00B122F7">
            <w:pPr>
              <w:spacing w:before="0" w:after="0" w:line="240" w:lineRule="auto"/>
              <w:contextualSpacing/>
              <w:rPr>
                <w:sz w:val="18"/>
                <w:szCs w:val="18"/>
              </w:rPr>
            </w:pPr>
            <w:r w:rsidRPr="00A967F9">
              <w:rPr>
                <w:sz w:val="18"/>
                <w:szCs w:val="18"/>
              </w:rPr>
              <w:t xml:space="preserve">Slovenia </w:t>
            </w:r>
          </w:p>
        </w:tc>
        <w:tc>
          <w:tcPr>
            <w:tcW w:w="1555" w:type="dxa"/>
            <w:tcBorders>
              <w:top w:val="single" w:sz="4" w:space="0" w:color="auto"/>
              <w:left w:val="single" w:sz="4" w:space="0" w:color="auto"/>
              <w:bottom w:val="single" w:sz="4" w:space="0" w:color="auto"/>
              <w:right w:val="single" w:sz="4" w:space="0" w:color="auto"/>
            </w:tcBorders>
            <w:vAlign w:val="center"/>
          </w:tcPr>
          <w:p w14:paraId="7F70760B"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566 </w:t>
            </w:r>
          </w:p>
        </w:tc>
        <w:tc>
          <w:tcPr>
            <w:tcW w:w="1279" w:type="dxa"/>
            <w:tcBorders>
              <w:top w:val="single" w:sz="4" w:space="0" w:color="auto"/>
              <w:left w:val="single" w:sz="4" w:space="0" w:color="auto"/>
              <w:bottom w:val="single" w:sz="4" w:space="0" w:color="auto"/>
              <w:right w:val="single" w:sz="4" w:space="0" w:color="auto"/>
            </w:tcBorders>
            <w:vAlign w:val="center"/>
          </w:tcPr>
          <w:p w14:paraId="186D9177"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682 </w:t>
            </w:r>
          </w:p>
        </w:tc>
        <w:tc>
          <w:tcPr>
            <w:tcW w:w="1417" w:type="dxa"/>
            <w:tcBorders>
              <w:top w:val="single" w:sz="4" w:space="0" w:color="auto"/>
              <w:left w:val="single" w:sz="4" w:space="0" w:color="auto"/>
              <w:bottom w:val="single" w:sz="4" w:space="0" w:color="auto"/>
              <w:right w:val="single" w:sz="4" w:space="0" w:color="auto"/>
            </w:tcBorders>
            <w:vAlign w:val="center"/>
          </w:tcPr>
          <w:p w14:paraId="3E72334F" w14:textId="4873FCF3"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400 </w:t>
            </w:r>
          </w:p>
        </w:tc>
        <w:tc>
          <w:tcPr>
            <w:tcW w:w="1417" w:type="dxa"/>
            <w:tcBorders>
              <w:top w:val="single" w:sz="4" w:space="0" w:color="auto"/>
              <w:left w:val="single" w:sz="4" w:space="0" w:color="auto"/>
              <w:bottom w:val="single" w:sz="4" w:space="0" w:color="auto"/>
              <w:right w:val="single" w:sz="4" w:space="0" w:color="auto"/>
            </w:tcBorders>
            <w:vAlign w:val="center"/>
          </w:tcPr>
          <w:p w14:paraId="3E273691" w14:textId="54F25593"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029 </w:t>
            </w:r>
          </w:p>
        </w:tc>
        <w:tc>
          <w:tcPr>
            <w:tcW w:w="1417" w:type="dxa"/>
            <w:tcBorders>
              <w:top w:val="single" w:sz="4" w:space="0" w:color="auto"/>
              <w:left w:val="single" w:sz="4" w:space="0" w:color="auto"/>
              <w:bottom w:val="single" w:sz="4" w:space="0" w:color="auto"/>
              <w:right w:val="single" w:sz="4" w:space="0" w:color="auto"/>
            </w:tcBorders>
            <w:vAlign w:val="center"/>
          </w:tcPr>
          <w:p w14:paraId="01651C7D" w14:textId="1A78B539"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747</w:t>
            </w:r>
          </w:p>
        </w:tc>
      </w:tr>
      <w:tr w:rsidR="00B122F7" w:rsidRPr="00A967F9" w14:paraId="2883B356"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tcPr>
          <w:p w14:paraId="44330EA9" w14:textId="77777777" w:rsidR="00B122F7" w:rsidRPr="00A967F9" w:rsidRDefault="00B122F7" w:rsidP="00B122F7">
            <w:pPr>
              <w:spacing w:before="0" w:after="0" w:line="240" w:lineRule="auto"/>
              <w:contextualSpacing/>
              <w:rPr>
                <w:sz w:val="18"/>
                <w:szCs w:val="18"/>
              </w:rPr>
            </w:pPr>
            <w:r w:rsidRPr="00A967F9">
              <w:rPr>
                <w:sz w:val="18"/>
                <w:szCs w:val="18"/>
              </w:rPr>
              <w:t xml:space="preserve">Spain </w:t>
            </w:r>
          </w:p>
        </w:tc>
        <w:tc>
          <w:tcPr>
            <w:tcW w:w="1555" w:type="dxa"/>
            <w:tcBorders>
              <w:top w:val="single" w:sz="4" w:space="0" w:color="auto"/>
              <w:left w:val="single" w:sz="4" w:space="0" w:color="auto"/>
              <w:bottom w:val="single" w:sz="4" w:space="0" w:color="auto"/>
              <w:right w:val="single" w:sz="4" w:space="0" w:color="auto"/>
            </w:tcBorders>
            <w:vAlign w:val="center"/>
          </w:tcPr>
          <w:p w14:paraId="75C64810"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528 </w:t>
            </w:r>
          </w:p>
        </w:tc>
        <w:tc>
          <w:tcPr>
            <w:tcW w:w="1279" w:type="dxa"/>
            <w:tcBorders>
              <w:top w:val="single" w:sz="4" w:space="0" w:color="auto"/>
              <w:left w:val="single" w:sz="4" w:space="0" w:color="auto"/>
              <w:bottom w:val="single" w:sz="4" w:space="0" w:color="auto"/>
              <w:right w:val="single" w:sz="4" w:space="0" w:color="auto"/>
            </w:tcBorders>
            <w:vAlign w:val="center"/>
          </w:tcPr>
          <w:p w14:paraId="52C78E17"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722 </w:t>
            </w:r>
          </w:p>
        </w:tc>
        <w:tc>
          <w:tcPr>
            <w:tcW w:w="1417" w:type="dxa"/>
            <w:tcBorders>
              <w:top w:val="single" w:sz="4" w:space="0" w:color="auto"/>
              <w:left w:val="single" w:sz="4" w:space="0" w:color="auto"/>
              <w:bottom w:val="single" w:sz="4" w:space="0" w:color="auto"/>
              <w:right w:val="single" w:sz="4" w:space="0" w:color="auto"/>
            </w:tcBorders>
            <w:vAlign w:val="center"/>
          </w:tcPr>
          <w:p w14:paraId="4CA2E0FF" w14:textId="5553F340"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483 </w:t>
            </w:r>
          </w:p>
        </w:tc>
        <w:tc>
          <w:tcPr>
            <w:tcW w:w="1417" w:type="dxa"/>
            <w:tcBorders>
              <w:top w:val="single" w:sz="4" w:space="0" w:color="auto"/>
              <w:left w:val="single" w:sz="4" w:space="0" w:color="auto"/>
              <w:bottom w:val="single" w:sz="4" w:space="0" w:color="auto"/>
              <w:right w:val="single" w:sz="4" w:space="0" w:color="auto"/>
            </w:tcBorders>
            <w:vAlign w:val="center"/>
          </w:tcPr>
          <w:p w14:paraId="1F9E6BE8" w14:textId="2A4D34C6"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031 </w:t>
            </w:r>
          </w:p>
        </w:tc>
        <w:tc>
          <w:tcPr>
            <w:tcW w:w="1417" w:type="dxa"/>
            <w:tcBorders>
              <w:top w:val="single" w:sz="4" w:space="0" w:color="auto"/>
              <w:left w:val="single" w:sz="4" w:space="0" w:color="auto"/>
              <w:bottom w:val="single" w:sz="4" w:space="0" w:color="auto"/>
              <w:right w:val="single" w:sz="4" w:space="0" w:color="auto"/>
            </w:tcBorders>
            <w:vAlign w:val="center"/>
          </w:tcPr>
          <w:p w14:paraId="1B9E71E2" w14:textId="0B779377"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791</w:t>
            </w:r>
          </w:p>
        </w:tc>
      </w:tr>
      <w:tr w:rsidR="00B122F7" w:rsidRPr="00A967F9" w14:paraId="00A1F740" w14:textId="77777777" w:rsidTr="00B122F7">
        <w:trPr>
          <w:trHeight w:val="340"/>
        </w:trPr>
        <w:tc>
          <w:tcPr>
            <w:tcW w:w="1417" w:type="dxa"/>
            <w:tcBorders>
              <w:top w:val="single" w:sz="4" w:space="0" w:color="auto"/>
              <w:left w:val="single" w:sz="4" w:space="0" w:color="auto"/>
              <w:bottom w:val="single" w:sz="4" w:space="0" w:color="auto"/>
              <w:right w:val="single" w:sz="4" w:space="0" w:color="auto"/>
            </w:tcBorders>
            <w:shd w:val="clear" w:color="auto" w:fill="FFE5D2" w:themeFill="accent5" w:themeFillTint="33"/>
            <w:vAlign w:val="center"/>
          </w:tcPr>
          <w:p w14:paraId="5F83A19D" w14:textId="77777777" w:rsidR="00B122F7" w:rsidRPr="00A967F9" w:rsidRDefault="00B122F7" w:rsidP="00B122F7">
            <w:pPr>
              <w:spacing w:before="0" w:after="0" w:line="240" w:lineRule="auto"/>
              <w:contextualSpacing/>
              <w:rPr>
                <w:sz w:val="18"/>
                <w:szCs w:val="18"/>
              </w:rPr>
            </w:pPr>
            <w:r w:rsidRPr="00A967F9">
              <w:rPr>
                <w:sz w:val="18"/>
                <w:szCs w:val="18"/>
              </w:rPr>
              <w:t xml:space="preserve">Sweden </w:t>
            </w:r>
          </w:p>
        </w:tc>
        <w:tc>
          <w:tcPr>
            <w:tcW w:w="1555" w:type="dxa"/>
            <w:tcBorders>
              <w:top w:val="single" w:sz="4" w:space="0" w:color="auto"/>
              <w:left w:val="single" w:sz="4" w:space="0" w:color="auto"/>
              <w:bottom w:val="single" w:sz="4" w:space="0" w:color="auto"/>
              <w:right w:val="single" w:sz="4" w:space="0" w:color="auto"/>
            </w:tcBorders>
            <w:vAlign w:val="center"/>
          </w:tcPr>
          <w:p w14:paraId="57DBE6CA" w14:textId="77777777" w:rsidR="00B122F7" w:rsidRPr="00A967F9" w:rsidRDefault="00B122F7" w:rsidP="00B122F7">
            <w:pPr>
              <w:spacing w:before="0" w:after="0" w:line="240" w:lineRule="auto"/>
              <w:contextualSpacing/>
              <w:jc w:val="right"/>
              <w:rPr>
                <w:sz w:val="18"/>
                <w:szCs w:val="18"/>
              </w:rPr>
            </w:pPr>
            <w:r w:rsidRPr="00A967F9">
              <w:rPr>
                <w:sz w:val="18"/>
                <w:szCs w:val="18"/>
              </w:rPr>
              <w:t xml:space="preserve">527 </w:t>
            </w:r>
          </w:p>
        </w:tc>
        <w:tc>
          <w:tcPr>
            <w:tcW w:w="1279" w:type="dxa"/>
            <w:tcBorders>
              <w:top w:val="single" w:sz="4" w:space="0" w:color="auto"/>
              <w:left w:val="single" w:sz="4" w:space="0" w:color="auto"/>
              <w:bottom w:val="single" w:sz="4" w:space="0" w:color="auto"/>
              <w:right w:val="single" w:sz="4" w:space="0" w:color="auto"/>
            </w:tcBorders>
            <w:vAlign w:val="center"/>
          </w:tcPr>
          <w:p w14:paraId="2A31BCA9" w14:textId="12352A94"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248 </w:t>
            </w:r>
          </w:p>
        </w:tc>
        <w:tc>
          <w:tcPr>
            <w:tcW w:w="1417" w:type="dxa"/>
            <w:tcBorders>
              <w:top w:val="single" w:sz="4" w:space="0" w:color="auto"/>
              <w:left w:val="single" w:sz="4" w:space="0" w:color="auto"/>
              <w:bottom w:val="single" w:sz="4" w:space="0" w:color="auto"/>
              <w:right w:val="single" w:sz="4" w:space="0" w:color="auto"/>
            </w:tcBorders>
            <w:vAlign w:val="center"/>
          </w:tcPr>
          <w:p w14:paraId="511F5ABD" w14:textId="0CDE0113" w:rsidR="00B122F7" w:rsidRPr="00A967F9" w:rsidRDefault="00B122F7" w:rsidP="00B122F7">
            <w:pPr>
              <w:spacing w:before="0" w:after="0" w:line="240" w:lineRule="auto"/>
              <w:contextualSpacing/>
              <w:jc w:val="right"/>
              <w:rPr>
                <w:sz w:val="18"/>
                <w:szCs w:val="18"/>
              </w:rPr>
            </w:pPr>
            <w:r w:rsidRPr="00A967F9">
              <w:rPr>
                <w:sz w:val="18"/>
                <w:szCs w:val="18"/>
              </w:rPr>
              <w:t>1</w:t>
            </w:r>
            <w:r>
              <w:rPr>
                <w:sz w:val="18"/>
                <w:szCs w:val="18"/>
              </w:rPr>
              <w:t>,</w:t>
            </w:r>
            <w:r w:rsidRPr="00A967F9">
              <w:rPr>
                <w:sz w:val="18"/>
                <w:szCs w:val="18"/>
              </w:rPr>
              <w:t xml:space="preserve">757 </w:t>
            </w:r>
          </w:p>
        </w:tc>
        <w:tc>
          <w:tcPr>
            <w:tcW w:w="1417" w:type="dxa"/>
            <w:tcBorders>
              <w:top w:val="single" w:sz="4" w:space="0" w:color="auto"/>
              <w:left w:val="single" w:sz="4" w:space="0" w:color="auto"/>
              <w:bottom w:val="single" w:sz="4" w:space="0" w:color="auto"/>
              <w:right w:val="single" w:sz="4" w:space="0" w:color="auto"/>
            </w:tcBorders>
            <w:vAlign w:val="center"/>
          </w:tcPr>
          <w:p w14:paraId="3AE8D91B" w14:textId="4A42C8E9" w:rsidR="00B122F7" w:rsidRPr="00A967F9" w:rsidRDefault="00B122F7" w:rsidP="00B122F7">
            <w:pPr>
              <w:spacing w:before="0" w:after="0" w:line="240" w:lineRule="auto"/>
              <w:contextualSpacing/>
              <w:jc w:val="right"/>
              <w:rPr>
                <w:sz w:val="18"/>
                <w:szCs w:val="18"/>
              </w:rPr>
            </w:pPr>
            <w:r w:rsidRPr="00A967F9">
              <w:rPr>
                <w:sz w:val="18"/>
                <w:szCs w:val="18"/>
              </w:rPr>
              <w:t>2</w:t>
            </w:r>
            <w:r w:rsidR="008D2892">
              <w:rPr>
                <w:sz w:val="18"/>
                <w:szCs w:val="18"/>
              </w:rPr>
              <w:t>,</w:t>
            </w:r>
            <w:r w:rsidRPr="00A967F9">
              <w:rPr>
                <w:sz w:val="18"/>
                <w:szCs w:val="18"/>
              </w:rPr>
              <w:t xml:space="preserve">555 </w:t>
            </w:r>
          </w:p>
        </w:tc>
        <w:tc>
          <w:tcPr>
            <w:tcW w:w="1417" w:type="dxa"/>
            <w:tcBorders>
              <w:top w:val="single" w:sz="4" w:space="0" w:color="auto"/>
              <w:left w:val="single" w:sz="4" w:space="0" w:color="auto"/>
              <w:bottom w:val="single" w:sz="4" w:space="0" w:color="auto"/>
              <w:right w:val="single" w:sz="4" w:space="0" w:color="auto"/>
            </w:tcBorders>
            <w:vAlign w:val="center"/>
          </w:tcPr>
          <w:p w14:paraId="11DDAF7D" w14:textId="7199B2C7" w:rsidR="00B122F7" w:rsidRPr="00A967F9" w:rsidRDefault="00B122F7" w:rsidP="00B122F7">
            <w:pPr>
              <w:spacing w:before="0" w:after="0" w:line="240" w:lineRule="auto"/>
              <w:contextualSpacing/>
              <w:jc w:val="right"/>
              <w:rPr>
                <w:sz w:val="18"/>
                <w:szCs w:val="18"/>
              </w:rPr>
            </w:pPr>
            <w:r w:rsidRPr="00A967F9">
              <w:rPr>
                <w:sz w:val="18"/>
                <w:szCs w:val="18"/>
              </w:rPr>
              <w:t>3</w:t>
            </w:r>
            <w:r w:rsidR="008D2892">
              <w:rPr>
                <w:sz w:val="18"/>
                <w:szCs w:val="18"/>
              </w:rPr>
              <w:t>,</w:t>
            </w:r>
            <w:r w:rsidRPr="00A967F9">
              <w:rPr>
                <w:sz w:val="18"/>
                <w:szCs w:val="18"/>
              </w:rPr>
              <w:t>064</w:t>
            </w:r>
          </w:p>
        </w:tc>
      </w:tr>
    </w:tbl>
    <w:p w14:paraId="6847B6AB" w14:textId="42CDE705" w:rsidR="00811EA2" w:rsidRPr="00EE5690" w:rsidRDefault="002D6198" w:rsidP="002D2FB4">
      <w:pPr>
        <w:rPr>
          <w:rFonts w:cs="Arial"/>
        </w:rPr>
      </w:pPr>
      <w:r w:rsidRPr="00EE5690">
        <w:rPr>
          <w:rFonts w:cs="Arial"/>
        </w:rPr>
        <w:t xml:space="preserve">The parameters that </w:t>
      </w:r>
      <w:r w:rsidR="008A42DD">
        <w:rPr>
          <w:rFonts w:cs="Arial"/>
        </w:rPr>
        <w:t xml:space="preserve">the </w:t>
      </w:r>
      <w:r w:rsidRPr="00EE5690">
        <w:rPr>
          <w:rFonts w:cs="Arial"/>
        </w:rPr>
        <w:t>European Commission considered for the afforestation cost estimation are significantly different with the parameters of this Task. As it is referred before, the costs can increase to and even exceed 10,000 EUR per hectare which is very close to the results of the mechanical way of planting. In the model that has been developed in this Task there might be an overestimation of the prices</w:t>
      </w:r>
      <w:r w:rsidR="008A42DD">
        <w:rPr>
          <w:rFonts w:cs="Arial"/>
        </w:rPr>
        <w:t>,</w:t>
      </w:r>
      <w:r w:rsidRPr="00EE5690">
        <w:rPr>
          <w:rFonts w:cs="Arial"/>
        </w:rPr>
        <w:t xml:space="preserve"> but this was the first approach for this economical model with specific and limited parameters. This can be a base for further analysis and research.</w:t>
      </w:r>
    </w:p>
    <w:p w14:paraId="1F99E970" w14:textId="6EDA1BBC" w:rsidR="00196D52" w:rsidRPr="00EE5690" w:rsidRDefault="00196D52" w:rsidP="005D4B20">
      <w:pPr>
        <w:pStyle w:val="MAIL1"/>
      </w:pPr>
      <w:bookmarkStart w:id="109" w:name="_Toc91752405"/>
      <w:r w:rsidRPr="00EE5690">
        <w:t>Analysis of identified sustainable development indicators and aspects in marginal lands</w:t>
      </w:r>
      <w:bookmarkEnd w:id="109"/>
    </w:p>
    <w:p w14:paraId="7AB41DD7" w14:textId="1EDBC61F" w:rsidR="009A6D21" w:rsidRPr="00EE5690" w:rsidRDefault="00E94B3E" w:rsidP="002D2FB4">
      <w:pPr>
        <w:rPr>
          <w:rFonts w:cs="Arial"/>
          <w:lang w:val="en-GB"/>
        </w:rPr>
      </w:pPr>
      <w:r w:rsidRPr="00EE5690">
        <w:rPr>
          <w:rFonts w:cs="Arial"/>
          <w:lang w:val="en-GB"/>
        </w:rPr>
        <w:t xml:space="preserve">In this chapter, the sustainability aspects identified in chapters 4,5,6 are analysed in a temporal scale for Europe. Each aspect was related with several indicators that monitor the evolution of the sustainable development in the marginal lands. Seemingly, the indicators selected to identify each sustainability aspect can be related with economic, </w:t>
      </w:r>
      <w:proofErr w:type="gramStart"/>
      <w:r w:rsidRPr="00EE5690">
        <w:rPr>
          <w:rFonts w:cs="Arial"/>
          <w:lang w:val="en-GB"/>
        </w:rPr>
        <w:lastRenderedPageBreak/>
        <w:t>environmental</w:t>
      </w:r>
      <w:proofErr w:type="gramEnd"/>
      <w:r w:rsidRPr="00EE5690">
        <w:rPr>
          <w:rFonts w:cs="Arial"/>
          <w:lang w:val="en-GB"/>
        </w:rPr>
        <w:t xml:space="preserve"> and social variables. </w:t>
      </w:r>
      <w:r w:rsidR="009A6D21" w:rsidRPr="00EE5690">
        <w:rPr>
          <w:rFonts w:cs="Arial"/>
          <w:lang w:val="en-GB"/>
        </w:rPr>
        <w:t>Next the indicators identified for the sustainability aspects are summarised:</w:t>
      </w:r>
    </w:p>
    <w:p w14:paraId="160E9AF7" w14:textId="58DC384C" w:rsidR="00EF0705" w:rsidRPr="008A42DD" w:rsidRDefault="00EF0705" w:rsidP="008D2892">
      <w:pPr>
        <w:pStyle w:val="Caption"/>
        <w:keepNext/>
        <w:rPr>
          <w:rFonts w:cs="Arial"/>
        </w:rPr>
      </w:pPr>
      <w:bookmarkStart w:id="110" w:name="_Toc91752563"/>
      <w:r w:rsidRPr="008A42DD">
        <w:rPr>
          <w:rFonts w:cs="Arial"/>
        </w:rPr>
        <w:t xml:space="preserve">Table </w:t>
      </w:r>
      <w:r w:rsidRPr="008A42DD">
        <w:rPr>
          <w:rFonts w:cs="Arial"/>
        </w:rPr>
        <w:fldChar w:fldCharType="begin"/>
      </w:r>
      <w:r w:rsidRPr="008A42DD">
        <w:rPr>
          <w:rFonts w:cs="Arial"/>
        </w:rPr>
        <w:instrText xml:space="preserve"> SEQ Table \* ARABIC </w:instrText>
      </w:r>
      <w:r w:rsidRPr="008A42DD">
        <w:rPr>
          <w:rFonts w:cs="Arial"/>
        </w:rPr>
        <w:fldChar w:fldCharType="separate"/>
      </w:r>
      <w:r w:rsidR="0073710A">
        <w:rPr>
          <w:rFonts w:cs="Arial"/>
          <w:noProof/>
        </w:rPr>
        <w:t>24</w:t>
      </w:r>
      <w:r w:rsidRPr="008A42DD">
        <w:rPr>
          <w:rFonts w:cs="Arial"/>
        </w:rPr>
        <w:fldChar w:fldCharType="end"/>
      </w:r>
      <w:r w:rsidRPr="008A42DD">
        <w:rPr>
          <w:rFonts w:cs="Arial"/>
        </w:rPr>
        <w:t>. Indicators identified for the sustainability aspects.</w:t>
      </w:r>
      <w:bookmarkEnd w:id="110"/>
    </w:p>
    <w:tbl>
      <w:tblPr>
        <w:tblW w:w="4444" w:type="dxa"/>
        <w:jc w:val="center"/>
        <w:tblCellMar>
          <w:left w:w="70" w:type="dxa"/>
          <w:right w:w="70" w:type="dxa"/>
        </w:tblCellMar>
        <w:tblLook w:val="04A0" w:firstRow="1" w:lastRow="0" w:firstColumn="1" w:lastColumn="0" w:noHBand="0" w:noVBand="1"/>
      </w:tblPr>
      <w:tblGrid>
        <w:gridCol w:w="1547"/>
        <w:gridCol w:w="1252"/>
        <w:gridCol w:w="1645"/>
      </w:tblGrid>
      <w:tr w:rsidR="007027AB" w:rsidRPr="00EE5690" w14:paraId="6BC2C10F" w14:textId="77777777" w:rsidTr="00A967F9">
        <w:trPr>
          <w:trHeight w:val="264"/>
          <w:jc w:val="center"/>
        </w:trPr>
        <w:tc>
          <w:tcPr>
            <w:tcW w:w="1547" w:type="dxa"/>
            <w:tcBorders>
              <w:top w:val="nil"/>
              <w:left w:val="nil"/>
              <w:bottom w:val="single" w:sz="4" w:space="0" w:color="auto"/>
              <w:right w:val="nil"/>
            </w:tcBorders>
            <w:shd w:val="clear" w:color="auto" w:fill="BFBFBF" w:themeFill="background1" w:themeFillShade="BF"/>
            <w:noWrap/>
            <w:vAlign w:val="center"/>
          </w:tcPr>
          <w:p w14:paraId="4035349B" w14:textId="3FDE771C" w:rsidR="007027AB" w:rsidRPr="00EE5690" w:rsidRDefault="007027AB" w:rsidP="00EE5690">
            <w:pPr>
              <w:spacing w:before="0" w:after="0" w:line="240" w:lineRule="auto"/>
              <w:jc w:val="left"/>
              <w:rPr>
                <w:rFonts w:eastAsia="Times New Roman" w:cs="Arial"/>
                <w:b/>
                <w:bCs/>
                <w:lang w:val="en-GB" w:eastAsia="es-ES"/>
              </w:rPr>
            </w:pPr>
            <w:r w:rsidRPr="00EE5690">
              <w:rPr>
                <w:rFonts w:eastAsia="Times New Roman" w:cs="Arial"/>
                <w:b/>
                <w:bCs/>
                <w:lang w:val="en-GB" w:eastAsia="es-ES"/>
              </w:rPr>
              <w:t>Aspect</w:t>
            </w:r>
          </w:p>
        </w:tc>
        <w:tc>
          <w:tcPr>
            <w:tcW w:w="2897" w:type="dxa"/>
            <w:gridSpan w:val="2"/>
            <w:tcBorders>
              <w:top w:val="nil"/>
              <w:left w:val="nil"/>
              <w:bottom w:val="single" w:sz="4" w:space="0" w:color="auto"/>
              <w:right w:val="nil"/>
            </w:tcBorders>
            <w:shd w:val="clear" w:color="auto" w:fill="BFBFBF" w:themeFill="background1" w:themeFillShade="BF"/>
            <w:noWrap/>
            <w:vAlign w:val="center"/>
          </w:tcPr>
          <w:p w14:paraId="4C9ADAA5" w14:textId="330818BA" w:rsidR="007027AB" w:rsidRPr="00EE5690" w:rsidRDefault="007027AB" w:rsidP="00EE5690">
            <w:pPr>
              <w:spacing w:before="0" w:after="0" w:line="240" w:lineRule="auto"/>
              <w:jc w:val="left"/>
              <w:rPr>
                <w:rFonts w:eastAsia="Times New Roman" w:cs="Arial"/>
                <w:b/>
                <w:bCs/>
                <w:lang w:val="en-GB" w:eastAsia="es-ES"/>
              </w:rPr>
            </w:pPr>
            <w:r w:rsidRPr="00EE5690">
              <w:rPr>
                <w:rFonts w:eastAsia="Times New Roman" w:cs="Arial"/>
                <w:b/>
                <w:bCs/>
                <w:lang w:val="en-GB" w:eastAsia="es-ES"/>
              </w:rPr>
              <w:t>Indicator</w:t>
            </w:r>
          </w:p>
        </w:tc>
      </w:tr>
      <w:tr w:rsidR="009A6D21" w:rsidRPr="00EE5690" w14:paraId="3EE0DF2A" w14:textId="77777777" w:rsidTr="00EF0705">
        <w:trPr>
          <w:trHeight w:val="264"/>
          <w:jc w:val="center"/>
        </w:trPr>
        <w:tc>
          <w:tcPr>
            <w:tcW w:w="1547" w:type="dxa"/>
            <w:vMerge w:val="restart"/>
            <w:tcBorders>
              <w:top w:val="single" w:sz="4" w:space="0" w:color="auto"/>
              <w:left w:val="nil"/>
              <w:bottom w:val="nil"/>
              <w:right w:val="nil"/>
            </w:tcBorders>
            <w:shd w:val="clear" w:color="auto" w:fill="auto"/>
            <w:noWrap/>
            <w:vAlign w:val="center"/>
            <w:hideMark/>
          </w:tcPr>
          <w:p w14:paraId="5515B093"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Financial</w:t>
            </w:r>
          </w:p>
        </w:tc>
        <w:tc>
          <w:tcPr>
            <w:tcW w:w="1252" w:type="dxa"/>
            <w:vMerge w:val="restart"/>
            <w:tcBorders>
              <w:top w:val="single" w:sz="4" w:space="0" w:color="auto"/>
              <w:left w:val="nil"/>
              <w:bottom w:val="nil"/>
              <w:right w:val="nil"/>
            </w:tcBorders>
            <w:shd w:val="clear" w:color="auto" w:fill="auto"/>
            <w:noWrap/>
            <w:vAlign w:val="center"/>
            <w:hideMark/>
          </w:tcPr>
          <w:p w14:paraId="3C23E9EE"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Costs</w:t>
            </w:r>
          </w:p>
        </w:tc>
        <w:tc>
          <w:tcPr>
            <w:tcW w:w="1645" w:type="dxa"/>
            <w:tcBorders>
              <w:top w:val="single" w:sz="4" w:space="0" w:color="auto"/>
              <w:left w:val="nil"/>
              <w:bottom w:val="nil"/>
              <w:right w:val="nil"/>
            </w:tcBorders>
            <w:shd w:val="clear" w:color="auto" w:fill="auto"/>
            <w:noWrap/>
            <w:vAlign w:val="bottom"/>
            <w:hideMark/>
          </w:tcPr>
          <w:p w14:paraId="48D2179E"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Implementation plan</w:t>
            </w:r>
          </w:p>
        </w:tc>
      </w:tr>
      <w:tr w:rsidR="009A6D21" w:rsidRPr="00EE5690" w14:paraId="7F510F5E" w14:textId="77777777" w:rsidTr="00EF0705">
        <w:trPr>
          <w:trHeight w:val="264"/>
          <w:jc w:val="center"/>
        </w:trPr>
        <w:tc>
          <w:tcPr>
            <w:tcW w:w="1547" w:type="dxa"/>
            <w:vMerge/>
            <w:tcBorders>
              <w:top w:val="nil"/>
              <w:left w:val="nil"/>
              <w:bottom w:val="nil"/>
              <w:right w:val="nil"/>
            </w:tcBorders>
            <w:vAlign w:val="center"/>
            <w:hideMark/>
          </w:tcPr>
          <w:p w14:paraId="53DE3522"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tcBorders>
              <w:top w:val="nil"/>
              <w:left w:val="nil"/>
              <w:bottom w:val="nil"/>
              <w:right w:val="nil"/>
            </w:tcBorders>
            <w:vAlign w:val="center"/>
            <w:hideMark/>
          </w:tcPr>
          <w:p w14:paraId="0EA94241" w14:textId="77777777" w:rsidR="009A6D21" w:rsidRPr="00EE5690" w:rsidRDefault="009A6D21" w:rsidP="00EE5690">
            <w:pPr>
              <w:spacing w:before="0" w:after="0" w:line="240" w:lineRule="auto"/>
              <w:jc w:val="left"/>
              <w:rPr>
                <w:rFonts w:eastAsia="Times New Roman" w:cs="Arial"/>
                <w:lang w:val="es-ES" w:eastAsia="es-ES"/>
              </w:rPr>
            </w:pPr>
          </w:p>
        </w:tc>
        <w:tc>
          <w:tcPr>
            <w:tcW w:w="1645" w:type="dxa"/>
            <w:tcBorders>
              <w:top w:val="nil"/>
              <w:left w:val="nil"/>
              <w:bottom w:val="nil"/>
              <w:right w:val="nil"/>
            </w:tcBorders>
            <w:shd w:val="clear" w:color="auto" w:fill="auto"/>
            <w:noWrap/>
            <w:vAlign w:val="bottom"/>
            <w:hideMark/>
          </w:tcPr>
          <w:p w14:paraId="0E5F767B"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Permissions</w:t>
            </w:r>
          </w:p>
        </w:tc>
      </w:tr>
      <w:tr w:rsidR="009A6D21" w:rsidRPr="00EE5690" w14:paraId="49F720F8" w14:textId="77777777" w:rsidTr="00EF0705">
        <w:trPr>
          <w:trHeight w:val="264"/>
          <w:jc w:val="center"/>
        </w:trPr>
        <w:tc>
          <w:tcPr>
            <w:tcW w:w="1547" w:type="dxa"/>
            <w:vMerge/>
            <w:tcBorders>
              <w:top w:val="nil"/>
              <w:left w:val="nil"/>
              <w:bottom w:val="nil"/>
              <w:right w:val="nil"/>
            </w:tcBorders>
            <w:vAlign w:val="center"/>
            <w:hideMark/>
          </w:tcPr>
          <w:p w14:paraId="63C77C50"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tcBorders>
              <w:top w:val="nil"/>
              <w:left w:val="nil"/>
              <w:bottom w:val="nil"/>
              <w:right w:val="nil"/>
            </w:tcBorders>
            <w:vAlign w:val="center"/>
            <w:hideMark/>
          </w:tcPr>
          <w:p w14:paraId="76F8E9F1" w14:textId="77777777" w:rsidR="009A6D21" w:rsidRPr="00EE5690" w:rsidRDefault="009A6D21" w:rsidP="00EE5690">
            <w:pPr>
              <w:spacing w:before="0" w:after="0" w:line="240" w:lineRule="auto"/>
              <w:jc w:val="left"/>
              <w:rPr>
                <w:rFonts w:eastAsia="Times New Roman" w:cs="Arial"/>
                <w:lang w:val="es-ES" w:eastAsia="es-ES"/>
              </w:rPr>
            </w:pPr>
          </w:p>
        </w:tc>
        <w:tc>
          <w:tcPr>
            <w:tcW w:w="1645" w:type="dxa"/>
            <w:tcBorders>
              <w:top w:val="nil"/>
              <w:left w:val="nil"/>
              <w:bottom w:val="nil"/>
              <w:right w:val="nil"/>
            </w:tcBorders>
            <w:shd w:val="clear" w:color="auto" w:fill="auto"/>
            <w:noWrap/>
            <w:vAlign w:val="bottom"/>
            <w:hideMark/>
          </w:tcPr>
          <w:p w14:paraId="4633BD6F"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Accreditation</w:t>
            </w:r>
          </w:p>
        </w:tc>
      </w:tr>
      <w:tr w:rsidR="009A6D21" w:rsidRPr="00EE5690" w14:paraId="2A1E6F53" w14:textId="77777777" w:rsidTr="00EF0705">
        <w:trPr>
          <w:trHeight w:val="264"/>
          <w:jc w:val="center"/>
        </w:trPr>
        <w:tc>
          <w:tcPr>
            <w:tcW w:w="1547" w:type="dxa"/>
            <w:vMerge/>
            <w:tcBorders>
              <w:top w:val="nil"/>
              <w:left w:val="nil"/>
              <w:bottom w:val="nil"/>
              <w:right w:val="nil"/>
            </w:tcBorders>
            <w:vAlign w:val="center"/>
            <w:hideMark/>
          </w:tcPr>
          <w:p w14:paraId="28B8952C"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tcBorders>
              <w:top w:val="nil"/>
              <w:left w:val="nil"/>
              <w:bottom w:val="nil"/>
              <w:right w:val="nil"/>
            </w:tcBorders>
            <w:vAlign w:val="center"/>
            <w:hideMark/>
          </w:tcPr>
          <w:p w14:paraId="4C3F92F9" w14:textId="77777777" w:rsidR="009A6D21" w:rsidRPr="00EE5690" w:rsidRDefault="009A6D21" w:rsidP="00EE5690">
            <w:pPr>
              <w:spacing w:before="0" w:after="0" w:line="240" w:lineRule="auto"/>
              <w:jc w:val="left"/>
              <w:rPr>
                <w:rFonts w:eastAsia="Times New Roman" w:cs="Arial"/>
                <w:lang w:val="es-ES" w:eastAsia="es-ES"/>
              </w:rPr>
            </w:pPr>
          </w:p>
        </w:tc>
        <w:tc>
          <w:tcPr>
            <w:tcW w:w="1645" w:type="dxa"/>
            <w:tcBorders>
              <w:top w:val="nil"/>
              <w:left w:val="nil"/>
              <w:bottom w:val="nil"/>
              <w:right w:val="nil"/>
            </w:tcBorders>
            <w:shd w:val="clear" w:color="auto" w:fill="auto"/>
            <w:noWrap/>
            <w:vAlign w:val="bottom"/>
            <w:hideMark/>
          </w:tcPr>
          <w:p w14:paraId="3DF63A11"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Land acquisition</w:t>
            </w:r>
          </w:p>
        </w:tc>
      </w:tr>
      <w:tr w:rsidR="009A6D21" w:rsidRPr="00EE5690" w14:paraId="271F2F08" w14:textId="77777777" w:rsidTr="00EF0705">
        <w:trPr>
          <w:trHeight w:val="264"/>
          <w:jc w:val="center"/>
        </w:trPr>
        <w:tc>
          <w:tcPr>
            <w:tcW w:w="1547" w:type="dxa"/>
            <w:vMerge/>
            <w:tcBorders>
              <w:top w:val="nil"/>
              <w:left w:val="nil"/>
              <w:bottom w:val="nil"/>
              <w:right w:val="nil"/>
            </w:tcBorders>
            <w:vAlign w:val="center"/>
            <w:hideMark/>
          </w:tcPr>
          <w:p w14:paraId="6CA19220"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tcBorders>
              <w:top w:val="nil"/>
              <w:left w:val="nil"/>
              <w:bottom w:val="nil"/>
              <w:right w:val="nil"/>
            </w:tcBorders>
            <w:vAlign w:val="center"/>
            <w:hideMark/>
          </w:tcPr>
          <w:p w14:paraId="0D6FC0B3" w14:textId="77777777" w:rsidR="009A6D21" w:rsidRPr="00EE5690" w:rsidRDefault="009A6D21" w:rsidP="00EE5690">
            <w:pPr>
              <w:spacing w:before="0" w:after="0" w:line="240" w:lineRule="auto"/>
              <w:jc w:val="left"/>
              <w:rPr>
                <w:rFonts w:eastAsia="Times New Roman" w:cs="Arial"/>
                <w:lang w:val="es-ES" w:eastAsia="es-ES"/>
              </w:rPr>
            </w:pPr>
          </w:p>
        </w:tc>
        <w:tc>
          <w:tcPr>
            <w:tcW w:w="1645" w:type="dxa"/>
            <w:tcBorders>
              <w:top w:val="nil"/>
              <w:left w:val="nil"/>
              <w:bottom w:val="nil"/>
              <w:right w:val="nil"/>
            </w:tcBorders>
            <w:shd w:val="clear" w:color="auto" w:fill="auto"/>
            <w:noWrap/>
            <w:vAlign w:val="bottom"/>
            <w:hideMark/>
          </w:tcPr>
          <w:p w14:paraId="13405C3C"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Establishment Costs</w:t>
            </w:r>
          </w:p>
        </w:tc>
      </w:tr>
      <w:tr w:rsidR="009A6D21" w:rsidRPr="00EE5690" w14:paraId="142F810B" w14:textId="77777777" w:rsidTr="00EF0705">
        <w:trPr>
          <w:trHeight w:val="264"/>
          <w:jc w:val="center"/>
        </w:trPr>
        <w:tc>
          <w:tcPr>
            <w:tcW w:w="1547" w:type="dxa"/>
            <w:vMerge/>
            <w:tcBorders>
              <w:top w:val="nil"/>
              <w:left w:val="nil"/>
              <w:bottom w:val="nil"/>
              <w:right w:val="nil"/>
            </w:tcBorders>
            <w:vAlign w:val="center"/>
            <w:hideMark/>
          </w:tcPr>
          <w:p w14:paraId="725C1973"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tcBorders>
              <w:top w:val="nil"/>
              <w:left w:val="nil"/>
              <w:bottom w:val="single" w:sz="4" w:space="0" w:color="auto"/>
              <w:right w:val="nil"/>
            </w:tcBorders>
            <w:vAlign w:val="center"/>
            <w:hideMark/>
          </w:tcPr>
          <w:p w14:paraId="52493EEC" w14:textId="77777777" w:rsidR="009A6D21" w:rsidRPr="00EE5690" w:rsidRDefault="009A6D21" w:rsidP="00EE5690">
            <w:pPr>
              <w:spacing w:before="0" w:after="0" w:line="240" w:lineRule="auto"/>
              <w:jc w:val="left"/>
              <w:rPr>
                <w:rFonts w:eastAsia="Times New Roman" w:cs="Arial"/>
                <w:lang w:val="es-ES" w:eastAsia="es-ES"/>
              </w:rPr>
            </w:pPr>
          </w:p>
        </w:tc>
        <w:tc>
          <w:tcPr>
            <w:tcW w:w="1645" w:type="dxa"/>
            <w:tcBorders>
              <w:top w:val="nil"/>
              <w:left w:val="nil"/>
              <w:bottom w:val="single" w:sz="4" w:space="0" w:color="auto"/>
              <w:right w:val="nil"/>
            </w:tcBorders>
            <w:shd w:val="clear" w:color="auto" w:fill="auto"/>
            <w:noWrap/>
            <w:vAlign w:val="bottom"/>
            <w:hideMark/>
          </w:tcPr>
          <w:p w14:paraId="5EFFBE2C"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Management Costs</w:t>
            </w:r>
          </w:p>
        </w:tc>
      </w:tr>
      <w:tr w:rsidR="009A6D21" w:rsidRPr="00EE5690" w14:paraId="0F728159" w14:textId="77777777" w:rsidTr="00EF0705">
        <w:trPr>
          <w:trHeight w:val="264"/>
          <w:jc w:val="center"/>
        </w:trPr>
        <w:tc>
          <w:tcPr>
            <w:tcW w:w="1547" w:type="dxa"/>
            <w:vMerge/>
            <w:tcBorders>
              <w:top w:val="nil"/>
              <w:left w:val="nil"/>
              <w:bottom w:val="nil"/>
              <w:right w:val="nil"/>
            </w:tcBorders>
            <w:vAlign w:val="center"/>
            <w:hideMark/>
          </w:tcPr>
          <w:p w14:paraId="7D763B6A"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val="restart"/>
            <w:tcBorders>
              <w:top w:val="single" w:sz="4" w:space="0" w:color="auto"/>
              <w:left w:val="nil"/>
              <w:bottom w:val="nil"/>
              <w:right w:val="nil"/>
            </w:tcBorders>
            <w:shd w:val="clear" w:color="auto" w:fill="auto"/>
            <w:noWrap/>
            <w:vAlign w:val="center"/>
            <w:hideMark/>
          </w:tcPr>
          <w:p w14:paraId="3BD24918"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Income</w:t>
            </w:r>
          </w:p>
        </w:tc>
        <w:tc>
          <w:tcPr>
            <w:tcW w:w="1645" w:type="dxa"/>
            <w:tcBorders>
              <w:top w:val="single" w:sz="4" w:space="0" w:color="auto"/>
              <w:left w:val="nil"/>
              <w:bottom w:val="nil"/>
              <w:right w:val="nil"/>
            </w:tcBorders>
            <w:shd w:val="clear" w:color="auto" w:fill="auto"/>
            <w:noWrap/>
            <w:vAlign w:val="bottom"/>
            <w:hideMark/>
          </w:tcPr>
          <w:p w14:paraId="0D4AF3AA"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tCO2 e Price</w:t>
            </w:r>
          </w:p>
        </w:tc>
      </w:tr>
      <w:tr w:rsidR="009A6D21" w:rsidRPr="00EE5690" w14:paraId="16FC9142" w14:textId="77777777" w:rsidTr="00EF0705">
        <w:trPr>
          <w:trHeight w:val="264"/>
          <w:jc w:val="center"/>
        </w:trPr>
        <w:tc>
          <w:tcPr>
            <w:tcW w:w="1547" w:type="dxa"/>
            <w:vMerge/>
            <w:tcBorders>
              <w:top w:val="nil"/>
              <w:left w:val="nil"/>
              <w:bottom w:val="nil"/>
              <w:right w:val="nil"/>
            </w:tcBorders>
            <w:vAlign w:val="center"/>
            <w:hideMark/>
          </w:tcPr>
          <w:p w14:paraId="36D8FCD6"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tcBorders>
              <w:top w:val="nil"/>
              <w:left w:val="nil"/>
              <w:bottom w:val="nil"/>
              <w:right w:val="nil"/>
            </w:tcBorders>
            <w:vAlign w:val="center"/>
            <w:hideMark/>
          </w:tcPr>
          <w:p w14:paraId="3D687EDA" w14:textId="77777777" w:rsidR="009A6D21" w:rsidRPr="00EE5690" w:rsidRDefault="009A6D21" w:rsidP="00EE5690">
            <w:pPr>
              <w:spacing w:before="0" w:after="0" w:line="240" w:lineRule="auto"/>
              <w:jc w:val="left"/>
              <w:rPr>
                <w:rFonts w:eastAsia="Times New Roman" w:cs="Arial"/>
                <w:lang w:val="es-ES" w:eastAsia="es-ES"/>
              </w:rPr>
            </w:pPr>
          </w:p>
        </w:tc>
        <w:tc>
          <w:tcPr>
            <w:tcW w:w="1645" w:type="dxa"/>
            <w:tcBorders>
              <w:top w:val="nil"/>
              <w:left w:val="nil"/>
              <w:bottom w:val="nil"/>
              <w:right w:val="nil"/>
            </w:tcBorders>
            <w:shd w:val="clear" w:color="auto" w:fill="auto"/>
            <w:noWrap/>
            <w:vAlign w:val="bottom"/>
            <w:hideMark/>
          </w:tcPr>
          <w:p w14:paraId="6CD73441" w14:textId="77777777" w:rsidR="009A6D21" w:rsidRPr="00EE5690" w:rsidRDefault="009A6D21" w:rsidP="00EE5690">
            <w:pPr>
              <w:spacing w:before="0" w:after="0" w:line="240" w:lineRule="auto"/>
              <w:jc w:val="left"/>
              <w:rPr>
                <w:rFonts w:eastAsia="Times New Roman" w:cs="Arial"/>
                <w:lang w:val="es-ES" w:eastAsia="es-ES"/>
              </w:rPr>
            </w:pPr>
            <w:proofErr w:type="gramStart"/>
            <w:r w:rsidRPr="00EE5690">
              <w:rPr>
                <w:rFonts w:eastAsia="Times New Roman" w:cs="Arial"/>
                <w:lang w:val="en-GB" w:eastAsia="es-ES"/>
              </w:rPr>
              <w:t>Non Wood</w:t>
            </w:r>
            <w:proofErr w:type="gramEnd"/>
            <w:r w:rsidRPr="00EE5690">
              <w:rPr>
                <w:rFonts w:eastAsia="Times New Roman" w:cs="Arial"/>
                <w:lang w:val="en-GB" w:eastAsia="es-ES"/>
              </w:rPr>
              <w:t xml:space="preserve"> Products</w:t>
            </w:r>
          </w:p>
        </w:tc>
      </w:tr>
      <w:tr w:rsidR="009A6D21" w:rsidRPr="00EE5690" w14:paraId="1213F4EE" w14:textId="77777777" w:rsidTr="00EF0705">
        <w:trPr>
          <w:trHeight w:val="264"/>
          <w:jc w:val="center"/>
        </w:trPr>
        <w:tc>
          <w:tcPr>
            <w:tcW w:w="1547" w:type="dxa"/>
            <w:vMerge/>
            <w:tcBorders>
              <w:top w:val="nil"/>
              <w:left w:val="nil"/>
              <w:bottom w:val="nil"/>
              <w:right w:val="nil"/>
            </w:tcBorders>
            <w:vAlign w:val="center"/>
            <w:hideMark/>
          </w:tcPr>
          <w:p w14:paraId="725D5D53"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tcBorders>
              <w:top w:val="nil"/>
              <w:left w:val="nil"/>
              <w:bottom w:val="nil"/>
              <w:right w:val="nil"/>
            </w:tcBorders>
            <w:vAlign w:val="center"/>
            <w:hideMark/>
          </w:tcPr>
          <w:p w14:paraId="02D23CE1" w14:textId="77777777" w:rsidR="009A6D21" w:rsidRPr="00EE5690" w:rsidRDefault="009A6D21" w:rsidP="00EE5690">
            <w:pPr>
              <w:spacing w:before="0" w:after="0" w:line="240" w:lineRule="auto"/>
              <w:jc w:val="left"/>
              <w:rPr>
                <w:rFonts w:eastAsia="Times New Roman" w:cs="Arial"/>
                <w:lang w:val="es-ES" w:eastAsia="es-ES"/>
              </w:rPr>
            </w:pPr>
          </w:p>
        </w:tc>
        <w:tc>
          <w:tcPr>
            <w:tcW w:w="1645" w:type="dxa"/>
            <w:tcBorders>
              <w:top w:val="nil"/>
              <w:left w:val="nil"/>
              <w:bottom w:val="nil"/>
              <w:right w:val="nil"/>
            </w:tcBorders>
            <w:shd w:val="clear" w:color="auto" w:fill="auto"/>
            <w:noWrap/>
            <w:vAlign w:val="bottom"/>
            <w:hideMark/>
          </w:tcPr>
          <w:p w14:paraId="567643CD"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Social services</w:t>
            </w:r>
          </w:p>
        </w:tc>
      </w:tr>
      <w:tr w:rsidR="009A6D21" w:rsidRPr="00EE5690" w14:paraId="2F5B8D75" w14:textId="77777777" w:rsidTr="00EF0705">
        <w:trPr>
          <w:trHeight w:val="264"/>
          <w:jc w:val="center"/>
        </w:trPr>
        <w:tc>
          <w:tcPr>
            <w:tcW w:w="1547" w:type="dxa"/>
            <w:vMerge/>
            <w:tcBorders>
              <w:top w:val="nil"/>
              <w:left w:val="nil"/>
              <w:bottom w:val="nil"/>
              <w:right w:val="nil"/>
            </w:tcBorders>
            <w:vAlign w:val="center"/>
            <w:hideMark/>
          </w:tcPr>
          <w:p w14:paraId="22A816B2"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tcBorders>
              <w:top w:val="nil"/>
              <w:left w:val="nil"/>
              <w:bottom w:val="nil"/>
              <w:right w:val="nil"/>
            </w:tcBorders>
            <w:vAlign w:val="center"/>
            <w:hideMark/>
          </w:tcPr>
          <w:p w14:paraId="257B620A" w14:textId="77777777" w:rsidR="009A6D21" w:rsidRPr="00EE5690" w:rsidRDefault="009A6D21" w:rsidP="00EE5690">
            <w:pPr>
              <w:spacing w:before="0" w:after="0" w:line="240" w:lineRule="auto"/>
              <w:jc w:val="left"/>
              <w:rPr>
                <w:rFonts w:eastAsia="Times New Roman" w:cs="Arial"/>
                <w:lang w:val="es-ES" w:eastAsia="es-ES"/>
              </w:rPr>
            </w:pPr>
          </w:p>
        </w:tc>
        <w:tc>
          <w:tcPr>
            <w:tcW w:w="1645" w:type="dxa"/>
            <w:tcBorders>
              <w:top w:val="nil"/>
              <w:left w:val="nil"/>
              <w:bottom w:val="nil"/>
              <w:right w:val="nil"/>
            </w:tcBorders>
            <w:shd w:val="clear" w:color="auto" w:fill="auto"/>
            <w:noWrap/>
            <w:vAlign w:val="bottom"/>
            <w:hideMark/>
          </w:tcPr>
          <w:p w14:paraId="096CD607"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Ecological services</w:t>
            </w:r>
          </w:p>
        </w:tc>
      </w:tr>
      <w:tr w:rsidR="009A6D21" w:rsidRPr="00EE5690" w14:paraId="2A4781F2" w14:textId="77777777" w:rsidTr="00EF0705">
        <w:trPr>
          <w:trHeight w:val="264"/>
          <w:jc w:val="center"/>
        </w:trPr>
        <w:tc>
          <w:tcPr>
            <w:tcW w:w="1547" w:type="dxa"/>
            <w:vMerge/>
            <w:tcBorders>
              <w:top w:val="nil"/>
              <w:left w:val="nil"/>
              <w:bottom w:val="single" w:sz="4" w:space="0" w:color="auto"/>
              <w:right w:val="nil"/>
            </w:tcBorders>
            <w:vAlign w:val="center"/>
            <w:hideMark/>
          </w:tcPr>
          <w:p w14:paraId="664E7CD8" w14:textId="77777777" w:rsidR="009A6D21" w:rsidRPr="00EE5690" w:rsidRDefault="009A6D21" w:rsidP="00EE5690">
            <w:pPr>
              <w:spacing w:before="0" w:after="0" w:line="240" w:lineRule="auto"/>
              <w:jc w:val="left"/>
              <w:rPr>
                <w:rFonts w:eastAsia="Times New Roman" w:cs="Arial"/>
                <w:lang w:val="es-ES" w:eastAsia="es-ES"/>
              </w:rPr>
            </w:pPr>
          </w:p>
        </w:tc>
        <w:tc>
          <w:tcPr>
            <w:tcW w:w="1252" w:type="dxa"/>
            <w:vMerge/>
            <w:tcBorders>
              <w:top w:val="nil"/>
              <w:left w:val="nil"/>
              <w:bottom w:val="single" w:sz="4" w:space="0" w:color="auto"/>
              <w:right w:val="nil"/>
            </w:tcBorders>
            <w:vAlign w:val="center"/>
            <w:hideMark/>
          </w:tcPr>
          <w:p w14:paraId="6C186546" w14:textId="77777777" w:rsidR="009A6D21" w:rsidRPr="00EE5690" w:rsidRDefault="009A6D21" w:rsidP="00EE5690">
            <w:pPr>
              <w:spacing w:before="0" w:after="0" w:line="240" w:lineRule="auto"/>
              <w:jc w:val="left"/>
              <w:rPr>
                <w:rFonts w:eastAsia="Times New Roman" w:cs="Arial"/>
                <w:lang w:val="es-ES" w:eastAsia="es-ES"/>
              </w:rPr>
            </w:pPr>
          </w:p>
        </w:tc>
        <w:tc>
          <w:tcPr>
            <w:tcW w:w="1645" w:type="dxa"/>
            <w:tcBorders>
              <w:top w:val="nil"/>
              <w:left w:val="nil"/>
              <w:bottom w:val="single" w:sz="4" w:space="0" w:color="auto"/>
              <w:right w:val="nil"/>
            </w:tcBorders>
            <w:shd w:val="clear" w:color="auto" w:fill="auto"/>
            <w:noWrap/>
            <w:vAlign w:val="bottom"/>
            <w:hideMark/>
          </w:tcPr>
          <w:p w14:paraId="7EF22377"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Biosphere services</w:t>
            </w:r>
          </w:p>
        </w:tc>
      </w:tr>
      <w:tr w:rsidR="007027AB" w:rsidRPr="00EE5690" w14:paraId="7EF526EF" w14:textId="77777777" w:rsidTr="00EF0705">
        <w:trPr>
          <w:trHeight w:val="264"/>
          <w:jc w:val="center"/>
        </w:trPr>
        <w:tc>
          <w:tcPr>
            <w:tcW w:w="1547" w:type="dxa"/>
            <w:vMerge w:val="restart"/>
            <w:tcBorders>
              <w:top w:val="single" w:sz="4" w:space="0" w:color="auto"/>
              <w:left w:val="nil"/>
              <w:bottom w:val="nil"/>
              <w:right w:val="nil"/>
            </w:tcBorders>
            <w:shd w:val="clear" w:color="auto" w:fill="auto"/>
            <w:noWrap/>
            <w:vAlign w:val="center"/>
            <w:hideMark/>
          </w:tcPr>
          <w:p w14:paraId="1450E22E" w14:textId="77777777" w:rsidR="007027AB" w:rsidRPr="00EE5690" w:rsidRDefault="007027AB" w:rsidP="00EE5690">
            <w:pPr>
              <w:spacing w:before="0" w:after="0" w:line="240" w:lineRule="auto"/>
              <w:jc w:val="left"/>
              <w:rPr>
                <w:rFonts w:eastAsia="Times New Roman" w:cs="Arial"/>
                <w:lang w:val="es-ES" w:eastAsia="es-ES"/>
              </w:rPr>
            </w:pPr>
            <w:r w:rsidRPr="00EE5690">
              <w:rPr>
                <w:rFonts w:eastAsia="Times New Roman" w:cs="Arial"/>
                <w:lang w:val="en-GB" w:eastAsia="es-ES"/>
              </w:rPr>
              <w:t>Social</w:t>
            </w:r>
          </w:p>
        </w:tc>
        <w:tc>
          <w:tcPr>
            <w:tcW w:w="2897" w:type="dxa"/>
            <w:gridSpan w:val="2"/>
            <w:tcBorders>
              <w:top w:val="single" w:sz="4" w:space="0" w:color="auto"/>
              <w:left w:val="nil"/>
              <w:bottom w:val="nil"/>
              <w:right w:val="nil"/>
            </w:tcBorders>
            <w:shd w:val="clear" w:color="auto" w:fill="auto"/>
            <w:noWrap/>
            <w:vAlign w:val="bottom"/>
            <w:hideMark/>
          </w:tcPr>
          <w:p w14:paraId="23513F46" w14:textId="10E71EE2" w:rsidR="007027AB" w:rsidRPr="00EE5690" w:rsidRDefault="007027AB" w:rsidP="00EE5690">
            <w:pPr>
              <w:spacing w:before="0" w:after="0" w:line="240" w:lineRule="auto"/>
              <w:jc w:val="left"/>
              <w:rPr>
                <w:rFonts w:eastAsia="Times New Roman" w:cs="Arial"/>
                <w:lang w:val="es-ES" w:eastAsia="es-ES"/>
              </w:rPr>
            </w:pPr>
            <w:r w:rsidRPr="00EE5690">
              <w:rPr>
                <w:rFonts w:eastAsia="Times New Roman" w:cs="Arial"/>
                <w:lang w:val="en-GB" w:eastAsia="es-ES"/>
              </w:rPr>
              <w:t>Employment</w:t>
            </w:r>
          </w:p>
        </w:tc>
      </w:tr>
      <w:tr w:rsidR="007027AB" w:rsidRPr="00EE5690" w14:paraId="260196D5" w14:textId="77777777" w:rsidTr="00EF0705">
        <w:trPr>
          <w:trHeight w:val="264"/>
          <w:jc w:val="center"/>
        </w:trPr>
        <w:tc>
          <w:tcPr>
            <w:tcW w:w="1547" w:type="dxa"/>
            <w:vMerge/>
            <w:tcBorders>
              <w:top w:val="nil"/>
              <w:left w:val="nil"/>
              <w:bottom w:val="nil"/>
              <w:right w:val="nil"/>
            </w:tcBorders>
            <w:vAlign w:val="center"/>
            <w:hideMark/>
          </w:tcPr>
          <w:p w14:paraId="1DE39C1B" w14:textId="77777777" w:rsidR="007027AB" w:rsidRPr="00EE5690" w:rsidRDefault="007027AB" w:rsidP="00EE5690">
            <w:pPr>
              <w:spacing w:before="0" w:after="0" w:line="240" w:lineRule="auto"/>
              <w:jc w:val="left"/>
              <w:rPr>
                <w:rFonts w:eastAsia="Times New Roman" w:cs="Arial"/>
                <w:lang w:val="es-ES" w:eastAsia="es-ES"/>
              </w:rPr>
            </w:pPr>
          </w:p>
        </w:tc>
        <w:tc>
          <w:tcPr>
            <w:tcW w:w="2897" w:type="dxa"/>
            <w:gridSpan w:val="2"/>
            <w:tcBorders>
              <w:top w:val="nil"/>
              <w:left w:val="nil"/>
              <w:bottom w:val="nil"/>
              <w:right w:val="nil"/>
            </w:tcBorders>
            <w:shd w:val="clear" w:color="auto" w:fill="auto"/>
            <w:noWrap/>
            <w:vAlign w:val="bottom"/>
            <w:hideMark/>
          </w:tcPr>
          <w:p w14:paraId="567372A2" w14:textId="4F82FCF4" w:rsidR="007027AB" w:rsidRPr="00EE5690" w:rsidRDefault="007027AB" w:rsidP="00EE5690">
            <w:pPr>
              <w:spacing w:before="0" w:after="0" w:line="240" w:lineRule="auto"/>
              <w:jc w:val="left"/>
              <w:rPr>
                <w:rFonts w:eastAsia="Times New Roman" w:cs="Arial"/>
                <w:lang w:val="es-ES" w:eastAsia="es-ES"/>
              </w:rPr>
            </w:pPr>
            <w:r w:rsidRPr="00EE5690">
              <w:rPr>
                <w:rFonts w:eastAsia="Times New Roman" w:cs="Arial"/>
                <w:lang w:val="en-GB" w:eastAsia="es-ES"/>
              </w:rPr>
              <w:t>Recreation</w:t>
            </w:r>
          </w:p>
        </w:tc>
      </w:tr>
      <w:tr w:rsidR="007027AB" w:rsidRPr="00EE5690" w14:paraId="3ECC09FB" w14:textId="77777777" w:rsidTr="00EF0705">
        <w:trPr>
          <w:trHeight w:val="264"/>
          <w:jc w:val="center"/>
        </w:trPr>
        <w:tc>
          <w:tcPr>
            <w:tcW w:w="1547" w:type="dxa"/>
            <w:vMerge/>
            <w:tcBorders>
              <w:top w:val="nil"/>
              <w:left w:val="nil"/>
              <w:bottom w:val="nil"/>
              <w:right w:val="nil"/>
            </w:tcBorders>
            <w:vAlign w:val="center"/>
            <w:hideMark/>
          </w:tcPr>
          <w:p w14:paraId="26042506" w14:textId="77777777" w:rsidR="007027AB" w:rsidRPr="00EE5690" w:rsidRDefault="007027AB" w:rsidP="00EE5690">
            <w:pPr>
              <w:spacing w:before="0" w:after="0" w:line="240" w:lineRule="auto"/>
              <w:jc w:val="left"/>
              <w:rPr>
                <w:rFonts w:eastAsia="Times New Roman" w:cs="Arial"/>
                <w:lang w:val="es-ES" w:eastAsia="es-ES"/>
              </w:rPr>
            </w:pPr>
          </w:p>
        </w:tc>
        <w:tc>
          <w:tcPr>
            <w:tcW w:w="2897" w:type="dxa"/>
            <w:gridSpan w:val="2"/>
            <w:tcBorders>
              <w:top w:val="nil"/>
              <w:left w:val="nil"/>
              <w:bottom w:val="nil"/>
              <w:right w:val="nil"/>
            </w:tcBorders>
            <w:shd w:val="clear" w:color="auto" w:fill="auto"/>
            <w:noWrap/>
            <w:vAlign w:val="bottom"/>
            <w:hideMark/>
          </w:tcPr>
          <w:p w14:paraId="7ABCF9E7" w14:textId="7A452BF8" w:rsidR="007027AB" w:rsidRPr="00EE5690" w:rsidRDefault="007027AB" w:rsidP="00EE5690">
            <w:pPr>
              <w:spacing w:before="0" w:after="0" w:line="240" w:lineRule="auto"/>
              <w:jc w:val="left"/>
              <w:rPr>
                <w:rFonts w:eastAsia="Times New Roman" w:cs="Arial"/>
                <w:lang w:val="es-ES" w:eastAsia="es-ES"/>
              </w:rPr>
            </w:pPr>
            <w:r w:rsidRPr="00EE5690">
              <w:rPr>
                <w:rFonts w:eastAsia="Times New Roman" w:cs="Arial"/>
                <w:lang w:val="en-GB" w:eastAsia="es-ES"/>
              </w:rPr>
              <w:t>Education</w:t>
            </w:r>
          </w:p>
        </w:tc>
      </w:tr>
      <w:tr w:rsidR="009A6D21" w:rsidRPr="00EE5690" w14:paraId="118F045D" w14:textId="77777777" w:rsidTr="00EF0705">
        <w:trPr>
          <w:trHeight w:val="264"/>
          <w:jc w:val="center"/>
        </w:trPr>
        <w:tc>
          <w:tcPr>
            <w:tcW w:w="1547" w:type="dxa"/>
            <w:vMerge/>
            <w:tcBorders>
              <w:top w:val="nil"/>
              <w:left w:val="nil"/>
              <w:bottom w:val="nil"/>
              <w:right w:val="nil"/>
            </w:tcBorders>
            <w:vAlign w:val="center"/>
            <w:hideMark/>
          </w:tcPr>
          <w:p w14:paraId="34A7ADCA" w14:textId="77777777" w:rsidR="009A6D21" w:rsidRPr="00EE5690" w:rsidRDefault="009A6D21" w:rsidP="00EE5690">
            <w:pPr>
              <w:spacing w:before="0" w:after="0" w:line="240" w:lineRule="auto"/>
              <w:jc w:val="left"/>
              <w:rPr>
                <w:rFonts w:eastAsia="Times New Roman" w:cs="Arial"/>
                <w:lang w:val="es-ES" w:eastAsia="es-ES"/>
              </w:rPr>
            </w:pPr>
          </w:p>
        </w:tc>
        <w:tc>
          <w:tcPr>
            <w:tcW w:w="2897" w:type="dxa"/>
            <w:gridSpan w:val="2"/>
            <w:tcBorders>
              <w:top w:val="nil"/>
              <w:left w:val="nil"/>
              <w:bottom w:val="nil"/>
              <w:right w:val="nil"/>
            </w:tcBorders>
            <w:shd w:val="clear" w:color="auto" w:fill="auto"/>
            <w:noWrap/>
            <w:vAlign w:val="bottom"/>
            <w:hideMark/>
          </w:tcPr>
          <w:p w14:paraId="1FC2DC6D" w14:textId="77777777" w:rsidR="009A6D21" w:rsidRPr="00EE5690" w:rsidRDefault="009A6D21" w:rsidP="00EE5690">
            <w:pPr>
              <w:spacing w:before="0" w:after="0" w:line="240" w:lineRule="auto"/>
              <w:jc w:val="left"/>
              <w:rPr>
                <w:rFonts w:eastAsia="Times New Roman" w:cs="Arial"/>
                <w:lang w:eastAsia="es-ES"/>
              </w:rPr>
            </w:pPr>
            <w:r w:rsidRPr="00EE5690">
              <w:rPr>
                <w:rFonts w:eastAsia="Times New Roman" w:cs="Arial"/>
                <w:lang w:val="en-GB" w:eastAsia="es-ES"/>
              </w:rPr>
              <w:t xml:space="preserve">Harvesting of </w:t>
            </w:r>
            <w:proofErr w:type="spellStart"/>
            <w:r w:rsidRPr="00EE5690">
              <w:rPr>
                <w:rFonts w:eastAsia="Times New Roman" w:cs="Arial"/>
                <w:lang w:val="en-GB" w:eastAsia="es-ES"/>
              </w:rPr>
              <w:t>non wood</w:t>
            </w:r>
            <w:proofErr w:type="spellEnd"/>
            <w:r w:rsidRPr="00EE5690">
              <w:rPr>
                <w:rFonts w:eastAsia="Times New Roman" w:cs="Arial"/>
                <w:lang w:val="en-GB" w:eastAsia="es-ES"/>
              </w:rPr>
              <w:t xml:space="preserve"> products</w:t>
            </w:r>
          </w:p>
        </w:tc>
      </w:tr>
      <w:tr w:rsidR="007027AB" w:rsidRPr="00EE5690" w14:paraId="36B0A77C" w14:textId="77777777" w:rsidTr="00EF0705">
        <w:trPr>
          <w:trHeight w:val="264"/>
          <w:jc w:val="center"/>
        </w:trPr>
        <w:tc>
          <w:tcPr>
            <w:tcW w:w="1547" w:type="dxa"/>
            <w:vMerge/>
            <w:tcBorders>
              <w:top w:val="nil"/>
              <w:left w:val="nil"/>
              <w:bottom w:val="nil"/>
              <w:right w:val="nil"/>
            </w:tcBorders>
            <w:vAlign w:val="center"/>
            <w:hideMark/>
          </w:tcPr>
          <w:p w14:paraId="36A71131" w14:textId="77777777" w:rsidR="007027AB" w:rsidRPr="00EE5690" w:rsidRDefault="007027AB" w:rsidP="00EE5690">
            <w:pPr>
              <w:spacing w:before="0" w:after="0" w:line="240" w:lineRule="auto"/>
              <w:jc w:val="left"/>
              <w:rPr>
                <w:rFonts w:eastAsia="Times New Roman" w:cs="Arial"/>
                <w:lang w:eastAsia="es-ES"/>
              </w:rPr>
            </w:pPr>
          </w:p>
        </w:tc>
        <w:tc>
          <w:tcPr>
            <w:tcW w:w="2897" w:type="dxa"/>
            <w:gridSpan w:val="2"/>
            <w:tcBorders>
              <w:top w:val="nil"/>
              <w:left w:val="nil"/>
              <w:bottom w:val="nil"/>
              <w:right w:val="nil"/>
            </w:tcBorders>
            <w:shd w:val="clear" w:color="auto" w:fill="auto"/>
            <w:noWrap/>
            <w:vAlign w:val="bottom"/>
            <w:hideMark/>
          </w:tcPr>
          <w:p w14:paraId="60E7C655" w14:textId="2E511726" w:rsidR="007027AB" w:rsidRPr="00EE5690" w:rsidRDefault="007027AB" w:rsidP="00EE5690">
            <w:pPr>
              <w:spacing w:before="0" w:after="0" w:line="240" w:lineRule="auto"/>
              <w:jc w:val="left"/>
              <w:rPr>
                <w:rFonts w:eastAsia="Times New Roman" w:cs="Arial"/>
                <w:lang w:val="es-ES" w:eastAsia="es-ES"/>
              </w:rPr>
            </w:pPr>
            <w:r w:rsidRPr="00EE5690">
              <w:rPr>
                <w:rFonts w:eastAsia="Times New Roman" w:cs="Arial"/>
                <w:lang w:val="en-GB" w:eastAsia="es-ES"/>
              </w:rPr>
              <w:t>Hunting</w:t>
            </w:r>
          </w:p>
        </w:tc>
      </w:tr>
      <w:tr w:rsidR="007027AB" w:rsidRPr="00EE5690" w14:paraId="025D0C22" w14:textId="77777777" w:rsidTr="00EF0705">
        <w:trPr>
          <w:trHeight w:val="264"/>
          <w:jc w:val="center"/>
        </w:trPr>
        <w:tc>
          <w:tcPr>
            <w:tcW w:w="1547" w:type="dxa"/>
            <w:vMerge/>
            <w:tcBorders>
              <w:top w:val="nil"/>
              <w:left w:val="nil"/>
              <w:bottom w:val="nil"/>
              <w:right w:val="nil"/>
            </w:tcBorders>
            <w:vAlign w:val="center"/>
            <w:hideMark/>
          </w:tcPr>
          <w:p w14:paraId="32161C82" w14:textId="77777777" w:rsidR="007027AB" w:rsidRPr="00EE5690" w:rsidRDefault="007027AB" w:rsidP="00EE5690">
            <w:pPr>
              <w:spacing w:before="0" w:after="0" w:line="240" w:lineRule="auto"/>
              <w:jc w:val="left"/>
              <w:rPr>
                <w:rFonts w:eastAsia="Times New Roman" w:cs="Arial"/>
                <w:lang w:val="es-ES" w:eastAsia="es-ES"/>
              </w:rPr>
            </w:pPr>
          </w:p>
        </w:tc>
        <w:tc>
          <w:tcPr>
            <w:tcW w:w="2897" w:type="dxa"/>
            <w:gridSpan w:val="2"/>
            <w:tcBorders>
              <w:top w:val="nil"/>
              <w:left w:val="nil"/>
              <w:bottom w:val="nil"/>
              <w:right w:val="nil"/>
            </w:tcBorders>
            <w:shd w:val="clear" w:color="auto" w:fill="auto"/>
            <w:noWrap/>
            <w:vAlign w:val="bottom"/>
            <w:hideMark/>
          </w:tcPr>
          <w:p w14:paraId="4D48F147" w14:textId="6A0D3300" w:rsidR="007027AB" w:rsidRPr="00EE5690" w:rsidRDefault="007027AB" w:rsidP="00EE5690">
            <w:pPr>
              <w:spacing w:before="0" w:after="0" w:line="240" w:lineRule="auto"/>
              <w:jc w:val="left"/>
              <w:rPr>
                <w:rFonts w:eastAsia="Times New Roman" w:cs="Arial"/>
                <w:lang w:val="es-ES" w:eastAsia="es-ES"/>
              </w:rPr>
            </w:pPr>
            <w:r w:rsidRPr="00EE5690">
              <w:rPr>
                <w:rFonts w:eastAsia="Times New Roman" w:cs="Arial"/>
                <w:lang w:val="en-GB" w:eastAsia="es-ES"/>
              </w:rPr>
              <w:t>Tourism</w:t>
            </w:r>
          </w:p>
        </w:tc>
      </w:tr>
      <w:tr w:rsidR="009A6D21" w:rsidRPr="00EE5690" w14:paraId="2FC95BD3" w14:textId="77777777" w:rsidTr="00EF0705">
        <w:trPr>
          <w:trHeight w:val="264"/>
          <w:jc w:val="center"/>
        </w:trPr>
        <w:tc>
          <w:tcPr>
            <w:tcW w:w="1547" w:type="dxa"/>
            <w:vMerge/>
            <w:tcBorders>
              <w:top w:val="nil"/>
              <w:left w:val="nil"/>
              <w:bottom w:val="single" w:sz="4" w:space="0" w:color="auto"/>
              <w:right w:val="nil"/>
            </w:tcBorders>
            <w:vAlign w:val="center"/>
            <w:hideMark/>
          </w:tcPr>
          <w:p w14:paraId="46A737F0" w14:textId="77777777" w:rsidR="009A6D21" w:rsidRPr="00EE5690" w:rsidRDefault="009A6D21" w:rsidP="00EE5690">
            <w:pPr>
              <w:spacing w:before="0" w:after="0" w:line="240" w:lineRule="auto"/>
              <w:jc w:val="left"/>
              <w:rPr>
                <w:rFonts w:eastAsia="Times New Roman" w:cs="Arial"/>
                <w:lang w:val="es-ES" w:eastAsia="es-ES"/>
              </w:rPr>
            </w:pPr>
          </w:p>
        </w:tc>
        <w:tc>
          <w:tcPr>
            <w:tcW w:w="2897" w:type="dxa"/>
            <w:gridSpan w:val="2"/>
            <w:tcBorders>
              <w:top w:val="nil"/>
              <w:left w:val="nil"/>
              <w:bottom w:val="single" w:sz="4" w:space="0" w:color="auto"/>
              <w:right w:val="nil"/>
            </w:tcBorders>
            <w:shd w:val="clear" w:color="auto" w:fill="auto"/>
            <w:noWrap/>
            <w:vAlign w:val="bottom"/>
            <w:hideMark/>
          </w:tcPr>
          <w:p w14:paraId="1819C5E3"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Health and well being</w:t>
            </w:r>
          </w:p>
        </w:tc>
      </w:tr>
      <w:tr w:rsidR="009A6D21" w:rsidRPr="00EE5690" w14:paraId="2FD9E368" w14:textId="77777777" w:rsidTr="00EF0705">
        <w:trPr>
          <w:trHeight w:val="264"/>
          <w:jc w:val="center"/>
        </w:trPr>
        <w:tc>
          <w:tcPr>
            <w:tcW w:w="1547" w:type="dxa"/>
            <w:vMerge w:val="restart"/>
            <w:tcBorders>
              <w:top w:val="single" w:sz="4" w:space="0" w:color="auto"/>
              <w:left w:val="nil"/>
              <w:bottom w:val="nil"/>
              <w:right w:val="nil"/>
            </w:tcBorders>
            <w:shd w:val="clear" w:color="auto" w:fill="auto"/>
            <w:noWrap/>
            <w:vAlign w:val="center"/>
            <w:hideMark/>
          </w:tcPr>
          <w:p w14:paraId="5AD476A2"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Environmental</w:t>
            </w:r>
          </w:p>
        </w:tc>
        <w:tc>
          <w:tcPr>
            <w:tcW w:w="2897" w:type="dxa"/>
            <w:gridSpan w:val="2"/>
            <w:tcBorders>
              <w:top w:val="single" w:sz="4" w:space="0" w:color="auto"/>
              <w:left w:val="nil"/>
              <w:bottom w:val="nil"/>
              <w:right w:val="nil"/>
            </w:tcBorders>
            <w:shd w:val="clear" w:color="auto" w:fill="auto"/>
            <w:noWrap/>
            <w:vAlign w:val="bottom"/>
            <w:hideMark/>
          </w:tcPr>
          <w:p w14:paraId="23D7FB8C"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Increase biodiversity</w:t>
            </w:r>
          </w:p>
        </w:tc>
      </w:tr>
      <w:tr w:rsidR="009A6D21" w:rsidRPr="00EE5690" w14:paraId="7B611EB3" w14:textId="77777777" w:rsidTr="00EF0705">
        <w:trPr>
          <w:trHeight w:val="264"/>
          <w:jc w:val="center"/>
        </w:trPr>
        <w:tc>
          <w:tcPr>
            <w:tcW w:w="1547" w:type="dxa"/>
            <w:vMerge/>
            <w:tcBorders>
              <w:top w:val="nil"/>
              <w:left w:val="nil"/>
              <w:bottom w:val="nil"/>
              <w:right w:val="nil"/>
            </w:tcBorders>
            <w:vAlign w:val="center"/>
            <w:hideMark/>
          </w:tcPr>
          <w:p w14:paraId="54F5D370" w14:textId="77777777" w:rsidR="009A6D21" w:rsidRPr="00EE5690" w:rsidRDefault="009A6D21" w:rsidP="00EE5690">
            <w:pPr>
              <w:spacing w:before="0" w:after="0" w:line="240" w:lineRule="auto"/>
              <w:jc w:val="left"/>
              <w:rPr>
                <w:rFonts w:eastAsia="Times New Roman" w:cs="Arial"/>
                <w:lang w:val="es-ES" w:eastAsia="es-ES"/>
              </w:rPr>
            </w:pPr>
          </w:p>
        </w:tc>
        <w:tc>
          <w:tcPr>
            <w:tcW w:w="2897" w:type="dxa"/>
            <w:gridSpan w:val="2"/>
            <w:tcBorders>
              <w:top w:val="nil"/>
              <w:left w:val="nil"/>
              <w:bottom w:val="nil"/>
              <w:right w:val="nil"/>
            </w:tcBorders>
            <w:shd w:val="clear" w:color="auto" w:fill="auto"/>
            <w:noWrap/>
            <w:vAlign w:val="bottom"/>
            <w:hideMark/>
          </w:tcPr>
          <w:p w14:paraId="75BD548A"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Soil improvement, restoration</w:t>
            </w:r>
          </w:p>
        </w:tc>
      </w:tr>
      <w:tr w:rsidR="007027AB" w:rsidRPr="00EE5690" w14:paraId="24A55054" w14:textId="77777777" w:rsidTr="00EF0705">
        <w:trPr>
          <w:trHeight w:val="264"/>
          <w:jc w:val="center"/>
        </w:trPr>
        <w:tc>
          <w:tcPr>
            <w:tcW w:w="1547" w:type="dxa"/>
            <w:vMerge/>
            <w:tcBorders>
              <w:top w:val="nil"/>
              <w:left w:val="nil"/>
              <w:bottom w:val="nil"/>
              <w:right w:val="nil"/>
            </w:tcBorders>
            <w:vAlign w:val="center"/>
            <w:hideMark/>
          </w:tcPr>
          <w:p w14:paraId="57E3C0DF" w14:textId="77777777" w:rsidR="007027AB" w:rsidRPr="00EE5690" w:rsidRDefault="007027AB" w:rsidP="00EE5690">
            <w:pPr>
              <w:spacing w:before="0" w:after="0" w:line="240" w:lineRule="auto"/>
              <w:jc w:val="left"/>
              <w:rPr>
                <w:rFonts w:eastAsia="Times New Roman" w:cs="Arial"/>
                <w:lang w:val="es-ES" w:eastAsia="es-ES"/>
              </w:rPr>
            </w:pPr>
          </w:p>
        </w:tc>
        <w:tc>
          <w:tcPr>
            <w:tcW w:w="2897" w:type="dxa"/>
            <w:gridSpan w:val="2"/>
            <w:tcBorders>
              <w:top w:val="nil"/>
              <w:left w:val="nil"/>
              <w:bottom w:val="nil"/>
              <w:right w:val="nil"/>
            </w:tcBorders>
            <w:shd w:val="clear" w:color="auto" w:fill="auto"/>
            <w:noWrap/>
            <w:vAlign w:val="bottom"/>
            <w:hideMark/>
          </w:tcPr>
          <w:p w14:paraId="41779BEB" w14:textId="79A80833" w:rsidR="007027AB" w:rsidRPr="00EE5690" w:rsidRDefault="007027AB" w:rsidP="00EE5690">
            <w:pPr>
              <w:spacing w:before="0" w:after="0" w:line="240" w:lineRule="auto"/>
              <w:jc w:val="left"/>
              <w:rPr>
                <w:rFonts w:eastAsia="Times New Roman" w:cs="Arial"/>
                <w:lang w:val="es-ES" w:eastAsia="es-ES"/>
              </w:rPr>
            </w:pPr>
            <w:r w:rsidRPr="00EE5690">
              <w:rPr>
                <w:rFonts w:eastAsia="Times New Roman" w:cs="Arial"/>
                <w:lang w:val="en-GB" w:eastAsia="es-ES"/>
              </w:rPr>
              <w:t>Erosion</w:t>
            </w:r>
          </w:p>
        </w:tc>
      </w:tr>
      <w:tr w:rsidR="009A6D21" w:rsidRPr="00EE5690" w14:paraId="59E1E1BE" w14:textId="77777777" w:rsidTr="00EF0705">
        <w:trPr>
          <w:trHeight w:val="264"/>
          <w:jc w:val="center"/>
        </w:trPr>
        <w:tc>
          <w:tcPr>
            <w:tcW w:w="1547" w:type="dxa"/>
            <w:vMerge/>
            <w:tcBorders>
              <w:top w:val="nil"/>
              <w:left w:val="nil"/>
              <w:bottom w:val="nil"/>
              <w:right w:val="nil"/>
            </w:tcBorders>
            <w:vAlign w:val="center"/>
            <w:hideMark/>
          </w:tcPr>
          <w:p w14:paraId="750764B4" w14:textId="77777777" w:rsidR="009A6D21" w:rsidRPr="00EE5690" w:rsidRDefault="009A6D21" w:rsidP="00EE5690">
            <w:pPr>
              <w:spacing w:before="0" w:after="0" w:line="240" w:lineRule="auto"/>
              <w:jc w:val="left"/>
              <w:rPr>
                <w:rFonts w:eastAsia="Times New Roman" w:cs="Arial"/>
                <w:lang w:val="es-ES" w:eastAsia="es-ES"/>
              </w:rPr>
            </w:pPr>
          </w:p>
        </w:tc>
        <w:tc>
          <w:tcPr>
            <w:tcW w:w="2897" w:type="dxa"/>
            <w:gridSpan w:val="2"/>
            <w:tcBorders>
              <w:top w:val="nil"/>
              <w:left w:val="nil"/>
              <w:bottom w:val="nil"/>
              <w:right w:val="nil"/>
            </w:tcBorders>
            <w:shd w:val="clear" w:color="auto" w:fill="auto"/>
            <w:noWrap/>
            <w:vAlign w:val="bottom"/>
            <w:hideMark/>
          </w:tcPr>
          <w:p w14:paraId="37AF4474"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Carbon sequestration</w:t>
            </w:r>
          </w:p>
        </w:tc>
      </w:tr>
      <w:tr w:rsidR="007027AB" w:rsidRPr="00EE5690" w14:paraId="02D75F83" w14:textId="77777777" w:rsidTr="00EF0705">
        <w:trPr>
          <w:trHeight w:val="264"/>
          <w:jc w:val="center"/>
        </w:trPr>
        <w:tc>
          <w:tcPr>
            <w:tcW w:w="1547" w:type="dxa"/>
            <w:vMerge/>
            <w:tcBorders>
              <w:top w:val="nil"/>
              <w:left w:val="nil"/>
              <w:bottom w:val="nil"/>
              <w:right w:val="nil"/>
            </w:tcBorders>
            <w:vAlign w:val="center"/>
            <w:hideMark/>
          </w:tcPr>
          <w:p w14:paraId="499E1A6D" w14:textId="77777777" w:rsidR="007027AB" w:rsidRPr="00EE5690" w:rsidRDefault="007027AB" w:rsidP="00EE5690">
            <w:pPr>
              <w:spacing w:before="0" w:after="0" w:line="240" w:lineRule="auto"/>
              <w:jc w:val="left"/>
              <w:rPr>
                <w:rFonts w:eastAsia="Times New Roman" w:cs="Arial"/>
                <w:lang w:val="es-ES" w:eastAsia="es-ES"/>
              </w:rPr>
            </w:pPr>
          </w:p>
        </w:tc>
        <w:tc>
          <w:tcPr>
            <w:tcW w:w="2897" w:type="dxa"/>
            <w:gridSpan w:val="2"/>
            <w:tcBorders>
              <w:top w:val="nil"/>
              <w:left w:val="nil"/>
              <w:bottom w:val="nil"/>
              <w:right w:val="nil"/>
            </w:tcBorders>
            <w:shd w:val="clear" w:color="auto" w:fill="auto"/>
            <w:noWrap/>
            <w:vAlign w:val="bottom"/>
            <w:hideMark/>
          </w:tcPr>
          <w:p w14:paraId="38507CFA" w14:textId="2074FA6F" w:rsidR="007027AB" w:rsidRPr="00EE5690" w:rsidRDefault="007027AB" w:rsidP="00EE5690">
            <w:pPr>
              <w:spacing w:before="0" w:after="0" w:line="240" w:lineRule="auto"/>
              <w:jc w:val="left"/>
              <w:rPr>
                <w:rFonts w:eastAsia="Times New Roman" w:cs="Arial"/>
                <w:lang w:val="es-ES" w:eastAsia="es-ES"/>
              </w:rPr>
            </w:pPr>
            <w:r w:rsidRPr="00EE5690">
              <w:rPr>
                <w:rFonts w:eastAsia="Times New Roman" w:cs="Arial"/>
                <w:lang w:val="en-GB" w:eastAsia="es-ES"/>
              </w:rPr>
              <w:t>Better health</w:t>
            </w:r>
          </w:p>
        </w:tc>
      </w:tr>
      <w:tr w:rsidR="009A6D21" w:rsidRPr="00EE5690" w14:paraId="6D65119B" w14:textId="77777777" w:rsidTr="00EF0705">
        <w:trPr>
          <w:trHeight w:val="264"/>
          <w:jc w:val="center"/>
        </w:trPr>
        <w:tc>
          <w:tcPr>
            <w:tcW w:w="1547" w:type="dxa"/>
            <w:vMerge/>
            <w:tcBorders>
              <w:top w:val="nil"/>
              <w:left w:val="nil"/>
              <w:bottom w:val="single" w:sz="4" w:space="0" w:color="auto"/>
              <w:right w:val="nil"/>
            </w:tcBorders>
            <w:vAlign w:val="center"/>
            <w:hideMark/>
          </w:tcPr>
          <w:p w14:paraId="1B77CC28" w14:textId="77777777" w:rsidR="009A6D21" w:rsidRPr="00EE5690" w:rsidRDefault="009A6D21" w:rsidP="00EE5690">
            <w:pPr>
              <w:spacing w:before="0" w:after="0" w:line="240" w:lineRule="auto"/>
              <w:jc w:val="left"/>
              <w:rPr>
                <w:rFonts w:eastAsia="Times New Roman" w:cs="Arial"/>
                <w:lang w:val="es-ES" w:eastAsia="es-ES"/>
              </w:rPr>
            </w:pPr>
          </w:p>
        </w:tc>
        <w:tc>
          <w:tcPr>
            <w:tcW w:w="2897" w:type="dxa"/>
            <w:gridSpan w:val="2"/>
            <w:tcBorders>
              <w:top w:val="nil"/>
              <w:left w:val="nil"/>
              <w:bottom w:val="single" w:sz="4" w:space="0" w:color="auto"/>
              <w:right w:val="nil"/>
            </w:tcBorders>
            <w:shd w:val="clear" w:color="auto" w:fill="auto"/>
            <w:noWrap/>
            <w:vAlign w:val="bottom"/>
            <w:hideMark/>
          </w:tcPr>
          <w:p w14:paraId="5DDFCA69" w14:textId="77777777" w:rsidR="009A6D21" w:rsidRPr="00EE5690" w:rsidRDefault="009A6D21" w:rsidP="00EE5690">
            <w:pPr>
              <w:spacing w:before="0" w:after="0" w:line="240" w:lineRule="auto"/>
              <w:jc w:val="left"/>
              <w:rPr>
                <w:rFonts w:eastAsia="Times New Roman" w:cs="Arial"/>
                <w:lang w:val="es-ES" w:eastAsia="es-ES"/>
              </w:rPr>
            </w:pPr>
            <w:r w:rsidRPr="00EE5690">
              <w:rPr>
                <w:rFonts w:eastAsia="Times New Roman" w:cs="Arial"/>
                <w:lang w:val="en-GB" w:eastAsia="es-ES"/>
              </w:rPr>
              <w:t>Protective function</w:t>
            </w:r>
          </w:p>
        </w:tc>
      </w:tr>
    </w:tbl>
    <w:p w14:paraId="409C6A7F" w14:textId="6D59B256" w:rsidR="003044B8" w:rsidRPr="00EE5690" w:rsidRDefault="00015721" w:rsidP="002D2FB4">
      <w:pPr>
        <w:rPr>
          <w:rFonts w:cs="Arial"/>
          <w:shd w:val="clear" w:color="auto" w:fill="F8F8F8"/>
        </w:rPr>
      </w:pPr>
      <w:r w:rsidRPr="00EE5690">
        <w:rPr>
          <w:rFonts w:cs="Arial"/>
          <w:lang w:val="en-GB"/>
        </w:rPr>
        <w:t>The dataset selected to identify the variables for the indicators of sustainability development aspects was E</w:t>
      </w:r>
      <w:r w:rsidR="00041ED9" w:rsidRPr="00EE5690">
        <w:rPr>
          <w:rFonts w:cs="Arial"/>
          <w:lang w:val="en-GB"/>
        </w:rPr>
        <w:t>urostat.</w:t>
      </w:r>
      <w:r w:rsidR="00EB46BE" w:rsidRPr="00EE5690">
        <w:rPr>
          <w:rFonts w:cs="Arial"/>
          <w:lang w:val="en-GB"/>
        </w:rPr>
        <w:t xml:space="preserve"> </w:t>
      </w:r>
      <w:r w:rsidR="00041ED9" w:rsidRPr="00EE5690">
        <w:rPr>
          <w:rFonts w:cs="Arial"/>
          <w:lang w:val="en-GB"/>
        </w:rPr>
        <w:t>To find indicator related variables the Eurostat dataset was explored using</w:t>
      </w:r>
      <w:r w:rsidR="008A42DD">
        <w:rPr>
          <w:rFonts w:cs="Arial"/>
          <w:lang w:val="en-GB"/>
        </w:rPr>
        <w:t xml:space="preserve"> the</w:t>
      </w:r>
      <w:r w:rsidR="00EB46BE" w:rsidRPr="00EE5690">
        <w:rPr>
          <w:rFonts w:cs="Arial"/>
          <w:lang w:val="en-GB"/>
        </w:rPr>
        <w:t xml:space="preserve"> Eurostat </w:t>
      </w:r>
      <w:r w:rsidR="00041ED9" w:rsidRPr="00EE5690">
        <w:rPr>
          <w:rFonts w:cs="Arial"/>
          <w:lang w:val="en-GB"/>
        </w:rPr>
        <w:t xml:space="preserve">R </w:t>
      </w:r>
      <w:r w:rsidR="00EB46BE" w:rsidRPr="00EE5690">
        <w:rPr>
          <w:rFonts w:cs="Arial"/>
          <w:lang w:val="en-GB"/>
        </w:rPr>
        <w:t>package</w:t>
      </w:r>
      <w:r w:rsidR="00041ED9" w:rsidRPr="00EE5690">
        <w:rPr>
          <w:rFonts w:cs="Arial"/>
          <w:lang w:val="en-GB"/>
        </w:rPr>
        <w:t>. Here, the indicator names were used to search for meaningful datasets. However, this method did not retrieve a satisfying output, as few datasets existed containing</w:t>
      </w:r>
      <w:r w:rsidR="003044B8" w:rsidRPr="00EE5690">
        <w:rPr>
          <w:rFonts w:cs="Arial"/>
          <w:lang w:val="en-GB"/>
        </w:rPr>
        <w:t xml:space="preserve"> the indicator</w:t>
      </w:r>
      <w:r w:rsidR="00EF0705" w:rsidRPr="00EE5690">
        <w:rPr>
          <w:rFonts w:cs="Arial"/>
          <w:lang w:val="en-GB"/>
        </w:rPr>
        <w:t xml:space="preserve"> names. In addition, among the different findings, usually there</w:t>
      </w:r>
      <w:r w:rsidR="003044B8" w:rsidRPr="00EE5690">
        <w:rPr>
          <w:rFonts w:cs="Arial"/>
          <w:lang w:val="en-GB"/>
        </w:rPr>
        <w:t xml:space="preserve"> were repetitions of a given dataset in different resolutions.</w:t>
      </w:r>
      <w:r w:rsidR="00EF0705" w:rsidRPr="00EE5690">
        <w:rPr>
          <w:rFonts w:cs="Arial"/>
          <w:lang w:val="en-GB"/>
        </w:rPr>
        <w:t xml:space="preserve"> Therefore, this method was not useful to extract the desired information.</w:t>
      </w:r>
      <w:r w:rsidR="003044B8" w:rsidRPr="00EE5690">
        <w:rPr>
          <w:rFonts w:cs="Arial"/>
          <w:lang w:val="en-GB"/>
        </w:rPr>
        <w:t xml:space="preserve"> </w:t>
      </w:r>
    </w:p>
    <w:p w14:paraId="5B6D040C" w14:textId="77777777" w:rsidR="0073710A" w:rsidRPr="0073710A" w:rsidRDefault="003044B8" w:rsidP="002D2FB4">
      <w:pPr>
        <w:rPr>
          <w:rFonts w:cs="Arial"/>
        </w:rPr>
      </w:pPr>
      <w:r w:rsidRPr="00EE5690">
        <w:rPr>
          <w:rFonts w:cs="Arial"/>
        </w:rPr>
        <w:lastRenderedPageBreak/>
        <w:t xml:space="preserve">The results for </w:t>
      </w:r>
      <w:r w:rsidR="00EF0705" w:rsidRPr="00EE5690">
        <w:rPr>
          <w:rFonts w:cs="Arial"/>
        </w:rPr>
        <w:t>the</w:t>
      </w:r>
      <w:r w:rsidR="00421915" w:rsidRPr="00EE5690">
        <w:rPr>
          <w:rFonts w:cs="Arial"/>
        </w:rPr>
        <w:t xml:space="preserve"> queries are reflected in</w:t>
      </w:r>
      <w:r w:rsidR="00E412B7" w:rsidRPr="00EE5690">
        <w:rPr>
          <w:rFonts w:cs="Arial"/>
        </w:rPr>
        <w:t xml:space="preserve"> Table 25</w:t>
      </w:r>
      <w:r w:rsidR="00421915" w:rsidRPr="00EE5690">
        <w:rPr>
          <w:rFonts w:cs="Arial"/>
        </w:rPr>
        <w:t xml:space="preserve">, </w:t>
      </w:r>
      <w:r w:rsidR="00421915" w:rsidRPr="00EE5690">
        <w:rPr>
          <w:rFonts w:cs="Arial"/>
        </w:rPr>
        <w:fldChar w:fldCharType="begin"/>
      </w:r>
      <w:r w:rsidR="00421915" w:rsidRPr="00EE5690">
        <w:rPr>
          <w:rFonts w:cs="Arial"/>
        </w:rPr>
        <w:instrText xml:space="preserve"> REF _Ref68683979 \h </w:instrText>
      </w:r>
      <w:r w:rsidR="00EE5690" w:rsidRPr="00EE5690">
        <w:rPr>
          <w:rFonts w:cs="Arial"/>
        </w:rPr>
        <w:instrText xml:space="preserve"> \* MERGEFORMAT </w:instrText>
      </w:r>
      <w:r w:rsidR="00421915" w:rsidRPr="00EE5690">
        <w:rPr>
          <w:rFonts w:cs="Arial"/>
        </w:rPr>
      </w:r>
      <w:r w:rsidR="00421915" w:rsidRPr="00EE5690">
        <w:rPr>
          <w:rFonts w:cs="Arial"/>
        </w:rPr>
        <w:fldChar w:fldCharType="separate"/>
      </w:r>
    </w:p>
    <w:tbl>
      <w:tblPr>
        <w:tblStyle w:val="TableGrid"/>
        <w:tblW w:w="5000" w:type="pct"/>
        <w:tblLook w:val="07E0" w:firstRow="1" w:lastRow="1" w:firstColumn="1" w:lastColumn="1" w:noHBand="1" w:noVBand="1"/>
        <w:tblCaption w:val="Environmental datasets found in the Eurostat database"/>
      </w:tblPr>
      <w:tblGrid>
        <w:gridCol w:w="1787"/>
        <w:gridCol w:w="1133"/>
        <w:gridCol w:w="741"/>
        <w:gridCol w:w="1169"/>
        <w:gridCol w:w="1356"/>
        <w:gridCol w:w="739"/>
        <w:gridCol w:w="709"/>
        <w:gridCol w:w="861"/>
      </w:tblGrid>
      <w:tr w:rsidR="0073710A" w:rsidRPr="00F663DC" w14:paraId="3F6FB142" w14:textId="77777777" w:rsidTr="0022057B">
        <w:tc>
          <w:tcPr>
            <w:tcW w:w="0" w:type="auto"/>
            <w:shd w:val="clear" w:color="auto" w:fill="BFBFBF" w:themeFill="background1" w:themeFillShade="BF"/>
          </w:tcPr>
          <w:p w14:paraId="616264BB" w14:textId="5CC06199" w:rsidR="0073710A" w:rsidRPr="00B34D4C" w:rsidRDefault="0073710A" w:rsidP="0073710A">
            <w:pPr>
              <w:rPr>
                <w:rFonts w:cs="Arial"/>
                <w:b/>
                <w:bCs/>
                <w:sz w:val="20"/>
                <w:szCs w:val="16"/>
              </w:rPr>
            </w:pPr>
            <w:r w:rsidRPr="00B34D4C">
              <w:rPr>
                <w:rFonts w:cs="Arial"/>
                <w:b/>
                <w:bCs/>
                <w:sz w:val="20"/>
                <w:szCs w:val="16"/>
              </w:rPr>
              <w:t>Title</w:t>
            </w:r>
          </w:p>
        </w:tc>
        <w:tc>
          <w:tcPr>
            <w:tcW w:w="0" w:type="auto"/>
            <w:shd w:val="clear" w:color="auto" w:fill="BFBFBF" w:themeFill="background1" w:themeFillShade="BF"/>
          </w:tcPr>
          <w:p w14:paraId="16BF325A" w14:textId="77777777" w:rsidR="0073710A" w:rsidRPr="00B34D4C" w:rsidRDefault="0073710A" w:rsidP="0022057B">
            <w:pPr>
              <w:pStyle w:val="Compact"/>
              <w:rPr>
                <w:rFonts w:ascii="Arial" w:hAnsi="Arial" w:cs="Arial"/>
                <w:b/>
                <w:bCs/>
                <w:sz w:val="20"/>
                <w:szCs w:val="16"/>
              </w:rPr>
            </w:pPr>
            <w:r w:rsidRPr="00B34D4C">
              <w:rPr>
                <w:rFonts w:ascii="Arial" w:hAnsi="Arial" w:cs="Arial"/>
                <w:b/>
                <w:bCs/>
                <w:sz w:val="20"/>
                <w:szCs w:val="16"/>
              </w:rPr>
              <w:t>Code</w:t>
            </w:r>
          </w:p>
        </w:tc>
        <w:tc>
          <w:tcPr>
            <w:tcW w:w="0" w:type="auto"/>
            <w:shd w:val="clear" w:color="auto" w:fill="BFBFBF" w:themeFill="background1" w:themeFillShade="BF"/>
          </w:tcPr>
          <w:p w14:paraId="3FFB670F" w14:textId="77777777" w:rsidR="0073710A" w:rsidRPr="00B34D4C" w:rsidRDefault="0073710A" w:rsidP="0022057B">
            <w:pPr>
              <w:pStyle w:val="Compact"/>
              <w:rPr>
                <w:rFonts w:ascii="Arial" w:hAnsi="Arial" w:cs="Arial"/>
                <w:b/>
                <w:bCs/>
                <w:sz w:val="20"/>
                <w:szCs w:val="16"/>
              </w:rPr>
            </w:pPr>
            <w:r w:rsidRPr="00B34D4C">
              <w:rPr>
                <w:rFonts w:ascii="Arial" w:hAnsi="Arial" w:cs="Arial"/>
                <w:b/>
                <w:bCs/>
                <w:sz w:val="20"/>
                <w:szCs w:val="16"/>
              </w:rPr>
              <w:t>Type</w:t>
            </w:r>
          </w:p>
        </w:tc>
        <w:tc>
          <w:tcPr>
            <w:tcW w:w="0" w:type="auto"/>
            <w:shd w:val="clear" w:color="auto" w:fill="BFBFBF" w:themeFill="background1" w:themeFillShade="BF"/>
          </w:tcPr>
          <w:p w14:paraId="2AAD856A" w14:textId="77777777" w:rsidR="0073710A" w:rsidRPr="00B34D4C" w:rsidRDefault="0073710A" w:rsidP="0022057B">
            <w:pPr>
              <w:pStyle w:val="Compact"/>
              <w:rPr>
                <w:rFonts w:ascii="Arial" w:hAnsi="Arial" w:cs="Arial"/>
                <w:b/>
                <w:bCs/>
                <w:sz w:val="20"/>
                <w:szCs w:val="16"/>
              </w:rPr>
            </w:pPr>
            <w:r w:rsidRPr="00B34D4C">
              <w:rPr>
                <w:rFonts w:ascii="Arial" w:hAnsi="Arial" w:cs="Arial"/>
                <w:b/>
                <w:bCs/>
                <w:sz w:val="20"/>
                <w:szCs w:val="16"/>
              </w:rPr>
              <w:t xml:space="preserve">Last Update </w:t>
            </w:r>
            <w:proofErr w:type="gramStart"/>
            <w:r w:rsidRPr="00B34D4C">
              <w:rPr>
                <w:rFonts w:ascii="Arial" w:hAnsi="Arial" w:cs="Arial"/>
                <w:b/>
                <w:bCs/>
                <w:sz w:val="20"/>
                <w:szCs w:val="16"/>
              </w:rPr>
              <w:t>Of</w:t>
            </w:r>
            <w:proofErr w:type="gramEnd"/>
            <w:r w:rsidRPr="00B34D4C">
              <w:rPr>
                <w:rFonts w:ascii="Arial" w:hAnsi="Arial" w:cs="Arial"/>
                <w:b/>
                <w:bCs/>
                <w:sz w:val="20"/>
                <w:szCs w:val="16"/>
              </w:rPr>
              <w:t xml:space="preserve"> Data</w:t>
            </w:r>
          </w:p>
        </w:tc>
        <w:tc>
          <w:tcPr>
            <w:tcW w:w="0" w:type="auto"/>
            <w:shd w:val="clear" w:color="auto" w:fill="BFBFBF" w:themeFill="background1" w:themeFillShade="BF"/>
          </w:tcPr>
          <w:p w14:paraId="5DE3FA9D" w14:textId="77777777" w:rsidR="0073710A" w:rsidRPr="00B34D4C" w:rsidRDefault="0073710A" w:rsidP="0022057B">
            <w:pPr>
              <w:pStyle w:val="Compact"/>
              <w:rPr>
                <w:rFonts w:ascii="Arial" w:hAnsi="Arial" w:cs="Arial"/>
                <w:b/>
                <w:bCs/>
                <w:sz w:val="20"/>
                <w:szCs w:val="16"/>
              </w:rPr>
            </w:pPr>
            <w:r w:rsidRPr="00B34D4C">
              <w:rPr>
                <w:rFonts w:ascii="Arial" w:hAnsi="Arial" w:cs="Arial"/>
                <w:b/>
                <w:bCs/>
                <w:sz w:val="20"/>
                <w:szCs w:val="16"/>
              </w:rPr>
              <w:t>Last Table Structure Change</w:t>
            </w:r>
          </w:p>
        </w:tc>
        <w:tc>
          <w:tcPr>
            <w:tcW w:w="0" w:type="auto"/>
            <w:shd w:val="clear" w:color="auto" w:fill="BFBFBF" w:themeFill="background1" w:themeFillShade="BF"/>
          </w:tcPr>
          <w:p w14:paraId="0E124157" w14:textId="77777777" w:rsidR="0073710A" w:rsidRPr="00B34D4C" w:rsidRDefault="0073710A" w:rsidP="0022057B">
            <w:pPr>
              <w:pStyle w:val="Compact"/>
              <w:rPr>
                <w:rFonts w:ascii="Arial" w:hAnsi="Arial" w:cs="Arial"/>
                <w:b/>
                <w:bCs/>
                <w:sz w:val="20"/>
                <w:szCs w:val="16"/>
              </w:rPr>
            </w:pPr>
            <w:r w:rsidRPr="00B34D4C">
              <w:rPr>
                <w:rFonts w:ascii="Arial" w:hAnsi="Arial" w:cs="Arial"/>
                <w:b/>
                <w:bCs/>
                <w:sz w:val="20"/>
                <w:szCs w:val="16"/>
              </w:rPr>
              <w:t>Data Start</w:t>
            </w:r>
          </w:p>
        </w:tc>
        <w:tc>
          <w:tcPr>
            <w:tcW w:w="0" w:type="auto"/>
            <w:shd w:val="clear" w:color="auto" w:fill="BFBFBF" w:themeFill="background1" w:themeFillShade="BF"/>
          </w:tcPr>
          <w:p w14:paraId="6D615416" w14:textId="77777777" w:rsidR="0073710A" w:rsidRPr="00B34D4C" w:rsidRDefault="0073710A" w:rsidP="0022057B">
            <w:pPr>
              <w:pStyle w:val="Compact"/>
              <w:rPr>
                <w:rFonts w:ascii="Arial" w:hAnsi="Arial" w:cs="Arial"/>
                <w:b/>
                <w:bCs/>
                <w:sz w:val="20"/>
                <w:szCs w:val="16"/>
              </w:rPr>
            </w:pPr>
            <w:r w:rsidRPr="00B34D4C">
              <w:rPr>
                <w:rFonts w:ascii="Arial" w:hAnsi="Arial" w:cs="Arial"/>
                <w:b/>
                <w:bCs/>
                <w:sz w:val="20"/>
                <w:szCs w:val="16"/>
              </w:rPr>
              <w:t>Data End</w:t>
            </w:r>
          </w:p>
        </w:tc>
        <w:tc>
          <w:tcPr>
            <w:tcW w:w="0" w:type="auto"/>
            <w:shd w:val="clear" w:color="auto" w:fill="BFBFBF" w:themeFill="background1" w:themeFillShade="BF"/>
          </w:tcPr>
          <w:p w14:paraId="49E3B3A6" w14:textId="77777777" w:rsidR="0073710A" w:rsidRPr="00B34D4C" w:rsidRDefault="0073710A" w:rsidP="0022057B">
            <w:pPr>
              <w:pStyle w:val="Compact"/>
              <w:rPr>
                <w:rFonts w:ascii="Arial" w:hAnsi="Arial" w:cs="Arial"/>
                <w:b/>
                <w:bCs/>
                <w:sz w:val="20"/>
                <w:szCs w:val="16"/>
              </w:rPr>
            </w:pPr>
            <w:r w:rsidRPr="00B34D4C">
              <w:rPr>
                <w:rFonts w:ascii="Arial" w:hAnsi="Arial" w:cs="Arial"/>
                <w:b/>
                <w:bCs/>
                <w:sz w:val="20"/>
                <w:szCs w:val="16"/>
              </w:rPr>
              <w:t>Values</w:t>
            </w:r>
          </w:p>
        </w:tc>
      </w:tr>
      <w:tr w:rsidR="0073710A" w:rsidRPr="00BE322D" w14:paraId="35AF46F5" w14:textId="77777777" w:rsidTr="0022057B">
        <w:tc>
          <w:tcPr>
            <w:tcW w:w="0" w:type="auto"/>
          </w:tcPr>
          <w:p w14:paraId="3AF01588"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Estimated soil erosion by water, by erosion level, land cover and NUTS 3 regions (source: JRC)</w:t>
            </w:r>
          </w:p>
        </w:tc>
        <w:tc>
          <w:tcPr>
            <w:tcW w:w="0" w:type="auto"/>
          </w:tcPr>
          <w:p w14:paraId="2776D31B" w14:textId="77777777" w:rsidR="0073710A" w:rsidRPr="00BE322D" w:rsidRDefault="0073710A" w:rsidP="0022057B">
            <w:pPr>
              <w:pStyle w:val="Compact"/>
              <w:rPr>
                <w:rFonts w:ascii="Arial" w:hAnsi="Arial" w:cs="Arial"/>
                <w:sz w:val="16"/>
                <w:szCs w:val="16"/>
              </w:rPr>
            </w:pPr>
            <w:proofErr w:type="spellStart"/>
            <w:r w:rsidRPr="00BE322D">
              <w:rPr>
                <w:rFonts w:ascii="Arial" w:hAnsi="Arial" w:cs="Arial"/>
                <w:sz w:val="16"/>
                <w:szCs w:val="16"/>
              </w:rPr>
              <w:t>aei_pr_soiler</w:t>
            </w:r>
            <w:proofErr w:type="spellEnd"/>
          </w:p>
        </w:tc>
        <w:tc>
          <w:tcPr>
            <w:tcW w:w="0" w:type="auto"/>
          </w:tcPr>
          <w:p w14:paraId="148D7E57"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dataset</w:t>
            </w:r>
          </w:p>
        </w:tc>
        <w:tc>
          <w:tcPr>
            <w:tcW w:w="0" w:type="auto"/>
          </w:tcPr>
          <w:p w14:paraId="133486AE"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18.12.2019</w:t>
            </w:r>
          </w:p>
        </w:tc>
        <w:tc>
          <w:tcPr>
            <w:tcW w:w="0" w:type="auto"/>
          </w:tcPr>
          <w:p w14:paraId="611F8817"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11B4D41E"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613A3CBE"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1239278F"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NA</w:t>
            </w:r>
          </w:p>
        </w:tc>
      </w:tr>
      <w:tr w:rsidR="0073710A" w:rsidRPr="00BE322D" w14:paraId="2D1ABDEF" w14:textId="77777777" w:rsidTr="0022057B">
        <w:tc>
          <w:tcPr>
            <w:tcW w:w="0" w:type="auto"/>
          </w:tcPr>
          <w:p w14:paraId="2041ECB6"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Estimated soil erosion by water, by erosion level, land cover and NUTS 3 regions (source: JRC)</w:t>
            </w:r>
          </w:p>
        </w:tc>
        <w:tc>
          <w:tcPr>
            <w:tcW w:w="0" w:type="auto"/>
          </w:tcPr>
          <w:p w14:paraId="1C22D571" w14:textId="77777777" w:rsidR="0073710A" w:rsidRPr="00BE322D" w:rsidRDefault="0073710A" w:rsidP="0022057B">
            <w:pPr>
              <w:pStyle w:val="Compact"/>
              <w:rPr>
                <w:rFonts w:ascii="Arial" w:hAnsi="Arial" w:cs="Arial"/>
                <w:sz w:val="16"/>
                <w:szCs w:val="16"/>
              </w:rPr>
            </w:pPr>
            <w:proofErr w:type="spellStart"/>
            <w:r w:rsidRPr="00BE322D">
              <w:rPr>
                <w:rFonts w:ascii="Arial" w:hAnsi="Arial" w:cs="Arial"/>
                <w:sz w:val="16"/>
                <w:szCs w:val="16"/>
              </w:rPr>
              <w:t>aei_pr_soiler</w:t>
            </w:r>
            <w:proofErr w:type="spellEnd"/>
          </w:p>
        </w:tc>
        <w:tc>
          <w:tcPr>
            <w:tcW w:w="0" w:type="auto"/>
          </w:tcPr>
          <w:p w14:paraId="7F6302EC"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dataset</w:t>
            </w:r>
          </w:p>
        </w:tc>
        <w:tc>
          <w:tcPr>
            <w:tcW w:w="0" w:type="auto"/>
          </w:tcPr>
          <w:p w14:paraId="147424C1"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18.12.2019</w:t>
            </w:r>
          </w:p>
        </w:tc>
        <w:tc>
          <w:tcPr>
            <w:tcW w:w="0" w:type="auto"/>
          </w:tcPr>
          <w:p w14:paraId="46B2ADE5"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4FC6035B"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7A7B99BD"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72C5E623"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NA</w:t>
            </w:r>
          </w:p>
        </w:tc>
      </w:tr>
      <w:tr w:rsidR="0073710A" w:rsidRPr="00BE322D" w14:paraId="07494130" w14:textId="77777777" w:rsidTr="0022057B">
        <w:tc>
          <w:tcPr>
            <w:tcW w:w="0" w:type="auto"/>
          </w:tcPr>
          <w:p w14:paraId="75F53EFB"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Estimated soil erosion by water - area affected by severe erosion rate (source: JRC)</w:t>
            </w:r>
          </w:p>
        </w:tc>
        <w:tc>
          <w:tcPr>
            <w:tcW w:w="0" w:type="auto"/>
          </w:tcPr>
          <w:p w14:paraId="5C7E161F"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t2020_rn300</w:t>
            </w:r>
          </w:p>
        </w:tc>
        <w:tc>
          <w:tcPr>
            <w:tcW w:w="0" w:type="auto"/>
          </w:tcPr>
          <w:p w14:paraId="6C2395AD"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table</w:t>
            </w:r>
          </w:p>
        </w:tc>
        <w:tc>
          <w:tcPr>
            <w:tcW w:w="0" w:type="auto"/>
          </w:tcPr>
          <w:p w14:paraId="2C31F5B3"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13ABA494"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3AD57F5B"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2B83ABBD"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756037CA"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NA</w:t>
            </w:r>
          </w:p>
        </w:tc>
      </w:tr>
      <w:tr w:rsidR="0073710A" w:rsidRPr="00BE322D" w14:paraId="49AB4EA5" w14:textId="77777777" w:rsidTr="0022057B">
        <w:tc>
          <w:tcPr>
            <w:tcW w:w="0" w:type="auto"/>
          </w:tcPr>
          <w:p w14:paraId="20568B35"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Estimated soil erosion by water - area affected by severe erosion rate (source: JRC)</w:t>
            </w:r>
          </w:p>
        </w:tc>
        <w:tc>
          <w:tcPr>
            <w:tcW w:w="0" w:type="auto"/>
          </w:tcPr>
          <w:p w14:paraId="33272FA5"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sdg_15_50</w:t>
            </w:r>
          </w:p>
        </w:tc>
        <w:tc>
          <w:tcPr>
            <w:tcW w:w="0" w:type="auto"/>
          </w:tcPr>
          <w:p w14:paraId="015B9A0C"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table</w:t>
            </w:r>
          </w:p>
        </w:tc>
        <w:tc>
          <w:tcPr>
            <w:tcW w:w="0" w:type="auto"/>
          </w:tcPr>
          <w:p w14:paraId="32316E51"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2D61D67F"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1D6E868A"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342C2766"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1CF04C49"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NA</w:t>
            </w:r>
          </w:p>
        </w:tc>
      </w:tr>
      <w:tr w:rsidR="0073710A" w:rsidRPr="00BE322D" w14:paraId="1B101CE0" w14:textId="77777777" w:rsidTr="0022057B">
        <w:tc>
          <w:tcPr>
            <w:tcW w:w="0" w:type="auto"/>
          </w:tcPr>
          <w:p w14:paraId="4BF4E206"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Estimated soil erosion by water - area affected by severe erosion rate (source: JRC)</w:t>
            </w:r>
          </w:p>
        </w:tc>
        <w:tc>
          <w:tcPr>
            <w:tcW w:w="0" w:type="auto"/>
          </w:tcPr>
          <w:p w14:paraId="0C8FECAE"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sdg_15_50</w:t>
            </w:r>
          </w:p>
        </w:tc>
        <w:tc>
          <w:tcPr>
            <w:tcW w:w="0" w:type="auto"/>
          </w:tcPr>
          <w:p w14:paraId="0877834A"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table</w:t>
            </w:r>
          </w:p>
        </w:tc>
        <w:tc>
          <w:tcPr>
            <w:tcW w:w="0" w:type="auto"/>
          </w:tcPr>
          <w:p w14:paraId="6BF46A93"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1AA96830"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700ECABB"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02846B36"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2D11B316"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NA</w:t>
            </w:r>
          </w:p>
        </w:tc>
      </w:tr>
      <w:tr w:rsidR="0073710A" w:rsidRPr="00BE322D" w14:paraId="61B0FAB8" w14:textId="77777777" w:rsidTr="0022057B">
        <w:tc>
          <w:tcPr>
            <w:tcW w:w="0" w:type="auto"/>
          </w:tcPr>
          <w:p w14:paraId="54308B99"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Average carbon dioxide emissions per km from new passenger cars</w:t>
            </w:r>
          </w:p>
        </w:tc>
        <w:tc>
          <w:tcPr>
            <w:tcW w:w="0" w:type="auto"/>
          </w:tcPr>
          <w:p w14:paraId="65685EB2"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t2020_rk330</w:t>
            </w:r>
          </w:p>
        </w:tc>
        <w:tc>
          <w:tcPr>
            <w:tcW w:w="0" w:type="auto"/>
          </w:tcPr>
          <w:p w14:paraId="7005C501"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table</w:t>
            </w:r>
          </w:p>
        </w:tc>
        <w:tc>
          <w:tcPr>
            <w:tcW w:w="0" w:type="auto"/>
          </w:tcPr>
          <w:p w14:paraId="2863983F"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0FD47D7C"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65DEB44B"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2BB78E91"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2017</w:t>
            </w:r>
          </w:p>
        </w:tc>
        <w:tc>
          <w:tcPr>
            <w:tcW w:w="0" w:type="auto"/>
          </w:tcPr>
          <w:p w14:paraId="3BE52B0A" w14:textId="77777777" w:rsidR="0073710A" w:rsidRPr="00BE322D" w:rsidRDefault="0073710A" w:rsidP="0022057B">
            <w:pPr>
              <w:pStyle w:val="Compact"/>
              <w:rPr>
                <w:rFonts w:ascii="Arial" w:hAnsi="Arial" w:cs="Arial"/>
                <w:sz w:val="16"/>
                <w:szCs w:val="16"/>
              </w:rPr>
            </w:pPr>
            <w:r w:rsidRPr="00BE322D">
              <w:rPr>
                <w:rFonts w:ascii="Arial" w:hAnsi="Arial" w:cs="Arial"/>
                <w:sz w:val="16"/>
                <w:szCs w:val="16"/>
              </w:rPr>
              <w:t>NA</w:t>
            </w:r>
          </w:p>
        </w:tc>
      </w:tr>
    </w:tbl>
    <w:p w14:paraId="2731B57C" w14:textId="0041158F" w:rsidR="003044B8" w:rsidRPr="00EE5690" w:rsidRDefault="0073710A" w:rsidP="002D2FB4">
      <w:pPr>
        <w:rPr>
          <w:rFonts w:cs="Arial"/>
        </w:rPr>
      </w:pPr>
      <w:r w:rsidRPr="0073710A">
        <w:rPr>
          <w:rFonts w:cs="Arial"/>
          <w:sz w:val="20"/>
          <w:szCs w:val="20"/>
        </w:rPr>
        <w:t xml:space="preserve">Table </w:t>
      </w:r>
      <w:r>
        <w:rPr>
          <w:rFonts w:cs="Arial"/>
          <w:noProof/>
        </w:rPr>
        <w:t>26</w:t>
      </w:r>
      <w:r w:rsidR="00421915" w:rsidRPr="00EE5690">
        <w:rPr>
          <w:rFonts w:cs="Arial"/>
        </w:rPr>
        <w:fldChar w:fldCharType="end"/>
      </w:r>
      <w:r w:rsidR="00E412B7" w:rsidRPr="00EE5690">
        <w:rPr>
          <w:rFonts w:cs="Arial"/>
        </w:rPr>
        <w:t xml:space="preserve"> </w:t>
      </w:r>
      <w:r w:rsidR="00421915" w:rsidRPr="00EE5690">
        <w:rPr>
          <w:rFonts w:cs="Arial"/>
        </w:rPr>
        <w:t>and</w:t>
      </w:r>
      <w:r w:rsidR="00E412B7" w:rsidRPr="00EE5690">
        <w:rPr>
          <w:rFonts w:cs="Arial"/>
        </w:rPr>
        <w:t xml:space="preserve"> Table 27</w:t>
      </w:r>
      <w:r w:rsidR="00421915" w:rsidRPr="00EE5690">
        <w:rPr>
          <w:rFonts w:cs="Arial"/>
        </w:rPr>
        <w:t>;</w:t>
      </w:r>
      <w:r w:rsidR="003044B8" w:rsidRPr="00EE5690">
        <w:rPr>
          <w:rFonts w:cs="Arial"/>
        </w:rPr>
        <w:t xml:space="preserve"> one for each sustainability aspect:</w:t>
      </w:r>
    </w:p>
    <w:p w14:paraId="3F4D339A" w14:textId="1618F5C7" w:rsidR="0027640E" w:rsidRPr="008A42DD" w:rsidRDefault="0027640E" w:rsidP="008D2892">
      <w:pPr>
        <w:pStyle w:val="Caption"/>
        <w:keepNext/>
        <w:rPr>
          <w:rFonts w:cs="Arial"/>
        </w:rPr>
      </w:pPr>
      <w:bookmarkStart w:id="111" w:name="_Ref68683976"/>
      <w:bookmarkStart w:id="112" w:name="_Toc91752564"/>
      <w:r w:rsidRPr="008A42DD">
        <w:rPr>
          <w:rFonts w:cs="Arial"/>
        </w:rPr>
        <w:t xml:space="preserve">Table </w:t>
      </w:r>
      <w:r w:rsidRPr="008A42DD">
        <w:rPr>
          <w:rFonts w:cs="Arial"/>
        </w:rPr>
        <w:fldChar w:fldCharType="begin"/>
      </w:r>
      <w:r w:rsidRPr="008A42DD">
        <w:rPr>
          <w:rFonts w:cs="Arial"/>
        </w:rPr>
        <w:instrText xml:space="preserve"> SEQ Table \* ARABIC </w:instrText>
      </w:r>
      <w:r w:rsidRPr="008A42DD">
        <w:rPr>
          <w:rFonts w:cs="Arial"/>
        </w:rPr>
        <w:fldChar w:fldCharType="separate"/>
      </w:r>
      <w:r w:rsidR="0073710A">
        <w:rPr>
          <w:rFonts w:cs="Arial"/>
          <w:noProof/>
        </w:rPr>
        <w:t>25</w:t>
      </w:r>
      <w:r w:rsidRPr="008A42DD">
        <w:rPr>
          <w:rFonts w:cs="Arial"/>
        </w:rPr>
        <w:fldChar w:fldCharType="end"/>
      </w:r>
      <w:bookmarkEnd w:id="111"/>
      <w:r w:rsidRPr="008A42DD">
        <w:rPr>
          <w:rFonts w:cs="Arial"/>
        </w:rPr>
        <w:t xml:space="preserve"> Environmental datasets found in the Eurostat database</w:t>
      </w:r>
      <w:bookmarkEnd w:id="112"/>
    </w:p>
    <w:tbl>
      <w:tblPr>
        <w:tblStyle w:val="TableGrid"/>
        <w:tblW w:w="5000" w:type="pct"/>
        <w:tblLook w:val="07E0" w:firstRow="1" w:lastRow="1" w:firstColumn="1" w:lastColumn="1" w:noHBand="1" w:noVBand="1"/>
        <w:tblCaption w:val="Environmental datasets found in the Eurostat database"/>
      </w:tblPr>
      <w:tblGrid>
        <w:gridCol w:w="1787"/>
        <w:gridCol w:w="1133"/>
        <w:gridCol w:w="741"/>
        <w:gridCol w:w="1169"/>
        <w:gridCol w:w="1356"/>
        <w:gridCol w:w="739"/>
        <w:gridCol w:w="709"/>
        <w:gridCol w:w="861"/>
      </w:tblGrid>
      <w:tr w:rsidR="008D2892" w:rsidRPr="00F663DC" w14:paraId="68C072A1" w14:textId="77777777" w:rsidTr="0022057B">
        <w:tc>
          <w:tcPr>
            <w:tcW w:w="0" w:type="auto"/>
            <w:shd w:val="clear" w:color="auto" w:fill="BFBFBF" w:themeFill="background1" w:themeFillShade="BF"/>
          </w:tcPr>
          <w:p w14:paraId="32432365" w14:textId="77777777" w:rsidR="008D2892" w:rsidRPr="00B34D4C" w:rsidRDefault="008D2892" w:rsidP="0022057B">
            <w:pPr>
              <w:pStyle w:val="Compact"/>
              <w:rPr>
                <w:rFonts w:ascii="Arial" w:hAnsi="Arial" w:cs="Arial"/>
                <w:b/>
                <w:bCs/>
                <w:sz w:val="20"/>
                <w:szCs w:val="16"/>
              </w:rPr>
            </w:pPr>
            <w:bookmarkStart w:id="113" w:name="_Ref68683979"/>
            <w:r w:rsidRPr="00B34D4C">
              <w:rPr>
                <w:rFonts w:ascii="Arial" w:hAnsi="Arial" w:cs="Arial"/>
                <w:b/>
                <w:bCs/>
                <w:sz w:val="20"/>
                <w:szCs w:val="16"/>
              </w:rPr>
              <w:t>Title</w:t>
            </w:r>
          </w:p>
        </w:tc>
        <w:tc>
          <w:tcPr>
            <w:tcW w:w="0" w:type="auto"/>
            <w:shd w:val="clear" w:color="auto" w:fill="BFBFBF" w:themeFill="background1" w:themeFillShade="BF"/>
          </w:tcPr>
          <w:p w14:paraId="54B19C14"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Code</w:t>
            </w:r>
          </w:p>
        </w:tc>
        <w:tc>
          <w:tcPr>
            <w:tcW w:w="0" w:type="auto"/>
            <w:shd w:val="clear" w:color="auto" w:fill="BFBFBF" w:themeFill="background1" w:themeFillShade="BF"/>
          </w:tcPr>
          <w:p w14:paraId="3CBD828F"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Type</w:t>
            </w:r>
          </w:p>
        </w:tc>
        <w:tc>
          <w:tcPr>
            <w:tcW w:w="0" w:type="auto"/>
            <w:shd w:val="clear" w:color="auto" w:fill="BFBFBF" w:themeFill="background1" w:themeFillShade="BF"/>
          </w:tcPr>
          <w:p w14:paraId="4D4672E1"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 xml:space="preserve">Last Update </w:t>
            </w:r>
            <w:proofErr w:type="gramStart"/>
            <w:r w:rsidRPr="00B34D4C">
              <w:rPr>
                <w:rFonts w:ascii="Arial" w:hAnsi="Arial" w:cs="Arial"/>
                <w:b/>
                <w:bCs/>
                <w:sz w:val="20"/>
                <w:szCs w:val="16"/>
              </w:rPr>
              <w:t>Of</w:t>
            </w:r>
            <w:proofErr w:type="gramEnd"/>
            <w:r w:rsidRPr="00B34D4C">
              <w:rPr>
                <w:rFonts w:ascii="Arial" w:hAnsi="Arial" w:cs="Arial"/>
                <w:b/>
                <w:bCs/>
                <w:sz w:val="20"/>
                <w:szCs w:val="16"/>
              </w:rPr>
              <w:t xml:space="preserve"> Data</w:t>
            </w:r>
          </w:p>
        </w:tc>
        <w:tc>
          <w:tcPr>
            <w:tcW w:w="0" w:type="auto"/>
            <w:shd w:val="clear" w:color="auto" w:fill="BFBFBF" w:themeFill="background1" w:themeFillShade="BF"/>
          </w:tcPr>
          <w:p w14:paraId="22B1EDCB"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Last Table Structure Change</w:t>
            </w:r>
          </w:p>
        </w:tc>
        <w:tc>
          <w:tcPr>
            <w:tcW w:w="0" w:type="auto"/>
            <w:shd w:val="clear" w:color="auto" w:fill="BFBFBF" w:themeFill="background1" w:themeFillShade="BF"/>
          </w:tcPr>
          <w:p w14:paraId="1EFC463C"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Data Start</w:t>
            </w:r>
          </w:p>
        </w:tc>
        <w:tc>
          <w:tcPr>
            <w:tcW w:w="0" w:type="auto"/>
            <w:shd w:val="clear" w:color="auto" w:fill="BFBFBF" w:themeFill="background1" w:themeFillShade="BF"/>
          </w:tcPr>
          <w:p w14:paraId="4F1F3C32"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Data End</w:t>
            </w:r>
          </w:p>
        </w:tc>
        <w:tc>
          <w:tcPr>
            <w:tcW w:w="0" w:type="auto"/>
            <w:shd w:val="clear" w:color="auto" w:fill="BFBFBF" w:themeFill="background1" w:themeFillShade="BF"/>
          </w:tcPr>
          <w:p w14:paraId="7C55202E"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Values</w:t>
            </w:r>
          </w:p>
        </w:tc>
      </w:tr>
      <w:tr w:rsidR="008D2892" w:rsidRPr="00BE322D" w14:paraId="6A030083" w14:textId="77777777" w:rsidTr="0022057B">
        <w:tc>
          <w:tcPr>
            <w:tcW w:w="0" w:type="auto"/>
          </w:tcPr>
          <w:p w14:paraId="39FA7650"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Estimated soil erosion by water, by erosion level, land cover and NUTS 3 regions (source: JRC)</w:t>
            </w:r>
          </w:p>
        </w:tc>
        <w:tc>
          <w:tcPr>
            <w:tcW w:w="0" w:type="auto"/>
          </w:tcPr>
          <w:p w14:paraId="58999D26" w14:textId="77777777" w:rsidR="008D2892" w:rsidRPr="00BE322D" w:rsidRDefault="008D2892" w:rsidP="0022057B">
            <w:pPr>
              <w:pStyle w:val="Compact"/>
              <w:rPr>
                <w:rFonts w:ascii="Arial" w:hAnsi="Arial" w:cs="Arial"/>
                <w:sz w:val="16"/>
                <w:szCs w:val="16"/>
              </w:rPr>
            </w:pPr>
            <w:proofErr w:type="spellStart"/>
            <w:r w:rsidRPr="00BE322D">
              <w:rPr>
                <w:rFonts w:ascii="Arial" w:hAnsi="Arial" w:cs="Arial"/>
                <w:sz w:val="16"/>
                <w:szCs w:val="16"/>
              </w:rPr>
              <w:t>aei_pr_soiler</w:t>
            </w:r>
            <w:proofErr w:type="spellEnd"/>
          </w:p>
        </w:tc>
        <w:tc>
          <w:tcPr>
            <w:tcW w:w="0" w:type="auto"/>
          </w:tcPr>
          <w:p w14:paraId="182E9C97"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dataset</w:t>
            </w:r>
          </w:p>
        </w:tc>
        <w:tc>
          <w:tcPr>
            <w:tcW w:w="0" w:type="auto"/>
          </w:tcPr>
          <w:p w14:paraId="4F3A01E7"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18.12.2019</w:t>
            </w:r>
          </w:p>
        </w:tc>
        <w:tc>
          <w:tcPr>
            <w:tcW w:w="0" w:type="auto"/>
          </w:tcPr>
          <w:p w14:paraId="7F67EBD5"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50CF4051"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39E339AB"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5D283195"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NA</w:t>
            </w:r>
          </w:p>
        </w:tc>
      </w:tr>
      <w:tr w:rsidR="008D2892" w:rsidRPr="00BE322D" w14:paraId="4EC73AF3" w14:textId="77777777" w:rsidTr="0022057B">
        <w:tc>
          <w:tcPr>
            <w:tcW w:w="0" w:type="auto"/>
          </w:tcPr>
          <w:p w14:paraId="10378433"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Estimated soil erosion by water, by erosion level, land cover and NUTS 3 regions (source: JRC)</w:t>
            </w:r>
          </w:p>
        </w:tc>
        <w:tc>
          <w:tcPr>
            <w:tcW w:w="0" w:type="auto"/>
          </w:tcPr>
          <w:p w14:paraId="3CD74D81" w14:textId="77777777" w:rsidR="008D2892" w:rsidRPr="00BE322D" w:rsidRDefault="008D2892" w:rsidP="0022057B">
            <w:pPr>
              <w:pStyle w:val="Compact"/>
              <w:rPr>
                <w:rFonts w:ascii="Arial" w:hAnsi="Arial" w:cs="Arial"/>
                <w:sz w:val="16"/>
                <w:szCs w:val="16"/>
              </w:rPr>
            </w:pPr>
            <w:proofErr w:type="spellStart"/>
            <w:r w:rsidRPr="00BE322D">
              <w:rPr>
                <w:rFonts w:ascii="Arial" w:hAnsi="Arial" w:cs="Arial"/>
                <w:sz w:val="16"/>
                <w:szCs w:val="16"/>
              </w:rPr>
              <w:t>aei_pr_soiler</w:t>
            </w:r>
            <w:proofErr w:type="spellEnd"/>
          </w:p>
        </w:tc>
        <w:tc>
          <w:tcPr>
            <w:tcW w:w="0" w:type="auto"/>
          </w:tcPr>
          <w:p w14:paraId="2AC51173"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dataset</w:t>
            </w:r>
          </w:p>
        </w:tc>
        <w:tc>
          <w:tcPr>
            <w:tcW w:w="0" w:type="auto"/>
          </w:tcPr>
          <w:p w14:paraId="653B3C78"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18.12.2019</w:t>
            </w:r>
          </w:p>
        </w:tc>
        <w:tc>
          <w:tcPr>
            <w:tcW w:w="0" w:type="auto"/>
          </w:tcPr>
          <w:p w14:paraId="2C8BC3AD"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08DE95E6"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5E29480F"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70BE476E"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NA</w:t>
            </w:r>
          </w:p>
        </w:tc>
      </w:tr>
      <w:tr w:rsidR="008D2892" w:rsidRPr="00BE322D" w14:paraId="6B07D2B0" w14:textId="77777777" w:rsidTr="0022057B">
        <w:tc>
          <w:tcPr>
            <w:tcW w:w="0" w:type="auto"/>
          </w:tcPr>
          <w:p w14:paraId="4C2D5D02"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Estimated soil erosion by water - area affected by severe erosion rate (source: JRC)</w:t>
            </w:r>
          </w:p>
        </w:tc>
        <w:tc>
          <w:tcPr>
            <w:tcW w:w="0" w:type="auto"/>
          </w:tcPr>
          <w:p w14:paraId="035602AD"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t2020_rn300</w:t>
            </w:r>
          </w:p>
        </w:tc>
        <w:tc>
          <w:tcPr>
            <w:tcW w:w="0" w:type="auto"/>
          </w:tcPr>
          <w:p w14:paraId="15B15E5F"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table</w:t>
            </w:r>
          </w:p>
        </w:tc>
        <w:tc>
          <w:tcPr>
            <w:tcW w:w="0" w:type="auto"/>
          </w:tcPr>
          <w:p w14:paraId="507E2CD7"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138B1524"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59B6C22B"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5343DF62"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6DDDA4CA"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NA</w:t>
            </w:r>
          </w:p>
        </w:tc>
      </w:tr>
      <w:tr w:rsidR="008D2892" w:rsidRPr="00BE322D" w14:paraId="0A85B9E8" w14:textId="77777777" w:rsidTr="0022057B">
        <w:tc>
          <w:tcPr>
            <w:tcW w:w="0" w:type="auto"/>
          </w:tcPr>
          <w:p w14:paraId="262AAD24"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Estimated soil erosion by water - area affected by severe erosion rate (source: JRC)</w:t>
            </w:r>
          </w:p>
        </w:tc>
        <w:tc>
          <w:tcPr>
            <w:tcW w:w="0" w:type="auto"/>
          </w:tcPr>
          <w:p w14:paraId="4E40F3A7"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sdg_15_50</w:t>
            </w:r>
          </w:p>
        </w:tc>
        <w:tc>
          <w:tcPr>
            <w:tcW w:w="0" w:type="auto"/>
          </w:tcPr>
          <w:p w14:paraId="2CD022A3"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table</w:t>
            </w:r>
          </w:p>
        </w:tc>
        <w:tc>
          <w:tcPr>
            <w:tcW w:w="0" w:type="auto"/>
          </w:tcPr>
          <w:p w14:paraId="47CDA04E"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368BA90D"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26E133F6"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28932ED9"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31790370"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NA</w:t>
            </w:r>
          </w:p>
        </w:tc>
      </w:tr>
      <w:tr w:rsidR="008D2892" w:rsidRPr="00BE322D" w14:paraId="17EA11F9" w14:textId="77777777" w:rsidTr="0022057B">
        <w:tc>
          <w:tcPr>
            <w:tcW w:w="0" w:type="auto"/>
          </w:tcPr>
          <w:p w14:paraId="4739A111"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lastRenderedPageBreak/>
              <w:t>Estimated soil erosion by water - area affected by severe erosion rate (source: JRC)</w:t>
            </w:r>
          </w:p>
        </w:tc>
        <w:tc>
          <w:tcPr>
            <w:tcW w:w="0" w:type="auto"/>
          </w:tcPr>
          <w:p w14:paraId="08E4F454"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sdg_15_50</w:t>
            </w:r>
          </w:p>
        </w:tc>
        <w:tc>
          <w:tcPr>
            <w:tcW w:w="0" w:type="auto"/>
          </w:tcPr>
          <w:p w14:paraId="527DE440"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table</w:t>
            </w:r>
          </w:p>
        </w:tc>
        <w:tc>
          <w:tcPr>
            <w:tcW w:w="0" w:type="auto"/>
          </w:tcPr>
          <w:p w14:paraId="42AA4BC2"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1A292985"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382A9734"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54F76F18"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2016</w:t>
            </w:r>
          </w:p>
        </w:tc>
        <w:tc>
          <w:tcPr>
            <w:tcW w:w="0" w:type="auto"/>
          </w:tcPr>
          <w:p w14:paraId="336DD751"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NA</w:t>
            </w:r>
          </w:p>
        </w:tc>
      </w:tr>
      <w:tr w:rsidR="008D2892" w:rsidRPr="00BE322D" w14:paraId="65E7DFD5" w14:textId="77777777" w:rsidTr="0022057B">
        <w:tc>
          <w:tcPr>
            <w:tcW w:w="0" w:type="auto"/>
          </w:tcPr>
          <w:p w14:paraId="09C0453E"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Average carbon dioxide emissions per km from new passenger cars</w:t>
            </w:r>
          </w:p>
        </w:tc>
        <w:tc>
          <w:tcPr>
            <w:tcW w:w="0" w:type="auto"/>
          </w:tcPr>
          <w:p w14:paraId="302D0F73"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t2020_rk330</w:t>
            </w:r>
          </w:p>
        </w:tc>
        <w:tc>
          <w:tcPr>
            <w:tcW w:w="0" w:type="auto"/>
          </w:tcPr>
          <w:p w14:paraId="4BB683E5"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table</w:t>
            </w:r>
          </w:p>
        </w:tc>
        <w:tc>
          <w:tcPr>
            <w:tcW w:w="0" w:type="auto"/>
          </w:tcPr>
          <w:p w14:paraId="33EECF38"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6B9067D0"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08.02.2021</w:t>
            </w:r>
          </w:p>
        </w:tc>
        <w:tc>
          <w:tcPr>
            <w:tcW w:w="0" w:type="auto"/>
          </w:tcPr>
          <w:p w14:paraId="1DEB99EA"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2000</w:t>
            </w:r>
          </w:p>
        </w:tc>
        <w:tc>
          <w:tcPr>
            <w:tcW w:w="0" w:type="auto"/>
          </w:tcPr>
          <w:p w14:paraId="727C6984"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2017</w:t>
            </w:r>
          </w:p>
        </w:tc>
        <w:tc>
          <w:tcPr>
            <w:tcW w:w="0" w:type="auto"/>
          </w:tcPr>
          <w:p w14:paraId="29E8E00B" w14:textId="77777777" w:rsidR="008D2892" w:rsidRPr="00BE322D" w:rsidRDefault="008D2892" w:rsidP="0022057B">
            <w:pPr>
              <w:pStyle w:val="Compact"/>
              <w:rPr>
                <w:rFonts w:ascii="Arial" w:hAnsi="Arial" w:cs="Arial"/>
                <w:sz w:val="16"/>
                <w:szCs w:val="16"/>
              </w:rPr>
            </w:pPr>
            <w:r w:rsidRPr="00BE322D">
              <w:rPr>
                <w:rFonts w:ascii="Arial" w:hAnsi="Arial" w:cs="Arial"/>
                <w:sz w:val="16"/>
                <w:szCs w:val="16"/>
              </w:rPr>
              <w:t>NA</w:t>
            </w:r>
          </w:p>
        </w:tc>
      </w:tr>
    </w:tbl>
    <w:p w14:paraId="527D6106" w14:textId="1C120895" w:rsidR="00171A12" w:rsidRPr="008A42DD" w:rsidRDefault="0027640E" w:rsidP="008D2892">
      <w:pPr>
        <w:pStyle w:val="Caption"/>
        <w:keepNext/>
        <w:rPr>
          <w:rFonts w:cs="Arial"/>
        </w:rPr>
      </w:pPr>
      <w:bookmarkStart w:id="114" w:name="_Toc91752565"/>
      <w:r w:rsidRPr="008A42DD">
        <w:rPr>
          <w:rFonts w:cs="Arial"/>
        </w:rPr>
        <w:t xml:space="preserve">Table </w:t>
      </w:r>
      <w:r w:rsidRPr="008A42DD">
        <w:rPr>
          <w:rFonts w:cs="Arial"/>
        </w:rPr>
        <w:fldChar w:fldCharType="begin"/>
      </w:r>
      <w:r w:rsidRPr="008A42DD">
        <w:rPr>
          <w:rFonts w:cs="Arial"/>
        </w:rPr>
        <w:instrText xml:space="preserve"> SEQ Table \* ARABIC </w:instrText>
      </w:r>
      <w:r w:rsidRPr="008A42DD">
        <w:rPr>
          <w:rFonts w:cs="Arial"/>
        </w:rPr>
        <w:fldChar w:fldCharType="separate"/>
      </w:r>
      <w:r w:rsidR="0073710A">
        <w:rPr>
          <w:rFonts w:cs="Arial"/>
          <w:noProof/>
        </w:rPr>
        <w:t>26</w:t>
      </w:r>
      <w:r w:rsidRPr="008A42DD">
        <w:rPr>
          <w:rFonts w:cs="Arial"/>
        </w:rPr>
        <w:fldChar w:fldCharType="end"/>
      </w:r>
      <w:bookmarkEnd w:id="113"/>
      <w:r w:rsidRPr="008A42DD">
        <w:rPr>
          <w:rFonts w:cs="Arial"/>
        </w:rPr>
        <w:t xml:space="preserve"> Social datasets found in the Eurostat database</w:t>
      </w:r>
      <w:bookmarkEnd w:id="114"/>
    </w:p>
    <w:tbl>
      <w:tblPr>
        <w:tblStyle w:val="TableGrid"/>
        <w:tblW w:w="5000" w:type="pct"/>
        <w:tblLook w:val="07E0" w:firstRow="1" w:lastRow="1" w:firstColumn="1" w:lastColumn="1" w:noHBand="1" w:noVBand="1"/>
        <w:tblCaption w:val="Social datasets found in the Eurostat database"/>
      </w:tblPr>
      <w:tblGrid>
        <w:gridCol w:w="1452"/>
        <w:gridCol w:w="1079"/>
        <w:gridCol w:w="895"/>
        <w:gridCol w:w="1017"/>
        <w:gridCol w:w="1358"/>
        <w:gridCol w:w="922"/>
        <w:gridCol w:w="911"/>
        <w:gridCol w:w="861"/>
      </w:tblGrid>
      <w:tr w:rsidR="008D2892" w:rsidRPr="00F663DC" w14:paraId="3F47DB95" w14:textId="77777777" w:rsidTr="0022057B">
        <w:tc>
          <w:tcPr>
            <w:tcW w:w="0" w:type="auto"/>
            <w:shd w:val="clear" w:color="auto" w:fill="BFBFBF" w:themeFill="background1" w:themeFillShade="BF"/>
          </w:tcPr>
          <w:p w14:paraId="7CAF1A82" w14:textId="77777777" w:rsidR="008D2892" w:rsidRPr="00B34D4C" w:rsidRDefault="008D2892" w:rsidP="0022057B">
            <w:pPr>
              <w:pStyle w:val="Compact"/>
              <w:rPr>
                <w:rFonts w:ascii="Arial" w:hAnsi="Arial" w:cs="Arial"/>
                <w:b/>
                <w:bCs/>
                <w:sz w:val="20"/>
                <w:szCs w:val="22"/>
              </w:rPr>
            </w:pPr>
            <w:r w:rsidRPr="00B34D4C">
              <w:rPr>
                <w:rFonts w:ascii="Arial" w:hAnsi="Arial" w:cs="Arial"/>
                <w:b/>
                <w:bCs/>
                <w:sz w:val="20"/>
                <w:szCs w:val="22"/>
              </w:rPr>
              <w:t>Title</w:t>
            </w:r>
          </w:p>
        </w:tc>
        <w:tc>
          <w:tcPr>
            <w:tcW w:w="0" w:type="auto"/>
            <w:shd w:val="clear" w:color="auto" w:fill="BFBFBF" w:themeFill="background1" w:themeFillShade="BF"/>
          </w:tcPr>
          <w:p w14:paraId="6498E2DD" w14:textId="77777777" w:rsidR="008D2892" w:rsidRPr="00B34D4C" w:rsidRDefault="008D2892" w:rsidP="0022057B">
            <w:pPr>
              <w:pStyle w:val="Compact"/>
              <w:rPr>
                <w:rFonts w:ascii="Arial" w:hAnsi="Arial" w:cs="Arial"/>
                <w:b/>
                <w:bCs/>
                <w:sz w:val="20"/>
                <w:szCs w:val="22"/>
              </w:rPr>
            </w:pPr>
            <w:r w:rsidRPr="00B34D4C">
              <w:rPr>
                <w:rFonts w:ascii="Arial" w:hAnsi="Arial" w:cs="Arial"/>
                <w:b/>
                <w:bCs/>
                <w:sz w:val="20"/>
                <w:szCs w:val="22"/>
              </w:rPr>
              <w:t>Code</w:t>
            </w:r>
          </w:p>
        </w:tc>
        <w:tc>
          <w:tcPr>
            <w:tcW w:w="527" w:type="pct"/>
            <w:shd w:val="clear" w:color="auto" w:fill="BFBFBF" w:themeFill="background1" w:themeFillShade="BF"/>
          </w:tcPr>
          <w:p w14:paraId="58441904" w14:textId="77777777" w:rsidR="008D2892" w:rsidRPr="00B34D4C" w:rsidRDefault="008D2892" w:rsidP="0022057B">
            <w:pPr>
              <w:pStyle w:val="Compact"/>
              <w:rPr>
                <w:rFonts w:ascii="Arial" w:hAnsi="Arial" w:cs="Arial"/>
                <w:b/>
                <w:bCs/>
                <w:sz w:val="20"/>
                <w:szCs w:val="22"/>
              </w:rPr>
            </w:pPr>
            <w:r w:rsidRPr="00B34D4C">
              <w:rPr>
                <w:rFonts w:ascii="Arial" w:hAnsi="Arial" w:cs="Arial"/>
                <w:b/>
                <w:bCs/>
                <w:sz w:val="20"/>
                <w:szCs w:val="22"/>
              </w:rPr>
              <w:t>Type</w:t>
            </w:r>
          </w:p>
        </w:tc>
        <w:tc>
          <w:tcPr>
            <w:tcW w:w="598" w:type="pct"/>
            <w:shd w:val="clear" w:color="auto" w:fill="BFBFBF" w:themeFill="background1" w:themeFillShade="BF"/>
          </w:tcPr>
          <w:p w14:paraId="47809B66" w14:textId="77777777" w:rsidR="008D2892" w:rsidRPr="00B34D4C" w:rsidRDefault="008D2892" w:rsidP="0022057B">
            <w:pPr>
              <w:pStyle w:val="Compact"/>
              <w:rPr>
                <w:rFonts w:ascii="Arial" w:hAnsi="Arial" w:cs="Arial"/>
                <w:b/>
                <w:bCs/>
                <w:sz w:val="20"/>
                <w:szCs w:val="22"/>
              </w:rPr>
            </w:pPr>
            <w:r w:rsidRPr="00B34D4C">
              <w:rPr>
                <w:rFonts w:ascii="Arial" w:hAnsi="Arial" w:cs="Arial"/>
                <w:b/>
                <w:bCs/>
                <w:sz w:val="20"/>
                <w:szCs w:val="22"/>
              </w:rPr>
              <w:t xml:space="preserve">Last Update </w:t>
            </w:r>
            <w:proofErr w:type="gramStart"/>
            <w:r w:rsidRPr="00B34D4C">
              <w:rPr>
                <w:rFonts w:ascii="Arial" w:hAnsi="Arial" w:cs="Arial"/>
                <w:b/>
                <w:bCs/>
                <w:sz w:val="20"/>
                <w:szCs w:val="22"/>
              </w:rPr>
              <w:t>Of</w:t>
            </w:r>
            <w:proofErr w:type="gramEnd"/>
            <w:r w:rsidRPr="00B34D4C">
              <w:rPr>
                <w:rFonts w:ascii="Arial" w:hAnsi="Arial" w:cs="Arial"/>
                <w:b/>
                <w:bCs/>
                <w:sz w:val="20"/>
                <w:szCs w:val="22"/>
              </w:rPr>
              <w:t xml:space="preserve"> Data</w:t>
            </w:r>
          </w:p>
        </w:tc>
        <w:tc>
          <w:tcPr>
            <w:tcW w:w="0" w:type="auto"/>
            <w:shd w:val="clear" w:color="auto" w:fill="BFBFBF" w:themeFill="background1" w:themeFillShade="BF"/>
          </w:tcPr>
          <w:p w14:paraId="2BD675F1" w14:textId="77777777" w:rsidR="008D2892" w:rsidRPr="00B34D4C" w:rsidRDefault="008D2892" w:rsidP="0022057B">
            <w:pPr>
              <w:pStyle w:val="Compact"/>
              <w:rPr>
                <w:rFonts w:ascii="Arial" w:hAnsi="Arial" w:cs="Arial"/>
                <w:b/>
                <w:bCs/>
                <w:sz w:val="20"/>
                <w:szCs w:val="22"/>
              </w:rPr>
            </w:pPr>
            <w:r w:rsidRPr="00B34D4C">
              <w:rPr>
                <w:rFonts w:ascii="Arial" w:hAnsi="Arial" w:cs="Arial"/>
                <w:b/>
                <w:bCs/>
                <w:sz w:val="20"/>
                <w:szCs w:val="22"/>
              </w:rPr>
              <w:t>Last Table Structure Change</w:t>
            </w:r>
          </w:p>
        </w:tc>
        <w:tc>
          <w:tcPr>
            <w:tcW w:w="0" w:type="auto"/>
            <w:shd w:val="clear" w:color="auto" w:fill="BFBFBF" w:themeFill="background1" w:themeFillShade="BF"/>
          </w:tcPr>
          <w:p w14:paraId="5D7768E1" w14:textId="77777777" w:rsidR="008D2892" w:rsidRPr="00B34D4C" w:rsidRDefault="008D2892" w:rsidP="0022057B">
            <w:pPr>
              <w:pStyle w:val="Compact"/>
              <w:rPr>
                <w:rFonts w:ascii="Arial" w:hAnsi="Arial" w:cs="Arial"/>
                <w:b/>
                <w:bCs/>
                <w:sz w:val="20"/>
                <w:szCs w:val="22"/>
              </w:rPr>
            </w:pPr>
            <w:r w:rsidRPr="00B34D4C">
              <w:rPr>
                <w:rFonts w:ascii="Arial" w:hAnsi="Arial" w:cs="Arial"/>
                <w:b/>
                <w:bCs/>
                <w:sz w:val="20"/>
                <w:szCs w:val="22"/>
              </w:rPr>
              <w:t>Data Start</w:t>
            </w:r>
          </w:p>
        </w:tc>
        <w:tc>
          <w:tcPr>
            <w:tcW w:w="0" w:type="auto"/>
            <w:shd w:val="clear" w:color="auto" w:fill="BFBFBF" w:themeFill="background1" w:themeFillShade="BF"/>
          </w:tcPr>
          <w:p w14:paraId="48FF60C5" w14:textId="77777777" w:rsidR="008D2892" w:rsidRPr="00B34D4C" w:rsidRDefault="008D2892" w:rsidP="0022057B">
            <w:pPr>
              <w:pStyle w:val="Compact"/>
              <w:rPr>
                <w:rFonts w:ascii="Arial" w:hAnsi="Arial" w:cs="Arial"/>
                <w:b/>
                <w:bCs/>
                <w:sz w:val="20"/>
                <w:szCs w:val="22"/>
              </w:rPr>
            </w:pPr>
            <w:r w:rsidRPr="00B34D4C">
              <w:rPr>
                <w:rFonts w:ascii="Arial" w:hAnsi="Arial" w:cs="Arial"/>
                <w:b/>
                <w:bCs/>
                <w:sz w:val="20"/>
                <w:szCs w:val="22"/>
              </w:rPr>
              <w:t>Data End</w:t>
            </w:r>
          </w:p>
        </w:tc>
        <w:tc>
          <w:tcPr>
            <w:tcW w:w="0" w:type="auto"/>
            <w:shd w:val="clear" w:color="auto" w:fill="BFBFBF" w:themeFill="background1" w:themeFillShade="BF"/>
          </w:tcPr>
          <w:p w14:paraId="08304807" w14:textId="77777777" w:rsidR="008D2892" w:rsidRPr="00B34D4C" w:rsidRDefault="008D2892" w:rsidP="0022057B">
            <w:pPr>
              <w:pStyle w:val="Compact"/>
              <w:rPr>
                <w:rFonts w:ascii="Arial" w:hAnsi="Arial" w:cs="Arial"/>
                <w:b/>
                <w:bCs/>
                <w:sz w:val="20"/>
                <w:szCs w:val="22"/>
              </w:rPr>
            </w:pPr>
            <w:r w:rsidRPr="00B34D4C">
              <w:rPr>
                <w:rFonts w:ascii="Arial" w:hAnsi="Arial" w:cs="Arial"/>
                <w:b/>
                <w:bCs/>
                <w:sz w:val="20"/>
                <w:szCs w:val="22"/>
              </w:rPr>
              <w:t>Values</w:t>
            </w:r>
          </w:p>
        </w:tc>
      </w:tr>
      <w:tr w:rsidR="008D2892" w:rsidRPr="00353A27" w14:paraId="1E73BFF1" w14:textId="77777777" w:rsidTr="0022057B">
        <w:tc>
          <w:tcPr>
            <w:tcW w:w="0" w:type="auto"/>
          </w:tcPr>
          <w:p w14:paraId="42BFAEF5"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 xml:space="preserve">Public expenditure on culture, </w:t>
            </w:r>
            <w:proofErr w:type="gramStart"/>
            <w:r w:rsidRPr="00353A27">
              <w:rPr>
                <w:rFonts w:ascii="Arial" w:hAnsi="Arial" w:cs="Arial"/>
                <w:sz w:val="16"/>
                <w:szCs w:val="16"/>
              </w:rPr>
              <w:t>recreation</w:t>
            </w:r>
            <w:proofErr w:type="gramEnd"/>
            <w:r w:rsidRPr="00353A27">
              <w:rPr>
                <w:rFonts w:ascii="Arial" w:hAnsi="Arial" w:cs="Arial"/>
                <w:sz w:val="16"/>
                <w:szCs w:val="16"/>
              </w:rPr>
              <w:t xml:space="preserve"> and religion</w:t>
            </w:r>
          </w:p>
        </w:tc>
        <w:tc>
          <w:tcPr>
            <w:tcW w:w="0" w:type="auto"/>
          </w:tcPr>
          <w:p w14:paraId="4EA7BFF3" w14:textId="77777777" w:rsidR="008D2892" w:rsidRPr="00353A27" w:rsidRDefault="008D2892" w:rsidP="0022057B">
            <w:pPr>
              <w:pStyle w:val="Compact"/>
              <w:rPr>
                <w:rFonts w:ascii="Arial" w:hAnsi="Arial" w:cs="Arial"/>
                <w:sz w:val="16"/>
                <w:szCs w:val="16"/>
              </w:rPr>
            </w:pPr>
            <w:proofErr w:type="spellStart"/>
            <w:r w:rsidRPr="00353A27">
              <w:rPr>
                <w:rFonts w:ascii="Arial" w:hAnsi="Arial" w:cs="Arial"/>
                <w:sz w:val="16"/>
                <w:szCs w:val="16"/>
              </w:rPr>
              <w:t>cult_gov</w:t>
            </w:r>
            <w:proofErr w:type="spellEnd"/>
          </w:p>
        </w:tc>
        <w:tc>
          <w:tcPr>
            <w:tcW w:w="527" w:type="pct"/>
          </w:tcPr>
          <w:p w14:paraId="147BAA0B"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folder</w:t>
            </w:r>
          </w:p>
        </w:tc>
        <w:tc>
          <w:tcPr>
            <w:tcW w:w="598" w:type="pct"/>
          </w:tcPr>
          <w:p w14:paraId="67371686"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47680B2A"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7D812717"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5EC59F94"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5E87E547"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r>
      <w:tr w:rsidR="008D2892" w:rsidRPr="00353A27" w14:paraId="24164B99" w14:textId="77777777" w:rsidTr="0022057B">
        <w:tc>
          <w:tcPr>
            <w:tcW w:w="0" w:type="auto"/>
          </w:tcPr>
          <w:p w14:paraId="599750A6"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Public expenditure on recreation and sport</w:t>
            </w:r>
          </w:p>
        </w:tc>
        <w:tc>
          <w:tcPr>
            <w:tcW w:w="0" w:type="auto"/>
          </w:tcPr>
          <w:p w14:paraId="1CFDD0D1" w14:textId="77777777" w:rsidR="008D2892" w:rsidRPr="00353A27" w:rsidRDefault="008D2892" w:rsidP="0022057B">
            <w:pPr>
              <w:pStyle w:val="Compact"/>
              <w:rPr>
                <w:rFonts w:ascii="Arial" w:hAnsi="Arial" w:cs="Arial"/>
                <w:sz w:val="16"/>
                <w:szCs w:val="16"/>
              </w:rPr>
            </w:pPr>
            <w:proofErr w:type="spellStart"/>
            <w:r w:rsidRPr="00353A27">
              <w:rPr>
                <w:rFonts w:ascii="Arial" w:hAnsi="Arial" w:cs="Arial"/>
                <w:sz w:val="16"/>
                <w:szCs w:val="16"/>
              </w:rPr>
              <w:t>sprt_gov</w:t>
            </w:r>
            <w:proofErr w:type="spellEnd"/>
          </w:p>
        </w:tc>
        <w:tc>
          <w:tcPr>
            <w:tcW w:w="527" w:type="pct"/>
          </w:tcPr>
          <w:p w14:paraId="5040939A"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folder</w:t>
            </w:r>
          </w:p>
        </w:tc>
        <w:tc>
          <w:tcPr>
            <w:tcW w:w="598" w:type="pct"/>
          </w:tcPr>
          <w:p w14:paraId="586B6531"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2B15F85F"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04E619C0"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0A7687EF"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0049A39C"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r>
      <w:tr w:rsidR="008D2892" w:rsidRPr="00353A27" w14:paraId="39AFD210" w14:textId="77777777" w:rsidTr="0022057B">
        <w:tc>
          <w:tcPr>
            <w:tcW w:w="0" w:type="auto"/>
          </w:tcPr>
          <w:p w14:paraId="065F01B5"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HICP - recreation and culture</w:t>
            </w:r>
          </w:p>
        </w:tc>
        <w:tc>
          <w:tcPr>
            <w:tcW w:w="0" w:type="auto"/>
          </w:tcPr>
          <w:p w14:paraId="05D12572"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teicp090</w:t>
            </w:r>
          </w:p>
        </w:tc>
        <w:tc>
          <w:tcPr>
            <w:tcW w:w="527" w:type="pct"/>
          </w:tcPr>
          <w:p w14:paraId="43962BBA"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table</w:t>
            </w:r>
          </w:p>
        </w:tc>
        <w:tc>
          <w:tcPr>
            <w:tcW w:w="598" w:type="pct"/>
          </w:tcPr>
          <w:p w14:paraId="731869F1"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17.03.2021</w:t>
            </w:r>
          </w:p>
        </w:tc>
        <w:tc>
          <w:tcPr>
            <w:tcW w:w="0" w:type="auto"/>
          </w:tcPr>
          <w:p w14:paraId="0AA5278F"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17.03.2021</w:t>
            </w:r>
          </w:p>
        </w:tc>
        <w:tc>
          <w:tcPr>
            <w:tcW w:w="0" w:type="auto"/>
          </w:tcPr>
          <w:p w14:paraId="7CEB46BA"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2020M03</w:t>
            </w:r>
          </w:p>
        </w:tc>
        <w:tc>
          <w:tcPr>
            <w:tcW w:w="0" w:type="auto"/>
          </w:tcPr>
          <w:p w14:paraId="69054D19"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2021M02</w:t>
            </w:r>
          </w:p>
        </w:tc>
        <w:tc>
          <w:tcPr>
            <w:tcW w:w="0" w:type="auto"/>
          </w:tcPr>
          <w:p w14:paraId="0B6B97EB"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r>
      <w:tr w:rsidR="008D2892" w:rsidRPr="00353A27" w14:paraId="07D73C09" w14:textId="77777777" w:rsidTr="0022057B">
        <w:tc>
          <w:tcPr>
            <w:tcW w:w="0" w:type="auto"/>
          </w:tcPr>
          <w:p w14:paraId="291A726D"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HICP - recreation and culture</w:t>
            </w:r>
          </w:p>
        </w:tc>
        <w:tc>
          <w:tcPr>
            <w:tcW w:w="0" w:type="auto"/>
          </w:tcPr>
          <w:p w14:paraId="76A4856E"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teicp090</w:t>
            </w:r>
          </w:p>
        </w:tc>
        <w:tc>
          <w:tcPr>
            <w:tcW w:w="527" w:type="pct"/>
          </w:tcPr>
          <w:p w14:paraId="209FB1E4"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table</w:t>
            </w:r>
          </w:p>
        </w:tc>
        <w:tc>
          <w:tcPr>
            <w:tcW w:w="598" w:type="pct"/>
          </w:tcPr>
          <w:p w14:paraId="29784515"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17.03.2021</w:t>
            </w:r>
          </w:p>
        </w:tc>
        <w:tc>
          <w:tcPr>
            <w:tcW w:w="0" w:type="auto"/>
          </w:tcPr>
          <w:p w14:paraId="05FEF486"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17.03.2021</w:t>
            </w:r>
          </w:p>
        </w:tc>
        <w:tc>
          <w:tcPr>
            <w:tcW w:w="0" w:type="auto"/>
          </w:tcPr>
          <w:p w14:paraId="20F76D82"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2020M03</w:t>
            </w:r>
          </w:p>
        </w:tc>
        <w:tc>
          <w:tcPr>
            <w:tcW w:w="0" w:type="auto"/>
          </w:tcPr>
          <w:p w14:paraId="4F30C9E0"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2021M02</w:t>
            </w:r>
          </w:p>
        </w:tc>
        <w:tc>
          <w:tcPr>
            <w:tcW w:w="0" w:type="auto"/>
          </w:tcPr>
          <w:p w14:paraId="1DBD7250"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r>
      <w:tr w:rsidR="008D2892" w:rsidRPr="00353A27" w14:paraId="1C204292" w14:textId="77777777" w:rsidTr="0022057B">
        <w:tc>
          <w:tcPr>
            <w:tcW w:w="0" w:type="auto"/>
          </w:tcPr>
          <w:p w14:paraId="6726D7FE"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Tourism statistics by coastal areas (LAU2)</w:t>
            </w:r>
          </w:p>
        </w:tc>
        <w:tc>
          <w:tcPr>
            <w:tcW w:w="0" w:type="auto"/>
          </w:tcPr>
          <w:p w14:paraId="58392A5A"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mare</w:t>
            </w:r>
          </w:p>
        </w:tc>
        <w:tc>
          <w:tcPr>
            <w:tcW w:w="527" w:type="pct"/>
          </w:tcPr>
          <w:p w14:paraId="241A9AEF"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folder</w:t>
            </w:r>
          </w:p>
        </w:tc>
        <w:tc>
          <w:tcPr>
            <w:tcW w:w="598" w:type="pct"/>
          </w:tcPr>
          <w:p w14:paraId="2BB68D4E"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1557B1F2"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605244C3"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4F24E15A"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54E624D8"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r>
      <w:tr w:rsidR="008D2892" w:rsidRPr="00353A27" w14:paraId="7B39A972" w14:textId="77777777" w:rsidTr="0022057B">
        <w:tc>
          <w:tcPr>
            <w:tcW w:w="0" w:type="auto"/>
          </w:tcPr>
          <w:p w14:paraId="1CA69530"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Tourism</w:t>
            </w:r>
          </w:p>
        </w:tc>
        <w:tc>
          <w:tcPr>
            <w:tcW w:w="0" w:type="auto"/>
          </w:tcPr>
          <w:p w14:paraId="3DB6041E" w14:textId="77777777" w:rsidR="008D2892" w:rsidRPr="00353A27" w:rsidRDefault="008D2892" w:rsidP="0022057B">
            <w:pPr>
              <w:pStyle w:val="Compact"/>
              <w:rPr>
                <w:rFonts w:ascii="Arial" w:hAnsi="Arial" w:cs="Arial"/>
                <w:sz w:val="16"/>
                <w:szCs w:val="16"/>
              </w:rPr>
            </w:pPr>
            <w:proofErr w:type="spellStart"/>
            <w:r w:rsidRPr="00353A27">
              <w:rPr>
                <w:rFonts w:ascii="Arial" w:hAnsi="Arial" w:cs="Arial"/>
                <w:sz w:val="16"/>
                <w:szCs w:val="16"/>
              </w:rPr>
              <w:t>degurb_tour</w:t>
            </w:r>
            <w:proofErr w:type="spellEnd"/>
          </w:p>
        </w:tc>
        <w:tc>
          <w:tcPr>
            <w:tcW w:w="527" w:type="pct"/>
          </w:tcPr>
          <w:p w14:paraId="0AC8B6C9"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folder</w:t>
            </w:r>
          </w:p>
        </w:tc>
        <w:tc>
          <w:tcPr>
            <w:tcW w:w="598" w:type="pct"/>
          </w:tcPr>
          <w:p w14:paraId="51190639"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4810A44E"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417C17E2"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50AD00E2"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1807B865"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r>
      <w:tr w:rsidR="008D2892" w:rsidRPr="00353A27" w14:paraId="3AD802CD" w14:textId="77777777" w:rsidTr="0022057B">
        <w:tc>
          <w:tcPr>
            <w:tcW w:w="0" w:type="auto"/>
          </w:tcPr>
          <w:p w14:paraId="6E266170"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Tourism</w:t>
            </w:r>
          </w:p>
        </w:tc>
        <w:tc>
          <w:tcPr>
            <w:tcW w:w="0" w:type="auto"/>
          </w:tcPr>
          <w:p w14:paraId="5174FC99" w14:textId="77777777" w:rsidR="008D2892" w:rsidRPr="00353A27" w:rsidRDefault="008D2892" w:rsidP="0022057B">
            <w:pPr>
              <w:pStyle w:val="Compact"/>
              <w:rPr>
                <w:rFonts w:ascii="Arial" w:hAnsi="Arial" w:cs="Arial"/>
                <w:sz w:val="16"/>
                <w:szCs w:val="16"/>
              </w:rPr>
            </w:pPr>
            <w:proofErr w:type="spellStart"/>
            <w:r w:rsidRPr="00353A27">
              <w:rPr>
                <w:rFonts w:ascii="Arial" w:hAnsi="Arial" w:cs="Arial"/>
                <w:sz w:val="16"/>
                <w:szCs w:val="16"/>
              </w:rPr>
              <w:t>med_to</w:t>
            </w:r>
            <w:proofErr w:type="spellEnd"/>
          </w:p>
        </w:tc>
        <w:tc>
          <w:tcPr>
            <w:tcW w:w="527" w:type="pct"/>
          </w:tcPr>
          <w:p w14:paraId="100B5D9D"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folder</w:t>
            </w:r>
          </w:p>
        </w:tc>
        <w:tc>
          <w:tcPr>
            <w:tcW w:w="598" w:type="pct"/>
          </w:tcPr>
          <w:p w14:paraId="1F131652"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3A4C09CD"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1220D84A"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1116480E"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1ED70B44"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r>
      <w:tr w:rsidR="008D2892" w:rsidRPr="00353A27" w14:paraId="1ED97A48" w14:textId="77777777" w:rsidTr="0022057B">
        <w:tc>
          <w:tcPr>
            <w:tcW w:w="0" w:type="auto"/>
          </w:tcPr>
          <w:p w14:paraId="0BF036D0"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Tourism</w:t>
            </w:r>
          </w:p>
        </w:tc>
        <w:tc>
          <w:tcPr>
            <w:tcW w:w="0" w:type="auto"/>
          </w:tcPr>
          <w:p w14:paraId="19736FDB"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tour</w:t>
            </w:r>
          </w:p>
        </w:tc>
        <w:tc>
          <w:tcPr>
            <w:tcW w:w="527" w:type="pct"/>
          </w:tcPr>
          <w:p w14:paraId="7C96D110"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folder</w:t>
            </w:r>
          </w:p>
        </w:tc>
        <w:tc>
          <w:tcPr>
            <w:tcW w:w="598" w:type="pct"/>
          </w:tcPr>
          <w:p w14:paraId="40DF4EF8"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51E5592F"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669B38CA"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6BDE799E"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50EC933D"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r>
      <w:tr w:rsidR="008D2892" w:rsidRPr="00353A27" w14:paraId="31137CB2" w14:textId="77777777" w:rsidTr="0022057B">
        <w:tc>
          <w:tcPr>
            <w:tcW w:w="0" w:type="auto"/>
          </w:tcPr>
          <w:p w14:paraId="1834DDF2"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Tourism</w:t>
            </w:r>
          </w:p>
        </w:tc>
        <w:tc>
          <w:tcPr>
            <w:tcW w:w="0" w:type="auto"/>
          </w:tcPr>
          <w:p w14:paraId="3F3352D3" w14:textId="77777777" w:rsidR="008D2892" w:rsidRPr="00353A27" w:rsidRDefault="008D2892" w:rsidP="0022057B">
            <w:pPr>
              <w:pStyle w:val="Compact"/>
              <w:rPr>
                <w:rFonts w:ascii="Arial" w:hAnsi="Arial" w:cs="Arial"/>
                <w:sz w:val="16"/>
                <w:szCs w:val="16"/>
              </w:rPr>
            </w:pPr>
            <w:proofErr w:type="spellStart"/>
            <w:r w:rsidRPr="00353A27">
              <w:rPr>
                <w:rFonts w:ascii="Arial" w:hAnsi="Arial" w:cs="Arial"/>
                <w:sz w:val="16"/>
                <w:szCs w:val="16"/>
              </w:rPr>
              <w:t>t_tour</w:t>
            </w:r>
            <w:proofErr w:type="spellEnd"/>
          </w:p>
        </w:tc>
        <w:tc>
          <w:tcPr>
            <w:tcW w:w="527" w:type="pct"/>
          </w:tcPr>
          <w:p w14:paraId="2EFD2E30"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folder</w:t>
            </w:r>
          </w:p>
        </w:tc>
        <w:tc>
          <w:tcPr>
            <w:tcW w:w="598" w:type="pct"/>
          </w:tcPr>
          <w:p w14:paraId="41E1B07E"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0A3CAF70"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5523111C"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3D544C91"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c>
          <w:tcPr>
            <w:tcW w:w="0" w:type="auto"/>
          </w:tcPr>
          <w:p w14:paraId="660A3801" w14:textId="77777777" w:rsidR="008D2892" w:rsidRPr="00353A27" w:rsidRDefault="008D2892" w:rsidP="0022057B">
            <w:pPr>
              <w:pStyle w:val="Compact"/>
              <w:rPr>
                <w:rFonts w:ascii="Arial" w:hAnsi="Arial" w:cs="Arial"/>
                <w:sz w:val="16"/>
                <w:szCs w:val="16"/>
              </w:rPr>
            </w:pPr>
            <w:r w:rsidRPr="00353A27">
              <w:rPr>
                <w:rFonts w:ascii="Arial" w:hAnsi="Arial" w:cs="Arial"/>
                <w:sz w:val="16"/>
                <w:szCs w:val="16"/>
              </w:rPr>
              <w:t>NA</w:t>
            </w:r>
          </w:p>
        </w:tc>
      </w:tr>
    </w:tbl>
    <w:p w14:paraId="543B8A01" w14:textId="41467BCF" w:rsidR="0027640E" w:rsidRPr="008A42DD" w:rsidRDefault="0027640E" w:rsidP="008D2892">
      <w:pPr>
        <w:pStyle w:val="Caption"/>
        <w:keepNext/>
        <w:rPr>
          <w:rFonts w:cs="Arial"/>
        </w:rPr>
      </w:pPr>
      <w:bookmarkStart w:id="115" w:name="_Ref68683980"/>
      <w:bookmarkStart w:id="116" w:name="_Toc91752566"/>
      <w:r w:rsidRPr="008A42DD">
        <w:rPr>
          <w:rFonts w:cs="Arial"/>
        </w:rPr>
        <w:t xml:space="preserve">Table </w:t>
      </w:r>
      <w:r w:rsidRPr="008A42DD">
        <w:rPr>
          <w:rFonts w:cs="Arial"/>
        </w:rPr>
        <w:fldChar w:fldCharType="begin"/>
      </w:r>
      <w:r w:rsidRPr="008A42DD">
        <w:rPr>
          <w:rFonts w:cs="Arial"/>
        </w:rPr>
        <w:instrText xml:space="preserve"> SEQ Table \* ARABIC </w:instrText>
      </w:r>
      <w:r w:rsidRPr="008A42DD">
        <w:rPr>
          <w:rFonts w:cs="Arial"/>
        </w:rPr>
        <w:fldChar w:fldCharType="separate"/>
      </w:r>
      <w:r w:rsidR="0073710A">
        <w:rPr>
          <w:rFonts w:cs="Arial"/>
          <w:noProof/>
        </w:rPr>
        <w:t>27</w:t>
      </w:r>
      <w:r w:rsidRPr="008A42DD">
        <w:rPr>
          <w:rFonts w:cs="Arial"/>
        </w:rPr>
        <w:fldChar w:fldCharType="end"/>
      </w:r>
      <w:bookmarkEnd w:id="115"/>
      <w:r w:rsidRPr="008A42DD">
        <w:rPr>
          <w:rFonts w:cs="Arial"/>
        </w:rPr>
        <w:t xml:space="preserve"> Financial datasets found in the Eurostat database</w:t>
      </w:r>
      <w:bookmarkEnd w:id="116"/>
    </w:p>
    <w:tbl>
      <w:tblPr>
        <w:tblStyle w:val="TableGrid"/>
        <w:tblW w:w="5000" w:type="pct"/>
        <w:tblLook w:val="07E0" w:firstRow="1" w:lastRow="1" w:firstColumn="1" w:lastColumn="1" w:noHBand="1" w:noVBand="1"/>
        <w:tblCaption w:val="Financial datasets found in the Eurostat database"/>
      </w:tblPr>
      <w:tblGrid>
        <w:gridCol w:w="1629"/>
        <w:gridCol w:w="1373"/>
        <w:gridCol w:w="741"/>
        <w:gridCol w:w="1017"/>
        <w:gridCol w:w="1106"/>
        <w:gridCol w:w="884"/>
        <w:gridCol w:w="884"/>
        <w:gridCol w:w="861"/>
      </w:tblGrid>
      <w:tr w:rsidR="008D2892" w:rsidRPr="00F663DC" w14:paraId="5E238622" w14:textId="77777777" w:rsidTr="0022057B">
        <w:tc>
          <w:tcPr>
            <w:tcW w:w="1089" w:type="pct"/>
            <w:shd w:val="clear" w:color="auto" w:fill="BFBFBF" w:themeFill="background1" w:themeFillShade="BF"/>
          </w:tcPr>
          <w:p w14:paraId="44BA0A89"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Title</w:t>
            </w:r>
          </w:p>
        </w:tc>
        <w:tc>
          <w:tcPr>
            <w:tcW w:w="807" w:type="pct"/>
            <w:shd w:val="clear" w:color="auto" w:fill="BFBFBF" w:themeFill="background1" w:themeFillShade="BF"/>
          </w:tcPr>
          <w:p w14:paraId="3032FB11"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Code</w:t>
            </w:r>
          </w:p>
        </w:tc>
        <w:tc>
          <w:tcPr>
            <w:tcW w:w="0" w:type="auto"/>
            <w:shd w:val="clear" w:color="auto" w:fill="BFBFBF" w:themeFill="background1" w:themeFillShade="BF"/>
          </w:tcPr>
          <w:p w14:paraId="2ED69817"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Type</w:t>
            </w:r>
          </w:p>
        </w:tc>
        <w:tc>
          <w:tcPr>
            <w:tcW w:w="0" w:type="auto"/>
            <w:shd w:val="clear" w:color="auto" w:fill="BFBFBF" w:themeFill="background1" w:themeFillShade="BF"/>
          </w:tcPr>
          <w:p w14:paraId="799566D2"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 xml:space="preserve">Last Update </w:t>
            </w:r>
            <w:proofErr w:type="gramStart"/>
            <w:r w:rsidRPr="00B34D4C">
              <w:rPr>
                <w:rFonts w:ascii="Arial" w:hAnsi="Arial" w:cs="Arial"/>
                <w:b/>
                <w:bCs/>
                <w:sz w:val="20"/>
                <w:szCs w:val="16"/>
              </w:rPr>
              <w:t>Of</w:t>
            </w:r>
            <w:proofErr w:type="gramEnd"/>
            <w:r w:rsidRPr="00B34D4C">
              <w:rPr>
                <w:rFonts w:ascii="Arial" w:hAnsi="Arial" w:cs="Arial"/>
                <w:b/>
                <w:bCs/>
                <w:sz w:val="20"/>
                <w:szCs w:val="16"/>
              </w:rPr>
              <w:t xml:space="preserve"> Data</w:t>
            </w:r>
          </w:p>
        </w:tc>
        <w:tc>
          <w:tcPr>
            <w:tcW w:w="0" w:type="auto"/>
            <w:shd w:val="clear" w:color="auto" w:fill="BFBFBF" w:themeFill="background1" w:themeFillShade="BF"/>
          </w:tcPr>
          <w:p w14:paraId="73967687"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Last Table Structure Change</w:t>
            </w:r>
          </w:p>
        </w:tc>
        <w:tc>
          <w:tcPr>
            <w:tcW w:w="0" w:type="auto"/>
            <w:shd w:val="clear" w:color="auto" w:fill="BFBFBF" w:themeFill="background1" w:themeFillShade="BF"/>
          </w:tcPr>
          <w:p w14:paraId="6E4E1D24"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Data Start</w:t>
            </w:r>
          </w:p>
        </w:tc>
        <w:tc>
          <w:tcPr>
            <w:tcW w:w="0" w:type="auto"/>
            <w:shd w:val="clear" w:color="auto" w:fill="BFBFBF" w:themeFill="background1" w:themeFillShade="BF"/>
          </w:tcPr>
          <w:p w14:paraId="45C0D0E9"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Data End</w:t>
            </w:r>
          </w:p>
        </w:tc>
        <w:tc>
          <w:tcPr>
            <w:tcW w:w="0" w:type="auto"/>
            <w:shd w:val="clear" w:color="auto" w:fill="BFBFBF" w:themeFill="background1" w:themeFillShade="BF"/>
          </w:tcPr>
          <w:p w14:paraId="111B449A" w14:textId="77777777" w:rsidR="008D2892" w:rsidRPr="00B34D4C" w:rsidRDefault="008D2892" w:rsidP="0022057B">
            <w:pPr>
              <w:pStyle w:val="Compact"/>
              <w:rPr>
                <w:rFonts w:ascii="Arial" w:hAnsi="Arial" w:cs="Arial"/>
                <w:b/>
                <w:bCs/>
                <w:sz w:val="20"/>
                <w:szCs w:val="16"/>
              </w:rPr>
            </w:pPr>
            <w:r w:rsidRPr="00B34D4C">
              <w:rPr>
                <w:rFonts w:ascii="Arial" w:hAnsi="Arial" w:cs="Arial"/>
                <w:b/>
                <w:bCs/>
                <w:sz w:val="20"/>
                <w:szCs w:val="16"/>
              </w:rPr>
              <w:t>Values</w:t>
            </w:r>
          </w:p>
        </w:tc>
      </w:tr>
      <w:tr w:rsidR="008D2892" w:rsidRPr="00244030" w14:paraId="2924F08C" w14:textId="77777777" w:rsidTr="0022057B">
        <w:tc>
          <w:tcPr>
            <w:tcW w:w="1089" w:type="pct"/>
          </w:tcPr>
          <w:p w14:paraId="13DDBD6A"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Selling prices of animal products (absolute prices) - annual price (from 2000 onwards)</w:t>
            </w:r>
          </w:p>
        </w:tc>
        <w:tc>
          <w:tcPr>
            <w:tcW w:w="807" w:type="pct"/>
          </w:tcPr>
          <w:p w14:paraId="3CB85709" w14:textId="77777777" w:rsidR="008D2892" w:rsidRPr="00244030" w:rsidRDefault="008D2892" w:rsidP="0022057B">
            <w:pPr>
              <w:pStyle w:val="Compact"/>
              <w:rPr>
                <w:rFonts w:ascii="Arial" w:hAnsi="Arial" w:cs="Arial"/>
                <w:sz w:val="16"/>
                <w:szCs w:val="16"/>
              </w:rPr>
            </w:pPr>
            <w:proofErr w:type="spellStart"/>
            <w:r w:rsidRPr="00244030">
              <w:rPr>
                <w:rFonts w:ascii="Arial" w:hAnsi="Arial" w:cs="Arial"/>
                <w:sz w:val="16"/>
                <w:szCs w:val="16"/>
              </w:rPr>
              <w:t>apri_ap_anouta</w:t>
            </w:r>
            <w:proofErr w:type="spellEnd"/>
          </w:p>
        </w:tc>
        <w:tc>
          <w:tcPr>
            <w:tcW w:w="0" w:type="auto"/>
          </w:tcPr>
          <w:p w14:paraId="06EFD1B5"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dataset</w:t>
            </w:r>
          </w:p>
        </w:tc>
        <w:tc>
          <w:tcPr>
            <w:tcW w:w="0" w:type="auto"/>
          </w:tcPr>
          <w:p w14:paraId="394CD3A3"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11.05.2020</w:t>
            </w:r>
          </w:p>
        </w:tc>
        <w:tc>
          <w:tcPr>
            <w:tcW w:w="0" w:type="auto"/>
          </w:tcPr>
          <w:p w14:paraId="535FE79C"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08.02.2021</w:t>
            </w:r>
          </w:p>
        </w:tc>
        <w:tc>
          <w:tcPr>
            <w:tcW w:w="0" w:type="auto"/>
          </w:tcPr>
          <w:p w14:paraId="21452BE2"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2000</w:t>
            </w:r>
          </w:p>
        </w:tc>
        <w:tc>
          <w:tcPr>
            <w:tcW w:w="0" w:type="auto"/>
          </w:tcPr>
          <w:p w14:paraId="75B13944"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2019</w:t>
            </w:r>
          </w:p>
        </w:tc>
        <w:tc>
          <w:tcPr>
            <w:tcW w:w="0" w:type="auto"/>
          </w:tcPr>
          <w:p w14:paraId="2AEEE070"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NA</w:t>
            </w:r>
          </w:p>
        </w:tc>
      </w:tr>
      <w:tr w:rsidR="008D2892" w:rsidRPr="00244030" w14:paraId="30AE067F" w14:textId="77777777" w:rsidTr="0022057B">
        <w:tc>
          <w:tcPr>
            <w:tcW w:w="1089" w:type="pct"/>
          </w:tcPr>
          <w:p w14:paraId="092CE5C2"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Selling prices of animal products (absolute prices) - annual - old codes - data from 1969 to 2005</w:t>
            </w:r>
          </w:p>
        </w:tc>
        <w:tc>
          <w:tcPr>
            <w:tcW w:w="807" w:type="pct"/>
          </w:tcPr>
          <w:p w14:paraId="1A76EE1D" w14:textId="77777777" w:rsidR="008D2892" w:rsidRPr="00244030" w:rsidRDefault="008D2892" w:rsidP="0022057B">
            <w:pPr>
              <w:pStyle w:val="Compact"/>
              <w:rPr>
                <w:rFonts w:ascii="Arial" w:hAnsi="Arial" w:cs="Arial"/>
                <w:sz w:val="16"/>
                <w:szCs w:val="16"/>
              </w:rPr>
            </w:pPr>
            <w:proofErr w:type="spellStart"/>
            <w:r w:rsidRPr="00244030">
              <w:rPr>
                <w:rFonts w:ascii="Arial" w:hAnsi="Arial" w:cs="Arial"/>
                <w:sz w:val="16"/>
                <w:szCs w:val="16"/>
              </w:rPr>
              <w:t>apri_ap_haouta</w:t>
            </w:r>
            <w:proofErr w:type="spellEnd"/>
          </w:p>
        </w:tc>
        <w:tc>
          <w:tcPr>
            <w:tcW w:w="0" w:type="auto"/>
          </w:tcPr>
          <w:p w14:paraId="5F998F92"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dataset</w:t>
            </w:r>
          </w:p>
        </w:tc>
        <w:tc>
          <w:tcPr>
            <w:tcW w:w="0" w:type="auto"/>
          </w:tcPr>
          <w:p w14:paraId="2125C75B"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26.03.2009</w:t>
            </w:r>
          </w:p>
        </w:tc>
        <w:tc>
          <w:tcPr>
            <w:tcW w:w="0" w:type="auto"/>
          </w:tcPr>
          <w:p w14:paraId="415DB671"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08.02.2021</w:t>
            </w:r>
          </w:p>
        </w:tc>
        <w:tc>
          <w:tcPr>
            <w:tcW w:w="0" w:type="auto"/>
          </w:tcPr>
          <w:p w14:paraId="432CD25C"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1969</w:t>
            </w:r>
          </w:p>
        </w:tc>
        <w:tc>
          <w:tcPr>
            <w:tcW w:w="0" w:type="auto"/>
          </w:tcPr>
          <w:p w14:paraId="298EEDF0"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2006</w:t>
            </w:r>
          </w:p>
        </w:tc>
        <w:tc>
          <w:tcPr>
            <w:tcW w:w="0" w:type="auto"/>
          </w:tcPr>
          <w:p w14:paraId="6B4AD3D8"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NA</w:t>
            </w:r>
          </w:p>
        </w:tc>
      </w:tr>
      <w:tr w:rsidR="008D2892" w:rsidRPr="00244030" w14:paraId="2991A245" w14:textId="77777777" w:rsidTr="0022057B">
        <w:tc>
          <w:tcPr>
            <w:tcW w:w="1089" w:type="pct"/>
          </w:tcPr>
          <w:p w14:paraId="1F3C07E3"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Selling prices of animal products (absolute prices) - monthly - old code - data from 1969 to 2006</w:t>
            </w:r>
          </w:p>
        </w:tc>
        <w:tc>
          <w:tcPr>
            <w:tcW w:w="807" w:type="pct"/>
          </w:tcPr>
          <w:p w14:paraId="5D074975" w14:textId="77777777" w:rsidR="008D2892" w:rsidRPr="00244030" w:rsidRDefault="008D2892" w:rsidP="0022057B">
            <w:pPr>
              <w:pStyle w:val="Compact"/>
              <w:rPr>
                <w:rFonts w:ascii="Arial" w:hAnsi="Arial" w:cs="Arial"/>
                <w:sz w:val="16"/>
                <w:szCs w:val="16"/>
              </w:rPr>
            </w:pPr>
            <w:proofErr w:type="spellStart"/>
            <w:r w:rsidRPr="00244030">
              <w:rPr>
                <w:rFonts w:ascii="Arial" w:hAnsi="Arial" w:cs="Arial"/>
                <w:sz w:val="16"/>
                <w:szCs w:val="16"/>
              </w:rPr>
              <w:t>apri_ap_haoutm</w:t>
            </w:r>
            <w:proofErr w:type="spellEnd"/>
          </w:p>
        </w:tc>
        <w:tc>
          <w:tcPr>
            <w:tcW w:w="0" w:type="auto"/>
          </w:tcPr>
          <w:p w14:paraId="7B99FDF8"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dataset</w:t>
            </w:r>
          </w:p>
        </w:tc>
        <w:tc>
          <w:tcPr>
            <w:tcW w:w="0" w:type="auto"/>
          </w:tcPr>
          <w:p w14:paraId="5DB10595"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26.03.2009</w:t>
            </w:r>
          </w:p>
        </w:tc>
        <w:tc>
          <w:tcPr>
            <w:tcW w:w="0" w:type="auto"/>
          </w:tcPr>
          <w:p w14:paraId="6B3013F2"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08.02.2021</w:t>
            </w:r>
          </w:p>
        </w:tc>
        <w:tc>
          <w:tcPr>
            <w:tcW w:w="0" w:type="auto"/>
          </w:tcPr>
          <w:p w14:paraId="2E7A1D8E"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1969M01</w:t>
            </w:r>
          </w:p>
        </w:tc>
        <w:tc>
          <w:tcPr>
            <w:tcW w:w="0" w:type="auto"/>
          </w:tcPr>
          <w:p w14:paraId="1DCCA721"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2006M09</w:t>
            </w:r>
          </w:p>
        </w:tc>
        <w:tc>
          <w:tcPr>
            <w:tcW w:w="0" w:type="auto"/>
          </w:tcPr>
          <w:p w14:paraId="4F346EF6"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NA</w:t>
            </w:r>
          </w:p>
        </w:tc>
      </w:tr>
      <w:tr w:rsidR="008D2892" w:rsidRPr="00244030" w14:paraId="2BC3C239" w14:textId="77777777" w:rsidTr="0022057B">
        <w:tc>
          <w:tcPr>
            <w:tcW w:w="1089" w:type="pct"/>
          </w:tcPr>
          <w:p w14:paraId="530AEECE"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lastRenderedPageBreak/>
              <w:t>Organic production of animal products (from 2012 onwards)</w:t>
            </w:r>
          </w:p>
        </w:tc>
        <w:tc>
          <w:tcPr>
            <w:tcW w:w="807" w:type="pct"/>
          </w:tcPr>
          <w:p w14:paraId="65784873" w14:textId="77777777" w:rsidR="008D2892" w:rsidRPr="00244030" w:rsidRDefault="008D2892" w:rsidP="0022057B">
            <w:pPr>
              <w:pStyle w:val="Compact"/>
              <w:rPr>
                <w:rFonts w:ascii="Arial" w:hAnsi="Arial" w:cs="Arial"/>
                <w:sz w:val="16"/>
                <w:szCs w:val="16"/>
              </w:rPr>
            </w:pPr>
            <w:proofErr w:type="spellStart"/>
            <w:r w:rsidRPr="00244030">
              <w:rPr>
                <w:rFonts w:ascii="Arial" w:hAnsi="Arial" w:cs="Arial"/>
                <w:sz w:val="16"/>
                <w:szCs w:val="16"/>
              </w:rPr>
              <w:t>org_aprod</w:t>
            </w:r>
            <w:proofErr w:type="spellEnd"/>
          </w:p>
        </w:tc>
        <w:tc>
          <w:tcPr>
            <w:tcW w:w="0" w:type="auto"/>
          </w:tcPr>
          <w:p w14:paraId="52804808"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dataset</w:t>
            </w:r>
          </w:p>
        </w:tc>
        <w:tc>
          <w:tcPr>
            <w:tcW w:w="0" w:type="auto"/>
          </w:tcPr>
          <w:p w14:paraId="1E583619"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16.12.2020</w:t>
            </w:r>
          </w:p>
        </w:tc>
        <w:tc>
          <w:tcPr>
            <w:tcW w:w="0" w:type="auto"/>
          </w:tcPr>
          <w:p w14:paraId="392012BB"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08.02.2021</w:t>
            </w:r>
          </w:p>
        </w:tc>
        <w:tc>
          <w:tcPr>
            <w:tcW w:w="0" w:type="auto"/>
          </w:tcPr>
          <w:p w14:paraId="1E7B6BDF"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2012</w:t>
            </w:r>
          </w:p>
        </w:tc>
        <w:tc>
          <w:tcPr>
            <w:tcW w:w="0" w:type="auto"/>
          </w:tcPr>
          <w:p w14:paraId="7FE61EFA"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2019</w:t>
            </w:r>
          </w:p>
        </w:tc>
        <w:tc>
          <w:tcPr>
            <w:tcW w:w="0" w:type="auto"/>
          </w:tcPr>
          <w:p w14:paraId="3A3F5C46"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NA</w:t>
            </w:r>
          </w:p>
        </w:tc>
      </w:tr>
      <w:tr w:rsidR="008D2892" w:rsidRPr="00244030" w14:paraId="759DE0C0" w14:textId="77777777" w:rsidTr="0022057B">
        <w:tc>
          <w:tcPr>
            <w:tcW w:w="1089" w:type="pct"/>
          </w:tcPr>
          <w:p w14:paraId="0FFEC18D"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Organic production of animal products (until 2011)</w:t>
            </w:r>
          </w:p>
        </w:tc>
        <w:tc>
          <w:tcPr>
            <w:tcW w:w="807" w:type="pct"/>
          </w:tcPr>
          <w:p w14:paraId="3B540495" w14:textId="77777777" w:rsidR="008D2892" w:rsidRPr="00244030" w:rsidRDefault="008D2892" w:rsidP="0022057B">
            <w:pPr>
              <w:pStyle w:val="Compact"/>
              <w:rPr>
                <w:rFonts w:ascii="Arial" w:hAnsi="Arial" w:cs="Arial"/>
                <w:sz w:val="16"/>
                <w:szCs w:val="16"/>
              </w:rPr>
            </w:pPr>
            <w:proofErr w:type="spellStart"/>
            <w:r w:rsidRPr="00244030">
              <w:rPr>
                <w:rFonts w:ascii="Arial" w:hAnsi="Arial" w:cs="Arial"/>
                <w:sz w:val="16"/>
                <w:szCs w:val="16"/>
              </w:rPr>
              <w:t>org_aprod_h</w:t>
            </w:r>
            <w:proofErr w:type="spellEnd"/>
          </w:p>
        </w:tc>
        <w:tc>
          <w:tcPr>
            <w:tcW w:w="0" w:type="auto"/>
          </w:tcPr>
          <w:p w14:paraId="2140911C"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dataset</w:t>
            </w:r>
          </w:p>
        </w:tc>
        <w:tc>
          <w:tcPr>
            <w:tcW w:w="0" w:type="auto"/>
          </w:tcPr>
          <w:p w14:paraId="450BB5DD"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30.03.2016</w:t>
            </w:r>
          </w:p>
        </w:tc>
        <w:tc>
          <w:tcPr>
            <w:tcW w:w="0" w:type="auto"/>
          </w:tcPr>
          <w:p w14:paraId="6D4CBF31"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08.02.2021</w:t>
            </w:r>
          </w:p>
        </w:tc>
        <w:tc>
          <w:tcPr>
            <w:tcW w:w="0" w:type="auto"/>
          </w:tcPr>
          <w:p w14:paraId="344FA7D3"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2002</w:t>
            </w:r>
          </w:p>
        </w:tc>
        <w:tc>
          <w:tcPr>
            <w:tcW w:w="0" w:type="auto"/>
          </w:tcPr>
          <w:p w14:paraId="6EE60837"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2011</w:t>
            </w:r>
          </w:p>
        </w:tc>
        <w:tc>
          <w:tcPr>
            <w:tcW w:w="0" w:type="auto"/>
          </w:tcPr>
          <w:p w14:paraId="09D61986"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NA</w:t>
            </w:r>
          </w:p>
        </w:tc>
      </w:tr>
      <w:tr w:rsidR="008D2892" w:rsidRPr="00244030" w14:paraId="6D90C1DF" w14:textId="77777777" w:rsidTr="0022057B">
        <w:tc>
          <w:tcPr>
            <w:tcW w:w="1089" w:type="pct"/>
          </w:tcPr>
          <w:p w14:paraId="44C412FF"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 xml:space="preserve">Producer price indices, </w:t>
            </w:r>
            <w:proofErr w:type="gramStart"/>
            <w:r w:rsidRPr="00244030">
              <w:rPr>
                <w:rFonts w:ascii="Arial" w:hAnsi="Arial" w:cs="Arial"/>
                <w:sz w:val="16"/>
                <w:szCs w:val="16"/>
              </w:rPr>
              <w:t>animals</w:t>
            </w:r>
            <w:proofErr w:type="gramEnd"/>
            <w:r w:rsidRPr="00244030">
              <w:rPr>
                <w:rFonts w:ascii="Arial" w:hAnsi="Arial" w:cs="Arial"/>
                <w:sz w:val="16"/>
                <w:szCs w:val="16"/>
              </w:rPr>
              <w:t xml:space="preserve"> and animal products</w:t>
            </w:r>
          </w:p>
        </w:tc>
        <w:tc>
          <w:tcPr>
            <w:tcW w:w="807" w:type="pct"/>
          </w:tcPr>
          <w:p w14:paraId="3119942F"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tag00050</w:t>
            </w:r>
          </w:p>
        </w:tc>
        <w:tc>
          <w:tcPr>
            <w:tcW w:w="0" w:type="auto"/>
          </w:tcPr>
          <w:p w14:paraId="3D5696DB"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table</w:t>
            </w:r>
          </w:p>
        </w:tc>
        <w:tc>
          <w:tcPr>
            <w:tcW w:w="0" w:type="auto"/>
          </w:tcPr>
          <w:p w14:paraId="3DE629D9"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08.02.2021</w:t>
            </w:r>
          </w:p>
        </w:tc>
        <w:tc>
          <w:tcPr>
            <w:tcW w:w="0" w:type="auto"/>
          </w:tcPr>
          <w:p w14:paraId="41E03EF3"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08.02.2021</w:t>
            </w:r>
          </w:p>
        </w:tc>
        <w:tc>
          <w:tcPr>
            <w:tcW w:w="0" w:type="auto"/>
          </w:tcPr>
          <w:p w14:paraId="52DBD74E"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1997</w:t>
            </w:r>
          </w:p>
        </w:tc>
        <w:tc>
          <w:tcPr>
            <w:tcW w:w="0" w:type="auto"/>
          </w:tcPr>
          <w:p w14:paraId="56DF9BCF"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2008</w:t>
            </w:r>
          </w:p>
        </w:tc>
        <w:tc>
          <w:tcPr>
            <w:tcW w:w="0" w:type="auto"/>
          </w:tcPr>
          <w:p w14:paraId="5B69312F" w14:textId="77777777" w:rsidR="008D2892" w:rsidRPr="00244030" w:rsidRDefault="008D2892" w:rsidP="0022057B">
            <w:pPr>
              <w:pStyle w:val="Compact"/>
              <w:rPr>
                <w:rFonts w:ascii="Arial" w:hAnsi="Arial" w:cs="Arial"/>
                <w:sz w:val="16"/>
                <w:szCs w:val="16"/>
              </w:rPr>
            </w:pPr>
            <w:r w:rsidRPr="00244030">
              <w:rPr>
                <w:rFonts w:ascii="Arial" w:hAnsi="Arial" w:cs="Arial"/>
                <w:sz w:val="16"/>
                <w:szCs w:val="16"/>
              </w:rPr>
              <w:t>NA</w:t>
            </w:r>
          </w:p>
        </w:tc>
      </w:tr>
    </w:tbl>
    <w:p w14:paraId="745A2AF0" w14:textId="5954F5FA" w:rsidR="006A7AFE" w:rsidRPr="00EE5690" w:rsidRDefault="00EB46BE" w:rsidP="002D2FB4">
      <w:pPr>
        <w:rPr>
          <w:rFonts w:cs="Arial"/>
        </w:rPr>
        <w:sectPr w:rsidR="006A7AFE" w:rsidRPr="00EE5690" w:rsidSect="00FD04F7">
          <w:headerReference w:type="default" r:id="rId47"/>
          <w:footerReference w:type="default" r:id="rId48"/>
          <w:headerReference w:type="first" r:id="rId49"/>
          <w:footerReference w:type="first" r:id="rId50"/>
          <w:pgSz w:w="11907" w:h="16839" w:code="9"/>
          <w:pgMar w:top="1701" w:right="1701" w:bottom="1701" w:left="1701" w:header="850" w:footer="567" w:gutter="0"/>
          <w:cols w:space="708"/>
          <w:titlePg/>
          <w:docGrid w:linePitch="360"/>
        </w:sectPr>
      </w:pPr>
      <w:r w:rsidRPr="00EE5690">
        <w:rPr>
          <w:rFonts w:cs="Arial"/>
        </w:rPr>
        <w:t>As mentioned before</w:t>
      </w:r>
      <w:r w:rsidR="00BE322D" w:rsidRPr="00EE5690">
        <w:rPr>
          <w:rFonts w:cs="Arial"/>
        </w:rPr>
        <w:t>,</w:t>
      </w:r>
      <w:r w:rsidRPr="00EE5690">
        <w:rPr>
          <w:rFonts w:cs="Arial"/>
        </w:rPr>
        <w:t xml:space="preserve"> not only repeated </w:t>
      </w:r>
      <w:r w:rsidR="00F663DC" w:rsidRPr="00EE5690">
        <w:rPr>
          <w:rFonts w:cs="Arial"/>
        </w:rPr>
        <w:t xml:space="preserve">variables were found </w:t>
      </w:r>
      <w:r w:rsidRPr="00EE5690">
        <w:rPr>
          <w:rFonts w:cs="Arial"/>
        </w:rPr>
        <w:t>in most of the tables</w:t>
      </w:r>
      <w:r w:rsidR="008A42DD">
        <w:rPr>
          <w:rFonts w:cs="Arial"/>
        </w:rPr>
        <w:t xml:space="preserve"> </w:t>
      </w:r>
      <w:r w:rsidRPr="00EE5690">
        <w:rPr>
          <w:rFonts w:cs="Arial"/>
        </w:rPr>
        <w:t xml:space="preserve">but referred to </w:t>
      </w:r>
      <w:r w:rsidR="008D2892">
        <w:rPr>
          <w:rFonts w:cs="Arial"/>
        </w:rPr>
        <w:t>the</w:t>
      </w:r>
      <w:r w:rsidRPr="00EE5690">
        <w:rPr>
          <w:rFonts w:cs="Arial"/>
        </w:rPr>
        <w:t xml:space="preserve"> same dataset in different aggregation levels. In addition, most of the sustainable indicators could not be matched with a variable in this way.</w:t>
      </w:r>
      <w:r w:rsidR="00F663DC" w:rsidRPr="00EE5690">
        <w:rPr>
          <w:rFonts w:cs="Arial"/>
        </w:rPr>
        <w:t xml:space="preserve"> Moreover, the identification of a data by a given name did not guarantee the connection of the dataset with the forest sector or sustainable development. Therefore, some variables could be identified (Tourism, recreation…) but were not related with the forest sector.</w:t>
      </w:r>
      <w:r w:rsidRPr="00EE5690">
        <w:rPr>
          <w:rFonts w:cs="Arial"/>
        </w:rPr>
        <w:t xml:space="preserve"> </w:t>
      </w:r>
      <w:proofErr w:type="gramStart"/>
      <w:r w:rsidRPr="00EE5690">
        <w:rPr>
          <w:rFonts w:cs="Arial"/>
        </w:rPr>
        <w:t>As a consequence</w:t>
      </w:r>
      <w:proofErr w:type="gramEnd"/>
      <w:r w:rsidRPr="00EE5690">
        <w:rPr>
          <w:rFonts w:cs="Arial"/>
        </w:rPr>
        <w:t xml:space="preserve">, the search method was changed and the </w:t>
      </w:r>
      <w:r w:rsidR="007E1BEE" w:rsidRPr="00EE5690">
        <w:rPr>
          <w:rFonts w:cs="Arial"/>
        </w:rPr>
        <w:t>Eurostat</w:t>
      </w:r>
      <w:r w:rsidRPr="00EE5690">
        <w:rPr>
          <w:rFonts w:cs="Arial"/>
        </w:rPr>
        <w:t xml:space="preserve"> d</w:t>
      </w:r>
      <w:r w:rsidR="006A7AFE" w:rsidRPr="00EE5690">
        <w:rPr>
          <w:rFonts w:cs="Arial"/>
        </w:rPr>
        <w:t>atabased was manually consult</w:t>
      </w:r>
      <w:r w:rsidR="00171A12" w:rsidRPr="00EE5690">
        <w:rPr>
          <w:rFonts w:cs="Arial"/>
        </w:rPr>
        <w:t xml:space="preserve">ed. As a result, a </w:t>
      </w:r>
      <w:r w:rsidR="00421915" w:rsidRPr="00EE5690">
        <w:rPr>
          <w:rFonts w:cs="Arial"/>
        </w:rPr>
        <w:t xml:space="preserve">table </w:t>
      </w:r>
      <w:r w:rsidR="00171A12" w:rsidRPr="00EE5690">
        <w:rPr>
          <w:rFonts w:cs="Arial"/>
        </w:rPr>
        <w:t>was generated relating the Eurostat variables with the indicators found.</w:t>
      </w:r>
      <w:r w:rsidR="007E1BEE" w:rsidRPr="00EE5690">
        <w:rPr>
          <w:rFonts w:cs="Arial"/>
        </w:rPr>
        <w:t xml:space="preserve"> To o</w:t>
      </w:r>
      <w:r w:rsidR="00421915" w:rsidRPr="00EE5690">
        <w:rPr>
          <w:rFonts w:cs="Arial"/>
        </w:rPr>
        <w:t xml:space="preserve">rganize the result of the query, </w:t>
      </w:r>
      <w:r w:rsidR="007E1BEE" w:rsidRPr="00EE5690">
        <w:rPr>
          <w:rFonts w:cs="Arial"/>
        </w:rPr>
        <w:t>the datasets were divided depending on the units used to express the variables</w:t>
      </w:r>
      <w:r w:rsidR="008D2892">
        <w:rPr>
          <w:rFonts w:cs="Arial"/>
        </w:rPr>
        <w:t>.</w:t>
      </w:r>
      <w:r w:rsidR="007E1BEE" w:rsidRPr="00EE5690">
        <w:rPr>
          <w:rFonts w:cs="Arial"/>
        </w:rPr>
        <w:t xml:space="preserve"> Therefore, economic datasets were only used for the </w:t>
      </w:r>
      <w:r w:rsidR="00B4521A" w:rsidRPr="00EE5690">
        <w:rPr>
          <w:rFonts w:cs="Arial"/>
        </w:rPr>
        <w:t>financial</w:t>
      </w:r>
      <w:r w:rsidR="007E1BEE" w:rsidRPr="00EE5690">
        <w:rPr>
          <w:rFonts w:cs="Arial"/>
        </w:rPr>
        <w:t xml:space="preserve"> aspect, whereas </w:t>
      </w:r>
      <w:r w:rsidR="00B4521A" w:rsidRPr="00EE5690">
        <w:rPr>
          <w:rFonts w:cs="Arial"/>
        </w:rPr>
        <w:t>variables</w:t>
      </w:r>
      <w:r w:rsidR="007E1BEE" w:rsidRPr="00EE5690">
        <w:rPr>
          <w:rFonts w:cs="Arial"/>
        </w:rPr>
        <w:t xml:space="preserve"> expressing surface values were </w:t>
      </w:r>
      <w:r w:rsidR="00B4521A" w:rsidRPr="00EE5690">
        <w:rPr>
          <w:rFonts w:cs="Arial"/>
        </w:rPr>
        <w:t>typically</w:t>
      </w:r>
      <w:r w:rsidR="007E1BEE" w:rsidRPr="00EE5690">
        <w:rPr>
          <w:rFonts w:cs="Arial"/>
        </w:rPr>
        <w:t xml:space="preserve"> related with the </w:t>
      </w:r>
      <w:r w:rsidR="00B4521A" w:rsidRPr="00EE5690">
        <w:rPr>
          <w:rFonts w:cs="Arial"/>
        </w:rPr>
        <w:t>environmental</w:t>
      </w:r>
      <w:r w:rsidR="007E1BEE" w:rsidRPr="00EE5690">
        <w:rPr>
          <w:rFonts w:cs="Arial"/>
        </w:rPr>
        <w:t xml:space="preserve"> aspects and </w:t>
      </w:r>
      <w:r w:rsidR="00B4521A" w:rsidRPr="00EE5690">
        <w:rPr>
          <w:rFonts w:cs="Arial"/>
        </w:rPr>
        <w:t>social parameters, for instance number of workers were associated with the social aspect of sustainability</w:t>
      </w:r>
      <w:r w:rsidR="007E1BEE" w:rsidRPr="00EE5690">
        <w:rPr>
          <w:rFonts w:cs="Arial"/>
        </w:rPr>
        <w:t xml:space="preserve"> in economic units. </w:t>
      </w:r>
      <w:r w:rsidR="00B4521A" w:rsidRPr="00EE5690">
        <w:rPr>
          <w:rFonts w:cs="Arial"/>
        </w:rPr>
        <w:t xml:space="preserve">The classification of the datasets is shown in </w:t>
      </w:r>
      <w:r w:rsidR="00421915" w:rsidRPr="00EE5690">
        <w:rPr>
          <w:rFonts w:cs="Arial"/>
        </w:rPr>
        <w:fldChar w:fldCharType="begin"/>
      </w:r>
      <w:r w:rsidR="00421915" w:rsidRPr="00EE5690">
        <w:rPr>
          <w:rFonts w:cs="Arial"/>
        </w:rPr>
        <w:instrText xml:space="preserve"> REF _Ref68684081 \h </w:instrText>
      </w:r>
      <w:r w:rsidR="00EE5690" w:rsidRPr="00EE5690">
        <w:rPr>
          <w:rFonts w:cs="Arial"/>
        </w:rPr>
        <w:instrText xml:space="preserve"> \* MERGEFORMAT </w:instrText>
      </w:r>
      <w:r w:rsidR="00421915" w:rsidRPr="00EE5690">
        <w:rPr>
          <w:rFonts w:cs="Arial"/>
        </w:rPr>
      </w:r>
      <w:r w:rsidR="00421915" w:rsidRPr="00EE5690">
        <w:rPr>
          <w:rFonts w:cs="Arial"/>
        </w:rPr>
        <w:fldChar w:fldCharType="separate"/>
      </w:r>
      <w:r w:rsidR="0073710A" w:rsidRPr="00EE5690">
        <w:rPr>
          <w:rFonts w:cs="Arial"/>
        </w:rPr>
        <w:t xml:space="preserve">Table </w:t>
      </w:r>
      <w:r w:rsidR="0073710A">
        <w:rPr>
          <w:rFonts w:cs="Arial"/>
          <w:noProof/>
        </w:rPr>
        <w:t>28</w:t>
      </w:r>
      <w:r w:rsidR="00421915" w:rsidRPr="00EE5690">
        <w:rPr>
          <w:rFonts w:cs="Arial"/>
        </w:rPr>
        <w:fldChar w:fldCharType="end"/>
      </w:r>
      <w:r w:rsidR="00B4521A" w:rsidRPr="00EE5690">
        <w:rPr>
          <w:rFonts w:cs="Arial"/>
        </w:rPr>
        <w:t xml:space="preserve">, where the name of the Eurostat dataset is </w:t>
      </w:r>
      <w:r w:rsidR="00720874" w:rsidRPr="00EE5690">
        <w:rPr>
          <w:rFonts w:cs="Arial"/>
        </w:rPr>
        <w:t>stated</w:t>
      </w:r>
      <w:r w:rsidR="00B4521A" w:rsidRPr="00EE5690">
        <w:rPr>
          <w:rFonts w:cs="Arial"/>
        </w:rPr>
        <w:t xml:space="preserve">, the variable of interest, the </w:t>
      </w:r>
      <w:proofErr w:type="gramStart"/>
      <w:r w:rsidR="00B4521A" w:rsidRPr="00EE5690">
        <w:rPr>
          <w:rFonts w:cs="Arial"/>
        </w:rPr>
        <w:t>indicators</w:t>
      </w:r>
      <w:proofErr w:type="gramEnd"/>
      <w:r w:rsidR="00B4521A" w:rsidRPr="00EE5690">
        <w:rPr>
          <w:rFonts w:cs="Arial"/>
        </w:rPr>
        <w:t xml:space="preserve"> and the </w:t>
      </w:r>
      <w:r w:rsidR="00421915" w:rsidRPr="00EE5690">
        <w:rPr>
          <w:rFonts w:cs="Arial"/>
        </w:rPr>
        <w:t>s</w:t>
      </w:r>
      <w:r w:rsidR="00B4521A" w:rsidRPr="00EE5690">
        <w:rPr>
          <w:rFonts w:cs="Arial"/>
        </w:rPr>
        <w:t>ustainability aspect that the v</w:t>
      </w:r>
      <w:r w:rsidR="007C1A81" w:rsidRPr="00EE5690">
        <w:rPr>
          <w:rFonts w:cs="Arial"/>
        </w:rPr>
        <w:t>ariable and indicator refer to</w:t>
      </w:r>
      <w:r w:rsidR="008D2892">
        <w:rPr>
          <w:rFonts w:cs="Arial"/>
        </w:rPr>
        <w:t>.</w:t>
      </w:r>
    </w:p>
    <w:p w14:paraId="2A1B9E1C" w14:textId="02DE6AE3" w:rsidR="007C1A81" w:rsidRPr="00EE5690" w:rsidRDefault="007C1A81" w:rsidP="00846D07">
      <w:pPr>
        <w:pStyle w:val="Caption"/>
        <w:keepNext/>
        <w:rPr>
          <w:rFonts w:cs="Arial"/>
          <w:sz w:val="22"/>
          <w:szCs w:val="22"/>
        </w:rPr>
      </w:pPr>
      <w:bookmarkStart w:id="117" w:name="_Ref68684081"/>
      <w:bookmarkStart w:id="118" w:name="_Toc91752567"/>
      <w:r w:rsidRPr="00EE5690">
        <w:rPr>
          <w:rFonts w:cs="Arial"/>
          <w:sz w:val="22"/>
          <w:szCs w:val="22"/>
        </w:rPr>
        <w:lastRenderedPageBreak/>
        <w:t xml:space="preserve">Table </w:t>
      </w:r>
      <w:r w:rsidRPr="00EE5690">
        <w:rPr>
          <w:rFonts w:cs="Arial"/>
          <w:sz w:val="22"/>
          <w:szCs w:val="22"/>
        </w:rPr>
        <w:fldChar w:fldCharType="begin"/>
      </w:r>
      <w:r w:rsidRPr="00EE5690">
        <w:rPr>
          <w:rFonts w:cs="Arial"/>
          <w:sz w:val="22"/>
          <w:szCs w:val="22"/>
        </w:rPr>
        <w:instrText xml:space="preserve"> SEQ Table \* ARABIC </w:instrText>
      </w:r>
      <w:r w:rsidRPr="00EE5690">
        <w:rPr>
          <w:rFonts w:cs="Arial"/>
          <w:sz w:val="22"/>
          <w:szCs w:val="22"/>
        </w:rPr>
        <w:fldChar w:fldCharType="separate"/>
      </w:r>
      <w:r w:rsidR="0073710A">
        <w:rPr>
          <w:rFonts w:cs="Arial"/>
          <w:noProof/>
          <w:sz w:val="22"/>
          <w:szCs w:val="22"/>
        </w:rPr>
        <w:t>28</w:t>
      </w:r>
      <w:r w:rsidRPr="00EE5690">
        <w:rPr>
          <w:rFonts w:cs="Arial"/>
          <w:sz w:val="22"/>
          <w:szCs w:val="22"/>
        </w:rPr>
        <w:fldChar w:fldCharType="end"/>
      </w:r>
      <w:bookmarkEnd w:id="117"/>
      <w:r w:rsidRPr="00EE5690">
        <w:rPr>
          <w:rFonts w:cs="Arial"/>
          <w:sz w:val="22"/>
          <w:szCs w:val="22"/>
        </w:rPr>
        <w:t>.Variables found on Eurostat dataset for both indicators and sustainability aspects</w:t>
      </w:r>
      <w:bookmarkEnd w:id="118"/>
    </w:p>
    <w:p w14:paraId="541031C4" w14:textId="77777777" w:rsidR="00AB35EC" w:rsidRDefault="00AB35EC" w:rsidP="00EE5690">
      <w:pPr>
        <w:jc w:val="left"/>
        <w:rPr>
          <w:rFonts w:cs="Arial"/>
        </w:rPr>
      </w:pPr>
    </w:p>
    <w:tbl>
      <w:tblPr>
        <w:tblW w:w="14382" w:type="dxa"/>
        <w:tblCellMar>
          <w:left w:w="70" w:type="dxa"/>
          <w:right w:w="70" w:type="dxa"/>
        </w:tblCellMar>
        <w:tblLook w:val="04A0" w:firstRow="1" w:lastRow="0" w:firstColumn="1" w:lastColumn="0" w:noHBand="0" w:noVBand="1"/>
      </w:tblPr>
      <w:tblGrid>
        <w:gridCol w:w="1495"/>
        <w:gridCol w:w="1797"/>
        <w:gridCol w:w="1244"/>
        <w:gridCol w:w="142"/>
        <w:gridCol w:w="5040"/>
        <w:gridCol w:w="1585"/>
        <w:gridCol w:w="1827"/>
        <w:gridCol w:w="1252"/>
      </w:tblGrid>
      <w:tr w:rsidR="00846D07" w:rsidRPr="00772AC2" w14:paraId="50F9B41F" w14:textId="77777777" w:rsidTr="0022057B">
        <w:trPr>
          <w:trHeight w:val="386"/>
        </w:trPr>
        <w:tc>
          <w:tcPr>
            <w:tcW w:w="1495" w:type="dxa"/>
            <w:tcBorders>
              <w:top w:val="nil"/>
              <w:left w:val="nil"/>
              <w:bottom w:val="single" w:sz="8" w:space="0" w:color="auto"/>
              <w:right w:val="nil"/>
            </w:tcBorders>
            <w:shd w:val="clear" w:color="auto" w:fill="auto"/>
            <w:noWrap/>
            <w:vAlign w:val="center"/>
            <w:hideMark/>
          </w:tcPr>
          <w:p w14:paraId="650357D5" w14:textId="77777777" w:rsidR="00846D07" w:rsidRPr="00772AC2" w:rsidRDefault="00846D07" w:rsidP="0022057B">
            <w:pPr>
              <w:spacing w:before="0" w:after="0" w:line="240" w:lineRule="auto"/>
              <w:jc w:val="left"/>
              <w:rPr>
                <w:rFonts w:eastAsia="Times New Roman" w:cs="Arial"/>
                <w:b/>
                <w:color w:val="000000"/>
                <w:sz w:val="20"/>
                <w:szCs w:val="16"/>
                <w:lang w:eastAsia="es-ES"/>
              </w:rPr>
            </w:pPr>
            <w:r w:rsidRPr="00772AC2">
              <w:rPr>
                <w:rFonts w:eastAsia="Times New Roman" w:cs="Arial"/>
                <w:b/>
                <w:color w:val="000000"/>
                <w:sz w:val="20"/>
                <w:szCs w:val="16"/>
                <w:lang w:eastAsia="es-ES"/>
              </w:rPr>
              <w:t>Sustainability aspect</w:t>
            </w:r>
          </w:p>
        </w:tc>
        <w:tc>
          <w:tcPr>
            <w:tcW w:w="1797" w:type="dxa"/>
            <w:tcBorders>
              <w:top w:val="nil"/>
              <w:left w:val="nil"/>
              <w:bottom w:val="single" w:sz="8" w:space="0" w:color="auto"/>
              <w:right w:val="nil"/>
            </w:tcBorders>
            <w:shd w:val="clear" w:color="auto" w:fill="auto"/>
            <w:noWrap/>
            <w:vAlign w:val="center"/>
            <w:hideMark/>
          </w:tcPr>
          <w:p w14:paraId="4C4D634A" w14:textId="77777777" w:rsidR="00846D07" w:rsidRPr="00772AC2" w:rsidRDefault="00846D07" w:rsidP="0022057B">
            <w:pPr>
              <w:spacing w:before="0" w:after="0" w:line="240" w:lineRule="auto"/>
              <w:jc w:val="left"/>
              <w:rPr>
                <w:rFonts w:eastAsia="Times New Roman" w:cs="Arial"/>
                <w:b/>
                <w:color w:val="000000"/>
                <w:sz w:val="20"/>
                <w:szCs w:val="16"/>
                <w:lang w:eastAsia="es-ES"/>
              </w:rPr>
            </w:pPr>
            <w:r w:rsidRPr="00772AC2">
              <w:rPr>
                <w:rFonts w:eastAsia="Times New Roman" w:cs="Arial"/>
                <w:b/>
                <w:color w:val="000000"/>
                <w:sz w:val="20"/>
                <w:szCs w:val="16"/>
                <w:lang w:eastAsia="es-ES"/>
              </w:rPr>
              <w:t>Indicators</w:t>
            </w:r>
          </w:p>
        </w:tc>
        <w:tc>
          <w:tcPr>
            <w:tcW w:w="1244" w:type="dxa"/>
            <w:tcBorders>
              <w:top w:val="nil"/>
              <w:left w:val="nil"/>
              <w:bottom w:val="single" w:sz="8" w:space="0" w:color="auto"/>
              <w:right w:val="nil"/>
            </w:tcBorders>
            <w:shd w:val="clear" w:color="auto" w:fill="auto"/>
            <w:noWrap/>
            <w:vAlign w:val="center"/>
            <w:hideMark/>
          </w:tcPr>
          <w:p w14:paraId="4FE6F0B6" w14:textId="77777777" w:rsidR="00846D07" w:rsidRPr="00772AC2" w:rsidRDefault="00846D07" w:rsidP="0022057B">
            <w:pPr>
              <w:spacing w:before="0" w:after="0" w:line="240" w:lineRule="auto"/>
              <w:jc w:val="left"/>
              <w:rPr>
                <w:rFonts w:eastAsia="Times New Roman" w:cs="Arial"/>
                <w:b/>
                <w:color w:val="000000"/>
                <w:sz w:val="20"/>
                <w:szCs w:val="16"/>
                <w:lang w:eastAsia="es-ES"/>
              </w:rPr>
            </w:pPr>
            <w:r w:rsidRPr="00772AC2">
              <w:rPr>
                <w:rFonts w:eastAsia="Times New Roman" w:cs="Arial"/>
                <w:b/>
                <w:color w:val="000000"/>
                <w:sz w:val="20"/>
                <w:szCs w:val="16"/>
                <w:lang w:eastAsia="es-ES"/>
              </w:rPr>
              <w:t xml:space="preserve">Folder </w:t>
            </w:r>
          </w:p>
        </w:tc>
        <w:tc>
          <w:tcPr>
            <w:tcW w:w="5182" w:type="dxa"/>
            <w:gridSpan w:val="2"/>
            <w:tcBorders>
              <w:top w:val="nil"/>
              <w:left w:val="nil"/>
              <w:bottom w:val="single" w:sz="8" w:space="0" w:color="auto"/>
              <w:right w:val="nil"/>
            </w:tcBorders>
            <w:shd w:val="clear" w:color="auto" w:fill="auto"/>
            <w:noWrap/>
            <w:vAlign w:val="center"/>
            <w:hideMark/>
          </w:tcPr>
          <w:p w14:paraId="69AD665C" w14:textId="77777777" w:rsidR="00846D07" w:rsidRPr="00772AC2" w:rsidRDefault="00846D07" w:rsidP="0022057B">
            <w:pPr>
              <w:spacing w:before="0" w:after="0" w:line="240" w:lineRule="auto"/>
              <w:jc w:val="left"/>
              <w:rPr>
                <w:rFonts w:eastAsia="Times New Roman" w:cs="Arial"/>
                <w:b/>
                <w:color w:val="000000"/>
                <w:sz w:val="20"/>
                <w:szCs w:val="16"/>
                <w:lang w:eastAsia="es-ES"/>
              </w:rPr>
            </w:pPr>
            <w:r w:rsidRPr="00772AC2">
              <w:rPr>
                <w:rFonts w:eastAsia="Times New Roman" w:cs="Arial"/>
                <w:b/>
                <w:color w:val="000000"/>
                <w:sz w:val="20"/>
                <w:szCs w:val="16"/>
                <w:lang w:eastAsia="es-ES"/>
              </w:rPr>
              <w:t xml:space="preserve">Eurostat related dataset </w:t>
            </w:r>
          </w:p>
        </w:tc>
        <w:tc>
          <w:tcPr>
            <w:tcW w:w="1585" w:type="dxa"/>
            <w:tcBorders>
              <w:top w:val="nil"/>
              <w:left w:val="nil"/>
              <w:bottom w:val="single" w:sz="8" w:space="0" w:color="auto"/>
              <w:right w:val="nil"/>
            </w:tcBorders>
            <w:shd w:val="clear" w:color="auto" w:fill="auto"/>
            <w:noWrap/>
            <w:vAlign w:val="center"/>
            <w:hideMark/>
          </w:tcPr>
          <w:p w14:paraId="3C3CB502" w14:textId="77777777" w:rsidR="00846D07" w:rsidRPr="00772AC2" w:rsidRDefault="00846D07" w:rsidP="0022057B">
            <w:pPr>
              <w:spacing w:before="0" w:after="0" w:line="240" w:lineRule="auto"/>
              <w:jc w:val="left"/>
              <w:rPr>
                <w:rFonts w:eastAsia="Times New Roman" w:cs="Arial"/>
                <w:b/>
                <w:color w:val="000000"/>
                <w:sz w:val="20"/>
                <w:szCs w:val="16"/>
                <w:lang w:eastAsia="es-ES"/>
              </w:rPr>
            </w:pPr>
            <w:r w:rsidRPr="00772AC2">
              <w:rPr>
                <w:rFonts w:eastAsia="Times New Roman" w:cs="Arial"/>
                <w:b/>
                <w:color w:val="000000"/>
                <w:sz w:val="20"/>
                <w:szCs w:val="16"/>
                <w:lang w:eastAsia="es-ES"/>
              </w:rPr>
              <w:t>Eurostat code</w:t>
            </w:r>
          </w:p>
        </w:tc>
        <w:tc>
          <w:tcPr>
            <w:tcW w:w="1827" w:type="dxa"/>
            <w:tcBorders>
              <w:top w:val="nil"/>
              <w:left w:val="nil"/>
              <w:bottom w:val="single" w:sz="8" w:space="0" w:color="auto"/>
              <w:right w:val="nil"/>
            </w:tcBorders>
            <w:shd w:val="clear" w:color="auto" w:fill="auto"/>
            <w:vAlign w:val="center"/>
            <w:hideMark/>
          </w:tcPr>
          <w:p w14:paraId="7FF8E28B" w14:textId="77777777" w:rsidR="00846D07" w:rsidRPr="00772AC2" w:rsidRDefault="00846D07" w:rsidP="0022057B">
            <w:pPr>
              <w:spacing w:before="0" w:after="0" w:line="240" w:lineRule="auto"/>
              <w:jc w:val="left"/>
              <w:rPr>
                <w:rFonts w:eastAsia="Times New Roman" w:cs="Arial"/>
                <w:b/>
                <w:color w:val="000000"/>
                <w:sz w:val="20"/>
                <w:szCs w:val="16"/>
                <w:lang w:eastAsia="es-ES"/>
              </w:rPr>
            </w:pPr>
            <w:r w:rsidRPr="00772AC2">
              <w:rPr>
                <w:rFonts w:eastAsia="Times New Roman" w:cs="Arial"/>
                <w:b/>
                <w:color w:val="000000"/>
                <w:sz w:val="20"/>
                <w:szCs w:val="16"/>
                <w:lang w:eastAsia="es-ES"/>
              </w:rPr>
              <w:t>Variable of interest</w:t>
            </w:r>
          </w:p>
        </w:tc>
        <w:tc>
          <w:tcPr>
            <w:tcW w:w="1252" w:type="dxa"/>
            <w:tcBorders>
              <w:top w:val="nil"/>
              <w:left w:val="nil"/>
              <w:bottom w:val="single" w:sz="8" w:space="0" w:color="auto"/>
              <w:right w:val="nil"/>
            </w:tcBorders>
            <w:shd w:val="clear" w:color="auto" w:fill="auto"/>
            <w:noWrap/>
            <w:vAlign w:val="center"/>
            <w:hideMark/>
          </w:tcPr>
          <w:p w14:paraId="0A17E004" w14:textId="77777777" w:rsidR="00846D07" w:rsidRPr="00772AC2" w:rsidRDefault="00846D07" w:rsidP="0022057B">
            <w:pPr>
              <w:spacing w:before="0" w:after="0" w:line="240" w:lineRule="auto"/>
              <w:jc w:val="left"/>
              <w:rPr>
                <w:rFonts w:eastAsia="Times New Roman" w:cs="Arial"/>
                <w:b/>
                <w:color w:val="000000"/>
                <w:sz w:val="20"/>
                <w:szCs w:val="16"/>
                <w:lang w:eastAsia="es-ES"/>
              </w:rPr>
            </w:pPr>
            <w:r w:rsidRPr="00772AC2">
              <w:rPr>
                <w:rFonts w:eastAsia="Times New Roman" w:cs="Arial"/>
                <w:b/>
                <w:color w:val="000000"/>
                <w:sz w:val="20"/>
                <w:szCs w:val="16"/>
                <w:lang w:eastAsia="es-ES"/>
              </w:rPr>
              <w:t>Variable code</w:t>
            </w:r>
          </w:p>
        </w:tc>
      </w:tr>
      <w:tr w:rsidR="00846D07" w:rsidRPr="00772AC2" w14:paraId="07DBC288" w14:textId="77777777" w:rsidTr="0022057B">
        <w:trPr>
          <w:trHeight w:val="386"/>
        </w:trPr>
        <w:tc>
          <w:tcPr>
            <w:tcW w:w="1495" w:type="dxa"/>
            <w:vMerge w:val="restart"/>
            <w:tcBorders>
              <w:top w:val="nil"/>
              <w:left w:val="nil"/>
              <w:right w:val="nil"/>
            </w:tcBorders>
            <w:shd w:val="clear" w:color="auto" w:fill="auto"/>
            <w:noWrap/>
            <w:vAlign w:val="center"/>
            <w:hideMark/>
          </w:tcPr>
          <w:p w14:paraId="167FEBB8"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Financial</w:t>
            </w:r>
          </w:p>
          <w:p w14:paraId="4482BF3F"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val="restart"/>
            <w:tcBorders>
              <w:top w:val="single" w:sz="8" w:space="0" w:color="auto"/>
              <w:left w:val="nil"/>
              <w:right w:val="nil"/>
            </w:tcBorders>
            <w:shd w:val="clear" w:color="auto" w:fill="auto"/>
            <w:vAlign w:val="center"/>
            <w:hideMark/>
          </w:tcPr>
          <w:p w14:paraId="66EF9FB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(Costs) Implementation plan</w:t>
            </w:r>
          </w:p>
        </w:tc>
        <w:tc>
          <w:tcPr>
            <w:tcW w:w="1386" w:type="dxa"/>
            <w:gridSpan w:val="2"/>
            <w:vMerge w:val="restart"/>
            <w:tcBorders>
              <w:top w:val="single" w:sz="8" w:space="0" w:color="auto"/>
              <w:left w:val="nil"/>
              <w:right w:val="nil"/>
            </w:tcBorders>
            <w:shd w:val="clear" w:color="auto" w:fill="auto"/>
            <w:noWrap/>
            <w:vAlign w:val="center"/>
            <w:hideMark/>
          </w:tcPr>
          <w:p w14:paraId="11CF026E"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xml:space="preserve">forestry (for) </w:t>
            </w:r>
          </w:p>
        </w:tc>
        <w:tc>
          <w:tcPr>
            <w:tcW w:w="5040" w:type="dxa"/>
            <w:vMerge w:val="restart"/>
            <w:tcBorders>
              <w:top w:val="single" w:sz="8" w:space="0" w:color="auto"/>
              <w:left w:val="nil"/>
              <w:right w:val="nil"/>
            </w:tcBorders>
            <w:shd w:val="clear" w:color="auto" w:fill="auto"/>
            <w:vAlign w:val="center"/>
            <w:hideMark/>
          </w:tcPr>
          <w:p w14:paraId="4D9CEC5C"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xml:space="preserve">Economic aggregates of forestry </w:t>
            </w:r>
          </w:p>
        </w:tc>
        <w:tc>
          <w:tcPr>
            <w:tcW w:w="1585" w:type="dxa"/>
            <w:vMerge w:val="restart"/>
            <w:tcBorders>
              <w:top w:val="single" w:sz="8" w:space="0" w:color="auto"/>
              <w:left w:val="nil"/>
              <w:right w:val="nil"/>
            </w:tcBorders>
            <w:shd w:val="clear" w:color="auto" w:fill="auto"/>
            <w:noWrap/>
            <w:vAlign w:val="center"/>
            <w:hideMark/>
          </w:tcPr>
          <w:p w14:paraId="18245A52" w14:textId="77777777" w:rsidR="00846D07" w:rsidRPr="00772AC2" w:rsidRDefault="00846D07" w:rsidP="0022057B">
            <w:pPr>
              <w:spacing w:before="0" w:after="0" w:line="240" w:lineRule="auto"/>
              <w:jc w:val="left"/>
              <w:rPr>
                <w:rFonts w:eastAsia="Times New Roman" w:cs="Arial"/>
                <w:color w:val="000000"/>
                <w:sz w:val="18"/>
                <w:szCs w:val="16"/>
                <w:lang w:eastAsia="es-ES"/>
              </w:rPr>
            </w:pPr>
            <w:proofErr w:type="spellStart"/>
            <w:r w:rsidRPr="00772AC2">
              <w:rPr>
                <w:rFonts w:eastAsia="Times New Roman" w:cs="Arial"/>
                <w:color w:val="000000"/>
                <w:sz w:val="18"/>
                <w:szCs w:val="16"/>
                <w:lang w:eastAsia="es-ES"/>
              </w:rPr>
              <w:t>for_eco_cp</w:t>
            </w:r>
            <w:proofErr w:type="spellEnd"/>
            <w:r w:rsidRPr="00772AC2">
              <w:rPr>
                <w:rFonts w:eastAsia="Times New Roman" w:cs="Arial"/>
                <w:color w:val="000000"/>
                <w:sz w:val="18"/>
                <w:szCs w:val="16"/>
                <w:lang w:eastAsia="es-ES"/>
              </w:rPr>
              <w:t xml:space="preserve"> </w:t>
            </w:r>
          </w:p>
        </w:tc>
        <w:tc>
          <w:tcPr>
            <w:tcW w:w="1827" w:type="dxa"/>
            <w:tcBorders>
              <w:top w:val="single" w:sz="8" w:space="0" w:color="auto"/>
              <w:left w:val="nil"/>
              <w:bottom w:val="nil"/>
              <w:right w:val="nil"/>
            </w:tcBorders>
            <w:shd w:val="clear" w:color="auto" w:fill="auto"/>
            <w:vAlign w:val="center"/>
            <w:hideMark/>
          </w:tcPr>
          <w:p w14:paraId="45A9A78C"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Other gross fixed capital formation</w:t>
            </w:r>
          </w:p>
        </w:tc>
        <w:tc>
          <w:tcPr>
            <w:tcW w:w="1252" w:type="dxa"/>
            <w:tcBorders>
              <w:top w:val="single" w:sz="8" w:space="0" w:color="auto"/>
              <w:left w:val="nil"/>
              <w:bottom w:val="nil"/>
              <w:right w:val="nil"/>
            </w:tcBorders>
            <w:shd w:val="clear" w:color="auto" w:fill="auto"/>
            <w:noWrap/>
            <w:vAlign w:val="bottom"/>
            <w:hideMark/>
          </w:tcPr>
          <w:p w14:paraId="188D82B3"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r>
      <w:tr w:rsidR="00846D07" w:rsidRPr="00772AC2" w14:paraId="6750EA18" w14:textId="77777777" w:rsidTr="0022057B">
        <w:trPr>
          <w:trHeight w:val="386"/>
        </w:trPr>
        <w:tc>
          <w:tcPr>
            <w:tcW w:w="1495" w:type="dxa"/>
            <w:vMerge/>
            <w:tcBorders>
              <w:left w:val="nil"/>
              <w:right w:val="nil"/>
            </w:tcBorders>
            <w:shd w:val="clear" w:color="auto" w:fill="auto"/>
            <w:noWrap/>
            <w:vAlign w:val="center"/>
            <w:hideMark/>
          </w:tcPr>
          <w:p w14:paraId="14C2830C"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tcBorders>
              <w:left w:val="nil"/>
              <w:right w:val="nil"/>
            </w:tcBorders>
            <w:shd w:val="clear" w:color="auto" w:fill="auto"/>
            <w:vAlign w:val="center"/>
            <w:hideMark/>
          </w:tcPr>
          <w:p w14:paraId="052A1A36"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vMerge/>
            <w:tcBorders>
              <w:left w:val="nil"/>
              <w:right w:val="nil"/>
            </w:tcBorders>
            <w:shd w:val="clear" w:color="auto" w:fill="auto"/>
            <w:noWrap/>
            <w:vAlign w:val="bottom"/>
            <w:hideMark/>
          </w:tcPr>
          <w:p w14:paraId="3B3C3B98"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vMerge/>
            <w:tcBorders>
              <w:left w:val="nil"/>
              <w:right w:val="nil"/>
            </w:tcBorders>
            <w:shd w:val="clear" w:color="auto" w:fill="auto"/>
            <w:vAlign w:val="center"/>
            <w:hideMark/>
          </w:tcPr>
          <w:p w14:paraId="10C715FB"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585" w:type="dxa"/>
            <w:vMerge/>
            <w:tcBorders>
              <w:left w:val="nil"/>
              <w:right w:val="nil"/>
            </w:tcBorders>
            <w:shd w:val="clear" w:color="auto" w:fill="auto"/>
            <w:noWrap/>
            <w:vAlign w:val="center"/>
            <w:hideMark/>
          </w:tcPr>
          <w:p w14:paraId="40A2F6E8"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827" w:type="dxa"/>
            <w:tcBorders>
              <w:top w:val="nil"/>
              <w:left w:val="nil"/>
              <w:bottom w:val="nil"/>
              <w:right w:val="nil"/>
            </w:tcBorders>
            <w:shd w:val="clear" w:color="auto" w:fill="auto"/>
            <w:vAlign w:val="center"/>
            <w:hideMark/>
          </w:tcPr>
          <w:p w14:paraId="46E6E903"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GFCF - equipment and buildings</w:t>
            </w:r>
          </w:p>
        </w:tc>
        <w:tc>
          <w:tcPr>
            <w:tcW w:w="1252" w:type="dxa"/>
            <w:tcBorders>
              <w:top w:val="nil"/>
              <w:left w:val="nil"/>
              <w:bottom w:val="nil"/>
              <w:right w:val="nil"/>
            </w:tcBorders>
            <w:shd w:val="clear" w:color="auto" w:fill="auto"/>
            <w:noWrap/>
            <w:vAlign w:val="center"/>
            <w:hideMark/>
          </w:tcPr>
          <w:p w14:paraId="238603EA"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P51G_EQBL</w:t>
            </w:r>
          </w:p>
        </w:tc>
      </w:tr>
      <w:tr w:rsidR="00846D07" w:rsidRPr="00772AC2" w14:paraId="01F477FD" w14:textId="77777777" w:rsidTr="0022057B">
        <w:trPr>
          <w:trHeight w:val="386"/>
        </w:trPr>
        <w:tc>
          <w:tcPr>
            <w:tcW w:w="1495" w:type="dxa"/>
            <w:vMerge/>
            <w:tcBorders>
              <w:left w:val="nil"/>
              <w:right w:val="nil"/>
            </w:tcBorders>
            <w:shd w:val="clear" w:color="auto" w:fill="auto"/>
            <w:noWrap/>
            <w:vAlign w:val="center"/>
            <w:hideMark/>
          </w:tcPr>
          <w:p w14:paraId="26317C81"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tcBorders>
              <w:left w:val="nil"/>
              <w:bottom w:val="single" w:sz="4" w:space="0" w:color="auto"/>
              <w:right w:val="nil"/>
            </w:tcBorders>
            <w:shd w:val="clear" w:color="auto" w:fill="auto"/>
            <w:vAlign w:val="center"/>
            <w:hideMark/>
          </w:tcPr>
          <w:p w14:paraId="538215E9"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vMerge/>
            <w:tcBorders>
              <w:left w:val="nil"/>
              <w:bottom w:val="single" w:sz="4" w:space="0" w:color="auto"/>
              <w:right w:val="nil"/>
            </w:tcBorders>
            <w:shd w:val="clear" w:color="auto" w:fill="auto"/>
            <w:noWrap/>
            <w:vAlign w:val="bottom"/>
            <w:hideMark/>
          </w:tcPr>
          <w:p w14:paraId="408F7C90"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vMerge/>
            <w:tcBorders>
              <w:left w:val="nil"/>
              <w:bottom w:val="single" w:sz="4" w:space="0" w:color="auto"/>
              <w:right w:val="nil"/>
            </w:tcBorders>
            <w:shd w:val="clear" w:color="auto" w:fill="auto"/>
            <w:vAlign w:val="center"/>
            <w:hideMark/>
          </w:tcPr>
          <w:p w14:paraId="5BAA6FE3"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585" w:type="dxa"/>
            <w:vMerge/>
            <w:tcBorders>
              <w:left w:val="nil"/>
              <w:bottom w:val="single" w:sz="4" w:space="0" w:color="auto"/>
              <w:right w:val="nil"/>
            </w:tcBorders>
            <w:shd w:val="clear" w:color="auto" w:fill="auto"/>
            <w:noWrap/>
            <w:vAlign w:val="center"/>
            <w:hideMark/>
          </w:tcPr>
          <w:p w14:paraId="34932D8F"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827" w:type="dxa"/>
            <w:tcBorders>
              <w:top w:val="nil"/>
              <w:left w:val="nil"/>
              <w:bottom w:val="single" w:sz="4" w:space="0" w:color="auto"/>
              <w:right w:val="nil"/>
            </w:tcBorders>
            <w:shd w:val="clear" w:color="auto" w:fill="auto"/>
            <w:vAlign w:val="center"/>
            <w:hideMark/>
          </w:tcPr>
          <w:p w14:paraId="0D47957A"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GFCF - planting of trees for regular income</w:t>
            </w:r>
          </w:p>
        </w:tc>
        <w:tc>
          <w:tcPr>
            <w:tcW w:w="1252" w:type="dxa"/>
            <w:tcBorders>
              <w:top w:val="nil"/>
              <w:left w:val="nil"/>
              <w:bottom w:val="single" w:sz="4" w:space="0" w:color="auto"/>
              <w:right w:val="nil"/>
            </w:tcBorders>
            <w:shd w:val="clear" w:color="auto" w:fill="auto"/>
            <w:noWrap/>
            <w:vAlign w:val="center"/>
            <w:hideMark/>
          </w:tcPr>
          <w:p w14:paraId="0E3E2A9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P51G_PTR</w:t>
            </w:r>
          </w:p>
        </w:tc>
      </w:tr>
      <w:tr w:rsidR="00846D07" w:rsidRPr="00772AC2" w14:paraId="159CFCF3" w14:textId="77777777" w:rsidTr="0022057B">
        <w:trPr>
          <w:trHeight w:val="386"/>
        </w:trPr>
        <w:tc>
          <w:tcPr>
            <w:tcW w:w="1495" w:type="dxa"/>
            <w:vMerge/>
            <w:tcBorders>
              <w:left w:val="nil"/>
              <w:right w:val="nil"/>
            </w:tcBorders>
            <w:shd w:val="clear" w:color="auto" w:fill="auto"/>
            <w:noWrap/>
            <w:vAlign w:val="center"/>
            <w:hideMark/>
          </w:tcPr>
          <w:p w14:paraId="1AABE0EE"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single" w:sz="4" w:space="0" w:color="auto"/>
              <w:left w:val="nil"/>
              <w:bottom w:val="nil"/>
              <w:right w:val="nil"/>
            </w:tcBorders>
            <w:shd w:val="clear" w:color="auto" w:fill="auto"/>
            <w:vAlign w:val="center"/>
            <w:hideMark/>
          </w:tcPr>
          <w:p w14:paraId="4EE0D0E5"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xml:space="preserve">(Costs) Permissions </w:t>
            </w:r>
          </w:p>
        </w:tc>
        <w:tc>
          <w:tcPr>
            <w:tcW w:w="11090" w:type="dxa"/>
            <w:gridSpan w:val="6"/>
            <w:vMerge w:val="restart"/>
            <w:tcBorders>
              <w:top w:val="single" w:sz="4" w:space="0" w:color="auto"/>
              <w:left w:val="nil"/>
              <w:right w:val="nil"/>
            </w:tcBorders>
            <w:shd w:val="clear" w:color="auto" w:fill="auto"/>
            <w:noWrap/>
            <w:vAlign w:val="center"/>
            <w:hideMark/>
          </w:tcPr>
          <w:p w14:paraId="21BAC825" w14:textId="77777777" w:rsidR="00846D07" w:rsidRPr="00772AC2" w:rsidRDefault="00846D07" w:rsidP="0022057B">
            <w:pPr>
              <w:spacing w:before="0" w:after="0" w:line="240" w:lineRule="auto"/>
              <w:jc w:val="center"/>
              <w:rPr>
                <w:rFonts w:eastAsia="Times New Roman" w:cs="Arial"/>
                <w:sz w:val="18"/>
                <w:szCs w:val="16"/>
                <w:lang w:eastAsia="es-ES"/>
              </w:rPr>
            </w:pPr>
            <w:r>
              <w:rPr>
                <w:rFonts w:eastAsia="Times New Roman" w:cs="Arial"/>
                <w:sz w:val="18"/>
                <w:szCs w:val="16"/>
                <w:lang w:eastAsia="es-ES"/>
              </w:rPr>
              <w:t>Not found</w:t>
            </w:r>
          </w:p>
        </w:tc>
      </w:tr>
      <w:tr w:rsidR="00846D07" w:rsidRPr="00772AC2" w14:paraId="5DECB809" w14:textId="77777777" w:rsidTr="0022057B">
        <w:trPr>
          <w:trHeight w:val="386"/>
        </w:trPr>
        <w:tc>
          <w:tcPr>
            <w:tcW w:w="1495" w:type="dxa"/>
            <w:vMerge/>
            <w:tcBorders>
              <w:left w:val="nil"/>
              <w:right w:val="nil"/>
            </w:tcBorders>
            <w:shd w:val="clear" w:color="auto" w:fill="auto"/>
            <w:noWrap/>
            <w:vAlign w:val="center"/>
            <w:hideMark/>
          </w:tcPr>
          <w:p w14:paraId="42A0B105"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single" w:sz="4" w:space="0" w:color="auto"/>
              <w:right w:val="nil"/>
            </w:tcBorders>
            <w:shd w:val="clear" w:color="auto" w:fill="auto"/>
            <w:vAlign w:val="center"/>
            <w:hideMark/>
          </w:tcPr>
          <w:p w14:paraId="29B3F63E"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(Costs) Accreditation</w:t>
            </w:r>
          </w:p>
        </w:tc>
        <w:tc>
          <w:tcPr>
            <w:tcW w:w="11090" w:type="dxa"/>
            <w:gridSpan w:val="6"/>
            <w:vMerge/>
            <w:tcBorders>
              <w:left w:val="nil"/>
              <w:bottom w:val="single" w:sz="4" w:space="0" w:color="auto"/>
              <w:right w:val="nil"/>
            </w:tcBorders>
            <w:shd w:val="clear" w:color="auto" w:fill="auto"/>
            <w:noWrap/>
            <w:vAlign w:val="bottom"/>
            <w:hideMark/>
          </w:tcPr>
          <w:p w14:paraId="77FA71CD"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6BE65BF1" w14:textId="77777777" w:rsidTr="0022057B">
        <w:trPr>
          <w:trHeight w:val="386"/>
        </w:trPr>
        <w:tc>
          <w:tcPr>
            <w:tcW w:w="1495" w:type="dxa"/>
            <w:vMerge/>
            <w:tcBorders>
              <w:left w:val="nil"/>
              <w:right w:val="nil"/>
            </w:tcBorders>
            <w:shd w:val="clear" w:color="auto" w:fill="auto"/>
            <w:noWrap/>
            <w:vAlign w:val="center"/>
            <w:hideMark/>
          </w:tcPr>
          <w:p w14:paraId="5D5D2721"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single" w:sz="4" w:space="0" w:color="auto"/>
              <w:left w:val="nil"/>
              <w:bottom w:val="nil"/>
              <w:right w:val="nil"/>
            </w:tcBorders>
            <w:shd w:val="clear" w:color="auto" w:fill="auto"/>
            <w:vAlign w:val="center"/>
            <w:hideMark/>
          </w:tcPr>
          <w:p w14:paraId="59B31279"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(Costs) Land acquisition</w:t>
            </w:r>
          </w:p>
        </w:tc>
        <w:tc>
          <w:tcPr>
            <w:tcW w:w="1386" w:type="dxa"/>
            <w:gridSpan w:val="2"/>
            <w:tcBorders>
              <w:top w:val="single" w:sz="4" w:space="0" w:color="auto"/>
              <w:left w:val="nil"/>
              <w:bottom w:val="nil"/>
              <w:right w:val="nil"/>
            </w:tcBorders>
            <w:shd w:val="clear" w:color="auto" w:fill="auto"/>
            <w:noWrap/>
            <w:vAlign w:val="bottom"/>
            <w:hideMark/>
          </w:tcPr>
          <w:p w14:paraId="45D8A4F7"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tcBorders>
              <w:top w:val="single" w:sz="4" w:space="0" w:color="auto"/>
              <w:left w:val="nil"/>
              <w:bottom w:val="nil"/>
              <w:right w:val="nil"/>
            </w:tcBorders>
            <w:shd w:val="clear" w:color="auto" w:fill="auto"/>
            <w:vAlign w:val="center"/>
            <w:hideMark/>
          </w:tcPr>
          <w:p w14:paraId="233D7EFC"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Economic accounts for forestry - values at current prices</w:t>
            </w:r>
          </w:p>
        </w:tc>
        <w:tc>
          <w:tcPr>
            <w:tcW w:w="1585" w:type="dxa"/>
            <w:tcBorders>
              <w:top w:val="single" w:sz="4" w:space="0" w:color="auto"/>
              <w:left w:val="nil"/>
              <w:bottom w:val="nil"/>
              <w:right w:val="nil"/>
            </w:tcBorders>
            <w:shd w:val="clear" w:color="auto" w:fill="auto"/>
            <w:noWrap/>
            <w:vAlign w:val="center"/>
            <w:hideMark/>
          </w:tcPr>
          <w:p w14:paraId="093D4891"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for_eaf01</w:t>
            </w:r>
          </w:p>
        </w:tc>
        <w:tc>
          <w:tcPr>
            <w:tcW w:w="1827" w:type="dxa"/>
            <w:tcBorders>
              <w:top w:val="single" w:sz="4" w:space="0" w:color="auto"/>
              <w:left w:val="nil"/>
              <w:bottom w:val="nil"/>
              <w:right w:val="nil"/>
            </w:tcBorders>
            <w:shd w:val="clear" w:color="auto" w:fill="auto"/>
            <w:vAlign w:val="center"/>
            <w:hideMark/>
          </w:tcPr>
          <w:p w14:paraId="0F158CF0"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Costs linked to the purchase of land and production rights</w:t>
            </w:r>
          </w:p>
        </w:tc>
        <w:tc>
          <w:tcPr>
            <w:tcW w:w="1252" w:type="dxa"/>
            <w:tcBorders>
              <w:top w:val="single" w:sz="4" w:space="0" w:color="auto"/>
              <w:left w:val="nil"/>
              <w:bottom w:val="nil"/>
              <w:right w:val="nil"/>
            </w:tcBorders>
            <w:shd w:val="clear" w:color="auto" w:fill="auto"/>
            <w:noWrap/>
            <w:vAlign w:val="center"/>
            <w:hideMark/>
          </w:tcPr>
          <w:p w14:paraId="48CC97BF"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G_OCOS</w:t>
            </w:r>
          </w:p>
        </w:tc>
      </w:tr>
      <w:tr w:rsidR="00846D07" w:rsidRPr="00772AC2" w14:paraId="069FDC62" w14:textId="77777777" w:rsidTr="0022057B">
        <w:trPr>
          <w:trHeight w:val="386"/>
        </w:trPr>
        <w:tc>
          <w:tcPr>
            <w:tcW w:w="1495" w:type="dxa"/>
            <w:vMerge/>
            <w:tcBorders>
              <w:left w:val="nil"/>
              <w:right w:val="nil"/>
            </w:tcBorders>
            <w:shd w:val="clear" w:color="auto" w:fill="auto"/>
            <w:noWrap/>
            <w:vAlign w:val="center"/>
            <w:hideMark/>
          </w:tcPr>
          <w:p w14:paraId="7F62196B"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nil"/>
              <w:right w:val="nil"/>
            </w:tcBorders>
            <w:shd w:val="clear" w:color="auto" w:fill="auto"/>
            <w:vAlign w:val="center"/>
            <w:hideMark/>
          </w:tcPr>
          <w:p w14:paraId="71761B39"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tcBorders>
              <w:top w:val="nil"/>
              <w:left w:val="nil"/>
              <w:bottom w:val="nil"/>
              <w:right w:val="nil"/>
            </w:tcBorders>
            <w:shd w:val="clear" w:color="auto" w:fill="auto"/>
            <w:noWrap/>
            <w:vAlign w:val="bottom"/>
            <w:hideMark/>
          </w:tcPr>
          <w:p w14:paraId="5AFF5590"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forestry (for)</w:t>
            </w:r>
          </w:p>
        </w:tc>
        <w:tc>
          <w:tcPr>
            <w:tcW w:w="5040" w:type="dxa"/>
            <w:tcBorders>
              <w:top w:val="nil"/>
              <w:left w:val="nil"/>
              <w:bottom w:val="nil"/>
              <w:right w:val="nil"/>
            </w:tcBorders>
            <w:shd w:val="clear" w:color="auto" w:fill="auto"/>
            <w:vAlign w:val="center"/>
            <w:hideMark/>
          </w:tcPr>
          <w:p w14:paraId="108258E5"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Economic aggregates of forestry</w:t>
            </w:r>
          </w:p>
        </w:tc>
        <w:tc>
          <w:tcPr>
            <w:tcW w:w="1585" w:type="dxa"/>
            <w:tcBorders>
              <w:top w:val="nil"/>
              <w:left w:val="nil"/>
              <w:bottom w:val="nil"/>
              <w:right w:val="nil"/>
            </w:tcBorders>
            <w:shd w:val="clear" w:color="auto" w:fill="auto"/>
            <w:noWrap/>
            <w:vAlign w:val="center"/>
            <w:hideMark/>
          </w:tcPr>
          <w:p w14:paraId="73990C06" w14:textId="77777777" w:rsidR="00846D07" w:rsidRPr="00772AC2" w:rsidRDefault="00846D07" w:rsidP="0022057B">
            <w:pPr>
              <w:spacing w:before="0" w:after="0" w:line="240" w:lineRule="auto"/>
              <w:jc w:val="left"/>
              <w:rPr>
                <w:rFonts w:eastAsia="Times New Roman" w:cs="Arial"/>
                <w:color w:val="000000"/>
                <w:sz w:val="18"/>
                <w:szCs w:val="16"/>
                <w:lang w:eastAsia="es-ES"/>
              </w:rPr>
            </w:pPr>
            <w:proofErr w:type="spellStart"/>
            <w:r w:rsidRPr="00772AC2">
              <w:rPr>
                <w:rFonts w:eastAsia="Times New Roman" w:cs="Arial"/>
                <w:color w:val="000000"/>
                <w:sz w:val="18"/>
                <w:szCs w:val="16"/>
                <w:lang w:eastAsia="es-ES"/>
              </w:rPr>
              <w:t>for_eco_cp</w:t>
            </w:r>
            <w:proofErr w:type="spellEnd"/>
          </w:p>
        </w:tc>
        <w:tc>
          <w:tcPr>
            <w:tcW w:w="1827" w:type="dxa"/>
            <w:tcBorders>
              <w:top w:val="nil"/>
              <w:left w:val="nil"/>
              <w:bottom w:val="nil"/>
              <w:right w:val="nil"/>
            </w:tcBorders>
            <w:shd w:val="clear" w:color="auto" w:fill="auto"/>
            <w:vAlign w:val="center"/>
            <w:hideMark/>
          </w:tcPr>
          <w:p w14:paraId="516F4348"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Consumption of fixed capital</w:t>
            </w:r>
          </w:p>
        </w:tc>
        <w:tc>
          <w:tcPr>
            <w:tcW w:w="1252" w:type="dxa"/>
            <w:tcBorders>
              <w:top w:val="nil"/>
              <w:left w:val="nil"/>
              <w:bottom w:val="nil"/>
              <w:right w:val="nil"/>
            </w:tcBorders>
            <w:shd w:val="clear" w:color="auto" w:fill="auto"/>
            <w:noWrap/>
            <w:vAlign w:val="center"/>
            <w:hideMark/>
          </w:tcPr>
          <w:p w14:paraId="3474F9CC"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P51C</w:t>
            </w:r>
          </w:p>
        </w:tc>
      </w:tr>
      <w:tr w:rsidR="00846D07" w:rsidRPr="00772AC2" w14:paraId="4810BA54" w14:textId="77777777" w:rsidTr="0022057B">
        <w:trPr>
          <w:trHeight w:val="386"/>
        </w:trPr>
        <w:tc>
          <w:tcPr>
            <w:tcW w:w="1495" w:type="dxa"/>
            <w:vMerge/>
            <w:tcBorders>
              <w:left w:val="nil"/>
              <w:right w:val="nil"/>
            </w:tcBorders>
            <w:shd w:val="clear" w:color="auto" w:fill="auto"/>
            <w:noWrap/>
            <w:vAlign w:val="center"/>
            <w:hideMark/>
          </w:tcPr>
          <w:p w14:paraId="3DD643D7"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val="restart"/>
            <w:tcBorders>
              <w:top w:val="nil"/>
              <w:left w:val="nil"/>
              <w:right w:val="nil"/>
            </w:tcBorders>
            <w:shd w:val="clear" w:color="auto" w:fill="auto"/>
            <w:vAlign w:val="center"/>
            <w:hideMark/>
          </w:tcPr>
          <w:p w14:paraId="5FF5575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(Costs) Establishment Costs</w:t>
            </w:r>
          </w:p>
          <w:p w14:paraId="62245BFA"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tcBorders>
              <w:top w:val="nil"/>
              <w:left w:val="nil"/>
              <w:bottom w:val="nil"/>
              <w:right w:val="nil"/>
            </w:tcBorders>
            <w:shd w:val="clear" w:color="auto" w:fill="auto"/>
            <w:noWrap/>
            <w:vAlign w:val="bottom"/>
            <w:hideMark/>
          </w:tcPr>
          <w:p w14:paraId="27E96894"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vMerge w:val="restart"/>
            <w:tcBorders>
              <w:top w:val="nil"/>
              <w:left w:val="nil"/>
              <w:right w:val="nil"/>
            </w:tcBorders>
            <w:shd w:val="clear" w:color="auto" w:fill="auto"/>
            <w:vAlign w:val="center"/>
            <w:hideMark/>
          </w:tcPr>
          <w:p w14:paraId="405DB8AD"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Economic accounts for forestry - values at current prices</w:t>
            </w:r>
          </w:p>
        </w:tc>
        <w:tc>
          <w:tcPr>
            <w:tcW w:w="1585" w:type="dxa"/>
            <w:vMerge w:val="restart"/>
            <w:tcBorders>
              <w:top w:val="nil"/>
              <w:left w:val="nil"/>
              <w:right w:val="nil"/>
            </w:tcBorders>
            <w:shd w:val="clear" w:color="auto" w:fill="auto"/>
            <w:noWrap/>
            <w:vAlign w:val="center"/>
            <w:hideMark/>
          </w:tcPr>
          <w:p w14:paraId="6682A68D"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for_eaf01</w:t>
            </w:r>
          </w:p>
        </w:tc>
        <w:tc>
          <w:tcPr>
            <w:tcW w:w="1827" w:type="dxa"/>
            <w:tcBorders>
              <w:top w:val="nil"/>
              <w:left w:val="nil"/>
              <w:bottom w:val="nil"/>
              <w:right w:val="nil"/>
            </w:tcBorders>
            <w:shd w:val="clear" w:color="auto" w:fill="auto"/>
            <w:vAlign w:val="center"/>
            <w:hideMark/>
          </w:tcPr>
          <w:p w14:paraId="3D3C6A08"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Maintenance of materials</w:t>
            </w:r>
          </w:p>
        </w:tc>
        <w:tc>
          <w:tcPr>
            <w:tcW w:w="1252" w:type="dxa"/>
            <w:tcBorders>
              <w:top w:val="nil"/>
              <w:left w:val="nil"/>
              <w:bottom w:val="nil"/>
              <w:right w:val="nil"/>
            </w:tcBorders>
            <w:shd w:val="clear" w:color="auto" w:fill="auto"/>
            <w:noWrap/>
            <w:vAlign w:val="center"/>
            <w:hideMark/>
          </w:tcPr>
          <w:p w14:paraId="51BC8395"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C_MAT</w:t>
            </w:r>
          </w:p>
        </w:tc>
      </w:tr>
      <w:tr w:rsidR="00846D07" w:rsidRPr="00772AC2" w14:paraId="76066C0A" w14:textId="77777777" w:rsidTr="0022057B">
        <w:trPr>
          <w:trHeight w:val="386"/>
        </w:trPr>
        <w:tc>
          <w:tcPr>
            <w:tcW w:w="1495" w:type="dxa"/>
            <w:vMerge/>
            <w:tcBorders>
              <w:left w:val="nil"/>
              <w:right w:val="nil"/>
            </w:tcBorders>
            <w:shd w:val="clear" w:color="auto" w:fill="auto"/>
            <w:noWrap/>
            <w:vAlign w:val="center"/>
            <w:hideMark/>
          </w:tcPr>
          <w:p w14:paraId="44C90221"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tcBorders>
              <w:left w:val="nil"/>
              <w:right w:val="nil"/>
            </w:tcBorders>
            <w:shd w:val="clear" w:color="auto" w:fill="auto"/>
            <w:vAlign w:val="center"/>
            <w:hideMark/>
          </w:tcPr>
          <w:p w14:paraId="6E638F1E"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tcBorders>
              <w:top w:val="nil"/>
              <w:left w:val="nil"/>
              <w:bottom w:val="nil"/>
              <w:right w:val="nil"/>
            </w:tcBorders>
            <w:shd w:val="clear" w:color="auto" w:fill="auto"/>
            <w:noWrap/>
            <w:vAlign w:val="bottom"/>
            <w:hideMark/>
          </w:tcPr>
          <w:p w14:paraId="7C7657A6"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vMerge/>
            <w:tcBorders>
              <w:left w:val="nil"/>
              <w:bottom w:val="nil"/>
              <w:right w:val="nil"/>
            </w:tcBorders>
            <w:shd w:val="clear" w:color="auto" w:fill="auto"/>
            <w:vAlign w:val="center"/>
            <w:hideMark/>
          </w:tcPr>
          <w:p w14:paraId="630D6EEB"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585" w:type="dxa"/>
            <w:vMerge/>
            <w:tcBorders>
              <w:left w:val="nil"/>
              <w:bottom w:val="nil"/>
              <w:right w:val="nil"/>
            </w:tcBorders>
            <w:shd w:val="clear" w:color="auto" w:fill="auto"/>
            <w:noWrap/>
            <w:vAlign w:val="center"/>
            <w:hideMark/>
          </w:tcPr>
          <w:p w14:paraId="156511B4"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827" w:type="dxa"/>
            <w:tcBorders>
              <w:top w:val="nil"/>
              <w:left w:val="nil"/>
              <w:bottom w:val="nil"/>
              <w:right w:val="nil"/>
            </w:tcBorders>
            <w:shd w:val="clear" w:color="auto" w:fill="auto"/>
            <w:vAlign w:val="center"/>
            <w:hideMark/>
          </w:tcPr>
          <w:p w14:paraId="6164E22F"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Maintenance of buildings</w:t>
            </w:r>
          </w:p>
        </w:tc>
        <w:tc>
          <w:tcPr>
            <w:tcW w:w="1252" w:type="dxa"/>
            <w:tcBorders>
              <w:top w:val="nil"/>
              <w:left w:val="nil"/>
              <w:bottom w:val="nil"/>
              <w:right w:val="nil"/>
            </w:tcBorders>
            <w:shd w:val="clear" w:color="auto" w:fill="auto"/>
            <w:noWrap/>
            <w:vAlign w:val="center"/>
            <w:hideMark/>
          </w:tcPr>
          <w:p w14:paraId="7645FCF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C_BLD</w:t>
            </w:r>
          </w:p>
        </w:tc>
      </w:tr>
      <w:tr w:rsidR="00846D07" w:rsidRPr="00772AC2" w14:paraId="60FB5BC8" w14:textId="77777777" w:rsidTr="0022057B">
        <w:trPr>
          <w:trHeight w:val="386"/>
        </w:trPr>
        <w:tc>
          <w:tcPr>
            <w:tcW w:w="1495" w:type="dxa"/>
            <w:vMerge/>
            <w:tcBorders>
              <w:left w:val="nil"/>
              <w:right w:val="nil"/>
            </w:tcBorders>
            <w:shd w:val="clear" w:color="auto" w:fill="auto"/>
            <w:noWrap/>
            <w:vAlign w:val="center"/>
            <w:hideMark/>
          </w:tcPr>
          <w:p w14:paraId="6F6BB371"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tcBorders>
              <w:left w:val="nil"/>
              <w:bottom w:val="single" w:sz="4" w:space="0" w:color="auto"/>
              <w:right w:val="nil"/>
            </w:tcBorders>
            <w:shd w:val="clear" w:color="auto" w:fill="auto"/>
            <w:vAlign w:val="center"/>
            <w:hideMark/>
          </w:tcPr>
          <w:p w14:paraId="11CFE0FA"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tcBorders>
              <w:top w:val="nil"/>
              <w:left w:val="nil"/>
              <w:bottom w:val="single" w:sz="4" w:space="0" w:color="auto"/>
              <w:right w:val="nil"/>
            </w:tcBorders>
            <w:shd w:val="clear" w:color="auto" w:fill="auto"/>
            <w:noWrap/>
            <w:vAlign w:val="bottom"/>
            <w:hideMark/>
          </w:tcPr>
          <w:p w14:paraId="6EF6921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xml:space="preserve"> forestry (for)</w:t>
            </w:r>
          </w:p>
        </w:tc>
        <w:tc>
          <w:tcPr>
            <w:tcW w:w="5040" w:type="dxa"/>
            <w:tcBorders>
              <w:top w:val="nil"/>
              <w:left w:val="nil"/>
              <w:bottom w:val="single" w:sz="4" w:space="0" w:color="auto"/>
              <w:right w:val="nil"/>
            </w:tcBorders>
            <w:shd w:val="clear" w:color="auto" w:fill="auto"/>
            <w:vAlign w:val="center"/>
            <w:hideMark/>
          </w:tcPr>
          <w:p w14:paraId="044F49D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Economic aggregates of forestry</w:t>
            </w:r>
          </w:p>
        </w:tc>
        <w:tc>
          <w:tcPr>
            <w:tcW w:w="1585" w:type="dxa"/>
            <w:tcBorders>
              <w:top w:val="nil"/>
              <w:left w:val="nil"/>
              <w:bottom w:val="single" w:sz="4" w:space="0" w:color="auto"/>
              <w:right w:val="nil"/>
            </w:tcBorders>
            <w:shd w:val="clear" w:color="auto" w:fill="auto"/>
            <w:noWrap/>
            <w:vAlign w:val="center"/>
            <w:hideMark/>
          </w:tcPr>
          <w:p w14:paraId="70D04352" w14:textId="77777777" w:rsidR="00846D07" w:rsidRPr="00772AC2" w:rsidRDefault="00846D07" w:rsidP="0022057B">
            <w:pPr>
              <w:spacing w:before="0" w:after="0" w:line="240" w:lineRule="auto"/>
              <w:jc w:val="left"/>
              <w:rPr>
                <w:rFonts w:eastAsia="Times New Roman" w:cs="Arial"/>
                <w:color w:val="000000"/>
                <w:sz w:val="18"/>
                <w:szCs w:val="16"/>
                <w:lang w:eastAsia="es-ES"/>
              </w:rPr>
            </w:pPr>
            <w:proofErr w:type="spellStart"/>
            <w:r w:rsidRPr="00772AC2">
              <w:rPr>
                <w:rFonts w:eastAsia="Times New Roman" w:cs="Arial"/>
                <w:color w:val="000000"/>
                <w:sz w:val="18"/>
                <w:szCs w:val="16"/>
                <w:lang w:eastAsia="es-ES"/>
              </w:rPr>
              <w:t>for_eco_cp</w:t>
            </w:r>
            <w:proofErr w:type="spellEnd"/>
          </w:p>
        </w:tc>
        <w:tc>
          <w:tcPr>
            <w:tcW w:w="1827" w:type="dxa"/>
            <w:tcBorders>
              <w:top w:val="nil"/>
              <w:left w:val="nil"/>
              <w:bottom w:val="single" w:sz="4" w:space="0" w:color="auto"/>
              <w:right w:val="nil"/>
            </w:tcBorders>
            <w:shd w:val="clear" w:color="auto" w:fill="auto"/>
            <w:vAlign w:val="center"/>
            <w:hideMark/>
          </w:tcPr>
          <w:p w14:paraId="00B3A3EB"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Compensation of employees</w:t>
            </w:r>
          </w:p>
        </w:tc>
        <w:tc>
          <w:tcPr>
            <w:tcW w:w="1252" w:type="dxa"/>
            <w:tcBorders>
              <w:top w:val="nil"/>
              <w:left w:val="nil"/>
              <w:bottom w:val="single" w:sz="4" w:space="0" w:color="auto"/>
              <w:right w:val="nil"/>
            </w:tcBorders>
            <w:shd w:val="clear" w:color="auto" w:fill="auto"/>
            <w:noWrap/>
            <w:vAlign w:val="center"/>
            <w:hideMark/>
          </w:tcPr>
          <w:p w14:paraId="06A41D0E"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D1</w:t>
            </w:r>
          </w:p>
        </w:tc>
      </w:tr>
      <w:tr w:rsidR="00846D07" w:rsidRPr="00772AC2" w14:paraId="019B402B" w14:textId="77777777" w:rsidTr="0022057B">
        <w:trPr>
          <w:trHeight w:val="386"/>
        </w:trPr>
        <w:tc>
          <w:tcPr>
            <w:tcW w:w="1495" w:type="dxa"/>
            <w:vMerge/>
            <w:tcBorders>
              <w:left w:val="nil"/>
              <w:right w:val="nil"/>
            </w:tcBorders>
            <w:shd w:val="clear" w:color="auto" w:fill="auto"/>
            <w:noWrap/>
            <w:vAlign w:val="center"/>
            <w:hideMark/>
          </w:tcPr>
          <w:p w14:paraId="25FCE7C0"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single" w:sz="4" w:space="0" w:color="auto"/>
              <w:left w:val="nil"/>
              <w:bottom w:val="single" w:sz="4" w:space="0" w:color="auto"/>
              <w:right w:val="nil"/>
            </w:tcBorders>
            <w:shd w:val="clear" w:color="auto" w:fill="auto"/>
            <w:vAlign w:val="center"/>
            <w:hideMark/>
          </w:tcPr>
          <w:p w14:paraId="72536E0A"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(Income) tCO2 e Price</w:t>
            </w:r>
          </w:p>
        </w:tc>
        <w:tc>
          <w:tcPr>
            <w:tcW w:w="11090" w:type="dxa"/>
            <w:gridSpan w:val="6"/>
            <w:tcBorders>
              <w:top w:val="single" w:sz="4" w:space="0" w:color="auto"/>
              <w:left w:val="nil"/>
              <w:bottom w:val="single" w:sz="4" w:space="0" w:color="auto"/>
              <w:right w:val="nil"/>
            </w:tcBorders>
            <w:shd w:val="clear" w:color="auto" w:fill="auto"/>
            <w:noWrap/>
            <w:vAlign w:val="center"/>
            <w:hideMark/>
          </w:tcPr>
          <w:p w14:paraId="05B165CE" w14:textId="77777777" w:rsidR="00846D07" w:rsidRPr="00772AC2" w:rsidRDefault="00846D07" w:rsidP="0022057B">
            <w:pPr>
              <w:spacing w:before="0" w:after="0" w:line="240" w:lineRule="auto"/>
              <w:jc w:val="center"/>
              <w:rPr>
                <w:rFonts w:eastAsia="Times New Roman" w:cs="Arial"/>
                <w:sz w:val="18"/>
                <w:szCs w:val="16"/>
                <w:lang w:eastAsia="es-ES"/>
              </w:rPr>
            </w:pPr>
            <w:r>
              <w:rPr>
                <w:rFonts w:eastAsia="Times New Roman" w:cs="Arial"/>
                <w:sz w:val="18"/>
                <w:szCs w:val="16"/>
                <w:lang w:eastAsia="es-ES"/>
              </w:rPr>
              <w:t>Not found</w:t>
            </w:r>
            <w:r w:rsidRPr="00772AC2">
              <w:rPr>
                <w:rFonts w:eastAsia="Times New Roman" w:cs="Arial"/>
                <w:sz w:val="18"/>
                <w:szCs w:val="16"/>
                <w:lang w:eastAsia="es-ES"/>
              </w:rPr>
              <w:t xml:space="preserve"> -</w:t>
            </w:r>
          </w:p>
        </w:tc>
      </w:tr>
      <w:tr w:rsidR="00846D07" w:rsidRPr="00772AC2" w14:paraId="4E2BE2FD" w14:textId="77777777" w:rsidTr="0022057B">
        <w:trPr>
          <w:trHeight w:val="386"/>
        </w:trPr>
        <w:tc>
          <w:tcPr>
            <w:tcW w:w="1495" w:type="dxa"/>
            <w:vMerge/>
            <w:tcBorders>
              <w:left w:val="nil"/>
              <w:right w:val="nil"/>
            </w:tcBorders>
            <w:shd w:val="clear" w:color="auto" w:fill="auto"/>
            <w:noWrap/>
            <w:vAlign w:val="center"/>
            <w:hideMark/>
          </w:tcPr>
          <w:p w14:paraId="3BF96B2B"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single" w:sz="4" w:space="0" w:color="auto"/>
              <w:left w:val="nil"/>
              <w:bottom w:val="single" w:sz="4" w:space="0" w:color="auto"/>
              <w:right w:val="nil"/>
            </w:tcBorders>
            <w:shd w:val="clear" w:color="auto" w:fill="auto"/>
            <w:vAlign w:val="center"/>
            <w:hideMark/>
          </w:tcPr>
          <w:p w14:paraId="6A911747"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xml:space="preserve">(Income) </w:t>
            </w:r>
            <w:proofErr w:type="gramStart"/>
            <w:r w:rsidRPr="00772AC2">
              <w:rPr>
                <w:rFonts w:eastAsia="Times New Roman" w:cs="Arial"/>
                <w:color w:val="000000"/>
                <w:sz w:val="18"/>
                <w:szCs w:val="16"/>
                <w:lang w:eastAsia="es-ES"/>
              </w:rPr>
              <w:t>Non Wood</w:t>
            </w:r>
            <w:proofErr w:type="gramEnd"/>
            <w:r w:rsidRPr="00772AC2">
              <w:rPr>
                <w:rFonts w:eastAsia="Times New Roman" w:cs="Arial"/>
                <w:color w:val="000000"/>
                <w:sz w:val="18"/>
                <w:szCs w:val="16"/>
                <w:lang w:eastAsia="es-ES"/>
              </w:rPr>
              <w:t xml:space="preserve"> Products</w:t>
            </w:r>
          </w:p>
        </w:tc>
        <w:tc>
          <w:tcPr>
            <w:tcW w:w="1386" w:type="dxa"/>
            <w:gridSpan w:val="2"/>
            <w:tcBorders>
              <w:top w:val="single" w:sz="4" w:space="0" w:color="auto"/>
              <w:left w:val="nil"/>
              <w:bottom w:val="single" w:sz="4" w:space="0" w:color="auto"/>
              <w:right w:val="nil"/>
            </w:tcBorders>
            <w:shd w:val="clear" w:color="auto" w:fill="auto"/>
            <w:noWrap/>
            <w:vAlign w:val="bottom"/>
            <w:hideMark/>
          </w:tcPr>
          <w:p w14:paraId="5B36EF1C"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tcBorders>
              <w:top w:val="single" w:sz="4" w:space="0" w:color="auto"/>
              <w:left w:val="nil"/>
              <w:bottom w:val="single" w:sz="4" w:space="0" w:color="auto"/>
              <w:right w:val="nil"/>
            </w:tcBorders>
            <w:shd w:val="clear" w:color="auto" w:fill="auto"/>
            <w:vAlign w:val="center"/>
            <w:hideMark/>
          </w:tcPr>
          <w:p w14:paraId="657FE9B9"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Supply and use of products within forestry </w:t>
            </w:r>
          </w:p>
        </w:tc>
        <w:tc>
          <w:tcPr>
            <w:tcW w:w="1585" w:type="dxa"/>
            <w:tcBorders>
              <w:top w:val="single" w:sz="4" w:space="0" w:color="auto"/>
              <w:left w:val="nil"/>
              <w:bottom w:val="single" w:sz="4" w:space="0" w:color="auto"/>
              <w:right w:val="nil"/>
            </w:tcBorders>
            <w:shd w:val="clear" w:color="auto" w:fill="auto"/>
            <w:noWrap/>
            <w:vAlign w:val="center"/>
            <w:hideMark/>
          </w:tcPr>
          <w:p w14:paraId="77365544" w14:textId="77777777" w:rsidR="00846D07" w:rsidRPr="00772AC2" w:rsidRDefault="00846D07" w:rsidP="0022057B">
            <w:pPr>
              <w:spacing w:before="0" w:after="0" w:line="240" w:lineRule="auto"/>
              <w:jc w:val="left"/>
              <w:rPr>
                <w:rFonts w:eastAsia="Times New Roman" w:cs="Arial"/>
                <w:color w:val="000000"/>
                <w:sz w:val="18"/>
                <w:szCs w:val="16"/>
                <w:lang w:eastAsia="es-ES"/>
              </w:rPr>
            </w:pPr>
            <w:proofErr w:type="spellStart"/>
            <w:r w:rsidRPr="00772AC2">
              <w:rPr>
                <w:rFonts w:eastAsia="Times New Roman" w:cs="Arial"/>
                <w:color w:val="000000"/>
                <w:sz w:val="18"/>
                <w:szCs w:val="16"/>
                <w:lang w:eastAsia="es-ES"/>
              </w:rPr>
              <w:t>for_sup_cp</w:t>
            </w:r>
            <w:proofErr w:type="spellEnd"/>
          </w:p>
        </w:tc>
        <w:tc>
          <w:tcPr>
            <w:tcW w:w="1827" w:type="dxa"/>
            <w:tcBorders>
              <w:top w:val="single" w:sz="4" w:space="0" w:color="auto"/>
              <w:left w:val="nil"/>
              <w:bottom w:val="single" w:sz="4" w:space="0" w:color="auto"/>
              <w:right w:val="nil"/>
            </w:tcBorders>
            <w:shd w:val="clear" w:color="auto" w:fill="auto"/>
            <w:vAlign w:val="center"/>
            <w:hideMark/>
          </w:tcPr>
          <w:p w14:paraId="7A720397"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Non-wood products</w:t>
            </w:r>
          </w:p>
        </w:tc>
        <w:tc>
          <w:tcPr>
            <w:tcW w:w="1252" w:type="dxa"/>
            <w:tcBorders>
              <w:top w:val="single" w:sz="4" w:space="0" w:color="auto"/>
              <w:left w:val="nil"/>
              <w:bottom w:val="single" w:sz="4" w:space="0" w:color="auto"/>
              <w:right w:val="nil"/>
            </w:tcBorders>
            <w:shd w:val="clear" w:color="auto" w:fill="auto"/>
            <w:noWrap/>
            <w:vAlign w:val="center"/>
            <w:hideMark/>
          </w:tcPr>
          <w:p w14:paraId="0300BBA9"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P1_NW</w:t>
            </w:r>
          </w:p>
        </w:tc>
      </w:tr>
      <w:tr w:rsidR="00846D07" w:rsidRPr="00772AC2" w14:paraId="376511CC" w14:textId="77777777" w:rsidTr="0022057B">
        <w:trPr>
          <w:trHeight w:val="386"/>
        </w:trPr>
        <w:tc>
          <w:tcPr>
            <w:tcW w:w="1495" w:type="dxa"/>
            <w:vMerge/>
            <w:tcBorders>
              <w:left w:val="nil"/>
              <w:right w:val="nil"/>
            </w:tcBorders>
            <w:shd w:val="clear" w:color="auto" w:fill="auto"/>
            <w:noWrap/>
            <w:vAlign w:val="center"/>
            <w:hideMark/>
          </w:tcPr>
          <w:p w14:paraId="04AFDE48"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val="restart"/>
            <w:tcBorders>
              <w:top w:val="single" w:sz="4" w:space="0" w:color="auto"/>
              <w:left w:val="nil"/>
              <w:right w:val="nil"/>
            </w:tcBorders>
            <w:shd w:val="clear" w:color="auto" w:fill="auto"/>
            <w:vAlign w:val="center"/>
            <w:hideMark/>
          </w:tcPr>
          <w:p w14:paraId="69EF1684"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(Income) Social services</w:t>
            </w:r>
          </w:p>
        </w:tc>
        <w:tc>
          <w:tcPr>
            <w:tcW w:w="1386" w:type="dxa"/>
            <w:gridSpan w:val="2"/>
            <w:vMerge w:val="restart"/>
            <w:tcBorders>
              <w:top w:val="single" w:sz="4" w:space="0" w:color="auto"/>
              <w:left w:val="nil"/>
              <w:right w:val="nil"/>
            </w:tcBorders>
            <w:shd w:val="clear" w:color="auto" w:fill="auto"/>
            <w:noWrap/>
            <w:vAlign w:val="bottom"/>
            <w:hideMark/>
          </w:tcPr>
          <w:p w14:paraId="143FC629" w14:textId="77777777" w:rsidR="00846D07" w:rsidRPr="00772AC2" w:rsidRDefault="00846D07" w:rsidP="0022057B">
            <w:pPr>
              <w:spacing w:before="0" w:after="0" w:line="240" w:lineRule="auto"/>
              <w:rPr>
                <w:rFonts w:eastAsia="Times New Roman" w:cs="Arial"/>
                <w:color w:val="000000"/>
                <w:sz w:val="18"/>
                <w:szCs w:val="16"/>
                <w:lang w:eastAsia="es-ES"/>
              </w:rPr>
            </w:pPr>
          </w:p>
        </w:tc>
        <w:tc>
          <w:tcPr>
            <w:tcW w:w="5040" w:type="dxa"/>
            <w:vMerge w:val="restart"/>
            <w:tcBorders>
              <w:top w:val="single" w:sz="4" w:space="0" w:color="auto"/>
              <w:left w:val="nil"/>
              <w:right w:val="nil"/>
            </w:tcBorders>
            <w:shd w:val="clear" w:color="auto" w:fill="auto"/>
            <w:vAlign w:val="center"/>
            <w:hideMark/>
          </w:tcPr>
          <w:p w14:paraId="6DA1BE33"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Economic accounts for forestry - indices: volume, price, values</w:t>
            </w:r>
          </w:p>
        </w:tc>
        <w:tc>
          <w:tcPr>
            <w:tcW w:w="1585" w:type="dxa"/>
            <w:vMerge w:val="restart"/>
            <w:tcBorders>
              <w:top w:val="single" w:sz="4" w:space="0" w:color="auto"/>
              <w:left w:val="nil"/>
              <w:right w:val="nil"/>
            </w:tcBorders>
            <w:shd w:val="clear" w:color="auto" w:fill="auto"/>
            <w:noWrap/>
            <w:vAlign w:val="center"/>
            <w:hideMark/>
          </w:tcPr>
          <w:p w14:paraId="710AAA47"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for_eaf04</w:t>
            </w:r>
          </w:p>
        </w:tc>
        <w:tc>
          <w:tcPr>
            <w:tcW w:w="1827" w:type="dxa"/>
            <w:tcBorders>
              <w:top w:val="single" w:sz="4" w:space="0" w:color="auto"/>
              <w:left w:val="nil"/>
              <w:bottom w:val="nil"/>
              <w:right w:val="nil"/>
            </w:tcBorders>
            <w:shd w:val="clear" w:color="auto" w:fill="auto"/>
            <w:vAlign w:val="center"/>
            <w:hideMark/>
          </w:tcPr>
          <w:p w14:paraId="41335A75"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Forestry services output</w:t>
            </w:r>
          </w:p>
        </w:tc>
        <w:tc>
          <w:tcPr>
            <w:tcW w:w="1252" w:type="dxa"/>
            <w:tcBorders>
              <w:top w:val="single" w:sz="4" w:space="0" w:color="auto"/>
              <w:left w:val="nil"/>
              <w:bottom w:val="nil"/>
              <w:right w:val="nil"/>
            </w:tcBorders>
            <w:shd w:val="clear" w:color="auto" w:fill="auto"/>
            <w:noWrap/>
            <w:vAlign w:val="center"/>
            <w:hideMark/>
          </w:tcPr>
          <w:p w14:paraId="6A220D4C"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O_SER</w:t>
            </w:r>
          </w:p>
        </w:tc>
      </w:tr>
      <w:tr w:rsidR="00846D07" w:rsidRPr="00772AC2" w14:paraId="4BE96EF5" w14:textId="77777777" w:rsidTr="0022057B">
        <w:trPr>
          <w:trHeight w:val="386"/>
        </w:trPr>
        <w:tc>
          <w:tcPr>
            <w:tcW w:w="1495" w:type="dxa"/>
            <w:vMerge/>
            <w:tcBorders>
              <w:left w:val="nil"/>
              <w:right w:val="nil"/>
            </w:tcBorders>
            <w:shd w:val="clear" w:color="auto" w:fill="auto"/>
            <w:noWrap/>
            <w:vAlign w:val="center"/>
            <w:hideMark/>
          </w:tcPr>
          <w:p w14:paraId="3B689C3F"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tcBorders>
              <w:left w:val="nil"/>
              <w:right w:val="nil"/>
            </w:tcBorders>
            <w:shd w:val="clear" w:color="auto" w:fill="auto"/>
            <w:vAlign w:val="center"/>
            <w:hideMark/>
          </w:tcPr>
          <w:p w14:paraId="373EEE42"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vMerge/>
            <w:tcBorders>
              <w:left w:val="nil"/>
              <w:right w:val="nil"/>
            </w:tcBorders>
            <w:shd w:val="clear" w:color="auto" w:fill="auto"/>
            <w:noWrap/>
            <w:vAlign w:val="bottom"/>
            <w:hideMark/>
          </w:tcPr>
          <w:p w14:paraId="04473DDC"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vMerge/>
            <w:tcBorders>
              <w:left w:val="nil"/>
              <w:right w:val="nil"/>
            </w:tcBorders>
            <w:shd w:val="clear" w:color="auto" w:fill="auto"/>
            <w:vAlign w:val="center"/>
            <w:hideMark/>
          </w:tcPr>
          <w:p w14:paraId="3C1CD945"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585" w:type="dxa"/>
            <w:vMerge/>
            <w:tcBorders>
              <w:left w:val="nil"/>
              <w:right w:val="nil"/>
            </w:tcBorders>
            <w:shd w:val="clear" w:color="auto" w:fill="auto"/>
            <w:noWrap/>
            <w:vAlign w:val="center"/>
            <w:hideMark/>
          </w:tcPr>
          <w:p w14:paraId="39C7F652"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827" w:type="dxa"/>
            <w:tcBorders>
              <w:top w:val="nil"/>
              <w:left w:val="nil"/>
              <w:bottom w:val="nil"/>
              <w:right w:val="nil"/>
            </w:tcBorders>
            <w:shd w:val="clear" w:color="auto" w:fill="auto"/>
            <w:vAlign w:val="center"/>
            <w:hideMark/>
          </w:tcPr>
          <w:p w14:paraId="474181DA"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Forestry services</w:t>
            </w:r>
          </w:p>
        </w:tc>
        <w:tc>
          <w:tcPr>
            <w:tcW w:w="1252" w:type="dxa"/>
            <w:tcBorders>
              <w:top w:val="nil"/>
              <w:left w:val="nil"/>
              <w:bottom w:val="nil"/>
              <w:right w:val="nil"/>
            </w:tcBorders>
            <w:shd w:val="clear" w:color="auto" w:fill="auto"/>
            <w:noWrap/>
            <w:vAlign w:val="center"/>
            <w:hideMark/>
          </w:tcPr>
          <w:p w14:paraId="371F6EC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C_SER</w:t>
            </w:r>
          </w:p>
        </w:tc>
      </w:tr>
      <w:tr w:rsidR="00846D07" w:rsidRPr="00772AC2" w14:paraId="3705BDC8" w14:textId="77777777" w:rsidTr="0022057B">
        <w:trPr>
          <w:trHeight w:val="386"/>
        </w:trPr>
        <w:tc>
          <w:tcPr>
            <w:tcW w:w="1495" w:type="dxa"/>
            <w:vMerge/>
            <w:tcBorders>
              <w:left w:val="nil"/>
              <w:right w:val="nil"/>
            </w:tcBorders>
            <w:shd w:val="clear" w:color="auto" w:fill="auto"/>
            <w:noWrap/>
            <w:vAlign w:val="center"/>
            <w:hideMark/>
          </w:tcPr>
          <w:p w14:paraId="55527C5A"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tcBorders>
              <w:left w:val="nil"/>
              <w:bottom w:val="single" w:sz="4" w:space="0" w:color="auto"/>
              <w:right w:val="nil"/>
            </w:tcBorders>
            <w:shd w:val="clear" w:color="auto" w:fill="auto"/>
            <w:vAlign w:val="center"/>
            <w:hideMark/>
          </w:tcPr>
          <w:p w14:paraId="5879703F"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vMerge/>
            <w:tcBorders>
              <w:left w:val="nil"/>
              <w:bottom w:val="single" w:sz="4" w:space="0" w:color="auto"/>
              <w:right w:val="nil"/>
            </w:tcBorders>
            <w:shd w:val="clear" w:color="auto" w:fill="auto"/>
            <w:noWrap/>
            <w:vAlign w:val="bottom"/>
            <w:hideMark/>
          </w:tcPr>
          <w:p w14:paraId="45D3FBC6"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vMerge/>
            <w:tcBorders>
              <w:left w:val="nil"/>
              <w:bottom w:val="single" w:sz="4" w:space="0" w:color="auto"/>
              <w:right w:val="nil"/>
            </w:tcBorders>
            <w:shd w:val="clear" w:color="auto" w:fill="auto"/>
            <w:vAlign w:val="center"/>
            <w:hideMark/>
          </w:tcPr>
          <w:p w14:paraId="706EC16E"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585" w:type="dxa"/>
            <w:vMerge/>
            <w:tcBorders>
              <w:left w:val="nil"/>
              <w:bottom w:val="single" w:sz="4" w:space="0" w:color="auto"/>
              <w:right w:val="nil"/>
            </w:tcBorders>
            <w:shd w:val="clear" w:color="auto" w:fill="auto"/>
            <w:noWrap/>
            <w:vAlign w:val="center"/>
            <w:hideMark/>
          </w:tcPr>
          <w:p w14:paraId="63FF8561"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827" w:type="dxa"/>
            <w:tcBorders>
              <w:top w:val="nil"/>
              <w:left w:val="nil"/>
              <w:bottom w:val="single" w:sz="4" w:space="0" w:color="auto"/>
              <w:right w:val="nil"/>
            </w:tcBorders>
            <w:shd w:val="clear" w:color="auto" w:fill="auto"/>
            <w:vAlign w:val="center"/>
            <w:hideMark/>
          </w:tcPr>
          <w:p w14:paraId="5CACD425"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Other goods and services</w:t>
            </w:r>
          </w:p>
        </w:tc>
        <w:tc>
          <w:tcPr>
            <w:tcW w:w="1252" w:type="dxa"/>
            <w:tcBorders>
              <w:top w:val="nil"/>
              <w:left w:val="nil"/>
              <w:bottom w:val="single" w:sz="4" w:space="0" w:color="auto"/>
              <w:right w:val="nil"/>
            </w:tcBorders>
            <w:shd w:val="clear" w:color="auto" w:fill="auto"/>
            <w:noWrap/>
            <w:vAlign w:val="center"/>
            <w:hideMark/>
          </w:tcPr>
          <w:p w14:paraId="6D537D95"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C_OTH</w:t>
            </w:r>
          </w:p>
        </w:tc>
      </w:tr>
      <w:tr w:rsidR="00846D07" w:rsidRPr="00772AC2" w14:paraId="028311A8" w14:textId="77777777" w:rsidTr="0022057B">
        <w:trPr>
          <w:trHeight w:val="386"/>
        </w:trPr>
        <w:tc>
          <w:tcPr>
            <w:tcW w:w="1495" w:type="dxa"/>
            <w:vMerge/>
            <w:tcBorders>
              <w:left w:val="nil"/>
              <w:right w:val="nil"/>
            </w:tcBorders>
            <w:shd w:val="clear" w:color="auto" w:fill="auto"/>
            <w:noWrap/>
            <w:vAlign w:val="center"/>
            <w:hideMark/>
          </w:tcPr>
          <w:p w14:paraId="724E76D9"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single" w:sz="4" w:space="0" w:color="auto"/>
              <w:left w:val="nil"/>
              <w:bottom w:val="nil"/>
              <w:right w:val="nil"/>
            </w:tcBorders>
            <w:shd w:val="clear" w:color="auto" w:fill="auto"/>
            <w:vAlign w:val="center"/>
            <w:hideMark/>
          </w:tcPr>
          <w:p w14:paraId="473250D4"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(Income) Ecological services</w:t>
            </w:r>
          </w:p>
        </w:tc>
        <w:tc>
          <w:tcPr>
            <w:tcW w:w="11090" w:type="dxa"/>
            <w:gridSpan w:val="6"/>
            <w:vMerge w:val="restart"/>
            <w:tcBorders>
              <w:top w:val="single" w:sz="4" w:space="0" w:color="auto"/>
              <w:left w:val="nil"/>
              <w:right w:val="nil"/>
            </w:tcBorders>
            <w:shd w:val="clear" w:color="auto" w:fill="auto"/>
            <w:noWrap/>
            <w:vAlign w:val="center"/>
            <w:hideMark/>
          </w:tcPr>
          <w:p w14:paraId="7053A15D" w14:textId="77777777" w:rsidR="00846D07" w:rsidRPr="00772AC2" w:rsidRDefault="00846D07" w:rsidP="0022057B">
            <w:pPr>
              <w:spacing w:before="0" w:after="0" w:line="240" w:lineRule="auto"/>
              <w:rPr>
                <w:rFonts w:eastAsia="Times New Roman" w:cs="Arial"/>
                <w:sz w:val="18"/>
                <w:szCs w:val="16"/>
                <w:lang w:eastAsia="es-ES"/>
              </w:rPr>
            </w:pPr>
          </w:p>
          <w:p w14:paraId="53627082" w14:textId="77777777" w:rsidR="00846D07" w:rsidRPr="00772AC2" w:rsidRDefault="00846D07" w:rsidP="0022057B">
            <w:pPr>
              <w:spacing w:before="0" w:after="0" w:line="240" w:lineRule="auto"/>
              <w:jc w:val="center"/>
              <w:rPr>
                <w:rFonts w:eastAsia="Times New Roman" w:cs="Arial"/>
                <w:sz w:val="18"/>
                <w:szCs w:val="16"/>
                <w:lang w:eastAsia="es-ES"/>
              </w:rPr>
            </w:pPr>
            <w:r>
              <w:rPr>
                <w:rFonts w:eastAsia="Times New Roman" w:cs="Arial"/>
                <w:sz w:val="18"/>
                <w:szCs w:val="16"/>
                <w:lang w:eastAsia="es-ES"/>
              </w:rPr>
              <w:t>Not found</w:t>
            </w:r>
          </w:p>
        </w:tc>
      </w:tr>
      <w:tr w:rsidR="00846D07" w:rsidRPr="00772AC2" w14:paraId="03F516DE" w14:textId="77777777" w:rsidTr="0022057B">
        <w:trPr>
          <w:trHeight w:val="386"/>
        </w:trPr>
        <w:tc>
          <w:tcPr>
            <w:tcW w:w="1495" w:type="dxa"/>
            <w:vMerge/>
            <w:tcBorders>
              <w:left w:val="nil"/>
              <w:right w:val="nil"/>
            </w:tcBorders>
            <w:shd w:val="clear" w:color="auto" w:fill="auto"/>
            <w:noWrap/>
            <w:vAlign w:val="center"/>
            <w:hideMark/>
          </w:tcPr>
          <w:p w14:paraId="7949191E"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nil"/>
              <w:right w:val="nil"/>
            </w:tcBorders>
            <w:shd w:val="clear" w:color="auto" w:fill="auto"/>
            <w:vAlign w:val="center"/>
            <w:hideMark/>
          </w:tcPr>
          <w:p w14:paraId="045591DC"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(Income) Biosphere services</w:t>
            </w:r>
          </w:p>
        </w:tc>
        <w:tc>
          <w:tcPr>
            <w:tcW w:w="11090" w:type="dxa"/>
            <w:gridSpan w:val="6"/>
            <w:vMerge/>
            <w:tcBorders>
              <w:left w:val="nil"/>
              <w:bottom w:val="nil"/>
              <w:right w:val="nil"/>
            </w:tcBorders>
            <w:shd w:val="clear" w:color="auto" w:fill="auto"/>
            <w:noWrap/>
            <w:vAlign w:val="bottom"/>
            <w:hideMark/>
          </w:tcPr>
          <w:p w14:paraId="61C95600"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53EC1FAC" w14:textId="77777777" w:rsidTr="0022057B">
        <w:trPr>
          <w:trHeight w:val="386"/>
        </w:trPr>
        <w:tc>
          <w:tcPr>
            <w:tcW w:w="1495" w:type="dxa"/>
            <w:vMerge/>
            <w:tcBorders>
              <w:left w:val="nil"/>
              <w:bottom w:val="single" w:sz="4" w:space="0" w:color="auto"/>
              <w:right w:val="nil"/>
            </w:tcBorders>
            <w:shd w:val="clear" w:color="auto" w:fill="auto"/>
            <w:noWrap/>
            <w:vAlign w:val="center"/>
            <w:hideMark/>
          </w:tcPr>
          <w:p w14:paraId="6C7B0675"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single" w:sz="4" w:space="0" w:color="auto"/>
              <w:right w:val="nil"/>
            </w:tcBorders>
            <w:shd w:val="clear" w:color="auto" w:fill="auto"/>
            <w:vAlign w:val="center"/>
            <w:hideMark/>
          </w:tcPr>
          <w:p w14:paraId="46B39F1B"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(Income) Other services</w:t>
            </w:r>
          </w:p>
        </w:tc>
        <w:tc>
          <w:tcPr>
            <w:tcW w:w="1386" w:type="dxa"/>
            <w:gridSpan w:val="2"/>
            <w:tcBorders>
              <w:top w:val="nil"/>
              <w:left w:val="nil"/>
              <w:bottom w:val="single" w:sz="4" w:space="0" w:color="auto"/>
              <w:right w:val="nil"/>
            </w:tcBorders>
            <w:shd w:val="clear" w:color="auto" w:fill="auto"/>
            <w:noWrap/>
            <w:vAlign w:val="bottom"/>
            <w:hideMark/>
          </w:tcPr>
          <w:p w14:paraId="73EB9829"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tcBorders>
              <w:top w:val="nil"/>
              <w:left w:val="nil"/>
              <w:bottom w:val="single" w:sz="4" w:space="0" w:color="auto"/>
              <w:right w:val="nil"/>
            </w:tcBorders>
            <w:shd w:val="clear" w:color="auto" w:fill="auto"/>
            <w:vAlign w:val="center"/>
            <w:hideMark/>
          </w:tcPr>
          <w:p w14:paraId="3039566E"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Telecommunication masts</w:t>
            </w:r>
          </w:p>
        </w:tc>
        <w:tc>
          <w:tcPr>
            <w:tcW w:w="1585" w:type="dxa"/>
            <w:tcBorders>
              <w:top w:val="nil"/>
              <w:left w:val="nil"/>
              <w:bottom w:val="single" w:sz="4" w:space="0" w:color="auto"/>
              <w:right w:val="nil"/>
            </w:tcBorders>
            <w:shd w:val="clear" w:color="auto" w:fill="auto"/>
            <w:noWrap/>
            <w:vAlign w:val="bottom"/>
            <w:hideMark/>
          </w:tcPr>
          <w:p w14:paraId="22B5856A"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827" w:type="dxa"/>
            <w:tcBorders>
              <w:top w:val="nil"/>
              <w:left w:val="nil"/>
              <w:bottom w:val="single" w:sz="4" w:space="0" w:color="auto"/>
              <w:right w:val="nil"/>
            </w:tcBorders>
            <w:shd w:val="clear" w:color="auto" w:fill="auto"/>
            <w:vAlign w:val="center"/>
            <w:hideMark/>
          </w:tcPr>
          <w:p w14:paraId="28CC09FA"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xml:space="preserve"> wind farms and electricity distribution among others.</w:t>
            </w:r>
          </w:p>
        </w:tc>
        <w:tc>
          <w:tcPr>
            <w:tcW w:w="1252" w:type="dxa"/>
            <w:tcBorders>
              <w:top w:val="nil"/>
              <w:left w:val="nil"/>
              <w:bottom w:val="single" w:sz="4" w:space="0" w:color="auto"/>
              <w:right w:val="nil"/>
            </w:tcBorders>
            <w:shd w:val="clear" w:color="auto" w:fill="auto"/>
            <w:noWrap/>
            <w:vAlign w:val="bottom"/>
            <w:hideMark/>
          </w:tcPr>
          <w:p w14:paraId="36A786D3"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r>
      <w:tr w:rsidR="00846D07" w:rsidRPr="00772AC2" w14:paraId="70D19A10" w14:textId="77777777" w:rsidTr="0022057B">
        <w:trPr>
          <w:trHeight w:val="386"/>
        </w:trPr>
        <w:tc>
          <w:tcPr>
            <w:tcW w:w="1495" w:type="dxa"/>
            <w:vMerge w:val="restart"/>
            <w:tcBorders>
              <w:top w:val="single" w:sz="4" w:space="0" w:color="auto"/>
              <w:left w:val="nil"/>
              <w:right w:val="nil"/>
            </w:tcBorders>
            <w:shd w:val="clear" w:color="auto" w:fill="auto"/>
            <w:noWrap/>
            <w:vAlign w:val="center"/>
            <w:hideMark/>
          </w:tcPr>
          <w:p w14:paraId="2487ED37"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Social</w:t>
            </w:r>
          </w:p>
        </w:tc>
        <w:tc>
          <w:tcPr>
            <w:tcW w:w="1797" w:type="dxa"/>
            <w:vMerge w:val="restart"/>
            <w:tcBorders>
              <w:top w:val="single" w:sz="4" w:space="0" w:color="auto"/>
              <w:left w:val="nil"/>
              <w:right w:val="nil"/>
            </w:tcBorders>
            <w:shd w:val="clear" w:color="auto" w:fill="auto"/>
            <w:vAlign w:val="center"/>
            <w:hideMark/>
          </w:tcPr>
          <w:p w14:paraId="0DA427C2"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Employment</w:t>
            </w:r>
          </w:p>
        </w:tc>
        <w:tc>
          <w:tcPr>
            <w:tcW w:w="1386" w:type="dxa"/>
            <w:gridSpan w:val="2"/>
            <w:vMerge w:val="restart"/>
            <w:tcBorders>
              <w:top w:val="single" w:sz="4" w:space="0" w:color="auto"/>
              <w:left w:val="nil"/>
              <w:right w:val="nil"/>
            </w:tcBorders>
            <w:shd w:val="clear" w:color="auto" w:fill="auto"/>
            <w:vAlign w:val="center"/>
            <w:hideMark/>
          </w:tcPr>
          <w:p w14:paraId="6D95E99B" w14:textId="77777777" w:rsidR="00846D07" w:rsidRPr="00772AC2" w:rsidRDefault="00846D07" w:rsidP="0022057B">
            <w:pPr>
              <w:spacing w:before="0" w:after="0" w:line="240" w:lineRule="auto"/>
              <w:jc w:val="left"/>
              <w:rPr>
                <w:rFonts w:eastAsia="Times New Roman" w:cs="Arial"/>
                <w:color w:val="000000"/>
                <w:sz w:val="18"/>
                <w:szCs w:val="16"/>
                <w:lang w:eastAsia="es-ES"/>
              </w:rPr>
            </w:pPr>
            <w:r>
              <w:rPr>
                <w:rFonts w:eastAsia="Times New Roman" w:cs="Arial"/>
                <w:color w:val="000000"/>
                <w:sz w:val="18"/>
                <w:szCs w:val="16"/>
                <w:lang w:eastAsia="es-ES"/>
              </w:rPr>
              <w:t>f</w:t>
            </w:r>
            <w:r w:rsidRPr="00772AC2">
              <w:rPr>
                <w:rFonts w:eastAsia="Times New Roman" w:cs="Arial"/>
                <w:color w:val="000000"/>
                <w:sz w:val="18"/>
                <w:szCs w:val="16"/>
                <w:lang w:eastAsia="es-ES"/>
              </w:rPr>
              <w:t xml:space="preserve">orestry (for) </w:t>
            </w:r>
          </w:p>
        </w:tc>
        <w:tc>
          <w:tcPr>
            <w:tcW w:w="5040" w:type="dxa"/>
            <w:tcBorders>
              <w:top w:val="single" w:sz="4" w:space="0" w:color="auto"/>
              <w:left w:val="nil"/>
              <w:bottom w:val="nil"/>
              <w:right w:val="nil"/>
            </w:tcBorders>
            <w:shd w:val="clear" w:color="auto" w:fill="auto"/>
            <w:vAlign w:val="center"/>
            <w:hideMark/>
          </w:tcPr>
          <w:p w14:paraId="2B2FDEFD"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Annual work units in forestry and logging </w:t>
            </w:r>
          </w:p>
        </w:tc>
        <w:tc>
          <w:tcPr>
            <w:tcW w:w="1585" w:type="dxa"/>
            <w:tcBorders>
              <w:top w:val="single" w:sz="4" w:space="0" w:color="auto"/>
              <w:left w:val="nil"/>
              <w:bottom w:val="nil"/>
              <w:right w:val="nil"/>
            </w:tcBorders>
            <w:shd w:val="clear" w:color="auto" w:fill="auto"/>
            <w:noWrap/>
            <w:vAlign w:val="center"/>
            <w:hideMark/>
          </w:tcPr>
          <w:p w14:paraId="668A572A" w14:textId="77777777" w:rsidR="00846D07" w:rsidRPr="00772AC2" w:rsidRDefault="00846D07" w:rsidP="0022057B">
            <w:pPr>
              <w:spacing w:before="0" w:after="0" w:line="240" w:lineRule="auto"/>
              <w:jc w:val="left"/>
              <w:rPr>
                <w:rFonts w:eastAsia="Times New Roman" w:cs="Arial"/>
                <w:color w:val="000000"/>
                <w:sz w:val="18"/>
                <w:szCs w:val="16"/>
                <w:lang w:eastAsia="es-ES"/>
              </w:rPr>
            </w:pPr>
            <w:proofErr w:type="spellStart"/>
            <w:r w:rsidRPr="00772AC2">
              <w:rPr>
                <w:rFonts w:eastAsia="Times New Roman" w:cs="Arial"/>
                <w:color w:val="000000"/>
                <w:sz w:val="18"/>
                <w:szCs w:val="16"/>
                <w:lang w:eastAsia="es-ES"/>
              </w:rPr>
              <w:t>for_awu</w:t>
            </w:r>
            <w:proofErr w:type="spellEnd"/>
          </w:p>
        </w:tc>
        <w:tc>
          <w:tcPr>
            <w:tcW w:w="1827" w:type="dxa"/>
            <w:tcBorders>
              <w:top w:val="single" w:sz="4" w:space="0" w:color="auto"/>
              <w:left w:val="nil"/>
              <w:bottom w:val="nil"/>
              <w:right w:val="nil"/>
            </w:tcBorders>
            <w:shd w:val="clear" w:color="auto" w:fill="auto"/>
            <w:vAlign w:val="bottom"/>
            <w:hideMark/>
          </w:tcPr>
          <w:p w14:paraId="643EDC7E"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252" w:type="dxa"/>
            <w:tcBorders>
              <w:top w:val="single" w:sz="4" w:space="0" w:color="auto"/>
              <w:left w:val="nil"/>
              <w:bottom w:val="nil"/>
              <w:right w:val="nil"/>
            </w:tcBorders>
            <w:shd w:val="clear" w:color="auto" w:fill="auto"/>
            <w:noWrap/>
            <w:vAlign w:val="bottom"/>
            <w:hideMark/>
          </w:tcPr>
          <w:p w14:paraId="5A9DBFBD"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09EB0450" w14:textId="77777777" w:rsidTr="0022057B">
        <w:trPr>
          <w:trHeight w:val="386"/>
        </w:trPr>
        <w:tc>
          <w:tcPr>
            <w:tcW w:w="1495" w:type="dxa"/>
            <w:vMerge/>
            <w:tcBorders>
              <w:left w:val="nil"/>
              <w:right w:val="nil"/>
            </w:tcBorders>
            <w:shd w:val="clear" w:color="auto" w:fill="auto"/>
            <w:noWrap/>
            <w:vAlign w:val="center"/>
            <w:hideMark/>
          </w:tcPr>
          <w:p w14:paraId="341040F0"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tcBorders>
              <w:left w:val="nil"/>
              <w:right w:val="nil"/>
            </w:tcBorders>
            <w:shd w:val="clear" w:color="auto" w:fill="auto"/>
            <w:vAlign w:val="center"/>
            <w:hideMark/>
          </w:tcPr>
          <w:p w14:paraId="6E980B08"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vMerge/>
            <w:tcBorders>
              <w:left w:val="nil"/>
              <w:right w:val="nil"/>
            </w:tcBorders>
            <w:shd w:val="clear" w:color="auto" w:fill="auto"/>
            <w:vAlign w:val="center"/>
            <w:hideMark/>
          </w:tcPr>
          <w:p w14:paraId="59EC158F"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tcBorders>
              <w:top w:val="nil"/>
              <w:left w:val="nil"/>
              <w:bottom w:val="nil"/>
              <w:right w:val="nil"/>
            </w:tcBorders>
            <w:shd w:val="clear" w:color="auto" w:fill="auto"/>
            <w:vAlign w:val="center"/>
            <w:hideMark/>
          </w:tcPr>
          <w:p w14:paraId="5103FF44"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Employment in forestry and forest-based industry </w:t>
            </w:r>
          </w:p>
        </w:tc>
        <w:tc>
          <w:tcPr>
            <w:tcW w:w="1585" w:type="dxa"/>
            <w:tcBorders>
              <w:top w:val="nil"/>
              <w:left w:val="nil"/>
              <w:bottom w:val="nil"/>
              <w:right w:val="nil"/>
            </w:tcBorders>
            <w:shd w:val="clear" w:color="auto" w:fill="auto"/>
            <w:noWrap/>
            <w:vAlign w:val="center"/>
            <w:hideMark/>
          </w:tcPr>
          <w:p w14:paraId="2164B842" w14:textId="77777777" w:rsidR="00846D07" w:rsidRPr="00772AC2" w:rsidRDefault="00846D07" w:rsidP="0022057B">
            <w:pPr>
              <w:spacing w:before="0" w:after="0" w:line="240" w:lineRule="auto"/>
              <w:jc w:val="left"/>
              <w:rPr>
                <w:rFonts w:eastAsia="Times New Roman" w:cs="Arial"/>
                <w:color w:val="000000"/>
                <w:sz w:val="18"/>
                <w:szCs w:val="16"/>
                <w:lang w:eastAsia="es-ES"/>
              </w:rPr>
            </w:pPr>
            <w:proofErr w:type="spellStart"/>
            <w:r w:rsidRPr="00772AC2">
              <w:rPr>
                <w:rFonts w:eastAsia="Times New Roman" w:cs="Arial"/>
                <w:color w:val="000000"/>
                <w:sz w:val="18"/>
                <w:szCs w:val="16"/>
                <w:lang w:eastAsia="es-ES"/>
              </w:rPr>
              <w:t>for_emp_lfs</w:t>
            </w:r>
            <w:proofErr w:type="spellEnd"/>
          </w:p>
        </w:tc>
        <w:tc>
          <w:tcPr>
            <w:tcW w:w="1827" w:type="dxa"/>
            <w:tcBorders>
              <w:top w:val="nil"/>
              <w:left w:val="nil"/>
              <w:bottom w:val="nil"/>
              <w:right w:val="nil"/>
            </w:tcBorders>
            <w:shd w:val="clear" w:color="auto" w:fill="auto"/>
            <w:vAlign w:val="bottom"/>
            <w:hideMark/>
          </w:tcPr>
          <w:p w14:paraId="2FFD8CAD"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252" w:type="dxa"/>
            <w:tcBorders>
              <w:top w:val="nil"/>
              <w:left w:val="nil"/>
              <w:bottom w:val="nil"/>
              <w:right w:val="nil"/>
            </w:tcBorders>
            <w:shd w:val="clear" w:color="auto" w:fill="auto"/>
            <w:noWrap/>
            <w:vAlign w:val="bottom"/>
            <w:hideMark/>
          </w:tcPr>
          <w:p w14:paraId="2D0A9460"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6D7AB5CF" w14:textId="77777777" w:rsidTr="0022057B">
        <w:trPr>
          <w:trHeight w:val="386"/>
        </w:trPr>
        <w:tc>
          <w:tcPr>
            <w:tcW w:w="1495" w:type="dxa"/>
            <w:vMerge/>
            <w:tcBorders>
              <w:left w:val="nil"/>
              <w:right w:val="nil"/>
            </w:tcBorders>
            <w:shd w:val="clear" w:color="auto" w:fill="auto"/>
            <w:noWrap/>
            <w:vAlign w:val="center"/>
            <w:hideMark/>
          </w:tcPr>
          <w:p w14:paraId="181137F3"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tcBorders>
              <w:left w:val="nil"/>
              <w:bottom w:val="single" w:sz="4" w:space="0" w:color="auto"/>
              <w:right w:val="nil"/>
            </w:tcBorders>
            <w:shd w:val="clear" w:color="auto" w:fill="auto"/>
            <w:vAlign w:val="center"/>
            <w:hideMark/>
          </w:tcPr>
          <w:p w14:paraId="679C124F"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vMerge/>
            <w:tcBorders>
              <w:left w:val="nil"/>
              <w:bottom w:val="single" w:sz="4" w:space="0" w:color="auto"/>
              <w:right w:val="nil"/>
            </w:tcBorders>
            <w:shd w:val="clear" w:color="auto" w:fill="auto"/>
            <w:vAlign w:val="center"/>
            <w:hideMark/>
          </w:tcPr>
          <w:p w14:paraId="697740E8"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tcBorders>
              <w:top w:val="nil"/>
              <w:left w:val="nil"/>
              <w:bottom w:val="single" w:sz="4" w:space="0" w:color="auto"/>
              <w:right w:val="nil"/>
            </w:tcBorders>
            <w:shd w:val="clear" w:color="auto" w:fill="auto"/>
            <w:vAlign w:val="center"/>
            <w:hideMark/>
          </w:tcPr>
          <w:p w14:paraId="1F01E6D0"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xml:space="preserve">Employment in forestry and forest-based industry - </w:t>
            </w:r>
            <w:proofErr w:type="spellStart"/>
            <w:r w:rsidRPr="00772AC2">
              <w:rPr>
                <w:rFonts w:eastAsia="Times New Roman" w:cs="Arial"/>
                <w:color w:val="000000"/>
                <w:sz w:val="18"/>
                <w:szCs w:val="16"/>
                <w:lang w:eastAsia="es-ES"/>
              </w:rPr>
              <w:t>Nace</w:t>
            </w:r>
            <w:proofErr w:type="spellEnd"/>
            <w:r w:rsidRPr="00772AC2">
              <w:rPr>
                <w:rFonts w:eastAsia="Times New Roman" w:cs="Arial"/>
                <w:color w:val="000000"/>
                <w:sz w:val="18"/>
                <w:szCs w:val="16"/>
                <w:lang w:eastAsia="es-ES"/>
              </w:rPr>
              <w:t xml:space="preserve"> Rev.1.1</w:t>
            </w:r>
          </w:p>
        </w:tc>
        <w:tc>
          <w:tcPr>
            <w:tcW w:w="1585" w:type="dxa"/>
            <w:tcBorders>
              <w:top w:val="nil"/>
              <w:left w:val="nil"/>
              <w:bottom w:val="single" w:sz="4" w:space="0" w:color="auto"/>
              <w:right w:val="nil"/>
            </w:tcBorders>
            <w:shd w:val="clear" w:color="auto" w:fill="auto"/>
            <w:noWrap/>
            <w:vAlign w:val="center"/>
            <w:hideMark/>
          </w:tcPr>
          <w:p w14:paraId="27008DEF"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for_emp_lfs1</w:t>
            </w:r>
          </w:p>
        </w:tc>
        <w:tc>
          <w:tcPr>
            <w:tcW w:w="1827" w:type="dxa"/>
            <w:tcBorders>
              <w:top w:val="nil"/>
              <w:left w:val="nil"/>
              <w:bottom w:val="single" w:sz="4" w:space="0" w:color="auto"/>
              <w:right w:val="nil"/>
            </w:tcBorders>
            <w:shd w:val="clear" w:color="auto" w:fill="auto"/>
            <w:vAlign w:val="bottom"/>
            <w:hideMark/>
          </w:tcPr>
          <w:p w14:paraId="5B51D187"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252" w:type="dxa"/>
            <w:tcBorders>
              <w:top w:val="nil"/>
              <w:left w:val="nil"/>
              <w:bottom w:val="single" w:sz="4" w:space="0" w:color="auto"/>
              <w:right w:val="nil"/>
            </w:tcBorders>
            <w:shd w:val="clear" w:color="auto" w:fill="auto"/>
            <w:noWrap/>
            <w:vAlign w:val="bottom"/>
            <w:hideMark/>
          </w:tcPr>
          <w:p w14:paraId="6CE021B9"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68710D3F" w14:textId="77777777" w:rsidTr="0022057B">
        <w:trPr>
          <w:trHeight w:val="386"/>
        </w:trPr>
        <w:tc>
          <w:tcPr>
            <w:tcW w:w="1495" w:type="dxa"/>
            <w:vMerge/>
            <w:tcBorders>
              <w:left w:val="nil"/>
              <w:right w:val="nil"/>
            </w:tcBorders>
            <w:shd w:val="clear" w:color="auto" w:fill="auto"/>
            <w:noWrap/>
            <w:vAlign w:val="center"/>
            <w:hideMark/>
          </w:tcPr>
          <w:p w14:paraId="179DACEE"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single" w:sz="4" w:space="0" w:color="auto"/>
              <w:left w:val="nil"/>
              <w:bottom w:val="single" w:sz="4" w:space="0" w:color="auto"/>
              <w:right w:val="nil"/>
            </w:tcBorders>
            <w:shd w:val="clear" w:color="auto" w:fill="auto"/>
            <w:vAlign w:val="center"/>
            <w:hideMark/>
          </w:tcPr>
          <w:p w14:paraId="16FFDB23"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Recreation</w:t>
            </w:r>
          </w:p>
        </w:tc>
        <w:tc>
          <w:tcPr>
            <w:tcW w:w="1386" w:type="dxa"/>
            <w:gridSpan w:val="2"/>
            <w:tcBorders>
              <w:top w:val="single" w:sz="4" w:space="0" w:color="auto"/>
              <w:left w:val="nil"/>
              <w:bottom w:val="single" w:sz="4" w:space="0" w:color="auto"/>
              <w:right w:val="nil"/>
            </w:tcBorders>
            <w:shd w:val="clear" w:color="auto" w:fill="auto"/>
            <w:noWrap/>
            <w:vAlign w:val="bottom"/>
            <w:hideMark/>
          </w:tcPr>
          <w:p w14:paraId="70869BCA"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tcBorders>
              <w:top w:val="single" w:sz="4" w:space="0" w:color="auto"/>
              <w:left w:val="nil"/>
              <w:bottom w:val="single" w:sz="4" w:space="0" w:color="auto"/>
              <w:right w:val="nil"/>
            </w:tcBorders>
            <w:shd w:val="clear" w:color="auto" w:fill="auto"/>
            <w:vAlign w:val="center"/>
            <w:hideMark/>
          </w:tcPr>
          <w:p w14:paraId="7713788F"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Time spent, participation time and participation rate in the main activity by sex and educational attainment level (tus_00educ)</w:t>
            </w:r>
          </w:p>
        </w:tc>
        <w:tc>
          <w:tcPr>
            <w:tcW w:w="1585" w:type="dxa"/>
            <w:tcBorders>
              <w:top w:val="single" w:sz="4" w:space="0" w:color="auto"/>
              <w:left w:val="nil"/>
              <w:bottom w:val="single" w:sz="4" w:space="0" w:color="auto"/>
              <w:right w:val="nil"/>
            </w:tcBorders>
            <w:shd w:val="clear" w:color="auto" w:fill="auto"/>
            <w:noWrap/>
            <w:vAlign w:val="center"/>
            <w:hideMark/>
          </w:tcPr>
          <w:p w14:paraId="4105009B"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tus_00educ</w:t>
            </w:r>
          </w:p>
        </w:tc>
        <w:tc>
          <w:tcPr>
            <w:tcW w:w="1827" w:type="dxa"/>
            <w:tcBorders>
              <w:top w:val="single" w:sz="4" w:space="0" w:color="auto"/>
              <w:left w:val="nil"/>
              <w:bottom w:val="single" w:sz="4" w:space="0" w:color="auto"/>
              <w:right w:val="nil"/>
            </w:tcBorders>
            <w:shd w:val="clear" w:color="auto" w:fill="auto"/>
            <w:vAlign w:val="center"/>
            <w:hideMark/>
          </w:tcPr>
          <w:p w14:paraId="77F5217B"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Walking and hiking</w:t>
            </w:r>
          </w:p>
        </w:tc>
        <w:tc>
          <w:tcPr>
            <w:tcW w:w="1252" w:type="dxa"/>
            <w:tcBorders>
              <w:top w:val="single" w:sz="4" w:space="0" w:color="auto"/>
              <w:left w:val="nil"/>
              <w:bottom w:val="single" w:sz="4" w:space="0" w:color="auto"/>
              <w:right w:val="nil"/>
            </w:tcBorders>
            <w:shd w:val="clear" w:color="auto" w:fill="auto"/>
            <w:noWrap/>
            <w:vAlign w:val="center"/>
            <w:hideMark/>
          </w:tcPr>
          <w:p w14:paraId="1212707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AC611</w:t>
            </w:r>
          </w:p>
        </w:tc>
      </w:tr>
      <w:tr w:rsidR="00846D07" w:rsidRPr="00772AC2" w14:paraId="574C7B73" w14:textId="77777777" w:rsidTr="0022057B">
        <w:trPr>
          <w:trHeight w:val="243"/>
        </w:trPr>
        <w:tc>
          <w:tcPr>
            <w:tcW w:w="1495" w:type="dxa"/>
            <w:vMerge/>
            <w:tcBorders>
              <w:left w:val="nil"/>
              <w:right w:val="nil"/>
            </w:tcBorders>
            <w:shd w:val="clear" w:color="auto" w:fill="auto"/>
            <w:noWrap/>
            <w:vAlign w:val="center"/>
            <w:hideMark/>
          </w:tcPr>
          <w:p w14:paraId="5416146F"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single" w:sz="4" w:space="0" w:color="auto"/>
              <w:left w:val="nil"/>
              <w:bottom w:val="nil"/>
              <w:right w:val="nil"/>
            </w:tcBorders>
            <w:shd w:val="clear" w:color="auto" w:fill="auto"/>
            <w:vAlign w:val="center"/>
            <w:hideMark/>
          </w:tcPr>
          <w:p w14:paraId="6E1ACB6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Education</w:t>
            </w:r>
          </w:p>
        </w:tc>
        <w:tc>
          <w:tcPr>
            <w:tcW w:w="11090" w:type="dxa"/>
            <w:gridSpan w:val="6"/>
            <w:vMerge w:val="restart"/>
            <w:tcBorders>
              <w:top w:val="single" w:sz="4" w:space="0" w:color="auto"/>
              <w:left w:val="nil"/>
              <w:right w:val="nil"/>
            </w:tcBorders>
            <w:shd w:val="clear" w:color="auto" w:fill="auto"/>
            <w:noWrap/>
            <w:vAlign w:val="center"/>
            <w:hideMark/>
          </w:tcPr>
          <w:p w14:paraId="14FA0989" w14:textId="77777777" w:rsidR="00846D07" w:rsidRPr="00772AC2" w:rsidRDefault="00846D07" w:rsidP="0022057B">
            <w:pPr>
              <w:spacing w:before="0" w:after="0" w:line="240" w:lineRule="auto"/>
              <w:jc w:val="center"/>
              <w:rPr>
                <w:rFonts w:eastAsia="Times New Roman" w:cs="Arial"/>
                <w:sz w:val="18"/>
                <w:szCs w:val="16"/>
                <w:lang w:eastAsia="es-ES"/>
              </w:rPr>
            </w:pPr>
            <w:r>
              <w:rPr>
                <w:rFonts w:eastAsia="Times New Roman" w:cs="Arial"/>
                <w:sz w:val="18"/>
                <w:szCs w:val="16"/>
                <w:lang w:eastAsia="es-ES"/>
              </w:rPr>
              <w:t>Not found</w:t>
            </w:r>
          </w:p>
        </w:tc>
      </w:tr>
      <w:tr w:rsidR="00846D07" w:rsidRPr="00772AC2" w14:paraId="148C8385" w14:textId="77777777" w:rsidTr="0022057B">
        <w:trPr>
          <w:trHeight w:val="386"/>
        </w:trPr>
        <w:tc>
          <w:tcPr>
            <w:tcW w:w="1495" w:type="dxa"/>
            <w:vMerge/>
            <w:tcBorders>
              <w:left w:val="nil"/>
              <w:right w:val="nil"/>
            </w:tcBorders>
            <w:shd w:val="clear" w:color="auto" w:fill="auto"/>
            <w:noWrap/>
            <w:vAlign w:val="center"/>
            <w:hideMark/>
          </w:tcPr>
          <w:p w14:paraId="2C28CAD6"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nil"/>
              <w:right w:val="nil"/>
            </w:tcBorders>
            <w:shd w:val="clear" w:color="auto" w:fill="auto"/>
            <w:vAlign w:val="center"/>
            <w:hideMark/>
          </w:tcPr>
          <w:p w14:paraId="33FA485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xml:space="preserve">Harvesting of </w:t>
            </w:r>
            <w:proofErr w:type="spellStart"/>
            <w:r w:rsidRPr="00772AC2">
              <w:rPr>
                <w:rFonts w:eastAsia="Times New Roman" w:cs="Arial"/>
                <w:color w:val="000000"/>
                <w:sz w:val="18"/>
                <w:szCs w:val="16"/>
                <w:lang w:eastAsia="es-ES"/>
              </w:rPr>
              <w:t>non wood</w:t>
            </w:r>
            <w:proofErr w:type="spellEnd"/>
            <w:r w:rsidRPr="00772AC2">
              <w:rPr>
                <w:rFonts w:eastAsia="Times New Roman" w:cs="Arial"/>
                <w:color w:val="000000"/>
                <w:sz w:val="18"/>
                <w:szCs w:val="16"/>
                <w:lang w:eastAsia="es-ES"/>
              </w:rPr>
              <w:t xml:space="preserve"> products</w:t>
            </w:r>
          </w:p>
        </w:tc>
        <w:tc>
          <w:tcPr>
            <w:tcW w:w="11090" w:type="dxa"/>
            <w:gridSpan w:val="6"/>
            <w:vMerge/>
            <w:tcBorders>
              <w:left w:val="nil"/>
              <w:right w:val="nil"/>
            </w:tcBorders>
            <w:shd w:val="clear" w:color="auto" w:fill="auto"/>
            <w:noWrap/>
            <w:vAlign w:val="bottom"/>
            <w:hideMark/>
          </w:tcPr>
          <w:p w14:paraId="23B5E7DB"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010D00DC" w14:textId="77777777" w:rsidTr="0022057B">
        <w:trPr>
          <w:trHeight w:val="243"/>
        </w:trPr>
        <w:tc>
          <w:tcPr>
            <w:tcW w:w="1495" w:type="dxa"/>
            <w:vMerge/>
            <w:tcBorders>
              <w:left w:val="nil"/>
              <w:right w:val="nil"/>
            </w:tcBorders>
            <w:shd w:val="clear" w:color="auto" w:fill="auto"/>
            <w:noWrap/>
            <w:vAlign w:val="center"/>
            <w:hideMark/>
          </w:tcPr>
          <w:p w14:paraId="6D9E3950"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nil"/>
              <w:right w:val="nil"/>
            </w:tcBorders>
            <w:shd w:val="clear" w:color="auto" w:fill="auto"/>
            <w:vAlign w:val="center"/>
            <w:hideMark/>
          </w:tcPr>
          <w:p w14:paraId="6A09B483"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Hunting</w:t>
            </w:r>
          </w:p>
        </w:tc>
        <w:tc>
          <w:tcPr>
            <w:tcW w:w="11090" w:type="dxa"/>
            <w:gridSpan w:val="6"/>
            <w:vMerge/>
            <w:tcBorders>
              <w:left w:val="nil"/>
              <w:right w:val="nil"/>
            </w:tcBorders>
            <w:shd w:val="clear" w:color="auto" w:fill="auto"/>
            <w:noWrap/>
            <w:vAlign w:val="bottom"/>
            <w:hideMark/>
          </w:tcPr>
          <w:p w14:paraId="115EE893"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6B802482" w14:textId="77777777" w:rsidTr="0022057B">
        <w:trPr>
          <w:trHeight w:val="243"/>
        </w:trPr>
        <w:tc>
          <w:tcPr>
            <w:tcW w:w="1495" w:type="dxa"/>
            <w:vMerge/>
            <w:tcBorders>
              <w:left w:val="nil"/>
              <w:right w:val="nil"/>
            </w:tcBorders>
            <w:shd w:val="clear" w:color="auto" w:fill="auto"/>
            <w:noWrap/>
            <w:vAlign w:val="center"/>
            <w:hideMark/>
          </w:tcPr>
          <w:p w14:paraId="6AE6A6E6"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nil"/>
              <w:right w:val="nil"/>
            </w:tcBorders>
            <w:shd w:val="clear" w:color="auto" w:fill="auto"/>
            <w:vAlign w:val="center"/>
            <w:hideMark/>
          </w:tcPr>
          <w:p w14:paraId="2D9DC17D"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Tourism</w:t>
            </w:r>
          </w:p>
        </w:tc>
        <w:tc>
          <w:tcPr>
            <w:tcW w:w="11090" w:type="dxa"/>
            <w:gridSpan w:val="6"/>
            <w:vMerge/>
            <w:tcBorders>
              <w:left w:val="nil"/>
              <w:right w:val="nil"/>
            </w:tcBorders>
            <w:shd w:val="clear" w:color="auto" w:fill="auto"/>
            <w:noWrap/>
            <w:vAlign w:val="bottom"/>
            <w:hideMark/>
          </w:tcPr>
          <w:p w14:paraId="1814A810"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3ADED8DF" w14:textId="77777777" w:rsidTr="0022057B">
        <w:trPr>
          <w:trHeight w:val="243"/>
        </w:trPr>
        <w:tc>
          <w:tcPr>
            <w:tcW w:w="1495" w:type="dxa"/>
            <w:vMerge/>
            <w:tcBorders>
              <w:left w:val="nil"/>
              <w:bottom w:val="single" w:sz="4" w:space="0" w:color="auto"/>
              <w:right w:val="nil"/>
            </w:tcBorders>
            <w:shd w:val="clear" w:color="auto" w:fill="auto"/>
            <w:noWrap/>
            <w:vAlign w:val="center"/>
            <w:hideMark/>
          </w:tcPr>
          <w:p w14:paraId="2E057FFF"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single" w:sz="4" w:space="0" w:color="auto"/>
              <w:right w:val="nil"/>
            </w:tcBorders>
            <w:shd w:val="clear" w:color="auto" w:fill="auto"/>
            <w:vAlign w:val="center"/>
            <w:hideMark/>
          </w:tcPr>
          <w:p w14:paraId="240C1B5A"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Health and well being</w:t>
            </w:r>
          </w:p>
        </w:tc>
        <w:tc>
          <w:tcPr>
            <w:tcW w:w="11090" w:type="dxa"/>
            <w:gridSpan w:val="6"/>
            <w:vMerge/>
            <w:tcBorders>
              <w:left w:val="nil"/>
              <w:bottom w:val="single" w:sz="4" w:space="0" w:color="auto"/>
              <w:right w:val="nil"/>
            </w:tcBorders>
            <w:shd w:val="clear" w:color="auto" w:fill="auto"/>
            <w:noWrap/>
            <w:vAlign w:val="bottom"/>
            <w:hideMark/>
          </w:tcPr>
          <w:p w14:paraId="7F820AA2"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7D70AE8F" w14:textId="77777777" w:rsidTr="0022057B">
        <w:trPr>
          <w:trHeight w:val="264"/>
        </w:trPr>
        <w:tc>
          <w:tcPr>
            <w:tcW w:w="1495" w:type="dxa"/>
            <w:vMerge w:val="restart"/>
            <w:tcBorders>
              <w:top w:val="single" w:sz="4" w:space="0" w:color="auto"/>
              <w:left w:val="nil"/>
              <w:right w:val="nil"/>
            </w:tcBorders>
            <w:shd w:val="clear" w:color="auto" w:fill="auto"/>
            <w:noWrap/>
            <w:vAlign w:val="center"/>
            <w:hideMark/>
          </w:tcPr>
          <w:p w14:paraId="1232ABC5"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Environmental</w:t>
            </w:r>
          </w:p>
        </w:tc>
        <w:tc>
          <w:tcPr>
            <w:tcW w:w="1797" w:type="dxa"/>
            <w:tcBorders>
              <w:top w:val="single" w:sz="4" w:space="0" w:color="auto"/>
              <w:left w:val="nil"/>
              <w:bottom w:val="single" w:sz="4" w:space="0" w:color="auto"/>
              <w:right w:val="nil"/>
            </w:tcBorders>
            <w:shd w:val="clear" w:color="auto" w:fill="auto"/>
            <w:vAlign w:val="center"/>
            <w:hideMark/>
          </w:tcPr>
          <w:p w14:paraId="3CF4665B"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Increase biodiversity</w:t>
            </w:r>
          </w:p>
        </w:tc>
        <w:tc>
          <w:tcPr>
            <w:tcW w:w="1386" w:type="dxa"/>
            <w:gridSpan w:val="2"/>
            <w:tcBorders>
              <w:top w:val="single" w:sz="4" w:space="0" w:color="auto"/>
              <w:left w:val="nil"/>
              <w:bottom w:val="single" w:sz="4" w:space="0" w:color="auto"/>
              <w:right w:val="nil"/>
            </w:tcBorders>
            <w:shd w:val="clear" w:color="auto" w:fill="auto"/>
            <w:noWrap/>
            <w:vAlign w:val="bottom"/>
            <w:hideMark/>
          </w:tcPr>
          <w:p w14:paraId="070776F8" w14:textId="77777777" w:rsidR="00846D07" w:rsidRPr="00772AC2" w:rsidRDefault="00846D07" w:rsidP="0022057B">
            <w:pPr>
              <w:spacing w:before="0" w:after="0" w:line="240" w:lineRule="auto"/>
              <w:jc w:val="left"/>
              <w:rPr>
                <w:rFonts w:eastAsia="Times New Roman" w:cs="Arial"/>
                <w:color w:val="000000"/>
                <w:sz w:val="18"/>
                <w:szCs w:val="16"/>
                <w:lang w:eastAsia="es-ES"/>
              </w:rPr>
            </w:pPr>
            <w:r>
              <w:rPr>
                <w:rFonts w:eastAsia="Times New Roman" w:cs="Arial"/>
                <w:color w:val="000000"/>
                <w:sz w:val="18"/>
                <w:szCs w:val="16"/>
                <w:lang w:eastAsia="es-ES"/>
              </w:rPr>
              <w:t>Biodiversity (</w:t>
            </w:r>
            <w:proofErr w:type="spellStart"/>
            <w:r>
              <w:rPr>
                <w:rFonts w:eastAsia="Times New Roman" w:cs="Arial"/>
                <w:color w:val="000000"/>
                <w:sz w:val="18"/>
                <w:szCs w:val="16"/>
                <w:lang w:eastAsia="es-ES"/>
              </w:rPr>
              <w:t>t_env_biodiv</w:t>
            </w:r>
            <w:proofErr w:type="spellEnd"/>
            <w:r>
              <w:rPr>
                <w:rFonts w:eastAsia="Times New Roman" w:cs="Arial"/>
                <w:color w:val="000000"/>
                <w:sz w:val="18"/>
                <w:szCs w:val="16"/>
                <w:lang w:eastAsia="es-ES"/>
              </w:rPr>
              <w:t>)</w:t>
            </w:r>
          </w:p>
        </w:tc>
        <w:tc>
          <w:tcPr>
            <w:tcW w:w="5040" w:type="dxa"/>
            <w:tcBorders>
              <w:top w:val="single" w:sz="4" w:space="0" w:color="auto"/>
              <w:left w:val="nil"/>
              <w:bottom w:val="single" w:sz="4" w:space="0" w:color="auto"/>
              <w:right w:val="nil"/>
            </w:tcBorders>
            <w:shd w:val="clear" w:color="auto" w:fill="auto"/>
            <w:vAlign w:val="center"/>
            <w:hideMark/>
          </w:tcPr>
          <w:p w14:paraId="446BCDA1"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Surface of terrestrial sites designated under Natura 2000 (source: DG ENV, EEA)</w:t>
            </w:r>
          </w:p>
        </w:tc>
        <w:tc>
          <w:tcPr>
            <w:tcW w:w="1585" w:type="dxa"/>
            <w:tcBorders>
              <w:top w:val="single" w:sz="4" w:space="0" w:color="auto"/>
              <w:left w:val="nil"/>
              <w:bottom w:val="single" w:sz="4" w:space="0" w:color="auto"/>
              <w:right w:val="nil"/>
            </w:tcBorders>
            <w:shd w:val="clear" w:color="auto" w:fill="auto"/>
            <w:noWrap/>
            <w:vAlign w:val="center"/>
            <w:hideMark/>
          </w:tcPr>
          <w:p w14:paraId="76BC628A"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sdg_15_20</w:t>
            </w:r>
          </w:p>
        </w:tc>
        <w:tc>
          <w:tcPr>
            <w:tcW w:w="1827" w:type="dxa"/>
            <w:tcBorders>
              <w:top w:val="single" w:sz="4" w:space="0" w:color="auto"/>
              <w:left w:val="nil"/>
              <w:bottom w:val="single" w:sz="4" w:space="0" w:color="auto"/>
              <w:right w:val="nil"/>
            </w:tcBorders>
            <w:shd w:val="clear" w:color="auto" w:fill="auto"/>
            <w:vAlign w:val="bottom"/>
            <w:hideMark/>
          </w:tcPr>
          <w:p w14:paraId="341D4C28"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252" w:type="dxa"/>
            <w:tcBorders>
              <w:top w:val="single" w:sz="4" w:space="0" w:color="auto"/>
              <w:left w:val="nil"/>
              <w:bottom w:val="single" w:sz="4" w:space="0" w:color="auto"/>
              <w:right w:val="nil"/>
            </w:tcBorders>
            <w:shd w:val="clear" w:color="auto" w:fill="auto"/>
            <w:noWrap/>
            <w:vAlign w:val="bottom"/>
            <w:hideMark/>
          </w:tcPr>
          <w:p w14:paraId="62FF7677"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2E58303A" w14:textId="77777777" w:rsidTr="0022057B">
        <w:trPr>
          <w:trHeight w:val="264"/>
        </w:trPr>
        <w:tc>
          <w:tcPr>
            <w:tcW w:w="1495" w:type="dxa"/>
            <w:vMerge/>
            <w:tcBorders>
              <w:left w:val="nil"/>
              <w:right w:val="nil"/>
            </w:tcBorders>
            <w:shd w:val="clear" w:color="auto" w:fill="auto"/>
            <w:noWrap/>
            <w:vAlign w:val="center"/>
            <w:hideMark/>
          </w:tcPr>
          <w:p w14:paraId="66E5A366"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single" w:sz="4" w:space="0" w:color="auto"/>
              <w:left w:val="nil"/>
              <w:right w:val="nil"/>
            </w:tcBorders>
            <w:shd w:val="clear" w:color="auto" w:fill="auto"/>
            <w:vAlign w:val="center"/>
            <w:hideMark/>
          </w:tcPr>
          <w:p w14:paraId="12BA7F3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Soil improvement, restoration</w:t>
            </w:r>
          </w:p>
        </w:tc>
        <w:tc>
          <w:tcPr>
            <w:tcW w:w="11090" w:type="dxa"/>
            <w:gridSpan w:val="6"/>
            <w:tcBorders>
              <w:top w:val="single" w:sz="4" w:space="0" w:color="auto"/>
              <w:left w:val="nil"/>
              <w:right w:val="nil"/>
            </w:tcBorders>
            <w:shd w:val="clear" w:color="auto" w:fill="auto"/>
            <w:noWrap/>
            <w:vAlign w:val="bottom"/>
            <w:hideMark/>
          </w:tcPr>
          <w:p w14:paraId="17AEF776" w14:textId="77777777" w:rsidR="00846D07" w:rsidRPr="00772AC2" w:rsidRDefault="00846D07" w:rsidP="0022057B">
            <w:pPr>
              <w:spacing w:before="0" w:after="0" w:line="240" w:lineRule="auto"/>
              <w:jc w:val="center"/>
              <w:rPr>
                <w:rFonts w:eastAsia="Times New Roman" w:cs="Arial"/>
                <w:sz w:val="18"/>
                <w:szCs w:val="16"/>
                <w:lang w:eastAsia="es-ES"/>
              </w:rPr>
            </w:pPr>
            <w:r>
              <w:rPr>
                <w:rFonts w:eastAsia="Times New Roman" w:cs="Arial"/>
                <w:sz w:val="18"/>
                <w:szCs w:val="16"/>
                <w:lang w:eastAsia="es-ES"/>
              </w:rPr>
              <w:t>Not Found</w:t>
            </w:r>
          </w:p>
        </w:tc>
      </w:tr>
      <w:tr w:rsidR="00846D07" w:rsidRPr="00772AC2" w14:paraId="4341ADD2" w14:textId="77777777" w:rsidTr="0022057B">
        <w:trPr>
          <w:trHeight w:val="314"/>
        </w:trPr>
        <w:tc>
          <w:tcPr>
            <w:tcW w:w="1495" w:type="dxa"/>
            <w:vMerge/>
            <w:tcBorders>
              <w:left w:val="nil"/>
              <w:right w:val="nil"/>
            </w:tcBorders>
            <w:shd w:val="clear" w:color="auto" w:fill="auto"/>
            <w:noWrap/>
            <w:vAlign w:val="center"/>
            <w:hideMark/>
          </w:tcPr>
          <w:p w14:paraId="083EEA0E"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single" w:sz="4" w:space="0" w:color="auto"/>
              <w:right w:val="nil"/>
            </w:tcBorders>
            <w:shd w:val="clear" w:color="auto" w:fill="auto"/>
            <w:vAlign w:val="center"/>
            <w:hideMark/>
          </w:tcPr>
          <w:p w14:paraId="70A5CB69"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Erosion</w:t>
            </w:r>
          </w:p>
        </w:tc>
        <w:tc>
          <w:tcPr>
            <w:tcW w:w="1386" w:type="dxa"/>
            <w:gridSpan w:val="2"/>
            <w:tcBorders>
              <w:top w:val="nil"/>
              <w:left w:val="nil"/>
              <w:bottom w:val="single" w:sz="4" w:space="0" w:color="auto"/>
              <w:right w:val="nil"/>
            </w:tcBorders>
            <w:shd w:val="clear" w:color="auto" w:fill="auto"/>
            <w:noWrap/>
            <w:vAlign w:val="bottom"/>
            <w:hideMark/>
          </w:tcPr>
          <w:p w14:paraId="2379816B"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tcBorders>
              <w:top w:val="nil"/>
              <w:left w:val="nil"/>
              <w:bottom w:val="single" w:sz="4" w:space="0" w:color="auto"/>
              <w:right w:val="nil"/>
            </w:tcBorders>
            <w:shd w:val="clear" w:color="auto" w:fill="auto"/>
            <w:vAlign w:val="center"/>
            <w:hideMark/>
          </w:tcPr>
          <w:p w14:paraId="0766AC88"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Estimated soil loss by water erosion by land cover type (source: JRC)</w:t>
            </w:r>
          </w:p>
        </w:tc>
        <w:tc>
          <w:tcPr>
            <w:tcW w:w="1585" w:type="dxa"/>
            <w:tcBorders>
              <w:top w:val="nil"/>
              <w:left w:val="nil"/>
              <w:bottom w:val="single" w:sz="4" w:space="0" w:color="auto"/>
              <w:right w:val="nil"/>
            </w:tcBorders>
            <w:shd w:val="clear" w:color="auto" w:fill="auto"/>
            <w:noWrap/>
            <w:vAlign w:val="center"/>
            <w:hideMark/>
          </w:tcPr>
          <w:p w14:paraId="08F59BE6"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tai10</w:t>
            </w:r>
          </w:p>
        </w:tc>
        <w:tc>
          <w:tcPr>
            <w:tcW w:w="1827" w:type="dxa"/>
            <w:tcBorders>
              <w:top w:val="nil"/>
              <w:left w:val="nil"/>
              <w:bottom w:val="single" w:sz="4" w:space="0" w:color="auto"/>
              <w:right w:val="nil"/>
            </w:tcBorders>
            <w:shd w:val="clear" w:color="auto" w:fill="auto"/>
            <w:vAlign w:val="bottom"/>
            <w:hideMark/>
          </w:tcPr>
          <w:p w14:paraId="516A8CC3"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252" w:type="dxa"/>
            <w:tcBorders>
              <w:top w:val="nil"/>
              <w:left w:val="nil"/>
              <w:bottom w:val="single" w:sz="4" w:space="0" w:color="auto"/>
              <w:right w:val="nil"/>
            </w:tcBorders>
            <w:shd w:val="clear" w:color="auto" w:fill="auto"/>
            <w:noWrap/>
            <w:vAlign w:val="bottom"/>
            <w:hideMark/>
          </w:tcPr>
          <w:p w14:paraId="7FA6F63E"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1E1769EC" w14:textId="77777777" w:rsidTr="0022057B">
        <w:trPr>
          <w:trHeight w:val="264"/>
        </w:trPr>
        <w:tc>
          <w:tcPr>
            <w:tcW w:w="1495" w:type="dxa"/>
            <w:vMerge/>
            <w:tcBorders>
              <w:left w:val="nil"/>
              <w:right w:val="nil"/>
            </w:tcBorders>
            <w:shd w:val="clear" w:color="auto" w:fill="auto"/>
            <w:noWrap/>
            <w:vAlign w:val="center"/>
            <w:hideMark/>
          </w:tcPr>
          <w:p w14:paraId="49B63086"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single" w:sz="4" w:space="0" w:color="auto"/>
              <w:left w:val="nil"/>
              <w:bottom w:val="nil"/>
              <w:right w:val="nil"/>
            </w:tcBorders>
            <w:shd w:val="clear" w:color="auto" w:fill="auto"/>
            <w:vAlign w:val="center"/>
            <w:hideMark/>
          </w:tcPr>
          <w:p w14:paraId="6D705959"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Carbon sequestration</w:t>
            </w:r>
          </w:p>
        </w:tc>
        <w:tc>
          <w:tcPr>
            <w:tcW w:w="11090" w:type="dxa"/>
            <w:gridSpan w:val="6"/>
            <w:vMerge w:val="restart"/>
            <w:tcBorders>
              <w:top w:val="single" w:sz="4" w:space="0" w:color="auto"/>
              <w:left w:val="nil"/>
              <w:right w:val="nil"/>
            </w:tcBorders>
            <w:shd w:val="clear" w:color="auto" w:fill="auto"/>
            <w:noWrap/>
            <w:vAlign w:val="center"/>
            <w:hideMark/>
          </w:tcPr>
          <w:p w14:paraId="0A208EEA" w14:textId="77777777" w:rsidR="00846D07" w:rsidRPr="00772AC2" w:rsidRDefault="00846D07" w:rsidP="0022057B">
            <w:pPr>
              <w:spacing w:before="0" w:after="0" w:line="240" w:lineRule="auto"/>
              <w:jc w:val="center"/>
              <w:rPr>
                <w:rFonts w:eastAsia="Times New Roman" w:cs="Arial"/>
                <w:sz w:val="18"/>
                <w:szCs w:val="16"/>
                <w:lang w:eastAsia="es-ES"/>
              </w:rPr>
            </w:pPr>
            <w:r>
              <w:rPr>
                <w:rFonts w:eastAsia="Times New Roman" w:cs="Arial"/>
                <w:sz w:val="18"/>
                <w:szCs w:val="16"/>
                <w:lang w:eastAsia="es-ES"/>
              </w:rPr>
              <w:t>Not found</w:t>
            </w:r>
          </w:p>
        </w:tc>
      </w:tr>
      <w:tr w:rsidR="00846D07" w:rsidRPr="00772AC2" w14:paraId="19BA76F3" w14:textId="77777777" w:rsidTr="0022057B">
        <w:trPr>
          <w:trHeight w:val="68"/>
        </w:trPr>
        <w:tc>
          <w:tcPr>
            <w:tcW w:w="1495" w:type="dxa"/>
            <w:vMerge/>
            <w:tcBorders>
              <w:left w:val="nil"/>
              <w:right w:val="nil"/>
            </w:tcBorders>
            <w:shd w:val="clear" w:color="auto" w:fill="auto"/>
            <w:noWrap/>
            <w:vAlign w:val="center"/>
            <w:hideMark/>
          </w:tcPr>
          <w:p w14:paraId="03473E15"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tcBorders>
              <w:top w:val="nil"/>
              <w:left w:val="nil"/>
              <w:bottom w:val="single" w:sz="4" w:space="0" w:color="auto"/>
              <w:right w:val="nil"/>
            </w:tcBorders>
            <w:shd w:val="clear" w:color="auto" w:fill="auto"/>
            <w:vAlign w:val="center"/>
            <w:hideMark/>
          </w:tcPr>
          <w:p w14:paraId="5F2559B5"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Better health</w:t>
            </w:r>
          </w:p>
        </w:tc>
        <w:tc>
          <w:tcPr>
            <w:tcW w:w="11090" w:type="dxa"/>
            <w:gridSpan w:val="6"/>
            <w:vMerge/>
            <w:tcBorders>
              <w:left w:val="nil"/>
              <w:bottom w:val="single" w:sz="4" w:space="0" w:color="auto"/>
              <w:right w:val="nil"/>
            </w:tcBorders>
            <w:shd w:val="clear" w:color="auto" w:fill="auto"/>
            <w:noWrap/>
            <w:vAlign w:val="bottom"/>
            <w:hideMark/>
          </w:tcPr>
          <w:p w14:paraId="36EF69CC" w14:textId="77777777" w:rsidR="00846D07" w:rsidRPr="00772AC2" w:rsidRDefault="00846D07" w:rsidP="0022057B">
            <w:pPr>
              <w:spacing w:before="0" w:after="0" w:line="240" w:lineRule="auto"/>
              <w:jc w:val="left"/>
              <w:rPr>
                <w:rFonts w:eastAsia="Times New Roman" w:cs="Arial"/>
                <w:sz w:val="18"/>
                <w:szCs w:val="16"/>
                <w:lang w:eastAsia="es-ES"/>
              </w:rPr>
            </w:pPr>
          </w:p>
        </w:tc>
      </w:tr>
      <w:tr w:rsidR="00846D07" w:rsidRPr="00772AC2" w14:paraId="523C7967" w14:textId="77777777" w:rsidTr="0022057B">
        <w:trPr>
          <w:trHeight w:val="579"/>
        </w:trPr>
        <w:tc>
          <w:tcPr>
            <w:tcW w:w="1495" w:type="dxa"/>
            <w:vMerge/>
            <w:tcBorders>
              <w:left w:val="nil"/>
              <w:right w:val="nil"/>
            </w:tcBorders>
            <w:shd w:val="clear" w:color="auto" w:fill="auto"/>
            <w:noWrap/>
            <w:vAlign w:val="center"/>
            <w:hideMark/>
          </w:tcPr>
          <w:p w14:paraId="217218D4"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val="restart"/>
            <w:tcBorders>
              <w:top w:val="single" w:sz="4" w:space="0" w:color="auto"/>
              <w:left w:val="nil"/>
              <w:right w:val="nil"/>
            </w:tcBorders>
            <w:shd w:val="clear" w:color="auto" w:fill="auto"/>
            <w:vAlign w:val="center"/>
            <w:hideMark/>
          </w:tcPr>
          <w:p w14:paraId="312F3A9C" w14:textId="77777777" w:rsidR="00846D07" w:rsidRPr="00772AC2" w:rsidRDefault="00846D07" w:rsidP="0022057B">
            <w:pPr>
              <w:spacing w:before="0" w:after="0" w:line="240" w:lineRule="auto"/>
              <w:jc w:val="left"/>
              <w:rPr>
                <w:rFonts w:eastAsia="Times New Roman" w:cs="Arial"/>
                <w:color w:val="000000"/>
                <w:sz w:val="18"/>
                <w:szCs w:val="16"/>
                <w:lang w:eastAsia="es-ES"/>
              </w:rPr>
            </w:pPr>
            <w:r>
              <w:rPr>
                <w:rFonts w:eastAsia="Times New Roman" w:cs="Arial"/>
                <w:color w:val="000000"/>
                <w:sz w:val="18"/>
                <w:szCs w:val="16"/>
                <w:lang w:eastAsia="es-ES"/>
              </w:rPr>
              <w:t>Protective function</w:t>
            </w:r>
          </w:p>
        </w:tc>
        <w:tc>
          <w:tcPr>
            <w:tcW w:w="1386" w:type="dxa"/>
            <w:gridSpan w:val="2"/>
            <w:vMerge w:val="restart"/>
            <w:tcBorders>
              <w:top w:val="single" w:sz="4" w:space="0" w:color="auto"/>
              <w:left w:val="nil"/>
              <w:right w:val="nil"/>
            </w:tcBorders>
            <w:shd w:val="clear" w:color="auto" w:fill="auto"/>
            <w:noWrap/>
            <w:vAlign w:val="center"/>
            <w:hideMark/>
          </w:tcPr>
          <w:p w14:paraId="7BE831FC" w14:textId="77777777" w:rsidR="00846D07" w:rsidRPr="00772AC2" w:rsidRDefault="00846D07" w:rsidP="0022057B">
            <w:pPr>
              <w:spacing w:before="0" w:after="0" w:line="240" w:lineRule="auto"/>
              <w:jc w:val="left"/>
              <w:rPr>
                <w:rFonts w:eastAsia="Times New Roman" w:cs="Arial"/>
                <w:color w:val="000000"/>
                <w:sz w:val="18"/>
                <w:szCs w:val="16"/>
                <w:lang w:eastAsia="es-ES"/>
              </w:rPr>
            </w:pPr>
            <w:r>
              <w:rPr>
                <w:rFonts w:eastAsia="Times New Roman" w:cs="Arial"/>
                <w:color w:val="000000"/>
                <w:sz w:val="18"/>
                <w:szCs w:val="16"/>
                <w:lang w:eastAsia="es-ES"/>
              </w:rPr>
              <w:t>forestry(for)</w:t>
            </w:r>
          </w:p>
        </w:tc>
        <w:tc>
          <w:tcPr>
            <w:tcW w:w="5040" w:type="dxa"/>
            <w:vMerge w:val="restart"/>
            <w:tcBorders>
              <w:top w:val="single" w:sz="4" w:space="0" w:color="auto"/>
              <w:left w:val="nil"/>
              <w:right w:val="nil"/>
            </w:tcBorders>
            <w:shd w:val="clear" w:color="auto" w:fill="auto"/>
            <w:noWrap/>
            <w:vAlign w:val="center"/>
            <w:hideMark/>
          </w:tcPr>
          <w:p w14:paraId="15D27D0C"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xml:space="preserve">Environmental functions </w:t>
            </w:r>
            <w:r>
              <w:rPr>
                <w:rFonts w:eastAsia="Times New Roman" w:cs="Arial"/>
                <w:color w:val="000000"/>
                <w:sz w:val="18"/>
                <w:szCs w:val="16"/>
                <w:lang w:eastAsia="es-ES"/>
              </w:rPr>
              <w:t>(</w:t>
            </w:r>
            <w:proofErr w:type="spellStart"/>
            <w:r>
              <w:rPr>
                <w:rFonts w:eastAsia="Times New Roman" w:cs="Arial"/>
                <w:color w:val="000000"/>
                <w:sz w:val="18"/>
                <w:szCs w:val="16"/>
                <w:lang w:eastAsia="es-ES"/>
              </w:rPr>
              <w:t>f</w:t>
            </w:r>
            <w:r w:rsidRPr="00772AC2">
              <w:rPr>
                <w:rFonts w:eastAsia="Times New Roman" w:cs="Arial"/>
                <w:color w:val="000000"/>
                <w:sz w:val="18"/>
                <w:szCs w:val="16"/>
                <w:lang w:eastAsia="es-ES"/>
              </w:rPr>
              <w:t>or_sfmen</w:t>
            </w:r>
            <w:proofErr w:type="spellEnd"/>
            <w:r>
              <w:rPr>
                <w:rFonts w:eastAsia="Times New Roman" w:cs="Arial"/>
                <w:color w:val="000000"/>
                <w:sz w:val="18"/>
                <w:szCs w:val="16"/>
                <w:lang w:eastAsia="es-ES"/>
              </w:rPr>
              <w:t>)</w:t>
            </w:r>
          </w:p>
        </w:tc>
        <w:tc>
          <w:tcPr>
            <w:tcW w:w="1585" w:type="dxa"/>
            <w:tcBorders>
              <w:top w:val="single" w:sz="4" w:space="0" w:color="auto"/>
              <w:left w:val="nil"/>
              <w:bottom w:val="nil"/>
              <w:right w:val="nil"/>
            </w:tcBorders>
            <w:shd w:val="clear" w:color="auto" w:fill="auto"/>
            <w:vAlign w:val="center"/>
          </w:tcPr>
          <w:p w14:paraId="4713E96F" w14:textId="77777777" w:rsidR="00846D07" w:rsidRPr="00772AC2" w:rsidRDefault="00846D07" w:rsidP="0022057B">
            <w:pPr>
              <w:spacing w:before="0" w:after="0" w:line="240" w:lineRule="auto"/>
              <w:jc w:val="left"/>
              <w:rPr>
                <w:rFonts w:eastAsia="Times New Roman" w:cs="Arial"/>
                <w:color w:val="000000"/>
                <w:sz w:val="18"/>
                <w:szCs w:val="16"/>
                <w:lang w:eastAsia="es-ES"/>
              </w:rPr>
            </w:pPr>
            <w:proofErr w:type="spellStart"/>
            <w:r>
              <w:rPr>
                <w:rFonts w:eastAsia="Times New Roman" w:cs="Arial"/>
                <w:color w:val="000000"/>
                <w:sz w:val="18"/>
                <w:szCs w:val="16"/>
                <w:lang w:eastAsia="es-ES"/>
              </w:rPr>
              <w:t>for_profn</w:t>
            </w:r>
            <w:proofErr w:type="spellEnd"/>
          </w:p>
        </w:tc>
        <w:tc>
          <w:tcPr>
            <w:tcW w:w="1827" w:type="dxa"/>
            <w:tcBorders>
              <w:top w:val="single" w:sz="4" w:space="0" w:color="auto"/>
              <w:left w:val="nil"/>
              <w:bottom w:val="nil"/>
              <w:right w:val="nil"/>
            </w:tcBorders>
            <w:shd w:val="clear" w:color="auto" w:fill="auto"/>
            <w:vAlign w:val="center"/>
            <w:hideMark/>
          </w:tcPr>
          <w:p w14:paraId="61EF2A61"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Protective functions of forests </w:t>
            </w:r>
          </w:p>
        </w:tc>
        <w:tc>
          <w:tcPr>
            <w:tcW w:w="1252" w:type="dxa"/>
            <w:tcBorders>
              <w:top w:val="single" w:sz="4" w:space="0" w:color="auto"/>
              <w:left w:val="nil"/>
              <w:bottom w:val="nil"/>
              <w:right w:val="nil"/>
            </w:tcBorders>
            <w:shd w:val="clear" w:color="auto" w:fill="auto"/>
            <w:noWrap/>
            <w:vAlign w:val="bottom"/>
            <w:hideMark/>
          </w:tcPr>
          <w:p w14:paraId="2F39AA06"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r>
      <w:tr w:rsidR="00846D07" w:rsidRPr="00772AC2" w14:paraId="219B0CA2" w14:textId="77777777" w:rsidTr="0022057B">
        <w:trPr>
          <w:trHeight w:val="352"/>
        </w:trPr>
        <w:tc>
          <w:tcPr>
            <w:tcW w:w="1495" w:type="dxa"/>
            <w:vMerge/>
            <w:tcBorders>
              <w:left w:val="nil"/>
              <w:bottom w:val="single" w:sz="8" w:space="0" w:color="auto"/>
              <w:right w:val="nil"/>
            </w:tcBorders>
            <w:shd w:val="clear" w:color="auto" w:fill="auto"/>
            <w:noWrap/>
            <w:vAlign w:val="center"/>
            <w:hideMark/>
          </w:tcPr>
          <w:p w14:paraId="750A3A5C"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797" w:type="dxa"/>
            <w:vMerge/>
            <w:tcBorders>
              <w:left w:val="nil"/>
              <w:bottom w:val="single" w:sz="8" w:space="0" w:color="auto"/>
              <w:right w:val="nil"/>
            </w:tcBorders>
            <w:shd w:val="clear" w:color="auto" w:fill="auto"/>
            <w:vAlign w:val="center"/>
            <w:hideMark/>
          </w:tcPr>
          <w:p w14:paraId="246DC260"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386" w:type="dxa"/>
            <w:gridSpan w:val="2"/>
            <w:vMerge/>
            <w:tcBorders>
              <w:left w:val="nil"/>
              <w:bottom w:val="single" w:sz="8" w:space="0" w:color="auto"/>
              <w:right w:val="nil"/>
            </w:tcBorders>
            <w:shd w:val="clear" w:color="auto" w:fill="auto"/>
            <w:noWrap/>
            <w:vAlign w:val="center"/>
            <w:hideMark/>
          </w:tcPr>
          <w:p w14:paraId="21C6A688"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5040" w:type="dxa"/>
            <w:vMerge/>
            <w:tcBorders>
              <w:left w:val="nil"/>
              <w:bottom w:val="single" w:sz="8" w:space="0" w:color="auto"/>
              <w:right w:val="nil"/>
            </w:tcBorders>
            <w:shd w:val="clear" w:color="auto" w:fill="auto"/>
            <w:noWrap/>
            <w:vAlign w:val="center"/>
            <w:hideMark/>
          </w:tcPr>
          <w:p w14:paraId="5CEF7816" w14:textId="77777777" w:rsidR="00846D07" w:rsidRPr="00772AC2" w:rsidRDefault="00846D07" w:rsidP="0022057B">
            <w:pPr>
              <w:spacing w:before="0" w:after="0" w:line="240" w:lineRule="auto"/>
              <w:jc w:val="left"/>
              <w:rPr>
                <w:rFonts w:eastAsia="Times New Roman" w:cs="Arial"/>
                <w:color w:val="000000"/>
                <w:sz w:val="18"/>
                <w:szCs w:val="16"/>
                <w:lang w:eastAsia="es-ES"/>
              </w:rPr>
            </w:pPr>
          </w:p>
        </w:tc>
        <w:tc>
          <w:tcPr>
            <w:tcW w:w="1585" w:type="dxa"/>
            <w:tcBorders>
              <w:top w:val="nil"/>
              <w:left w:val="nil"/>
              <w:bottom w:val="single" w:sz="8" w:space="0" w:color="auto"/>
              <w:right w:val="nil"/>
            </w:tcBorders>
            <w:shd w:val="clear" w:color="auto" w:fill="auto"/>
            <w:vAlign w:val="center"/>
          </w:tcPr>
          <w:p w14:paraId="69DEC52C" w14:textId="77777777" w:rsidR="00846D07" w:rsidRPr="00772AC2" w:rsidRDefault="00846D07" w:rsidP="0022057B">
            <w:pPr>
              <w:spacing w:before="0" w:after="0" w:line="240" w:lineRule="auto"/>
              <w:jc w:val="left"/>
              <w:rPr>
                <w:rFonts w:eastAsia="Times New Roman" w:cs="Arial"/>
                <w:color w:val="000000"/>
                <w:sz w:val="18"/>
                <w:szCs w:val="16"/>
                <w:lang w:eastAsia="es-ES"/>
              </w:rPr>
            </w:pPr>
            <w:proofErr w:type="spellStart"/>
            <w:r>
              <w:rPr>
                <w:rFonts w:eastAsia="Times New Roman" w:cs="Arial"/>
                <w:color w:val="000000"/>
                <w:sz w:val="18"/>
                <w:szCs w:val="16"/>
                <w:lang w:eastAsia="es-ES"/>
              </w:rPr>
              <w:t>for_proct</w:t>
            </w:r>
            <w:proofErr w:type="spellEnd"/>
          </w:p>
        </w:tc>
        <w:tc>
          <w:tcPr>
            <w:tcW w:w="1827" w:type="dxa"/>
            <w:tcBorders>
              <w:top w:val="nil"/>
              <w:left w:val="nil"/>
              <w:bottom w:val="single" w:sz="8" w:space="0" w:color="auto"/>
              <w:right w:val="nil"/>
            </w:tcBorders>
            <w:shd w:val="clear" w:color="auto" w:fill="auto"/>
            <w:vAlign w:val="center"/>
            <w:hideMark/>
          </w:tcPr>
          <w:p w14:paraId="223F1961"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Protected forests and forests under Natura 2000</w:t>
            </w:r>
          </w:p>
        </w:tc>
        <w:tc>
          <w:tcPr>
            <w:tcW w:w="1252" w:type="dxa"/>
            <w:tcBorders>
              <w:top w:val="nil"/>
              <w:left w:val="nil"/>
              <w:bottom w:val="single" w:sz="8" w:space="0" w:color="auto"/>
              <w:right w:val="nil"/>
            </w:tcBorders>
            <w:shd w:val="clear" w:color="auto" w:fill="auto"/>
            <w:noWrap/>
            <w:vAlign w:val="center"/>
            <w:hideMark/>
          </w:tcPr>
          <w:p w14:paraId="69BD6365" w14:textId="77777777" w:rsidR="00846D07" w:rsidRPr="00772AC2" w:rsidRDefault="00846D07" w:rsidP="0022057B">
            <w:pPr>
              <w:spacing w:before="0" w:after="0" w:line="240" w:lineRule="auto"/>
              <w:jc w:val="left"/>
              <w:rPr>
                <w:rFonts w:eastAsia="Times New Roman" w:cs="Arial"/>
                <w:color w:val="000000"/>
                <w:sz w:val="18"/>
                <w:szCs w:val="16"/>
                <w:lang w:eastAsia="es-ES"/>
              </w:rPr>
            </w:pPr>
            <w:r w:rsidRPr="00772AC2">
              <w:rPr>
                <w:rFonts w:eastAsia="Times New Roman" w:cs="Arial"/>
                <w:color w:val="000000"/>
                <w:sz w:val="18"/>
                <w:szCs w:val="16"/>
                <w:lang w:eastAsia="es-ES"/>
              </w:rPr>
              <w:t> </w:t>
            </w:r>
          </w:p>
        </w:tc>
      </w:tr>
    </w:tbl>
    <w:p w14:paraId="0BD2FC27" w14:textId="0E3CF859" w:rsidR="00846D07" w:rsidRPr="00EE5690" w:rsidRDefault="00846D07" w:rsidP="00EE5690">
      <w:pPr>
        <w:jc w:val="left"/>
        <w:rPr>
          <w:rFonts w:cs="Arial"/>
        </w:rPr>
        <w:sectPr w:rsidR="00846D07" w:rsidRPr="00EE5690" w:rsidSect="00293100">
          <w:pgSz w:w="16839" w:h="11907" w:orient="landscape" w:code="9"/>
          <w:pgMar w:top="1701" w:right="1701" w:bottom="1701" w:left="1701" w:header="850" w:footer="567" w:gutter="0"/>
          <w:cols w:space="708"/>
          <w:docGrid w:linePitch="360"/>
        </w:sectPr>
      </w:pPr>
    </w:p>
    <w:p w14:paraId="47EBA8E9" w14:textId="53374080" w:rsidR="00244030" w:rsidRPr="00EE5690" w:rsidRDefault="00720874" w:rsidP="002D2FB4">
      <w:pPr>
        <w:rPr>
          <w:rFonts w:cs="Arial"/>
        </w:rPr>
      </w:pPr>
      <w:r w:rsidRPr="00EE5690">
        <w:rPr>
          <w:rFonts w:cs="Arial"/>
        </w:rPr>
        <w:lastRenderedPageBreak/>
        <w:t>The manual search increased the number of findings</w:t>
      </w:r>
      <w:r w:rsidR="00421915" w:rsidRPr="00EE5690">
        <w:rPr>
          <w:rFonts w:cs="Arial"/>
        </w:rPr>
        <w:t xml:space="preserve"> of meaningful variables for the three </w:t>
      </w:r>
      <w:r w:rsidR="00480F54" w:rsidRPr="00EE5690">
        <w:rPr>
          <w:rFonts w:cs="Arial"/>
        </w:rPr>
        <w:t>sustainable development</w:t>
      </w:r>
      <w:r w:rsidR="00421915" w:rsidRPr="00EE5690">
        <w:rPr>
          <w:rFonts w:cs="Arial"/>
        </w:rPr>
        <w:t xml:space="preserve"> aspects.</w:t>
      </w:r>
      <w:r w:rsidRPr="00EE5690">
        <w:rPr>
          <w:rFonts w:cs="Arial"/>
        </w:rPr>
        <w:t xml:space="preserve"> Particularly, the </w:t>
      </w:r>
      <w:r w:rsidR="00223BDA" w:rsidRPr="00EE5690">
        <w:rPr>
          <w:rFonts w:cs="Arial"/>
        </w:rPr>
        <w:t>Eurostat</w:t>
      </w:r>
      <w:r w:rsidRPr="00EE5690">
        <w:rPr>
          <w:rFonts w:cs="Arial"/>
        </w:rPr>
        <w:t xml:space="preserve"> dataset offered extensive information on ec</w:t>
      </w:r>
      <w:r w:rsidR="00421915" w:rsidRPr="00EE5690">
        <w:rPr>
          <w:rFonts w:cs="Arial"/>
        </w:rPr>
        <w:t>onomic data. On the other hand</w:t>
      </w:r>
      <w:r w:rsidRPr="00EE5690">
        <w:rPr>
          <w:rFonts w:cs="Arial"/>
        </w:rPr>
        <w:t xml:space="preserve">, many </w:t>
      </w:r>
      <w:proofErr w:type="gramStart"/>
      <w:r w:rsidRPr="00EE5690">
        <w:rPr>
          <w:rFonts w:cs="Arial"/>
        </w:rPr>
        <w:t>forest</w:t>
      </w:r>
      <w:proofErr w:type="gramEnd"/>
      <w:r w:rsidRPr="00EE5690">
        <w:rPr>
          <w:rFonts w:cs="Arial"/>
        </w:rPr>
        <w:t xml:space="preserve"> </w:t>
      </w:r>
      <w:r w:rsidR="00223BDA" w:rsidRPr="00EE5690">
        <w:rPr>
          <w:rFonts w:cs="Arial"/>
        </w:rPr>
        <w:t>related</w:t>
      </w:r>
      <w:r w:rsidRPr="00EE5690">
        <w:rPr>
          <w:rFonts w:cs="Arial"/>
        </w:rPr>
        <w:t xml:space="preserve"> variables were</w:t>
      </w:r>
      <w:r w:rsidR="007C1A81" w:rsidRPr="00EE5690">
        <w:rPr>
          <w:rFonts w:cs="Arial"/>
        </w:rPr>
        <w:t xml:space="preserve"> not</w:t>
      </w:r>
      <w:r w:rsidRPr="00EE5690">
        <w:rPr>
          <w:rFonts w:cs="Arial"/>
        </w:rPr>
        <w:t xml:space="preserve"> found for the social </w:t>
      </w:r>
      <w:r w:rsidR="00EF41D3" w:rsidRPr="00EE5690">
        <w:rPr>
          <w:rFonts w:cs="Arial"/>
        </w:rPr>
        <w:t>aspects (e</w:t>
      </w:r>
      <w:r w:rsidR="00A46E27" w:rsidRPr="00EE5690">
        <w:rPr>
          <w:rFonts w:cs="Arial"/>
        </w:rPr>
        <w:t xml:space="preserve">ducation, </w:t>
      </w:r>
      <w:r w:rsidR="00EF41D3" w:rsidRPr="00EE5690">
        <w:rPr>
          <w:rFonts w:cs="Arial"/>
        </w:rPr>
        <w:t>harvesting</w:t>
      </w:r>
      <w:r w:rsidR="00A46E27" w:rsidRPr="00EE5690">
        <w:rPr>
          <w:rFonts w:cs="Arial"/>
        </w:rPr>
        <w:t xml:space="preserve"> of </w:t>
      </w:r>
      <w:r w:rsidR="00EF41D3" w:rsidRPr="00EE5690">
        <w:rPr>
          <w:rFonts w:cs="Arial"/>
        </w:rPr>
        <w:t>non-wood products, hunting, tourism, h</w:t>
      </w:r>
      <w:r w:rsidR="00A46E27" w:rsidRPr="00EE5690">
        <w:rPr>
          <w:rFonts w:cs="Arial"/>
        </w:rPr>
        <w:t xml:space="preserve">ealth and </w:t>
      </w:r>
      <w:r w:rsidR="00EF41D3" w:rsidRPr="00EE5690">
        <w:rPr>
          <w:rFonts w:cs="Arial"/>
        </w:rPr>
        <w:t>wellbeing</w:t>
      </w:r>
      <w:r w:rsidR="00A46E27" w:rsidRPr="00EE5690">
        <w:rPr>
          <w:rFonts w:cs="Arial"/>
        </w:rPr>
        <w:t>)</w:t>
      </w:r>
      <w:r w:rsidR="007C1A81" w:rsidRPr="00EE5690">
        <w:rPr>
          <w:rFonts w:cs="Arial"/>
        </w:rPr>
        <w:t xml:space="preserve"> and only data for the employment and the recreation indicators</w:t>
      </w:r>
      <w:r w:rsidR="00846D07">
        <w:rPr>
          <w:rFonts w:cs="Arial"/>
        </w:rPr>
        <w:t xml:space="preserve"> </w:t>
      </w:r>
      <w:r w:rsidR="00846D07" w:rsidRPr="00EE5690">
        <w:rPr>
          <w:rFonts w:cs="Arial"/>
        </w:rPr>
        <w:t>could be reported</w:t>
      </w:r>
      <w:r w:rsidR="00A46E27" w:rsidRPr="00EE5690">
        <w:rPr>
          <w:rFonts w:cs="Arial"/>
        </w:rPr>
        <w:t xml:space="preserve">. </w:t>
      </w:r>
    </w:p>
    <w:p w14:paraId="4A391463" w14:textId="26E77C63" w:rsidR="00A46E27" w:rsidRPr="00EE5690" w:rsidRDefault="00A46E27" w:rsidP="005D4B20">
      <w:pPr>
        <w:pStyle w:val="MAIL11"/>
      </w:pPr>
      <w:bookmarkStart w:id="119" w:name="_Toc91752406"/>
      <w:r w:rsidRPr="00EE5690">
        <w:t>Data representation</w:t>
      </w:r>
      <w:r w:rsidR="00074641" w:rsidRPr="00EE5690">
        <w:t xml:space="preserve"> and normalization</w:t>
      </w:r>
      <w:bookmarkEnd w:id="119"/>
    </w:p>
    <w:p w14:paraId="2CF42253" w14:textId="58DB17EA" w:rsidR="00A46E27" w:rsidRPr="00EE5690" w:rsidRDefault="00A46E27" w:rsidP="002D2FB4">
      <w:pPr>
        <w:rPr>
          <w:rFonts w:cs="Arial"/>
        </w:rPr>
      </w:pPr>
      <w:r w:rsidRPr="00EE5690">
        <w:rPr>
          <w:rFonts w:cs="Arial"/>
        </w:rPr>
        <w:t xml:space="preserve">Once the variables were identified for each indicator, the data had to be represented over time for </w:t>
      </w:r>
      <w:r w:rsidR="00846D07">
        <w:rPr>
          <w:rFonts w:cs="Arial"/>
        </w:rPr>
        <w:t xml:space="preserve">the </w:t>
      </w:r>
      <w:r w:rsidRPr="00EE5690">
        <w:rPr>
          <w:rFonts w:cs="Arial"/>
        </w:rPr>
        <w:t xml:space="preserve">European Union countries. However, the interpretation of the temporal evolution of the variables for more than 20 countries can be </w:t>
      </w:r>
      <w:r w:rsidR="00846D07">
        <w:rPr>
          <w:rFonts w:cs="Arial"/>
        </w:rPr>
        <w:t>difficult</w:t>
      </w:r>
      <w:r w:rsidRPr="00EE5690">
        <w:rPr>
          <w:rFonts w:cs="Arial"/>
        </w:rPr>
        <w:t xml:space="preserve">. Therefore, the information was aggregated in regional groups following the classification of </w:t>
      </w:r>
      <w:proofErr w:type="spellStart"/>
      <w:r w:rsidRPr="00EE5690">
        <w:rPr>
          <w:rFonts w:cs="Arial"/>
        </w:rPr>
        <w:t>EuroVoc</w:t>
      </w:r>
      <w:proofErr w:type="spellEnd"/>
      <w:r w:rsidRPr="00EE5690">
        <w:rPr>
          <w:rFonts w:cs="Arial"/>
        </w:rPr>
        <w:t>, that divides Europe in 4 regions, Central and Easter Europe</w:t>
      </w:r>
      <w:r w:rsidR="00A624E3" w:rsidRPr="00EE5690">
        <w:rPr>
          <w:rFonts w:cs="Arial"/>
        </w:rPr>
        <w:t xml:space="preserve"> (CEE)</w:t>
      </w:r>
      <w:r w:rsidRPr="00EE5690">
        <w:rPr>
          <w:rFonts w:cs="Arial"/>
        </w:rPr>
        <w:t>, Northern Europe</w:t>
      </w:r>
      <w:r w:rsidR="00A624E3" w:rsidRPr="00EE5690">
        <w:rPr>
          <w:rFonts w:cs="Arial"/>
        </w:rPr>
        <w:t xml:space="preserve"> (NE)</w:t>
      </w:r>
      <w:r w:rsidRPr="00EE5690">
        <w:rPr>
          <w:rFonts w:cs="Arial"/>
        </w:rPr>
        <w:t>, Southern Europe</w:t>
      </w:r>
      <w:r w:rsidR="00A624E3" w:rsidRPr="00EE5690">
        <w:rPr>
          <w:rFonts w:cs="Arial"/>
        </w:rPr>
        <w:t xml:space="preserve"> (SE)</w:t>
      </w:r>
      <w:r w:rsidRPr="00EE5690">
        <w:rPr>
          <w:rFonts w:cs="Arial"/>
        </w:rPr>
        <w:t xml:space="preserve"> and Western Europe</w:t>
      </w:r>
      <w:r w:rsidR="00A624E3" w:rsidRPr="00EE5690">
        <w:rPr>
          <w:rFonts w:cs="Arial"/>
        </w:rPr>
        <w:t xml:space="preserve"> (WE)</w:t>
      </w:r>
      <w:r w:rsidRPr="00EE5690">
        <w:rPr>
          <w:rFonts w:cs="Arial"/>
        </w:rPr>
        <w:t>.</w:t>
      </w:r>
    </w:p>
    <w:p w14:paraId="4AED5028" w14:textId="2B8C1515" w:rsidR="00074641" w:rsidRPr="00EE5690" w:rsidRDefault="00846D07" w:rsidP="00EE5690">
      <w:pPr>
        <w:jc w:val="left"/>
        <w:rPr>
          <w:rFonts w:cs="Arial"/>
        </w:rPr>
      </w:pPr>
      <w:r>
        <w:rPr>
          <w:rFonts w:cs="Arial"/>
          <w:noProof/>
        </w:rPr>
        <mc:AlternateContent>
          <mc:Choice Requires="wpg">
            <w:drawing>
              <wp:anchor distT="0" distB="0" distL="114300" distR="114300" simplePos="0" relativeHeight="251661312" behindDoc="0" locked="0" layoutInCell="1" allowOverlap="1" wp14:anchorId="38118BF0" wp14:editId="762F6A14">
                <wp:simplePos x="0" y="0"/>
                <wp:positionH relativeFrom="column">
                  <wp:posOffset>319174</wp:posOffset>
                </wp:positionH>
                <wp:positionV relativeFrom="paragraph">
                  <wp:posOffset>7620</wp:posOffset>
                </wp:positionV>
                <wp:extent cx="4681855" cy="3642995"/>
                <wp:effectExtent l="0" t="0" r="4445" b="0"/>
                <wp:wrapSquare wrapText="bothSides"/>
                <wp:docPr id="57" name="Group 57"/>
                <wp:cNvGraphicFramePr/>
                <a:graphic xmlns:a="http://schemas.openxmlformats.org/drawingml/2006/main">
                  <a:graphicData uri="http://schemas.microsoft.com/office/word/2010/wordprocessingGroup">
                    <wpg:wgp>
                      <wpg:cNvGrpSpPr/>
                      <wpg:grpSpPr>
                        <a:xfrm>
                          <a:off x="0" y="0"/>
                          <a:ext cx="4681855" cy="3642995"/>
                          <a:chOff x="0" y="0"/>
                          <a:chExt cx="4681855" cy="3642995"/>
                        </a:xfrm>
                      </wpg:grpSpPr>
                      <pic:pic xmlns:pic="http://schemas.openxmlformats.org/drawingml/2006/picture">
                        <pic:nvPicPr>
                          <pic:cNvPr id="16" name="Imagen 1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81855" cy="3642995"/>
                          </a:xfrm>
                          <a:prstGeom prst="rect">
                            <a:avLst/>
                          </a:prstGeom>
                        </pic:spPr>
                      </pic:pic>
                      <wps:wsp>
                        <wps:cNvPr id="217" name="Cuadro de texto 2"/>
                        <wps:cNvSpPr txBox="1">
                          <a:spLocks noChangeArrowheads="1"/>
                        </wps:cNvSpPr>
                        <wps:spPr bwMode="auto">
                          <a:xfrm>
                            <a:off x="0" y="0"/>
                            <a:ext cx="2202872" cy="852055"/>
                          </a:xfrm>
                          <a:prstGeom prst="rect">
                            <a:avLst/>
                          </a:prstGeom>
                          <a:solidFill>
                            <a:srgbClr val="FFFFFF">
                              <a:alpha val="65098"/>
                            </a:srgbClr>
                          </a:solidFill>
                          <a:ln w="9525">
                            <a:solidFill>
                              <a:schemeClr val="bg1">
                                <a:lumMod val="85000"/>
                              </a:schemeClr>
                            </a:solidFill>
                            <a:miter lim="800000"/>
                            <a:headEnd/>
                            <a:tailEnd/>
                          </a:ln>
                        </wps:spPr>
                        <wps:txbx>
                          <w:txbxContent>
                            <w:p w14:paraId="0B9F2CE3" w14:textId="34E482B2" w:rsidR="00E636F7" w:rsidRPr="005A6ADD" w:rsidRDefault="00E636F7" w:rsidP="002261C6">
                              <w:pPr>
                                <w:spacing w:before="0" w:after="0" w:line="240" w:lineRule="auto"/>
                                <w:jc w:val="left"/>
                                <w:rPr>
                                  <w:rFonts w:eastAsia="Times New Roman" w:cs="Arial"/>
                                  <w:b/>
                                  <w:color w:val="000000"/>
                                  <w:szCs w:val="16"/>
                                  <w:bdr w:val="single" w:sz="6" w:space="0" w:color="000000" w:frame="1"/>
                                  <w:shd w:val="clear" w:color="auto" w:fill="E62121"/>
                                  <w:lang w:eastAsia="es-ES"/>
                                </w:rPr>
                              </w:pPr>
                              <w:r w:rsidRPr="002261C6">
                                <w:rPr>
                                  <w:rFonts w:eastAsia="Times New Roman" w:cs="Arial"/>
                                  <w:color w:val="000000"/>
                                  <w:szCs w:val="16"/>
                                  <w:bdr w:val="single" w:sz="6" w:space="0" w:color="000000" w:frame="1"/>
                                  <w:shd w:val="clear" w:color="auto" w:fill="E62121"/>
                                  <w:lang w:eastAsia="es-ES"/>
                                </w:rPr>
                                <w:t xml:space="preserve">   </w:t>
                              </w:r>
                              <w:r w:rsidRPr="005A6ADD">
                                <w:rPr>
                                  <w:rFonts w:eastAsia="Times New Roman" w:cs="Arial"/>
                                  <w:color w:val="000000"/>
                                  <w:szCs w:val="16"/>
                                  <w:bdr w:val="single" w:sz="6" w:space="0" w:color="000000" w:frame="1"/>
                                  <w:shd w:val="clear" w:color="auto" w:fill="E62121"/>
                                  <w:lang w:eastAsia="es-ES"/>
                                </w:rPr>
                                <w:t> </w:t>
                              </w:r>
                              <w:r w:rsidRPr="005A6ADD">
                                <w:rPr>
                                  <w:rFonts w:eastAsia="Times New Roman" w:cs="Arial"/>
                                  <w:color w:val="202122"/>
                                  <w:szCs w:val="16"/>
                                  <w:lang w:eastAsia="es-ES"/>
                                </w:rPr>
                                <w:t> </w:t>
                              </w:r>
                              <w:r w:rsidRPr="002261C6">
                                <w:rPr>
                                  <w:rFonts w:eastAsia="Times New Roman" w:cs="Arial"/>
                                  <w:color w:val="202122"/>
                                  <w:szCs w:val="16"/>
                                  <w:lang w:eastAsia="es-ES"/>
                                </w:rPr>
                                <w:t xml:space="preserve">    </w:t>
                              </w:r>
                              <w:r w:rsidRPr="005A6ADD">
                                <w:rPr>
                                  <w:b/>
                                  <w:sz w:val="18"/>
                                </w:rPr>
                                <w:t>Central and Eastern Europe</w:t>
                              </w:r>
                            </w:p>
                            <w:p w14:paraId="7489AB2C" w14:textId="77777777" w:rsidR="00E636F7" w:rsidRPr="005A6ADD" w:rsidRDefault="00E636F7" w:rsidP="002261C6">
                              <w:pPr>
                                <w:spacing w:before="0" w:after="0" w:line="240" w:lineRule="auto"/>
                                <w:jc w:val="left"/>
                                <w:rPr>
                                  <w:rFonts w:eastAsia="Times New Roman" w:cs="Arial"/>
                                  <w:b/>
                                  <w:color w:val="202122"/>
                                  <w:szCs w:val="16"/>
                                  <w:lang w:eastAsia="es-ES"/>
                                </w:rPr>
                              </w:pPr>
                              <w:r w:rsidRPr="002261C6">
                                <w:rPr>
                                  <w:rFonts w:eastAsia="Times New Roman" w:cs="Arial"/>
                                  <w:color w:val="FFFFFF"/>
                                  <w:szCs w:val="16"/>
                                  <w:bdr w:val="single" w:sz="6" w:space="0" w:color="000000" w:frame="1"/>
                                  <w:shd w:val="clear" w:color="auto" w:fill="0076D3"/>
                                  <w:lang w:eastAsia="es-ES"/>
                                </w:rPr>
                                <w:t xml:space="preserve">   </w:t>
                              </w:r>
                              <w:r w:rsidRPr="005A6ADD">
                                <w:rPr>
                                  <w:rFonts w:eastAsia="Times New Roman" w:cs="Arial"/>
                                  <w:color w:val="FFFFFF"/>
                                  <w:szCs w:val="16"/>
                                  <w:bdr w:val="single" w:sz="6" w:space="0" w:color="000000" w:frame="1"/>
                                  <w:shd w:val="clear" w:color="auto" w:fill="0076D3"/>
                                  <w:lang w:eastAsia="es-ES"/>
                                </w:rPr>
                                <w:t> </w:t>
                              </w:r>
                              <w:r w:rsidRPr="005A6ADD">
                                <w:rPr>
                                  <w:rFonts w:eastAsia="Times New Roman" w:cs="Arial"/>
                                  <w:color w:val="202122"/>
                                  <w:szCs w:val="16"/>
                                  <w:lang w:eastAsia="es-ES"/>
                                </w:rPr>
                                <w:t> </w:t>
                              </w:r>
                              <w:r w:rsidRPr="002261C6">
                                <w:rPr>
                                  <w:rFonts w:eastAsia="Times New Roman" w:cs="Arial"/>
                                  <w:color w:val="202122"/>
                                  <w:szCs w:val="16"/>
                                  <w:lang w:eastAsia="es-ES"/>
                                </w:rPr>
                                <w:t xml:space="preserve">    </w:t>
                              </w:r>
                              <w:r w:rsidRPr="005A6ADD">
                                <w:rPr>
                                  <w:b/>
                                  <w:sz w:val="18"/>
                                </w:rPr>
                                <w:t>Northern Europe</w:t>
                              </w:r>
                            </w:p>
                            <w:p w14:paraId="6078BC59" w14:textId="77777777" w:rsidR="00E636F7" w:rsidRPr="005A6ADD" w:rsidRDefault="00E636F7" w:rsidP="002261C6">
                              <w:pPr>
                                <w:spacing w:before="0" w:after="0" w:line="240" w:lineRule="auto"/>
                                <w:jc w:val="left"/>
                                <w:rPr>
                                  <w:rFonts w:eastAsia="Times New Roman" w:cs="Arial"/>
                                  <w:b/>
                                  <w:color w:val="202122"/>
                                  <w:szCs w:val="16"/>
                                  <w:lang w:eastAsia="es-ES"/>
                                </w:rPr>
                              </w:pPr>
                              <w:r w:rsidRPr="002261C6">
                                <w:rPr>
                                  <w:rFonts w:eastAsia="Times New Roman" w:cs="Arial"/>
                                  <w:color w:val="000000"/>
                                  <w:szCs w:val="16"/>
                                  <w:bdr w:val="single" w:sz="6" w:space="0" w:color="000000" w:frame="1"/>
                                  <w:shd w:val="clear" w:color="auto" w:fill="F6D600"/>
                                  <w:lang w:eastAsia="es-ES"/>
                                </w:rPr>
                                <w:t xml:space="preserve">   </w:t>
                              </w:r>
                              <w:r w:rsidRPr="005A6ADD">
                                <w:rPr>
                                  <w:rFonts w:eastAsia="Times New Roman" w:cs="Arial"/>
                                  <w:color w:val="000000"/>
                                  <w:szCs w:val="16"/>
                                  <w:bdr w:val="single" w:sz="6" w:space="0" w:color="000000" w:frame="1"/>
                                  <w:shd w:val="clear" w:color="auto" w:fill="F6D600"/>
                                  <w:lang w:eastAsia="es-ES"/>
                                </w:rPr>
                                <w:t> </w:t>
                              </w:r>
                              <w:r w:rsidRPr="005A6ADD">
                                <w:rPr>
                                  <w:rFonts w:eastAsia="Times New Roman" w:cs="Arial"/>
                                  <w:color w:val="202122"/>
                                  <w:szCs w:val="16"/>
                                  <w:lang w:eastAsia="es-ES"/>
                                </w:rPr>
                                <w:t> </w:t>
                              </w:r>
                              <w:r w:rsidRPr="002261C6">
                                <w:rPr>
                                  <w:rFonts w:eastAsia="Times New Roman" w:cs="Arial"/>
                                  <w:color w:val="202122"/>
                                  <w:szCs w:val="16"/>
                                  <w:lang w:eastAsia="es-ES"/>
                                </w:rPr>
                                <w:t xml:space="preserve">    </w:t>
                              </w:r>
                              <w:r w:rsidRPr="005A6ADD">
                                <w:rPr>
                                  <w:b/>
                                  <w:sz w:val="18"/>
                                </w:rPr>
                                <w:t>Southern Europe</w:t>
                              </w:r>
                            </w:p>
                            <w:p w14:paraId="12DE7954" w14:textId="77777777" w:rsidR="00E636F7" w:rsidRPr="005A6ADD" w:rsidRDefault="00E636F7" w:rsidP="002261C6">
                              <w:pPr>
                                <w:spacing w:before="0" w:after="0" w:line="240" w:lineRule="auto"/>
                                <w:jc w:val="left"/>
                                <w:rPr>
                                  <w:rFonts w:eastAsia="Times New Roman" w:cs="Arial"/>
                                  <w:b/>
                                  <w:color w:val="202122"/>
                                  <w:szCs w:val="16"/>
                                  <w:lang w:eastAsia="es-ES"/>
                                </w:rPr>
                              </w:pPr>
                              <w:r w:rsidRPr="00224F5C">
                                <w:rPr>
                                  <w:rFonts w:eastAsia="Times New Roman" w:cs="Arial"/>
                                  <w:color w:val="000000"/>
                                  <w:szCs w:val="16"/>
                                  <w:bdr w:val="single" w:sz="4" w:space="0" w:color="auto"/>
                                  <w:shd w:val="clear" w:color="auto" w:fill="67E863"/>
                                  <w:lang w:eastAsia="es-ES"/>
                                </w:rPr>
                                <w:t xml:space="preserve">    </w:t>
                              </w:r>
                              <w:r w:rsidRPr="005A6ADD">
                                <w:rPr>
                                  <w:rFonts w:eastAsia="Times New Roman" w:cs="Arial"/>
                                  <w:color w:val="202122"/>
                                  <w:szCs w:val="16"/>
                                  <w:lang w:eastAsia="es-ES"/>
                                </w:rPr>
                                <w:t> </w:t>
                              </w:r>
                              <w:r w:rsidRPr="002261C6">
                                <w:rPr>
                                  <w:rFonts w:eastAsia="Times New Roman" w:cs="Arial"/>
                                  <w:color w:val="202122"/>
                                  <w:szCs w:val="16"/>
                                  <w:lang w:eastAsia="es-ES"/>
                                </w:rPr>
                                <w:t xml:space="preserve">    </w:t>
                              </w:r>
                              <w:r w:rsidRPr="005A6ADD">
                                <w:rPr>
                                  <w:b/>
                                  <w:sz w:val="18"/>
                                </w:rPr>
                                <w:t>Western Europe</w:t>
                              </w:r>
                            </w:p>
                            <w:p w14:paraId="7EBF647D" w14:textId="5345B95A" w:rsidR="00E636F7" w:rsidRPr="002261C6" w:rsidRDefault="00E636F7">
                              <w:pPr>
                                <w:rPr>
                                  <w:lang w:val="es-ES"/>
                                </w:rPr>
                              </w:pPr>
                            </w:p>
                          </w:txbxContent>
                        </wps:txbx>
                        <wps:bodyPr rot="0" vert="horz" wrap="square" lIns="91440" tIns="45720" rIns="91440" bIns="45720" anchor="t" anchorCtr="0">
                          <a:noAutofit/>
                        </wps:bodyPr>
                      </wps:wsp>
                    </wpg:wgp>
                  </a:graphicData>
                </a:graphic>
              </wp:anchor>
            </w:drawing>
          </mc:Choice>
          <mc:Fallback>
            <w:pict>
              <v:group w14:anchorId="38118BF0" id="Group 57" o:spid="_x0000_s1026" style="position:absolute;margin-left:25.15pt;margin-top:.6pt;width:368.65pt;height:286.85pt;z-index:251661312" coordsize="46818,36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6" o:spid="_x0000_s1027" type="#_x0000_t75" style="position:absolute;width:46818;height:36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">
                  <v:imagedata r:id="rId52" o:title=""/>
                </v:shape>
                <v:shapetype id="_x0000_t202" coordsize="21600,21600" o:spt="202" path="m,l,21600r21600,l21600,xe">
                  <v:stroke joinstyle="miter"/>
                  <v:path gradientshapeok="t" o:connecttype="rect"/>
                </v:shapetype>
                <v:shape id="Cuadro de texto 2" o:spid="_x0000_s1028" type="#_x0000_t202" style="position:absolute;width:22028;height:8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" strokecolor="#d8d8d8 [2732]">
                  <v:fill opacity="42662f"/>
                  <v:textbox>
                    <w:txbxContent>
                      <w:p w14:paraId="0B9F2CE3" w14:textId="34E482B2" w:rsidR="00E636F7" w:rsidRPr="005A6ADD" w:rsidRDefault="00E636F7" w:rsidP="002261C6">
                        <w:pPr>
                          <w:spacing w:before="0" w:after="0" w:line="240" w:lineRule="auto"/>
                          <w:jc w:val="left"/>
                          <w:rPr>
                            <w:rFonts w:eastAsia="Times New Roman" w:cs="Arial"/>
                            <w:b/>
                            <w:color w:val="000000"/>
                            <w:szCs w:val="16"/>
                            <w:bdr w:val="single" w:sz="6" w:space="0" w:color="000000" w:frame="1"/>
                            <w:shd w:val="clear" w:color="auto" w:fill="E62121"/>
                            <w:lang w:eastAsia="es-ES"/>
                          </w:rPr>
                        </w:pPr>
                        <w:r w:rsidRPr="002261C6">
                          <w:rPr>
                            <w:rFonts w:eastAsia="Times New Roman" w:cs="Arial"/>
                            <w:color w:val="000000"/>
                            <w:szCs w:val="16"/>
                            <w:bdr w:val="single" w:sz="6" w:space="0" w:color="000000" w:frame="1"/>
                            <w:shd w:val="clear" w:color="auto" w:fill="E62121"/>
                            <w:lang w:eastAsia="es-ES"/>
                          </w:rPr>
                          <w:t xml:space="preserve">   </w:t>
                        </w:r>
                        <w:r w:rsidRPr="005A6ADD">
                          <w:rPr>
                            <w:rFonts w:eastAsia="Times New Roman" w:cs="Arial"/>
                            <w:color w:val="000000"/>
                            <w:szCs w:val="16"/>
                            <w:bdr w:val="single" w:sz="6" w:space="0" w:color="000000" w:frame="1"/>
                            <w:shd w:val="clear" w:color="auto" w:fill="E62121"/>
                            <w:lang w:eastAsia="es-ES"/>
                          </w:rPr>
                          <w:t> </w:t>
                        </w:r>
                        <w:r w:rsidRPr="005A6ADD">
                          <w:rPr>
                            <w:rFonts w:eastAsia="Times New Roman" w:cs="Arial"/>
                            <w:color w:val="202122"/>
                            <w:szCs w:val="16"/>
                            <w:lang w:eastAsia="es-ES"/>
                          </w:rPr>
                          <w:t> </w:t>
                        </w:r>
                        <w:r w:rsidRPr="002261C6">
                          <w:rPr>
                            <w:rFonts w:eastAsia="Times New Roman" w:cs="Arial"/>
                            <w:color w:val="202122"/>
                            <w:szCs w:val="16"/>
                            <w:lang w:eastAsia="es-ES"/>
                          </w:rPr>
                          <w:t xml:space="preserve">    </w:t>
                        </w:r>
                        <w:r w:rsidRPr="005A6ADD">
                          <w:rPr>
                            <w:b/>
                            <w:sz w:val="18"/>
                          </w:rPr>
                          <w:t>Central and Eastern Europe</w:t>
                        </w:r>
                      </w:p>
                      <w:p w14:paraId="7489AB2C" w14:textId="77777777" w:rsidR="00E636F7" w:rsidRPr="005A6ADD" w:rsidRDefault="00E636F7" w:rsidP="002261C6">
                        <w:pPr>
                          <w:spacing w:before="0" w:after="0" w:line="240" w:lineRule="auto"/>
                          <w:jc w:val="left"/>
                          <w:rPr>
                            <w:rFonts w:eastAsia="Times New Roman" w:cs="Arial"/>
                            <w:b/>
                            <w:color w:val="202122"/>
                            <w:szCs w:val="16"/>
                            <w:lang w:eastAsia="es-ES"/>
                          </w:rPr>
                        </w:pPr>
                        <w:r w:rsidRPr="002261C6">
                          <w:rPr>
                            <w:rFonts w:eastAsia="Times New Roman" w:cs="Arial"/>
                            <w:color w:val="FFFFFF"/>
                            <w:szCs w:val="16"/>
                            <w:bdr w:val="single" w:sz="6" w:space="0" w:color="000000" w:frame="1"/>
                            <w:shd w:val="clear" w:color="auto" w:fill="0076D3"/>
                            <w:lang w:eastAsia="es-ES"/>
                          </w:rPr>
                          <w:t xml:space="preserve">   </w:t>
                        </w:r>
                        <w:r w:rsidRPr="005A6ADD">
                          <w:rPr>
                            <w:rFonts w:eastAsia="Times New Roman" w:cs="Arial"/>
                            <w:color w:val="FFFFFF"/>
                            <w:szCs w:val="16"/>
                            <w:bdr w:val="single" w:sz="6" w:space="0" w:color="000000" w:frame="1"/>
                            <w:shd w:val="clear" w:color="auto" w:fill="0076D3"/>
                            <w:lang w:eastAsia="es-ES"/>
                          </w:rPr>
                          <w:t> </w:t>
                        </w:r>
                        <w:r w:rsidRPr="005A6ADD">
                          <w:rPr>
                            <w:rFonts w:eastAsia="Times New Roman" w:cs="Arial"/>
                            <w:color w:val="202122"/>
                            <w:szCs w:val="16"/>
                            <w:lang w:eastAsia="es-ES"/>
                          </w:rPr>
                          <w:t> </w:t>
                        </w:r>
                        <w:r w:rsidRPr="002261C6">
                          <w:rPr>
                            <w:rFonts w:eastAsia="Times New Roman" w:cs="Arial"/>
                            <w:color w:val="202122"/>
                            <w:szCs w:val="16"/>
                            <w:lang w:eastAsia="es-ES"/>
                          </w:rPr>
                          <w:t xml:space="preserve">    </w:t>
                        </w:r>
                        <w:r w:rsidRPr="005A6ADD">
                          <w:rPr>
                            <w:b/>
                            <w:sz w:val="18"/>
                          </w:rPr>
                          <w:t>Northern Europe</w:t>
                        </w:r>
                      </w:p>
                      <w:p w14:paraId="6078BC59" w14:textId="77777777" w:rsidR="00E636F7" w:rsidRPr="005A6ADD" w:rsidRDefault="00E636F7" w:rsidP="002261C6">
                        <w:pPr>
                          <w:spacing w:before="0" w:after="0" w:line="240" w:lineRule="auto"/>
                          <w:jc w:val="left"/>
                          <w:rPr>
                            <w:rFonts w:eastAsia="Times New Roman" w:cs="Arial"/>
                            <w:b/>
                            <w:color w:val="202122"/>
                            <w:szCs w:val="16"/>
                            <w:lang w:eastAsia="es-ES"/>
                          </w:rPr>
                        </w:pPr>
                        <w:r w:rsidRPr="002261C6">
                          <w:rPr>
                            <w:rFonts w:eastAsia="Times New Roman" w:cs="Arial"/>
                            <w:color w:val="000000"/>
                            <w:szCs w:val="16"/>
                            <w:bdr w:val="single" w:sz="6" w:space="0" w:color="000000" w:frame="1"/>
                            <w:shd w:val="clear" w:color="auto" w:fill="F6D600"/>
                            <w:lang w:eastAsia="es-ES"/>
                          </w:rPr>
                          <w:t xml:space="preserve">   </w:t>
                        </w:r>
                        <w:r w:rsidRPr="005A6ADD">
                          <w:rPr>
                            <w:rFonts w:eastAsia="Times New Roman" w:cs="Arial"/>
                            <w:color w:val="000000"/>
                            <w:szCs w:val="16"/>
                            <w:bdr w:val="single" w:sz="6" w:space="0" w:color="000000" w:frame="1"/>
                            <w:shd w:val="clear" w:color="auto" w:fill="F6D600"/>
                            <w:lang w:eastAsia="es-ES"/>
                          </w:rPr>
                          <w:t> </w:t>
                        </w:r>
                        <w:r w:rsidRPr="005A6ADD">
                          <w:rPr>
                            <w:rFonts w:eastAsia="Times New Roman" w:cs="Arial"/>
                            <w:color w:val="202122"/>
                            <w:szCs w:val="16"/>
                            <w:lang w:eastAsia="es-ES"/>
                          </w:rPr>
                          <w:t> </w:t>
                        </w:r>
                        <w:r w:rsidRPr="002261C6">
                          <w:rPr>
                            <w:rFonts w:eastAsia="Times New Roman" w:cs="Arial"/>
                            <w:color w:val="202122"/>
                            <w:szCs w:val="16"/>
                            <w:lang w:eastAsia="es-ES"/>
                          </w:rPr>
                          <w:t xml:space="preserve">    </w:t>
                        </w:r>
                        <w:r w:rsidRPr="005A6ADD">
                          <w:rPr>
                            <w:b/>
                            <w:sz w:val="18"/>
                          </w:rPr>
                          <w:t>Southern Europe</w:t>
                        </w:r>
                      </w:p>
                      <w:p w14:paraId="12DE7954" w14:textId="77777777" w:rsidR="00E636F7" w:rsidRPr="005A6ADD" w:rsidRDefault="00E636F7" w:rsidP="002261C6">
                        <w:pPr>
                          <w:spacing w:before="0" w:after="0" w:line="240" w:lineRule="auto"/>
                          <w:jc w:val="left"/>
                          <w:rPr>
                            <w:rFonts w:eastAsia="Times New Roman" w:cs="Arial"/>
                            <w:b/>
                            <w:color w:val="202122"/>
                            <w:szCs w:val="16"/>
                            <w:lang w:eastAsia="es-ES"/>
                          </w:rPr>
                        </w:pPr>
                        <w:r w:rsidRPr="00224F5C">
                          <w:rPr>
                            <w:rFonts w:eastAsia="Times New Roman" w:cs="Arial"/>
                            <w:color w:val="000000"/>
                            <w:szCs w:val="16"/>
                            <w:bdr w:val="single" w:sz="4" w:space="0" w:color="auto"/>
                            <w:shd w:val="clear" w:color="auto" w:fill="67E863"/>
                            <w:lang w:eastAsia="es-ES"/>
                          </w:rPr>
                          <w:t xml:space="preserve">    </w:t>
                        </w:r>
                        <w:r w:rsidRPr="005A6ADD">
                          <w:rPr>
                            <w:rFonts w:eastAsia="Times New Roman" w:cs="Arial"/>
                            <w:color w:val="202122"/>
                            <w:szCs w:val="16"/>
                            <w:lang w:eastAsia="es-ES"/>
                          </w:rPr>
                          <w:t> </w:t>
                        </w:r>
                        <w:r w:rsidRPr="002261C6">
                          <w:rPr>
                            <w:rFonts w:eastAsia="Times New Roman" w:cs="Arial"/>
                            <w:color w:val="202122"/>
                            <w:szCs w:val="16"/>
                            <w:lang w:eastAsia="es-ES"/>
                          </w:rPr>
                          <w:t xml:space="preserve">    </w:t>
                        </w:r>
                        <w:r w:rsidRPr="005A6ADD">
                          <w:rPr>
                            <w:b/>
                            <w:sz w:val="18"/>
                          </w:rPr>
                          <w:t>Western Europe</w:t>
                        </w:r>
                      </w:p>
                      <w:p w14:paraId="7EBF647D" w14:textId="5345B95A" w:rsidR="00E636F7" w:rsidRPr="002261C6" w:rsidRDefault="00E636F7">
                        <w:pPr>
                          <w:rPr>
                            <w:lang w:val="es-ES"/>
                          </w:rPr>
                        </w:pPr>
                      </w:p>
                    </w:txbxContent>
                  </v:textbox>
                </v:shape>
                <w10:wrap type="square"/>
              </v:group>
            </w:pict>
          </mc:Fallback>
        </mc:AlternateContent>
      </w:r>
    </w:p>
    <w:p w14:paraId="26D223D0" w14:textId="06C992B2" w:rsidR="005A6ADD" w:rsidRPr="00EE5690" w:rsidRDefault="005A6ADD" w:rsidP="00EE5690">
      <w:pPr>
        <w:keepNext/>
        <w:jc w:val="left"/>
        <w:rPr>
          <w:rFonts w:cs="Arial"/>
        </w:rPr>
      </w:pPr>
    </w:p>
    <w:p w14:paraId="50830A75" w14:textId="5C8C3C53" w:rsidR="00074641" w:rsidRPr="00AC0F0B" w:rsidRDefault="00074641" w:rsidP="00846D07">
      <w:pPr>
        <w:pStyle w:val="Caption"/>
        <w:rPr>
          <w:rFonts w:cs="Arial"/>
        </w:rPr>
      </w:pPr>
      <w:bookmarkStart w:id="120" w:name="_Toc91752510"/>
      <w:r w:rsidRPr="00AC0F0B">
        <w:rPr>
          <w:rFonts w:cs="Arial"/>
        </w:rPr>
        <w:t xml:space="preserve">Figure </w:t>
      </w:r>
      <w:r w:rsidRPr="00AC0F0B">
        <w:rPr>
          <w:rFonts w:cs="Arial"/>
        </w:rPr>
        <w:fldChar w:fldCharType="begin"/>
      </w:r>
      <w:r w:rsidRPr="00AC0F0B">
        <w:rPr>
          <w:rFonts w:cs="Arial"/>
        </w:rPr>
        <w:instrText xml:space="preserve"> SEQ Figure \* ARABIC </w:instrText>
      </w:r>
      <w:r w:rsidRPr="00AC0F0B">
        <w:rPr>
          <w:rFonts w:cs="Arial"/>
        </w:rPr>
        <w:fldChar w:fldCharType="separate"/>
      </w:r>
      <w:r w:rsidR="0073710A">
        <w:rPr>
          <w:rFonts w:cs="Arial"/>
          <w:noProof/>
        </w:rPr>
        <w:t>26</w:t>
      </w:r>
      <w:r w:rsidRPr="00AC0F0B">
        <w:rPr>
          <w:rFonts w:cs="Arial"/>
        </w:rPr>
        <w:fldChar w:fldCharType="end"/>
      </w:r>
      <w:r w:rsidRPr="00AC0F0B">
        <w:rPr>
          <w:rFonts w:cs="Arial"/>
        </w:rPr>
        <w:t xml:space="preserve">. </w:t>
      </w:r>
      <w:r w:rsidR="002261C6" w:rsidRPr="00AC0F0B">
        <w:rPr>
          <w:rFonts w:cs="Arial"/>
        </w:rPr>
        <w:t xml:space="preserve">European regional groups by </w:t>
      </w:r>
      <w:proofErr w:type="spellStart"/>
      <w:r w:rsidR="002261C6" w:rsidRPr="00AC0F0B">
        <w:rPr>
          <w:rFonts w:cs="Arial"/>
        </w:rPr>
        <w:t>EuroVoc</w:t>
      </w:r>
      <w:proofErr w:type="spellEnd"/>
      <w:r w:rsidR="002261C6" w:rsidRPr="00AC0F0B">
        <w:rPr>
          <w:rFonts w:cs="Arial"/>
        </w:rPr>
        <w:t xml:space="preserve">. Map by </w:t>
      </w:r>
      <w:proofErr w:type="spellStart"/>
      <w:r w:rsidR="002261C6" w:rsidRPr="00AC0F0B">
        <w:rPr>
          <w:rFonts w:cs="Arial"/>
        </w:rPr>
        <w:t>Samotny</w:t>
      </w:r>
      <w:proofErr w:type="spellEnd"/>
      <w:r w:rsidR="002261C6" w:rsidRPr="00AC0F0B">
        <w:rPr>
          <w:rFonts w:cs="Arial"/>
        </w:rPr>
        <w:t xml:space="preserve"> </w:t>
      </w:r>
      <w:proofErr w:type="spellStart"/>
      <w:r w:rsidR="002261C6" w:rsidRPr="00AC0F0B">
        <w:rPr>
          <w:rFonts w:cs="Arial"/>
        </w:rPr>
        <w:t>Wędrowiec</w:t>
      </w:r>
      <w:proofErr w:type="spellEnd"/>
      <w:r w:rsidR="002261C6" w:rsidRPr="00AC0F0B">
        <w:rPr>
          <w:rFonts w:cs="Arial"/>
        </w:rPr>
        <w:t xml:space="preserve"> </w:t>
      </w:r>
      <w:r w:rsidRPr="00AC0F0B">
        <w:rPr>
          <w:rFonts w:cs="Arial"/>
        </w:rPr>
        <w:t>based on this design: https://commons.wikimedia.org/wiki/File:Map_of_Europe_(political).png, CC BY-SA 3.0, https://en.wikipedia.org/w/index.php?curid=42792537</w:t>
      </w:r>
      <w:r w:rsidR="002261C6" w:rsidRPr="00AC0F0B">
        <w:rPr>
          <w:rFonts w:cs="Arial"/>
        </w:rPr>
        <w:t>.</w:t>
      </w:r>
      <w:bookmarkEnd w:id="120"/>
    </w:p>
    <w:p w14:paraId="40EF3AF0" w14:textId="7F1CA356" w:rsidR="00121196" w:rsidRPr="00EE5690" w:rsidRDefault="00074641" w:rsidP="002D2FB4">
      <w:pPr>
        <w:rPr>
          <w:rFonts w:cs="Arial"/>
        </w:rPr>
      </w:pPr>
      <w:r w:rsidRPr="00EE5690">
        <w:rPr>
          <w:rFonts w:cs="Arial"/>
        </w:rPr>
        <w:t xml:space="preserve">When aggregating the data in groups, the dimensionality of the data </w:t>
      </w:r>
      <w:r w:rsidR="00421915" w:rsidRPr="00EE5690">
        <w:rPr>
          <w:rFonts w:cs="Arial"/>
        </w:rPr>
        <w:t>is</w:t>
      </w:r>
      <w:r w:rsidRPr="00EE5690">
        <w:rPr>
          <w:rFonts w:cs="Arial"/>
        </w:rPr>
        <w:t xml:space="preserve"> changed and the comparison between groups becomes confusing. To compare the different groups, the </w:t>
      </w:r>
      <w:r w:rsidRPr="00EE5690">
        <w:rPr>
          <w:rFonts w:cs="Arial"/>
        </w:rPr>
        <w:lastRenderedPageBreak/>
        <w:t xml:space="preserve">data must be normalized according to a given unit or factor. The unit or factor to normalize by </w:t>
      </w:r>
      <w:r w:rsidR="00421915" w:rsidRPr="00EE5690">
        <w:rPr>
          <w:rFonts w:cs="Arial"/>
        </w:rPr>
        <w:t>was</w:t>
      </w:r>
      <w:r w:rsidRPr="00EE5690">
        <w:rPr>
          <w:rFonts w:cs="Arial"/>
        </w:rPr>
        <w:t xml:space="preserve"> selected depending on the nature of the data. Given that the sustainability aspects are 3: Social, Environmental and Financial, those same 3 categories were used for selecting the datasets. In addition, the datasets chosen for data normalization were grouped by regional groups and countries.</w:t>
      </w:r>
    </w:p>
    <w:p w14:paraId="06EC76D5" w14:textId="54F07917" w:rsidR="00074641" w:rsidRPr="00EE5690" w:rsidRDefault="00074641" w:rsidP="00A01330">
      <w:pPr>
        <w:pStyle w:val="ListParagraph"/>
        <w:numPr>
          <w:ilvl w:val="0"/>
          <w:numId w:val="12"/>
        </w:numPr>
        <w:rPr>
          <w:rFonts w:cs="Arial"/>
        </w:rPr>
      </w:pPr>
      <w:r w:rsidRPr="00EE5690">
        <w:rPr>
          <w:rFonts w:cs="Arial"/>
        </w:rPr>
        <w:t>For environmental data normalization, the forest area is introduced as one of the key factors to determine how the environmental aspects are distributed in the forested area of the regional group</w:t>
      </w:r>
      <w:r w:rsidR="00480F54" w:rsidRPr="00EE5690">
        <w:rPr>
          <w:rFonts w:cs="Arial"/>
        </w:rPr>
        <w:t>s</w:t>
      </w:r>
    </w:p>
    <w:p w14:paraId="75FDDA45" w14:textId="11C3AFB4" w:rsidR="00074641" w:rsidRPr="00EE5690" w:rsidRDefault="00074641" w:rsidP="00A01330">
      <w:pPr>
        <w:pStyle w:val="ListParagraph"/>
        <w:numPr>
          <w:ilvl w:val="0"/>
          <w:numId w:val="12"/>
        </w:numPr>
        <w:rPr>
          <w:rFonts w:cs="Arial"/>
        </w:rPr>
      </w:pPr>
      <w:r w:rsidRPr="00EE5690">
        <w:rPr>
          <w:rFonts w:cs="Arial"/>
        </w:rPr>
        <w:t>The social aspects will be normalized majorly with the number of workers associated to a given economic activity. These datasets are used as well in the normalization of economic data.</w:t>
      </w:r>
    </w:p>
    <w:p w14:paraId="15ACAB29" w14:textId="7D8A6D7D" w:rsidR="00916DE9" w:rsidRPr="00846D07" w:rsidRDefault="00074641" w:rsidP="00846D07">
      <w:pPr>
        <w:pStyle w:val="ListParagraph"/>
        <w:numPr>
          <w:ilvl w:val="0"/>
          <w:numId w:val="12"/>
        </w:numPr>
        <w:rPr>
          <w:rFonts w:cs="Arial"/>
        </w:rPr>
      </w:pPr>
      <w:r w:rsidRPr="00EE5690">
        <w:rPr>
          <w:rFonts w:cs="Arial"/>
        </w:rPr>
        <w:t>Economic data are normalized by the Gross Value Added</w:t>
      </w:r>
      <w:r w:rsidR="00051243" w:rsidRPr="00EE5690">
        <w:rPr>
          <w:rFonts w:cs="Arial"/>
        </w:rPr>
        <w:t xml:space="preserve"> (GVA)</w:t>
      </w:r>
      <w:r w:rsidRPr="00EE5690">
        <w:rPr>
          <w:rFonts w:cs="Arial"/>
        </w:rPr>
        <w:t xml:space="preserve"> of the forest sector</w:t>
      </w:r>
      <w:r w:rsidR="0078738B" w:rsidRPr="00EE5690">
        <w:rPr>
          <w:rFonts w:cs="Arial"/>
        </w:rPr>
        <w:t>, which is the contribution of the forest sector to the Gross Domestic Product (GDP).</w:t>
      </w:r>
    </w:p>
    <w:p w14:paraId="58609CEE" w14:textId="4A7AA529" w:rsidR="00FC4FC5" w:rsidRPr="00EE5690" w:rsidRDefault="00FC4FC5" w:rsidP="005D4B20">
      <w:pPr>
        <w:pStyle w:val="MAIL11"/>
      </w:pPr>
      <w:bookmarkStart w:id="121" w:name="financial"/>
      <w:bookmarkStart w:id="122" w:name="_Toc91752407"/>
      <w:r w:rsidRPr="00EE5690">
        <w:t>Financial</w:t>
      </w:r>
      <w:bookmarkEnd w:id="121"/>
      <w:bookmarkEnd w:id="122"/>
    </w:p>
    <w:p w14:paraId="0D71321A" w14:textId="6F806797" w:rsidR="00FC4FC5" w:rsidRPr="00EE5690" w:rsidRDefault="00FC4FC5" w:rsidP="002D2FB4">
      <w:pPr>
        <w:pStyle w:val="FirstParagraph"/>
        <w:spacing w:line="360" w:lineRule="auto"/>
        <w:jc w:val="both"/>
        <w:rPr>
          <w:rFonts w:ascii="Arial" w:hAnsi="Arial" w:cs="Arial"/>
          <w:sz w:val="22"/>
          <w:szCs w:val="22"/>
        </w:rPr>
      </w:pPr>
      <w:r w:rsidRPr="00EE5690">
        <w:rPr>
          <w:rFonts w:ascii="Arial" w:hAnsi="Arial" w:cs="Arial"/>
          <w:sz w:val="22"/>
          <w:szCs w:val="22"/>
        </w:rPr>
        <w:t>In this section the indicators</w:t>
      </w:r>
      <w:r w:rsidR="00FB6EC2" w:rsidRPr="00EE5690">
        <w:rPr>
          <w:rFonts w:ascii="Arial" w:hAnsi="Arial" w:cs="Arial"/>
          <w:sz w:val="22"/>
          <w:szCs w:val="22"/>
        </w:rPr>
        <w:t xml:space="preserve"> are referred to the economical aspect of the sustainability, and they </w:t>
      </w:r>
      <w:r w:rsidRPr="00EE5690">
        <w:rPr>
          <w:rFonts w:ascii="Arial" w:hAnsi="Arial" w:cs="Arial"/>
          <w:sz w:val="22"/>
          <w:szCs w:val="22"/>
        </w:rPr>
        <w:t xml:space="preserve">are categorized in Costs and Income. Therefore, the data gathered in this section is economic and the </w:t>
      </w:r>
      <w:r w:rsidR="00FB6EC2" w:rsidRPr="00EE5690">
        <w:rPr>
          <w:rFonts w:ascii="Arial" w:hAnsi="Arial" w:cs="Arial"/>
          <w:sz w:val="22"/>
          <w:szCs w:val="22"/>
        </w:rPr>
        <w:t>variables</w:t>
      </w:r>
      <w:r w:rsidRPr="00EE5690">
        <w:rPr>
          <w:rFonts w:ascii="Arial" w:hAnsi="Arial" w:cs="Arial"/>
          <w:sz w:val="22"/>
          <w:szCs w:val="22"/>
        </w:rPr>
        <w:t xml:space="preserve"> are expressed in euros.</w:t>
      </w:r>
    </w:p>
    <w:p w14:paraId="4A9BC88A" w14:textId="6B04EB2A" w:rsidR="00FC4FC5" w:rsidRPr="00EE5690" w:rsidRDefault="00FC4FC5" w:rsidP="009E12D8">
      <w:pPr>
        <w:pStyle w:val="MAIL111"/>
      </w:pPr>
      <w:bookmarkStart w:id="123" w:name="implementation-plan-costs"/>
      <w:bookmarkStart w:id="124" w:name="_Toc91752408"/>
      <w:r w:rsidRPr="00EE5690">
        <w:t>Implementation plan (Costs)</w:t>
      </w:r>
      <w:bookmarkEnd w:id="123"/>
      <w:bookmarkEnd w:id="124"/>
    </w:p>
    <w:p w14:paraId="4B335D47" w14:textId="38C757F9" w:rsidR="00223BDA" w:rsidRPr="00EE5690" w:rsidRDefault="00FC4FC5" w:rsidP="002D2FB4">
      <w:pPr>
        <w:rPr>
          <w:rFonts w:cs="Arial"/>
        </w:rPr>
      </w:pPr>
      <w:r w:rsidRPr="00EE5690">
        <w:rPr>
          <w:rFonts w:cs="Arial"/>
        </w:rPr>
        <w:t xml:space="preserve">The datasets related to the implementation costs of </w:t>
      </w:r>
      <w:r w:rsidR="00EF41D3" w:rsidRPr="00EE5690">
        <w:rPr>
          <w:rFonts w:cs="Arial"/>
        </w:rPr>
        <w:t>an</w:t>
      </w:r>
      <w:r w:rsidR="0071589D" w:rsidRPr="00EE5690">
        <w:rPr>
          <w:rFonts w:cs="Arial"/>
        </w:rPr>
        <w:t xml:space="preserve"> environmental project </w:t>
      </w:r>
      <w:r w:rsidRPr="00EE5690">
        <w:rPr>
          <w:rFonts w:cs="Arial"/>
        </w:rPr>
        <w:t xml:space="preserve">were found </w:t>
      </w:r>
      <w:r w:rsidR="0071589D" w:rsidRPr="00EE5690">
        <w:rPr>
          <w:rFonts w:cs="Arial"/>
        </w:rPr>
        <w:t>i</w:t>
      </w:r>
      <w:r w:rsidRPr="00EE5690">
        <w:rPr>
          <w:rFonts w:cs="Arial"/>
        </w:rPr>
        <w:t xml:space="preserve">n </w:t>
      </w:r>
      <w:r w:rsidR="00EF41D3" w:rsidRPr="00EE5690">
        <w:rPr>
          <w:rFonts w:cs="Arial"/>
        </w:rPr>
        <w:t>a</w:t>
      </w:r>
      <w:r w:rsidRPr="00EE5690">
        <w:rPr>
          <w:rFonts w:cs="Arial"/>
        </w:rPr>
        <w:t xml:space="preserve"> forest economic aggregate dataset where equipment and tree plantation are considered</w:t>
      </w:r>
      <w:r w:rsidR="0071589D" w:rsidRPr="00EE5690">
        <w:rPr>
          <w:rFonts w:cs="Arial"/>
        </w:rPr>
        <w:t>. These datasets were normalized by the GVA of the forestry sector.</w:t>
      </w:r>
    </w:p>
    <w:p w14:paraId="5F9C7472" w14:textId="01F07554" w:rsidR="00244030" w:rsidRPr="00EE5690" w:rsidRDefault="00244030" w:rsidP="002D2FB4">
      <w:pPr>
        <w:rPr>
          <w:rFonts w:cs="Arial"/>
        </w:rPr>
      </w:pPr>
    </w:p>
    <w:p w14:paraId="3EABCE8D" w14:textId="271E0693" w:rsidR="008357F5" w:rsidRPr="00EE5690" w:rsidRDefault="00141716" w:rsidP="00BA109C">
      <w:pPr>
        <w:keepNext/>
        <w:jc w:val="center"/>
        <w:rPr>
          <w:rFonts w:cs="Arial"/>
        </w:rPr>
      </w:pPr>
      <w:r w:rsidRPr="00EE5690">
        <w:rPr>
          <w:rFonts w:cs="Arial"/>
          <w:noProof/>
          <w:lang w:val="es-ES" w:eastAsia="es-ES"/>
        </w:rPr>
        <w:lastRenderedPageBreak/>
        <w:drawing>
          <wp:inline distT="0" distB="0" distL="0" distR="0" wp14:anchorId="49330407" wp14:editId="411C1B49">
            <wp:extent cx="5400675" cy="3857625"/>
            <wp:effectExtent l="0" t="0" r="952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FCF_building_equipment.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inline>
        </w:drawing>
      </w:r>
    </w:p>
    <w:p w14:paraId="00D1D2DD" w14:textId="4B90BE0A" w:rsidR="00FC4FC5" w:rsidRPr="00AC0F0B" w:rsidRDefault="008357F5" w:rsidP="00BA109C">
      <w:pPr>
        <w:pStyle w:val="Caption"/>
        <w:rPr>
          <w:rFonts w:cs="Arial"/>
        </w:rPr>
      </w:pPr>
      <w:bookmarkStart w:id="125" w:name="_Toc91752511"/>
      <w:r w:rsidRPr="00AC0F0B">
        <w:rPr>
          <w:rFonts w:cs="Arial"/>
        </w:rPr>
        <w:t xml:space="preserve">Figure </w:t>
      </w:r>
      <w:r w:rsidRPr="00AC0F0B">
        <w:rPr>
          <w:rFonts w:cs="Arial"/>
        </w:rPr>
        <w:fldChar w:fldCharType="begin"/>
      </w:r>
      <w:r w:rsidRPr="00AC0F0B">
        <w:rPr>
          <w:rFonts w:cs="Arial"/>
        </w:rPr>
        <w:instrText xml:space="preserve"> SEQ Figure \* ARABIC </w:instrText>
      </w:r>
      <w:r w:rsidRPr="00AC0F0B">
        <w:rPr>
          <w:rFonts w:cs="Arial"/>
        </w:rPr>
        <w:fldChar w:fldCharType="separate"/>
      </w:r>
      <w:r w:rsidR="0073710A">
        <w:rPr>
          <w:rFonts w:cs="Arial"/>
          <w:noProof/>
        </w:rPr>
        <w:t>27</w:t>
      </w:r>
      <w:r w:rsidRPr="00AC0F0B">
        <w:rPr>
          <w:rFonts w:cs="Arial"/>
        </w:rPr>
        <w:fldChar w:fldCharType="end"/>
      </w:r>
      <w:r w:rsidRPr="00AC0F0B">
        <w:rPr>
          <w:rFonts w:cs="Arial"/>
        </w:rPr>
        <w:t xml:space="preserve"> </w:t>
      </w:r>
      <w:r w:rsidR="008A14E5" w:rsidRPr="00AC0F0B">
        <w:rPr>
          <w:rFonts w:cs="Arial"/>
        </w:rPr>
        <w:t>Costs.</w:t>
      </w:r>
      <w:r w:rsidR="00FB6EC2" w:rsidRPr="00AC0F0B">
        <w:rPr>
          <w:rFonts w:cs="Arial"/>
        </w:rPr>
        <w:t xml:space="preserve"> </w:t>
      </w:r>
      <w:r w:rsidRPr="00AC0F0B">
        <w:rPr>
          <w:rFonts w:cs="Arial"/>
        </w:rPr>
        <w:t>GFCG Building and Equipment over Forest Sector GVA</w:t>
      </w:r>
      <w:bookmarkEnd w:id="125"/>
    </w:p>
    <w:p w14:paraId="2D2D14CE" w14:textId="7BC4C94E" w:rsidR="00FC4FC5" w:rsidRPr="00EE5690" w:rsidRDefault="005F1C98" w:rsidP="002D2FB4">
      <w:pPr>
        <w:pStyle w:val="FirstParagraph"/>
        <w:spacing w:line="360" w:lineRule="auto"/>
        <w:jc w:val="both"/>
        <w:rPr>
          <w:rFonts w:ascii="Arial" w:hAnsi="Arial" w:cs="Arial"/>
          <w:sz w:val="22"/>
          <w:szCs w:val="22"/>
          <w:lang w:val="en-GB"/>
        </w:rPr>
      </w:pPr>
      <w:r w:rsidRPr="00EE5690">
        <w:rPr>
          <w:rFonts w:ascii="Arial" w:hAnsi="Arial" w:cs="Arial"/>
          <w:sz w:val="22"/>
          <w:szCs w:val="22"/>
          <w:lang w:val="en-GB"/>
        </w:rPr>
        <w:t>The percentage of the gross fixed capital formation destined to building and equipment has experienced an increase for the whole European region, ranging from 0 to 5% in the beginning of the 2000s to 5% to almost 10%. The investment on the fixed ca</w:t>
      </w:r>
      <w:r w:rsidR="00EF41D3" w:rsidRPr="00EE5690">
        <w:rPr>
          <w:rFonts w:ascii="Arial" w:hAnsi="Arial" w:cs="Arial"/>
          <w:sz w:val="22"/>
          <w:szCs w:val="22"/>
          <w:lang w:val="en-GB"/>
        </w:rPr>
        <w:t>pital has evolved steadily for S</w:t>
      </w:r>
      <w:r w:rsidRPr="00EE5690">
        <w:rPr>
          <w:rFonts w:ascii="Arial" w:hAnsi="Arial" w:cs="Arial"/>
          <w:sz w:val="22"/>
          <w:szCs w:val="22"/>
          <w:lang w:val="en-GB"/>
        </w:rPr>
        <w:t>outhern Europe from the ten first years of the 21st century, from this point on the trend has increased, surpassing the 5% of the GVA in the forestr</w:t>
      </w:r>
      <w:r w:rsidR="008A14E5" w:rsidRPr="00EE5690">
        <w:rPr>
          <w:rFonts w:ascii="Arial" w:hAnsi="Arial" w:cs="Arial"/>
          <w:sz w:val="22"/>
          <w:szCs w:val="22"/>
          <w:lang w:val="en-GB"/>
        </w:rPr>
        <w:t>y sector. The evolution of the Central and E</w:t>
      </w:r>
      <w:r w:rsidRPr="00EE5690">
        <w:rPr>
          <w:rFonts w:ascii="Arial" w:hAnsi="Arial" w:cs="Arial"/>
          <w:sz w:val="22"/>
          <w:szCs w:val="22"/>
          <w:lang w:val="en-GB"/>
        </w:rPr>
        <w:t xml:space="preserve">astern Europe has evolved erratically, presenting abrupt changes from 2005 to 2010. </w:t>
      </w:r>
      <w:r w:rsidR="00AA543D" w:rsidRPr="00EE5690">
        <w:rPr>
          <w:rFonts w:ascii="Arial" w:hAnsi="Arial" w:cs="Arial"/>
          <w:sz w:val="22"/>
          <w:szCs w:val="22"/>
          <w:lang w:val="en-GB"/>
        </w:rPr>
        <w:t>Northern</w:t>
      </w:r>
      <w:r w:rsidRPr="00EE5690">
        <w:rPr>
          <w:rFonts w:ascii="Arial" w:hAnsi="Arial" w:cs="Arial"/>
          <w:sz w:val="22"/>
          <w:szCs w:val="22"/>
          <w:lang w:val="en-GB"/>
        </w:rPr>
        <w:t xml:space="preserve"> Europe </w:t>
      </w:r>
      <w:r w:rsidR="00AA543D" w:rsidRPr="00EE5690">
        <w:rPr>
          <w:rFonts w:ascii="Arial" w:hAnsi="Arial" w:cs="Arial"/>
          <w:sz w:val="22"/>
          <w:szCs w:val="22"/>
          <w:lang w:val="en-GB"/>
        </w:rPr>
        <w:t>fluctuated</w:t>
      </w:r>
      <w:r w:rsidRPr="00EE5690">
        <w:rPr>
          <w:rFonts w:ascii="Arial" w:hAnsi="Arial" w:cs="Arial"/>
          <w:sz w:val="22"/>
          <w:szCs w:val="22"/>
          <w:lang w:val="en-GB"/>
        </w:rPr>
        <w:t xml:space="preserve"> around the 10% of the</w:t>
      </w:r>
      <w:r w:rsidR="00987D67" w:rsidRPr="00EE5690">
        <w:rPr>
          <w:rFonts w:ascii="Arial" w:hAnsi="Arial" w:cs="Arial"/>
          <w:sz w:val="22"/>
          <w:szCs w:val="22"/>
          <w:lang w:val="en-GB"/>
        </w:rPr>
        <w:t xml:space="preserve"> GVA</w:t>
      </w:r>
      <w:r w:rsidR="00AA543D" w:rsidRPr="00EE5690">
        <w:rPr>
          <w:rFonts w:ascii="Arial" w:hAnsi="Arial" w:cs="Arial"/>
          <w:sz w:val="22"/>
          <w:szCs w:val="22"/>
          <w:lang w:val="en-GB"/>
        </w:rPr>
        <w:t xml:space="preserve">, with a big drop of its contribution (5%) in 2014. Finally, Western Europe incremented his expenditure on Building and Equipment ten perceptual points between 200 and 2009. Next years, it was reduced to approximately the 10%. </w:t>
      </w:r>
    </w:p>
    <w:p w14:paraId="19A120E3" w14:textId="118FB65D" w:rsidR="008357F5" w:rsidRPr="00EE5690" w:rsidRDefault="00141716" w:rsidP="00BA109C">
      <w:pPr>
        <w:keepNext/>
        <w:jc w:val="center"/>
        <w:rPr>
          <w:rFonts w:cs="Arial"/>
        </w:rPr>
      </w:pPr>
      <w:r w:rsidRPr="00EE5690">
        <w:rPr>
          <w:rFonts w:cs="Arial"/>
          <w:noProof/>
          <w:lang w:val="es-ES" w:eastAsia="es-ES"/>
        </w:rPr>
        <w:lastRenderedPageBreak/>
        <w:drawing>
          <wp:inline distT="0" distB="0" distL="0" distR="0" wp14:anchorId="3DCF4E38" wp14:editId="242C3E3F">
            <wp:extent cx="5400675" cy="385762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FCF_planting_tree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inline>
        </w:drawing>
      </w:r>
    </w:p>
    <w:p w14:paraId="35BC3CBA" w14:textId="0DD9967B" w:rsidR="00FC4FC5" w:rsidRPr="00AC0F0B" w:rsidRDefault="008357F5" w:rsidP="00BA109C">
      <w:pPr>
        <w:pStyle w:val="Caption"/>
        <w:rPr>
          <w:rFonts w:cs="Arial"/>
        </w:rPr>
      </w:pPr>
      <w:bookmarkStart w:id="126" w:name="_Ref68689885"/>
      <w:bookmarkStart w:id="127" w:name="_Toc91752512"/>
      <w:r w:rsidRPr="00AC0F0B">
        <w:rPr>
          <w:rFonts w:cs="Arial"/>
        </w:rPr>
        <w:t xml:space="preserve">Figure </w:t>
      </w:r>
      <w:r w:rsidRPr="00AC0F0B">
        <w:rPr>
          <w:rFonts w:cs="Arial"/>
        </w:rPr>
        <w:fldChar w:fldCharType="begin"/>
      </w:r>
      <w:r w:rsidRPr="00AC0F0B">
        <w:rPr>
          <w:rFonts w:cs="Arial"/>
        </w:rPr>
        <w:instrText xml:space="preserve"> SEQ Figure \* ARABIC </w:instrText>
      </w:r>
      <w:r w:rsidRPr="00AC0F0B">
        <w:rPr>
          <w:rFonts w:cs="Arial"/>
        </w:rPr>
        <w:fldChar w:fldCharType="separate"/>
      </w:r>
      <w:r w:rsidR="0073710A">
        <w:rPr>
          <w:rFonts w:cs="Arial"/>
          <w:noProof/>
        </w:rPr>
        <w:t>28</w:t>
      </w:r>
      <w:r w:rsidRPr="00AC0F0B">
        <w:rPr>
          <w:rFonts w:cs="Arial"/>
        </w:rPr>
        <w:fldChar w:fldCharType="end"/>
      </w:r>
      <w:bookmarkEnd w:id="126"/>
      <w:r w:rsidRPr="00AC0F0B">
        <w:rPr>
          <w:rFonts w:cs="Arial"/>
        </w:rPr>
        <w:t xml:space="preserve"> </w:t>
      </w:r>
      <w:r w:rsidR="008A14E5" w:rsidRPr="00AC0F0B">
        <w:rPr>
          <w:rFonts w:cs="Arial"/>
        </w:rPr>
        <w:t xml:space="preserve">Costs. </w:t>
      </w:r>
      <w:r w:rsidRPr="00AC0F0B">
        <w:rPr>
          <w:rFonts w:cs="Arial"/>
        </w:rPr>
        <w:t>GFCF planting of trees for regular income in Forest sector GVA</w:t>
      </w:r>
      <w:bookmarkEnd w:id="127"/>
    </w:p>
    <w:p w14:paraId="624AAEC0" w14:textId="1415634B" w:rsidR="00244030" w:rsidRPr="00EE5690" w:rsidRDefault="00FC4FC5" w:rsidP="002D2FB4">
      <w:pPr>
        <w:pStyle w:val="BodyText"/>
        <w:rPr>
          <w:rFonts w:cs="Arial"/>
        </w:rPr>
      </w:pPr>
      <w:r w:rsidRPr="00EE5690">
        <w:rPr>
          <w:rFonts w:cs="Arial"/>
          <w:lang w:val="en-GB"/>
        </w:rPr>
        <w:t>The GFCF of the planting trees for the regular income in the Forest sector is harder to interpret for Western and Central and Eastern Europe as the reporting rat</w:t>
      </w:r>
      <w:r w:rsidR="008A14E5" w:rsidRPr="00EE5690">
        <w:rPr>
          <w:rFonts w:cs="Arial"/>
          <w:lang w:val="en-GB"/>
        </w:rPr>
        <w:t xml:space="preserve">e of their countries is low and, </w:t>
      </w:r>
      <w:r w:rsidRPr="00EE5690">
        <w:rPr>
          <w:rFonts w:cs="Arial"/>
          <w:lang w:val="en-GB"/>
        </w:rPr>
        <w:t>as of 2008</w:t>
      </w:r>
      <w:r w:rsidR="008A14E5" w:rsidRPr="00EE5690">
        <w:rPr>
          <w:rFonts w:cs="Arial"/>
          <w:lang w:val="en-GB"/>
        </w:rPr>
        <w:t>,</w:t>
      </w:r>
      <w:r w:rsidRPr="00EE5690">
        <w:rPr>
          <w:rFonts w:cs="Arial"/>
          <w:lang w:val="en-GB"/>
        </w:rPr>
        <w:t xml:space="preserve"> there is no data recorded for </w:t>
      </w:r>
      <w:r w:rsidR="00E1111E" w:rsidRPr="00EE5690">
        <w:rPr>
          <w:rFonts w:cs="Arial"/>
          <w:lang w:val="en-GB"/>
        </w:rPr>
        <w:t>these</w:t>
      </w:r>
      <w:r w:rsidR="00E106AF" w:rsidRPr="00EE5690">
        <w:rPr>
          <w:rFonts w:cs="Arial"/>
          <w:lang w:val="en-GB"/>
        </w:rPr>
        <w:t xml:space="preserve"> countries. On one </w:t>
      </w:r>
      <w:r w:rsidRPr="00EE5690">
        <w:rPr>
          <w:rFonts w:cs="Arial"/>
          <w:lang w:val="en-GB"/>
        </w:rPr>
        <w:t xml:space="preserve">hand, Southern Europe have increased its GFCF participation over the GVA has slowly increased, </w:t>
      </w:r>
      <w:r w:rsidR="008A14E5" w:rsidRPr="00EE5690">
        <w:rPr>
          <w:rFonts w:cs="Arial"/>
          <w:lang w:val="en-GB"/>
        </w:rPr>
        <w:t>stabilizing</w:t>
      </w:r>
      <w:r w:rsidR="006D6FAB" w:rsidRPr="00EE5690">
        <w:rPr>
          <w:rFonts w:cs="Arial"/>
          <w:lang w:val="en-GB"/>
        </w:rPr>
        <w:t xml:space="preserve"> its value in 2%.</w:t>
      </w:r>
      <w:r w:rsidR="00E106AF" w:rsidRPr="00EE5690">
        <w:rPr>
          <w:rFonts w:cs="Arial"/>
          <w:lang w:val="en-GB"/>
        </w:rPr>
        <w:t xml:space="preserve"> On the other hand, </w:t>
      </w:r>
      <w:r w:rsidR="000740B6" w:rsidRPr="00EE5690">
        <w:rPr>
          <w:rFonts w:cs="Arial"/>
          <w:lang w:val="en-GB"/>
        </w:rPr>
        <w:t>Northern</w:t>
      </w:r>
      <w:r w:rsidR="00E106AF" w:rsidRPr="00EE5690">
        <w:rPr>
          <w:rFonts w:cs="Arial"/>
          <w:lang w:val="en-GB"/>
        </w:rPr>
        <w:t xml:space="preserve"> Europe has decreased their plating trees</w:t>
      </w:r>
      <w:r w:rsidR="000740B6" w:rsidRPr="00EE5690">
        <w:rPr>
          <w:rFonts w:cs="Arial"/>
          <w:lang w:val="en-GB"/>
        </w:rPr>
        <w:t xml:space="preserve"> cost</w:t>
      </w:r>
      <w:r w:rsidR="00E106AF" w:rsidRPr="00EE5690">
        <w:rPr>
          <w:rFonts w:cs="Arial"/>
          <w:lang w:val="en-GB"/>
        </w:rPr>
        <w:t xml:space="preserve"> from its maximum</w:t>
      </w:r>
      <w:r w:rsidR="000740B6" w:rsidRPr="00EE5690">
        <w:rPr>
          <w:rFonts w:cs="Arial"/>
          <w:lang w:val="en-GB"/>
        </w:rPr>
        <w:t xml:space="preserve"> value,</w:t>
      </w:r>
      <w:r w:rsidR="00E106AF" w:rsidRPr="00EE5690">
        <w:rPr>
          <w:rFonts w:cs="Arial"/>
          <w:lang w:val="en-GB"/>
        </w:rPr>
        <w:t xml:space="preserve"> 6% in 2009</w:t>
      </w:r>
      <w:r w:rsidR="000740B6" w:rsidRPr="00EE5690">
        <w:rPr>
          <w:rFonts w:cs="Arial"/>
          <w:lang w:val="en-GB"/>
        </w:rPr>
        <w:t>,</w:t>
      </w:r>
      <w:r w:rsidR="00E106AF" w:rsidRPr="00EE5690">
        <w:rPr>
          <w:rFonts w:cs="Arial"/>
          <w:lang w:val="en-GB"/>
        </w:rPr>
        <w:t xml:space="preserve"> to 2% in 2016</w:t>
      </w:r>
      <w:r w:rsidR="000740B6" w:rsidRPr="00EE5690">
        <w:rPr>
          <w:rFonts w:cs="Arial"/>
          <w:lang w:val="en-GB"/>
        </w:rPr>
        <w:t>.</w:t>
      </w:r>
    </w:p>
    <w:p w14:paraId="5F04D84F" w14:textId="5D2087B4" w:rsidR="00FC4FC5" w:rsidRPr="00EE5690" w:rsidRDefault="00FC4FC5" w:rsidP="009E12D8">
      <w:pPr>
        <w:pStyle w:val="MAIL111"/>
      </w:pPr>
      <w:bookmarkStart w:id="128" w:name="management-cost"/>
      <w:bookmarkStart w:id="129" w:name="_Toc91752409"/>
      <w:r w:rsidRPr="00EE5690">
        <w:t>Management Cost</w:t>
      </w:r>
      <w:bookmarkEnd w:id="128"/>
      <w:bookmarkEnd w:id="129"/>
    </w:p>
    <w:p w14:paraId="1CAE5804" w14:textId="49DABFA8" w:rsidR="00E62D44" w:rsidRPr="00D44575" w:rsidRDefault="00FC4FC5" w:rsidP="00D44575">
      <w:pPr>
        <w:pStyle w:val="FirstParagraph"/>
        <w:spacing w:line="360" w:lineRule="auto"/>
        <w:jc w:val="both"/>
        <w:rPr>
          <w:rFonts w:ascii="Arial" w:hAnsi="Arial" w:cs="Arial"/>
          <w:sz w:val="22"/>
          <w:szCs w:val="22"/>
          <w:lang w:val="en-GB"/>
        </w:rPr>
      </w:pPr>
      <w:r w:rsidRPr="00EE5690">
        <w:rPr>
          <w:rFonts w:ascii="Arial" w:hAnsi="Arial" w:cs="Arial"/>
          <w:sz w:val="22"/>
          <w:szCs w:val="22"/>
          <w:lang w:val="en-GB"/>
        </w:rPr>
        <w:t xml:space="preserve">The management cost was </w:t>
      </w:r>
      <w:r w:rsidR="00AC0F0B">
        <w:rPr>
          <w:rFonts w:ascii="Arial" w:hAnsi="Arial" w:cs="Arial"/>
          <w:sz w:val="22"/>
          <w:szCs w:val="22"/>
          <w:lang w:val="en-GB"/>
        </w:rPr>
        <w:t>acquired</w:t>
      </w:r>
      <w:r w:rsidRPr="00EE5690">
        <w:rPr>
          <w:rFonts w:ascii="Arial" w:hAnsi="Arial" w:cs="Arial"/>
          <w:sz w:val="22"/>
          <w:szCs w:val="22"/>
          <w:lang w:val="en-GB"/>
        </w:rPr>
        <w:t xml:space="preserve"> from two different datasets: ‘Economic accounts for forestry - values at current pri</w:t>
      </w:r>
      <w:r w:rsidR="00E62D44" w:rsidRPr="00EE5690">
        <w:rPr>
          <w:rFonts w:ascii="Arial" w:hAnsi="Arial" w:cs="Arial"/>
          <w:sz w:val="22"/>
          <w:szCs w:val="22"/>
          <w:lang w:val="en-GB"/>
        </w:rPr>
        <w:t>ces’ from which the maintenance of materials</w:t>
      </w:r>
      <w:r w:rsidRPr="00EE5690">
        <w:rPr>
          <w:rFonts w:ascii="Arial" w:hAnsi="Arial" w:cs="Arial"/>
          <w:sz w:val="22"/>
          <w:szCs w:val="22"/>
          <w:lang w:val="en-GB"/>
        </w:rPr>
        <w:t xml:space="preserve"> </w:t>
      </w:r>
      <w:r w:rsidR="00051243" w:rsidRPr="00EE5690">
        <w:rPr>
          <w:rFonts w:ascii="Arial" w:hAnsi="Arial" w:cs="Arial"/>
          <w:sz w:val="22"/>
          <w:szCs w:val="22"/>
          <w:lang w:val="en-GB"/>
        </w:rPr>
        <w:t>was</w:t>
      </w:r>
      <w:r w:rsidRPr="00EE5690">
        <w:rPr>
          <w:rFonts w:ascii="Arial" w:hAnsi="Arial" w:cs="Arial"/>
          <w:sz w:val="22"/>
          <w:szCs w:val="22"/>
          <w:lang w:val="en-GB"/>
        </w:rPr>
        <w:t xml:space="preserve"> considered and ‘Economic aggregates of forestry’ where the economic compensation for forestry workers was regarded.</w:t>
      </w:r>
    </w:p>
    <w:p w14:paraId="4F03467A" w14:textId="2D2AB308" w:rsidR="008357F5" w:rsidRPr="00EE5690" w:rsidRDefault="00ED2863" w:rsidP="00BA109C">
      <w:pPr>
        <w:keepNext/>
        <w:jc w:val="center"/>
        <w:rPr>
          <w:rFonts w:cs="Arial"/>
        </w:rPr>
      </w:pPr>
      <w:r w:rsidRPr="00EE5690">
        <w:rPr>
          <w:rFonts w:cs="Arial"/>
          <w:noProof/>
          <w:lang w:val="es-ES" w:eastAsia="es-ES"/>
        </w:rPr>
        <w:lastRenderedPageBreak/>
        <w:drawing>
          <wp:inline distT="0" distB="0" distL="0" distR="0" wp14:anchorId="2699F266" wp14:editId="4EC58F29">
            <wp:extent cx="4932219" cy="3523014"/>
            <wp:effectExtent l="0" t="0" r="1905" b="127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aintenance_mat.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8440" cy="3527458"/>
                    </a:xfrm>
                    <a:prstGeom prst="rect">
                      <a:avLst/>
                    </a:prstGeom>
                  </pic:spPr>
                </pic:pic>
              </a:graphicData>
            </a:graphic>
          </wp:inline>
        </w:drawing>
      </w:r>
    </w:p>
    <w:p w14:paraId="03676F2F" w14:textId="0FE82FFB" w:rsidR="00244030" w:rsidRPr="00AC0F0B" w:rsidRDefault="008357F5" w:rsidP="00BA109C">
      <w:pPr>
        <w:pStyle w:val="Caption"/>
        <w:rPr>
          <w:rFonts w:cs="Arial"/>
        </w:rPr>
      </w:pPr>
      <w:bookmarkStart w:id="130" w:name="_Toc91752513"/>
      <w:r w:rsidRPr="00AC0F0B">
        <w:rPr>
          <w:rFonts w:cs="Arial"/>
        </w:rPr>
        <w:t xml:space="preserve">Figure </w:t>
      </w:r>
      <w:r w:rsidRPr="00AC0F0B">
        <w:rPr>
          <w:rFonts w:cs="Arial"/>
        </w:rPr>
        <w:fldChar w:fldCharType="begin"/>
      </w:r>
      <w:r w:rsidRPr="00AC0F0B">
        <w:rPr>
          <w:rFonts w:cs="Arial"/>
        </w:rPr>
        <w:instrText xml:space="preserve"> SEQ Figure \* ARABIC </w:instrText>
      </w:r>
      <w:r w:rsidRPr="00AC0F0B">
        <w:rPr>
          <w:rFonts w:cs="Arial"/>
        </w:rPr>
        <w:fldChar w:fldCharType="separate"/>
      </w:r>
      <w:r w:rsidR="0073710A">
        <w:rPr>
          <w:rFonts w:cs="Arial"/>
          <w:noProof/>
        </w:rPr>
        <w:t>29</w:t>
      </w:r>
      <w:r w:rsidRPr="00AC0F0B">
        <w:rPr>
          <w:rFonts w:cs="Arial"/>
        </w:rPr>
        <w:fldChar w:fldCharType="end"/>
      </w:r>
      <w:r w:rsidRPr="00AC0F0B">
        <w:rPr>
          <w:rFonts w:cs="Arial"/>
        </w:rPr>
        <w:t>. Costs. Maintenance of materials in the Forest sector GVA</w:t>
      </w:r>
      <w:bookmarkEnd w:id="130"/>
    </w:p>
    <w:p w14:paraId="61056F9B" w14:textId="2A853F21" w:rsidR="008357F5" w:rsidRPr="00EE5690" w:rsidRDefault="00FB4604" w:rsidP="00AC0F0B">
      <w:pPr>
        <w:pStyle w:val="FirstParagraph"/>
        <w:spacing w:line="360" w:lineRule="auto"/>
        <w:jc w:val="center"/>
        <w:rPr>
          <w:rFonts w:cs="Arial"/>
        </w:rPr>
      </w:pPr>
      <w:r w:rsidRPr="00EE5690">
        <w:rPr>
          <w:rFonts w:ascii="Arial" w:hAnsi="Arial" w:cs="Arial"/>
          <w:sz w:val="22"/>
          <w:szCs w:val="22"/>
        </w:rPr>
        <w:t xml:space="preserve">The material maintenance does not represent a meaning full portion of the GVA of the forestry sector occupying a less than a 4% in Europe. </w:t>
      </w:r>
      <w:r w:rsidR="00916DE9" w:rsidRPr="00EE5690">
        <w:rPr>
          <w:rFonts w:ascii="Arial" w:hAnsi="Arial" w:cs="Arial"/>
          <w:sz w:val="22"/>
          <w:szCs w:val="22"/>
        </w:rPr>
        <w:t>Finally,</w:t>
      </w:r>
      <w:r w:rsidRPr="00EE5690">
        <w:rPr>
          <w:rFonts w:ascii="Arial" w:hAnsi="Arial" w:cs="Arial"/>
          <w:sz w:val="22"/>
          <w:szCs w:val="22"/>
        </w:rPr>
        <w:t xml:space="preserve"> it drops down to less than 1%</w:t>
      </w:r>
      <w:r w:rsidR="00EF41D3" w:rsidRPr="00EE5690">
        <w:rPr>
          <w:rFonts w:ascii="Arial" w:hAnsi="Arial" w:cs="Arial"/>
          <w:sz w:val="22"/>
          <w:szCs w:val="22"/>
        </w:rPr>
        <w:t>. The short temporal resolution does not allow further interpretation of the data.</w:t>
      </w:r>
      <w:r w:rsidR="00ED2863" w:rsidRPr="00EE5690">
        <w:rPr>
          <w:rFonts w:cs="Arial"/>
          <w:noProof/>
          <w:lang w:val="es-ES" w:eastAsia="es-ES"/>
        </w:rPr>
        <w:drawing>
          <wp:inline distT="0" distB="0" distL="0" distR="0" wp14:anchorId="1489BB4E" wp14:editId="26481A92">
            <wp:extent cx="4432067" cy="3165764"/>
            <wp:effectExtent l="0" t="0" r="698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conomic_compensation_employees.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62833" cy="3187740"/>
                    </a:xfrm>
                    <a:prstGeom prst="rect">
                      <a:avLst/>
                    </a:prstGeom>
                  </pic:spPr>
                </pic:pic>
              </a:graphicData>
            </a:graphic>
          </wp:inline>
        </w:drawing>
      </w:r>
    </w:p>
    <w:p w14:paraId="551919FD" w14:textId="7239F6D2" w:rsidR="00FB4604" w:rsidRPr="00AC0F0B" w:rsidRDefault="008357F5" w:rsidP="00BA109C">
      <w:pPr>
        <w:pStyle w:val="Caption"/>
        <w:rPr>
          <w:rFonts w:cs="Arial"/>
        </w:rPr>
      </w:pPr>
      <w:bookmarkStart w:id="131" w:name="_Ref68685002"/>
      <w:bookmarkStart w:id="132" w:name="_Toc91752514"/>
      <w:r w:rsidRPr="00AC0F0B">
        <w:rPr>
          <w:rFonts w:cs="Arial"/>
        </w:rPr>
        <w:t xml:space="preserve">Figure </w:t>
      </w:r>
      <w:r w:rsidRPr="00AC0F0B">
        <w:rPr>
          <w:rFonts w:cs="Arial"/>
        </w:rPr>
        <w:fldChar w:fldCharType="begin"/>
      </w:r>
      <w:r w:rsidRPr="00AC0F0B">
        <w:rPr>
          <w:rFonts w:cs="Arial"/>
        </w:rPr>
        <w:instrText xml:space="preserve"> SEQ Figure \* ARABIC </w:instrText>
      </w:r>
      <w:r w:rsidRPr="00AC0F0B">
        <w:rPr>
          <w:rFonts w:cs="Arial"/>
        </w:rPr>
        <w:fldChar w:fldCharType="separate"/>
      </w:r>
      <w:r w:rsidR="0073710A">
        <w:rPr>
          <w:rFonts w:cs="Arial"/>
          <w:noProof/>
        </w:rPr>
        <w:t>30</w:t>
      </w:r>
      <w:r w:rsidRPr="00AC0F0B">
        <w:rPr>
          <w:rFonts w:cs="Arial"/>
        </w:rPr>
        <w:fldChar w:fldCharType="end"/>
      </w:r>
      <w:bookmarkEnd w:id="131"/>
      <w:r w:rsidRPr="00AC0F0B">
        <w:rPr>
          <w:rFonts w:cs="Arial"/>
        </w:rPr>
        <w:t>. Costs. Economic compensation by employee.</w:t>
      </w:r>
      <w:bookmarkEnd w:id="132"/>
    </w:p>
    <w:p w14:paraId="7A2B8B44" w14:textId="78DD2A1A" w:rsidR="00244030" w:rsidRPr="00EE5690" w:rsidRDefault="00FB4604" w:rsidP="002D2FB4">
      <w:pPr>
        <w:pStyle w:val="FirstParagraph"/>
        <w:spacing w:line="360" w:lineRule="auto"/>
        <w:jc w:val="both"/>
        <w:rPr>
          <w:rFonts w:ascii="Arial" w:hAnsi="Arial" w:cs="Arial"/>
          <w:sz w:val="22"/>
          <w:szCs w:val="22"/>
        </w:rPr>
      </w:pPr>
      <w:r w:rsidRPr="00EE5690">
        <w:rPr>
          <w:rFonts w:ascii="Arial" w:hAnsi="Arial" w:cs="Arial"/>
          <w:sz w:val="22"/>
          <w:szCs w:val="22"/>
        </w:rPr>
        <w:lastRenderedPageBreak/>
        <w:t>The economic compensation by employee was represented using the economic compensatio</w:t>
      </w:r>
      <w:r w:rsidR="008A14E5" w:rsidRPr="00EE5690">
        <w:rPr>
          <w:rFonts w:ascii="Arial" w:hAnsi="Arial" w:cs="Arial"/>
          <w:sz w:val="22"/>
          <w:szCs w:val="22"/>
        </w:rPr>
        <w:t>n values (in million euros) and i</w:t>
      </w:r>
      <w:r w:rsidRPr="00EE5690">
        <w:rPr>
          <w:rFonts w:ascii="Arial" w:hAnsi="Arial" w:cs="Arial"/>
          <w:sz w:val="22"/>
          <w:szCs w:val="22"/>
        </w:rPr>
        <w:t xml:space="preserve">t was distributed for all the workers in the forestry sector. In </w:t>
      </w:r>
      <w:r w:rsidR="008A14E5" w:rsidRPr="00EE5690">
        <w:rPr>
          <w:rFonts w:ascii="Arial" w:hAnsi="Arial" w:cs="Arial"/>
          <w:sz w:val="22"/>
          <w:szCs w:val="22"/>
        </w:rPr>
        <w:fldChar w:fldCharType="begin"/>
      </w:r>
      <w:r w:rsidR="008A14E5" w:rsidRPr="00EE5690">
        <w:rPr>
          <w:rFonts w:ascii="Arial" w:hAnsi="Arial" w:cs="Arial"/>
          <w:sz w:val="22"/>
          <w:szCs w:val="22"/>
        </w:rPr>
        <w:instrText xml:space="preserve"> REF _Ref68685002 \h  \* MERGEFORMAT </w:instrText>
      </w:r>
      <w:r w:rsidR="008A14E5" w:rsidRPr="00EE5690">
        <w:rPr>
          <w:rFonts w:ascii="Arial" w:hAnsi="Arial" w:cs="Arial"/>
          <w:sz w:val="22"/>
          <w:szCs w:val="22"/>
        </w:rPr>
      </w:r>
      <w:r w:rsidR="008A14E5" w:rsidRPr="00EE5690">
        <w:rPr>
          <w:rFonts w:ascii="Arial" w:hAnsi="Arial" w:cs="Arial"/>
          <w:sz w:val="22"/>
          <w:szCs w:val="22"/>
        </w:rPr>
        <w:fldChar w:fldCharType="separate"/>
      </w:r>
      <w:r w:rsidR="0073710A" w:rsidRPr="0073710A">
        <w:rPr>
          <w:rFonts w:ascii="Arial" w:hAnsi="Arial" w:cs="Arial"/>
          <w:sz w:val="22"/>
          <w:szCs w:val="22"/>
        </w:rPr>
        <w:t xml:space="preserve">Figure </w:t>
      </w:r>
      <w:r w:rsidR="0073710A" w:rsidRPr="0073710A">
        <w:rPr>
          <w:rFonts w:ascii="Arial" w:hAnsi="Arial" w:cs="Arial"/>
          <w:noProof/>
          <w:sz w:val="22"/>
          <w:szCs w:val="22"/>
        </w:rPr>
        <w:t>30</w:t>
      </w:r>
      <w:r w:rsidR="008A14E5" w:rsidRPr="00EE5690">
        <w:rPr>
          <w:rFonts w:ascii="Arial" w:hAnsi="Arial" w:cs="Arial"/>
          <w:sz w:val="22"/>
          <w:szCs w:val="22"/>
        </w:rPr>
        <w:fldChar w:fldCharType="end"/>
      </w:r>
      <w:r w:rsidR="0078738B" w:rsidRPr="00EE5690">
        <w:rPr>
          <w:rFonts w:ascii="Arial" w:hAnsi="Arial" w:cs="Arial"/>
          <w:sz w:val="22"/>
          <w:szCs w:val="22"/>
        </w:rPr>
        <w:t xml:space="preserve">, it is shown how </w:t>
      </w:r>
      <w:r w:rsidRPr="00EE5690">
        <w:rPr>
          <w:rFonts w:ascii="Arial" w:hAnsi="Arial" w:cs="Arial"/>
          <w:sz w:val="22"/>
          <w:szCs w:val="22"/>
        </w:rPr>
        <w:t xml:space="preserve">the economic compensation has remained almost constant for 2 regional groups, Eastern and central </w:t>
      </w:r>
      <w:proofErr w:type="gramStart"/>
      <w:r w:rsidRPr="00EE5690">
        <w:rPr>
          <w:rFonts w:ascii="Arial" w:hAnsi="Arial" w:cs="Arial"/>
          <w:sz w:val="22"/>
          <w:szCs w:val="22"/>
        </w:rPr>
        <w:t>Europe</w:t>
      </w:r>
      <w:proofErr w:type="gramEnd"/>
      <w:r w:rsidRPr="00EE5690">
        <w:rPr>
          <w:rFonts w:ascii="Arial" w:hAnsi="Arial" w:cs="Arial"/>
          <w:sz w:val="22"/>
          <w:szCs w:val="22"/>
        </w:rPr>
        <w:t xml:space="preserve"> and Southern Europe, whereas for both</w:t>
      </w:r>
      <w:r w:rsidR="0078738B" w:rsidRPr="00EE5690">
        <w:rPr>
          <w:rFonts w:ascii="Arial" w:hAnsi="Arial" w:cs="Arial"/>
          <w:sz w:val="22"/>
          <w:szCs w:val="22"/>
        </w:rPr>
        <w:t xml:space="preserve">, Western and Northern Europe, </w:t>
      </w:r>
      <w:r w:rsidRPr="00EE5690">
        <w:rPr>
          <w:rFonts w:ascii="Arial" w:hAnsi="Arial" w:cs="Arial"/>
          <w:sz w:val="22"/>
          <w:szCs w:val="22"/>
        </w:rPr>
        <w:t>the trend is to increase the compensation rates by worker.</w:t>
      </w:r>
      <w:r w:rsidR="0071589D" w:rsidRPr="00EE5690">
        <w:rPr>
          <w:rFonts w:ascii="Arial" w:hAnsi="Arial" w:cs="Arial"/>
          <w:sz w:val="22"/>
          <w:szCs w:val="22"/>
        </w:rPr>
        <w:t xml:space="preserve"> In case of W</w:t>
      </w:r>
      <w:r w:rsidR="00EF41D3" w:rsidRPr="00EE5690">
        <w:rPr>
          <w:rFonts w:ascii="Arial" w:hAnsi="Arial" w:cs="Arial"/>
          <w:sz w:val="22"/>
          <w:szCs w:val="22"/>
        </w:rPr>
        <w:t xml:space="preserve">estern </w:t>
      </w:r>
      <w:r w:rsidR="00987D67" w:rsidRPr="00EE5690">
        <w:rPr>
          <w:rFonts w:ascii="Arial" w:hAnsi="Arial" w:cs="Arial"/>
          <w:sz w:val="22"/>
          <w:szCs w:val="22"/>
        </w:rPr>
        <w:t>Europe,</w:t>
      </w:r>
      <w:r w:rsidR="00EF41D3" w:rsidRPr="00EE5690">
        <w:rPr>
          <w:rFonts w:ascii="Arial" w:hAnsi="Arial" w:cs="Arial"/>
          <w:sz w:val="22"/>
          <w:szCs w:val="22"/>
        </w:rPr>
        <w:t xml:space="preserve"> the values</w:t>
      </w:r>
      <w:r w:rsidR="00E62D44" w:rsidRPr="00EE5690">
        <w:rPr>
          <w:rFonts w:ascii="Arial" w:hAnsi="Arial" w:cs="Arial"/>
          <w:sz w:val="22"/>
          <w:szCs w:val="22"/>
        </w:rPr>
        <w:t xml:space="preserve"> have almost doubled since 2008, from</w:t>
      </w:r>
      <w:r w:rsidR="00B94494" w:rsidRPr="00EE5690">
        <w:rPr>
          <w:rFonts w:ascii="Arial" w:hAnsi="Arial" w:cs="Arial"/>
          <w:sz w:val="22"/>
          <w:szCs w:val="22"/>
        </w:rPr>
        <w:t xml:space="preserve"> 250 </w:t>
      </w:r>
      <w:r w:rsidR="00E62D44" w:rsidRPr="00EE5690">
        <w:rPr>
          <w:rFonts w:ascii="Arial" w:hAnsi="Arial" w:cs="Arial"/>
          <w:sz w:val="22"/>
          <w:szCs w:val="22"/>
        </w:rPr>
        <w:t>to 400 euros, whereas in Northern Europe the increment ranges from 500 euros to 750 euros.</w:t>
      </w:r>
    </w:p>
    <w:p w14:paraId="33C7C763" w14:textId="05D983DB" w:rsidR="00244030" w:rsidRPr="00EE5690" w:rsidRDefault="000758F1" w:rsidP="009E12D8">
      <w:pPr>
        <w:pStyle w:val="MAIL111"/>
      </w:pPr>
      <w:bookmarkStart w:id="133" w:name="non-wood-products-income"/>
      <w:bookmarkStart w:id="134" w:name="_Toc91752410"/>
      <w:r w:rsidRPr="00EE5690">
        <w:t>Non wood products (Income)</w:t>
      </w:r>
      <w:bookmarkEnd w:id="133"/>
      <w:bookmarkEnd w:id="134"/>
    </w:p>
    <w:p w14:paraId="4B548C5C" w14:textId="404210F5" w:rsidR="0078738B" w:rsidRPr="00EE5690" w:rsidRDefault="0078738B" w:rsidP="002D2FB4">
      <w:pPr>
        <w:rPr>
          <w:rFonts w:cs="Arial"/>
        </w:rPr>
      </w:pPr>
      <w:r w:rsidRPr="00EE5690">
        <w:rPr>
          <w:rFonts w:cs="Arial"/>
        </w:rPr>
        <w:t xml:space="preserve">The income obtained from noon wood products was obtained </w:t>
      </w:r>
      <w:r w:rsidR="00BC5374" w:rsidRPr="00EE5690">
        <w:rPr>
          <w:rFonts w:cs="Arial"/>
        </w:rPr>
        <w:t xml:space="preserve">from the Eurostat indicator ‘Supply and use of products within forestry’ </w:t>
      </w:r>
      <w:r w:rsidRPr="00EE5690">
        <w:rPr>
          <w:rFonts w:cs="Arial"/>
        </w:rPr>
        <w:t xml:space="preserve">and it was normalized by the GVA of the forest sector. </w:t>
      </w:r>
    </w:p>
    <w:p w14:paraId="5F122B5F" w14:textId="6628D543" w:rsidR="008357F5" w:rsidRPr="00EE5690" w:rsidRDefault="00ED2863" w:rsidP="00BA109C">
      <w:pPr>
        <w:keepNext/>
        <w:jc w:val="center"/>
        <w:rPr>
          <w:rFonts w:cs="Arial"/>
        </w:rPr>
      </w:pPr>
      <w:r w:rsidRPr="00EE5690">
        <w:rPr>
          <w:rFonts w:cs="Arial"/>
          <w:noProof/>
          <w:lang w:val="es-ES" w:eastAsia="es-ES"/>
        </w:rPr>
        <w:drawing>
          <wp:inline distT="0" distB="0" distL="0" distR="0" wp14:anchorId="66CC42D3" wp14:editId="42A9E0B6">
            <wp:extent cx="5400675" cy="3857625"/>
            <wp:effectExtent l="0" t="0" r="952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NWP_incom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inline>
        </w:drawing>
      </w:r>
    </w:p>
    <w:p w14:paraId="1DD82711" w14:textId="5FF255F0" w:rsidR="000758F1" w:rsidRPr="00AC0F0B" w:rsidRDefault="008357F5" w:rsidP="00BA109C">
      <w:pPr>
        <w:pStyle w:val="Caption"/>
        <w:rPr>
          <w:rFonts w:cs="Arial"/>
        </w:rPr>
      </w:pPr>
      <w:bookmarkStart w:id="135" w:name="_Ref68685067"/>
      <w:bookmarkStart w:id="136" w:name="_Toc91752515"/>
      <w:r w:rsidRPr="00AC0F0B">
        <w:rPr>
          <w:rFonts w:cs="Arial"/>
        </w:rPr>
        <w:t xml:space="preserve">Figure </w:t>
      </w:r>
      <w:r w:rsidRPr="00AC0F0B">
        <w:rPr>
          <w:rFonts w:cs="Arial"/>
        </w:rPr>
        <w:fldChar w:fldCharType="begin"/>
      </w:r>
      <w:r w:rsidRPr="00AC0F0B">
        <w:rPr>
          <w:rFonts w:cs="Arial"/>
        </w:rPr>
        <w:instrText xml:space="preserve"> SEQ Figure \* ARABIC </w:instrText>
      </w:r>
      <w:r w:rsidRPr="00AC0F0B">
        <w:rPr>
          <w:rFonts w:cs="Arial"/>
        </w:rPr>
        <w:fldChar w:fldCharType="separate"/>
      </w:r>
      <w:r w:rsidR="0073710A">
        <w:rPr>
          <w:rFonts w:cs="Arial"/>
          <w:noProof/>
        </w:rPr>
        <w:t>31</w:t>
      </w:r>
      <w:r w:rsidRPr="00AC0F0B">
        <w:rPr>
          <w:rFonts w:cs="Arial"/>
        </w:rPr>
        <w:fldChar w:fldCharType="end"/>
      </w:r>
      <w:bookmarkEnd w:id="135"/>
      <w:r w:rsidRPr="00AC0F0B">
        <w:rPr>
          <w:rFonts w:cs="Arial"/>
        </w:rPr>
        <w:t>. income from NWP in gross value added of the forestry sector</w:t>
      </w:r>
      <w:bookmarkEnd w:id="136"/>
    </w:p>
    <w:p w14:paraId="419602C5" w14:textId="1C527633" w:rsidR="000758F1" w:rsidRPr="00EE5690" w:rsidRDefault="008A14E5" w:rsidP="002D2FB4">
      <w:pPr>
        <w:rPr>
          <w:rFonts w:cs="Arial"/>
        </w:rPr>
      </w:pPr>
      <w:r w:rsidRPr="00EE5690">
        <w:rPr>
          <w:rFonts w:cs="Arial"/>
        </w:rPr>
        <w:fldChar w:fldCharType="begin"/>
      </w:r>
      <w:r w:rsidRPr="00EE5690">
        <w:rPr>
          <w:rFonts w:cs="Arial"/>
        </w:rPr>
        <w:instrText xml:space="preserve"> REF _Ref68685067 \h </w:instrText>
      </w:r>
      <w:r w:rsidR="00EE5690" w:rsidRPr="00EE5690">
        <w:rPr>
          <w:rFonts w:cs="Arial"/>
        </w:rPr>
        <w:instrText xml:space="preserve"> \* MERGEFORMAT </w:instrText>
      </w:r>
      <w:r w:rsidRPr="00EE5690">
        <w:rPr>
          <w:rFonts w:cs="Arial"/>
        </w:rPr>
      </w:r>
      <w:r w:rsidRPr="00EE5690">
        <w:rPr>
          <w:rFonts w:cs="Arial"/>
        </w:rPr>
        <w:fldChar w:fldCharType="separate"/>
      </w:r>
      <w:r w:rsidR="0073710A" w:rsidRPr="00AC0F0B">
        <w:rPr>
          <w:rFonts w:cs="Arial"/>
        </w:rPr>
        <w:t xml:space="preserve">Figure </w:t>
      </w:r>
      <w:r w:rsidR="0073710A">
        <w:rPr>
          <w:rFonts w:cs="Arial"/>
          <w:noProof/>
        </w:rPr>
        <w:t>31</w:t>
      </w:r>
      <w:r w:rsidRPr="00EE5690">
        <w:rPr>
          <w:rFonts w:cs="Arial"/>
        </w:rPr>
        <w:fldChar w:fldCharType="end"/>
      </w:r>
      <w:r w:rsidRPr="00EE5690">
        <w:rPr>
          <w:rFonts w:cs="Arial"/>
        </w:rPr>
        <w:t xml:space="preserve"> </w:t>
      </w:r>
      <w:r w:rsidR="000758F1" w:rsidRPr="00EE5690">
        <w:rPr>
          <w:rFonts w:cs="Arial"/>
        </w:rPr>
        <w:t xml:space="preserve">represents the contribution of the </w:t>
      </w:r>
      <w:proofErr w:type="gramStart"/>
      <w:r w:rsidR="000758F1" w:rsidRPr="00EE5690">
        <w:rPr>
          <w:rFonts w:cs="Arial"/>
        </w:rPr>
        <w:t>Non Wood</w:t>
      </w:r>
      <w:proofErr w:type="gramEnd"/>
      <w:r w:rsidR="000758F1" w:rsidRPr="00EE5690">
        <w:rPr>
          <w:rFonts w:cs="Arial"/>
        </w:rPr>
        <w:t xml:space="preserve"> Products to the total GVA of the forestry sector. For Central and </w:t>
      </w:r>
      <w:proofErr w:type="gramStart"/>
      <w:r w:rsidR="000758F1" w:rsidRPr="00EE5690">
        <w:rPr>
          <w:rFonts w:cs="Arial"/>
        </w:rPr>
        <w:t>Easter Europe</w:t>
      </w:r>
      <w:proofErr w:type="gramEnd"/>
      <w:r w:rsidR="000758F1" w:rsidRPr="00EE5690">
        <w:rPr>
          <w:rFonts w:cs="Arial"/>
        </w:rPr>
        <w:t xml:space="preserve"> the participation of the NWP on the GVA has increased up to a 10% in 20 years. On the other hand, Southern Europe</w:t>
      </w:r>
      <w:r w:rsidR="00E27569" w:rsidRPr="00EE5690">
        <w:rPr>
          <w:rFonts w:cs="Arial"/>
        </w:rPr>
        <w:t xml:space="preserve"> NWP’s </w:t>
      </w:r>
      <w:r w:rsidR="00E27569" w:rsidRPr="00EE5690">
        <w:rPr>
          <w:rFonts w:cs="Arial"/>
        </w:rPr>
        <w:lastRenderedPageBreak/>
        <w:t xml:space="preserve">contribution to the GVA has decreased in the first five years of the 2000’s to finally </w:t>
      </w:r>
      <w:r w:rsidR="000758F1" w:rsidRPr="00EE5690">
        <w:rPr>
          <w:rFonts w:cs="Arial"/>
        </w:rPr>
        <w:t>stabilize</w:t>
      </w:r>
      <w:r w:rsidRPr="00EE5690">
        <w:rPr>
          <w:rFonts w:cs="Arial"/>
        </w:rPr>
        <w:t xml:space="preserve"> around 7%, </w:t>
      </w:r>
      <w:r w:rsidR="000758F1" w:rsidRPr="00EE5690">
        <w:rPr>
          <w:rFonts w:cs="Arial"/>
        </w:rPr>
        <w:t>whereas in Western and Northern Europe the share of NWP in The GVA is almost nonexistent</w:t>
      </w:r>
      <w:r w:rsidRPr="00EE5690">
        <w:rPr>
          <w:rFonts w:cs="Arial"/>
        </w:rPr>
        <w:t xml:space="preserve"> with shares lower than 2%</w:t>
      </w:r>
      <w:r w:rsidR="000758F1" w:rsidRPr="00EE5690">
        <w:rPr>
          <w:rFonts w:cs="Arial"/>
        </w:rPr>
        <w:t>.</w:t>
      </w:r>
      <w:r w:rsidR="0078738B" w:rsidRPr="00EE5690">
        <w:rPr>
          <w:rFonts w:cs="Arial"/>
        </w:rPr>
        <w:t xml:space="preserve"> The low values on the NWP for Western Europe and Northern Europe can be meaningful to identify a future source of income and revalorization of the forest </w:t>
      </w:r>
      <w:proofErr w:type="spellStart"/>
      <w:r w:rsidR="0078738B" w:rsidRPr="00EE5690">
        <w:rPr>
          <w:rFonts w:cs="Arial"/>
        </w:rPr>
        <w:t>froducts</w:t>
      </w:r>
      <w:proofErr w:type="spellEnd"/>
      <w:r w:rsidR="0078738B" w:rsidRPr="00EE5690">
        <w:rPr>
          <w:rFonts w:cs="Arial"/>
        </w:rPr>
        <w:t>.</w:t>
      </w:r>
    </w:p>
    <w:p w14:paraId="1C75C8AF" w14:textId="6AA43CF2" w:rsidR="00791D40" w:rsidRPr="00EE5690" w:rsidRDefault="00791D40" w:rsidP="009E12D8">
      <w:pPr>
        <w:pStyle w:val="MAIL111"/>
      </w:pPr>
      <w:bookmarkStart w:id="137" w:name="services-income"/>
      <w:bookmarkStart w:id="138" w:name="_Toc91752411"/>
      <w:r w:rsidRPr="00EE5690">
        <w:t>Services (Income)</w:t>
      </w:r>
      <w:bookmarkEnd w:id="137"/>
      <w:bookmarkEnd w:id="138"/>
    </w:p>
    <w:p w14:paraId="50C5C05D" w14:textId="0E649BA4" w:rsidR="00791D40" w:rsidRPr="00EE5690" w:rsidRDefault="0078738B" w:rsidP="002D2FB4">
      <w:pPr>
        <w:rPr>
          <w:rFonts w:cs="Arial"/>
        </w:rPr>
      </w:pPr>
      <w:r w:rsidRPr="00EE5690">
        <w:rPr>
          <w:rFonts w:cs="Arial"/>
        </w:rPr>
        <w:t>The i</w:t>
      </w:r>
      <w:r w:rsidR="00791D40" w:rsidRPr="00EE5690">
        <w:rPr>
          <w:rFonts w:cs="Arial"/>
        </w:rPr>
        <w:t xml:space="preserve">ncome from services derived from forestry are considered in ‘Economic accounts for forestry - values at current prices. Two services were found: forest services (environmental or social) and other services. Plotting the income of forest services and other services by forest surface (in thousands of ha). The normalization </w:t>
      </w:r>
      <w:r w:rsidR="00AF62D0" w:rsidRPr="00EE5690">
        <w:rPr>
          <w:rFonts w:cs="Arial"/>
        </w:rPr>
        <w:t>is performed using</w:t>
      </w:r>
      <w:r w:rsidR="00791D40" w:rsidRPr="00EE5690">
        <w:rPr>
          <w:rFonts w:cs="Arial"/>
        </w:rPr>
        <w:t xml:space="preserve"> the area values in thousands of hectares </w:t>
      </w:r>
      <w:r w:rsidR="00AF62D0" w:rsidRPr="00EE5690">
        <w:rPr>
          <w:rFonts w:cs="Arial"/>
        </w:rPr>
        <w:t>over</w:t>
      </w:r>
      <w:r w:rsidR="00791D40" w:rsidRPr="00EE5690">
        <w:rPr>
          <w:rFonts w:cs="Arial"/>
        </w:rPr>
        <w:t xml:space="preserve"> the services are referred by the million euros. Therefore, multiplying by 1000 we obtain the value Euros by ha. </w:t>
      </w:r>
      <w:r w:rsidR="00AF62D0" w:rsidRPr="00EE5690">
        <w:rPr>
          <w:rFonts w:cs="Arial"/>
        </w:rPr>
        <w:t xml:space="preserve">The results are shown in </w:t>
      </w:r>
      <w:r w:rsidR="00B16479" w:rsidRPr="00EE5690">
        <w:rPr>
          <w:rFonts w:cs="Arial"/>
        </w:rPr>
        <w:fldChar w:fldCharType="begin"/>
      </w:r>
      <w:r w:rsidR="00B16479" w:rsidRPr="00EE5690">
        <w:rPr>
          <w:rFonts w:cs="Arial"/>
        </w:rPr>
        <w:instrText xml:space="preserve"> REF _Ref68685223 \h </w:instrText>
      </w:r>
      <w:r w:rsidR="00EE5690" w:rsidRPr="00EE5690">
        <w:rPr>
          <w:rFonts w:cs="Arial"/>
        </w:rPr>
        <w:instrText xml:space="preserve"> \* MERGEFORMAT </w:instrText>
      </w:r>
      <w:r w:rsidR="00B16479" w:rsidRPr="00EE5690">
        <w:rPr>
          <w:rFonts w:cs="Arial"/>
        </w:rPr>
      </w:r>
      <w:r w:rsidR="00B16479" w:rsidRPr="00EE5690">
        <w:rPr>
          <w:rFonts w:cs="Arial"/>
        </w:rPr>
        <w:fldChar w:fldCharType="separate"/>
      </w:r>
      <w:r w:rsidR="0073710A" w:rsidRPr="00AC0F0B">
        <w:rPr>
          <w:rFonts w:cs="Arial"/>
        </w:rPr>
        <w:t xml:space="preserve">Table </w:t>
      </w:r>
      <w:r w:rsidR="0073710A">
        <w:rPr>
          <w:rFonts w:cs="Arial"/>
          <w:noProof/>
        </w:rPr>
        <w:t>29</w:t>
      </w:r>
      <w:r w:rsidR="00B16479" w:rsidRPr="00EE5690">
        <w:rPr>
          <w:rFonts w:cs="Arial"/>
        </w:rPr>
        <w:fldChar w:fldCharType="end"/>
      </w:r>
      <w:r w:rsidR="00AF62D0" w:rsidRPr="00EE5690">
        <w:rPr>
          <w:rFonts w:cs="Arial"/>
        </w:rPr>
        <w:t>:</w:t>
      </w:r>
    </w:p>
    <w:p w14:paraId="3D0BD04A" w14:textId="1861A38A" w:rsidR="008357F5" w:rsidRPr="00AC0F0B" w:rsidRDefault="008357F5" w:rsidP="00BA109C">
      <w:pPr>
        <w:pStyle w:val="Caption"/>
        <w:keepNext/>
        <w:rPr>
          <w:rFonts w:cs="Arial"/>
        </w:rPr>
      </w:pPr>
      <w:bookmarkStart w:id="139" w:name="_Ref68685223"/>
      <w:bookmarkStart w:id="140" w:name="_Toc91752568"/>
      <w:r w:rsidRPr="00AC0F0B">
        <w:rPr>
          <w:rFonts w:cs="Arial"/>
        </w:rPr>
        <w:t xml:space="preserve">Table </w:t>
      </w:r>
      <w:r w:rsidRPr="00AC0F0B">
        <w:rPr>
          <w:rFonts w:cs="Arial"/>
        </w:rPr>
        <w:fldChar w:fldCharType="begin"/>
      </w:r>
      <w:r w:rsidRPr="00AC0F0B">
        <w:rPr>
          <w:rFonts w:cs="Arial"/>
        </w:rPr>
        <w:instrText xml:space="preserve"> SEQ Table \* ARABIC </w:instrText>
      </w:r>
      <w:r w:rsidRPr="00AC0F0B">
        <w:rPr>
          <w:rFonts w:cs="Arial"/>
        </w:rPr>
        <w:fldChar w:fldCharType="separate"/>
      </w:r>
      <w:r w:rsidR="0073710A">
        <w:rPr>
          <w:rFonts w:cs="Arial"/>
          <w:noProof/>
        </w:rPr>
        <w:t>29</w:t>
      </w:r>
      <w:r w:rsidRPr="00AC0F0B">
        <w:rPr>
          <w:rFonts w:cs="Arial"/>
        </w:rPr>
        <w:fldChar w:fldCharType="end"/>
      </w:r>
      <w:bookmarkEnd w:id="139"/>
      <w:r w:rsidR="002162E6" w:rsidRPr="00AC0F0B">
        <w:rPr>
          <w:rFonts w:cs="Arial"/>
        </w:rPr>
        <w:t>. Income provided by forest services by hectare fo</w:t>
      </w:r>
      <w:r w:rsidR="0071589D" w:rsidRPr="00AC0F0B">
        <w:rPr>
          <w:rFonts w:cs="Arial"/>
        </w:rPr>
        <w:t>r the regional groups. Forest Area is represented in thousands of hectares. Forest services in Millions of Euros.</w:t>
      </w:r>
      <w:bookmarkEnd w:id="140"/>
    </w:p>
    <w:tbl>
      <w:tblPr>
        <w:tblStyle w:val="TableGrid"/>
        <w:tblW w:w="4410" w:type="pct"/>
        <w:jc w:val="center"/>
        <w:tblLook w:val="07E0" w:firstRow="1" w:lastRow="1" w:firstColumn="1" w:lastColumn="1" w:noHBand="1" w:noVBand="1"/>
        <w:tblCaption w:val="Forest services"/>
      </w:tblPr>
      <w:tblGrid>
        <w:gridCol w:w="1644"/>
        <w:gridCol w:w="1905"/>
        <w:gridCol w:w="1518"/>
        <w:gridCol w:w="1268"/>
        <w:gridCol w:w="1158"/>
      </w:tblGrid>
      <w:tr w:rsidR="00BA109C" w:rsidRPr="00051243" w14:paraId="230F0ED7" w14:textId="77777777" w:rsidTr="00BA109C">
        <w:trPr>
          <w:trHeight w:val="433"/>
          <w:jc w:val="center"/>
        </w:trPr>
        <w:tc>
          <w:tcPr>
            <w:tcW w:w="1097" w:type="pct"/>
            <w:shd w:val="clear" w:color="auto" w:fill="BFBFBF" w:themeFill="background1" w:themeFillShade="BF"/>
          </w:tcPr>
          <w:p w14:paraId="0EF76C95" w14:textId="77777777" w:rsidR="00BA109C" w:rsidRPr="00947F2C" w:rsidRDefault="00BA109C" w:rsidP="0022057B">
            <w:pPr>
              <w:pStyle w:val="Compact"/>
              <w:rPr>
                <w:rFonts w:ascii="Arial" w:hAnsi="Arial" w:cs="Arial"/>
                <w:b/>
                <w:bCs/>
                <w:sz w:val="22"/>
                <w:szCs w:val="22"/>
              </w:rPr>
            </w:pPr>
            <w:r w:rsidRPr="00947F2C">
              <w:rPr>
                <w:rFonts w:ascii="Arial" w:hAnsi="Arial" w:cs="Arial"/>
                <w:b/>
                <w:bCs/>
                <w:sz w:val="22"/>
                <w:szCs w:val="22"/>
              </w:rPr>
              <w:t>Time</w:t>
            </w:r>
          </w:p>
        </w:tc>
        <w:tc>
          <w:tcPr>
            <w:tcW w:w="1271" w:type="pct"/>
            <w:shd w:val="clear" w:color="auto" w:fill="BFBFBF" w:themeFill="background1" w:themeFillShade="BF"/>
          </w:tcPr>
          <w:p w14:paraId="450D5390" w14:textId="77777777" w:rsidR="00BA109C" w:rsidRPr="00947F2C" w:rsidRDefault="00BA109C" w:rsidP="0022057B">
            <w:pPr>
              <w:pStyle w:val="Compact"/>
              <w:rPr>
                <w:rFonts w:ascii="Arial" w:hAnsi="Arial" w:cs="Arial"/>
                <w:b/>
                <w:bCs/>
                <w:sz w:val="22"/>
                <w:szCs w:val="22"/>
              </w:rPr>
            </w:pPr>
            <w:r w:rsidRPr="00947F2C">
              <w:rPr>
                <w:rFonts w:ascii="Arial" w:hAnsi="Arial" w:cs="Arial"/>
                <w:b/>
                <w:bCs/>
                <w:sz w:val="22"/>
                <w:szCs w:val="22"/>
              </w:rPr>
              <w:t>Regional Group</w:t>
            </w:r>
          </w:p>
        </w:tc>
        <w:tc>
          <w:tcPr>
            <w:tcW w:w="0" w:type="auto"/>
            <w:shd w:val="clear" w:color="auto" w:fill="BFBFBF" w:themeFill="background1" w:themeFillShade="BF"/>
          </w:tcPr>
          <w:p w14:paraId="2B4BA770" w14:textId="77777777" w:rsidR="00BA109C" w:rsidRPr="00947F2C" w:rsidRDefault="00BA109C" w:rsidP="0022057B">
            <w:pPr>
              <w:pStyle w:val="Compact"/>
              <w:jc w:val="right"/>
              <w:rPr>
                <w:rFonts w:ascii="Arial" w:hAnsi="Arial" w:cs="Arial"/>
                <w:b/>
                <w:bCs/>
                <w:sz w:val="22"/>
                <w:szCs w:val="22"/>
              </w:rPr>
            </w:pPr>
            <w:r w:rsidRPr="00947F2C">
              <w:rPr>
                <w:rFonts w:ascii="Arial" w:hAnsi="Arial" w:cs="Arial"/>
                <w:b/>
                <w:bCs/>
                <w:sz w:val="22"/>
                <w:szCs w:val="22"/>
              </w:rPr>
              <w:t>Forest Services</w:t>
            </w:r>
          </w:p>
        </w:tc>
        <w:tc>
          <w:tcPr>
            <w:tcW w:w="0" w:type="auto"/>
            <w:shd w:val="clear" w:color="auto" w:fill="BFBFBF" w:themeFill="background1" w:themeFillShade="BF"/>
          </w:tcPr>
          <w:p w14:paraId="10632B4A" w14:textId="77777777" w:rsidR="00BA109C" w:rsidRPr="00947F2C" w:rsidRDefault="00BA109C" w:rsidP="0022057B">
            <w:pPr>
              <w:pStyle w:val="Compact"/>
              <w:jc w:val="right"/>
              <w:rPr>
                <w:rFonts w:ascii="Arial" w:hAnsi="Arial" w:cs="Arial"/>
                <w:b/>
                <w:bCs/>
                <w:sz w:val="22"/>
                <w:szCs w:val="22"/>
              </w:rPr>
            </w:pPr>
            <w:r w:rsidRPr="00947F2C">
              <w:rPr>
                <w:rFonts w:ascii="Arial" w:hAnsi="Arial" w:cs="Arial"/>
                <w:b/>
                <w:bCs/>
                <w:sz w:val="22"/>
                <w:szCs w:val="22"/>
              </w:rPr>
              <w:t>Forest Area</w:t>
            </w:r>
          </w:p>
        </w:tc>
        <w:tc>
          <w:tcPr>
            <w:tcW w:w="0" w:type="auto"/>
            <w:shd w:val="clear" w:color="auto" w:fill="BFBFBF" w:themeFill="background1" w:themeFillShade="BF"/>
          </w:tcPr>
          <w:p w14:paraId="478060D1" w14:textId="77777777" w:rsidR="00BA109C" w:rsidRPr="00947F2C" w:rsidRDefault="00BA109C" w:rsidP="0022057B">
            <w:pPr>
              <w:pStyle w:val="Compact"/>
              <w:jc w:val="right"/>
              <w:rPr>
                <w:rFonts w:ascii="Arial" w:hAnsi="Arial" w:cs="Arial"/>
                <w:b/>
                <w:bCs/>
                <w:sz w:val="22"/>
                <w:szCs w:val="22"/>
              </w:rPr>
            </w:pPr>
            <w:r w:rsidRPr="00947F2C">
              <w:rPr>
                <w:rFonts w:ascii="Arial" w:hAnsi="Arial" w:cs="Arial"/>
                <w:b/>
                <w:bCs/>
                <w:sz w:val="22"/>
                <w:szCs w:val="22"/>
              </w:rPr>
              <w:t>Euros/ha</w:t>
            </w:r>
          </w:p>
        </w:tc>
      </w:tr>
      <w:tr w:rsidR="00BA109C" w:rsidRPr="00051243" w14:paraId="550134B8" w14:textId="77777777" w:rsidTr="00BA109C">
        <w:trPr>
          <w:trHeight w:val="433"/>
          <w:jc w:val="center"/>
        </w:trPr>
        <w:tc>
          <w:tcPr>
            <w:tcW w:w="1097" w:type="pct"/>
          </w:tcPr>
          <w:p w14:paraId="13B90A93"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1990-01-01</w:t>
            </w:r>
          </w:p>
        </w:tc>
        <w:tc>
          <w:tcPr>
            <w:tcW w:w="1271" w:type="pct"/>
          </w:tcPr>
          <w:p w14:paraId="3CD77348" w14:textId="77777777" w:rsidR="00BA109C" w:rsidRPr="00051243" w:rsidRDefault="00BA109C" w:rsidP="0022057B">
            <w:pPr>
              <w:pStyle w:val="Compact"/>
              <w:rPr>
                <w:rFonts w:ascii="Arial" w:hAnsi="Arial" w:cs="Arial"/>
                <w:sz w:val="22"/>
                <w:szCs w:val="22"/>
              </w:rPr>
            </w:pPr>
            <w:proofErr w:type="spellStart"/>
            <w:r w:rsidRPr="00051243">
              <w:rPr>
                <w:rFonts w:ascii="Arial" w:hAnsi="Arial" w:cs="Arial"/>
                <w:sz w:val="22"/>
                <w:szCs w:val="22"/>
              </w:rPr>
              <w:t>Northen</w:t>
            </w:r>
            <w:proofErr w:type="spellEnd"/>
            <w:r w:rsidRPr="00051243">
              <w:rPr>
                <w:rFonts w:ascii="Arial" w:hAnsi="Arial" w:cs="Arial"/>
                <w:sz w:val="22"/>
                <w:szCs w:val="22"/>
              </w:rPr>
              <w:t xml:space="preserve"> Europe</w:t>
            </w:r>
          </w:p>
        </w:tc>
        <w:tc>
          <w:tcPr>
            <w:tcW w:w="0" w:type="auto"/>
          </w:tcPr>
          <w:p w14:paraId="306E6EBE"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122.1432</w:t>
            </w:r>
          </w:p>
        </w:tc>
        <w:tc>
          <w:tcPr>
            <w:tcW w:w="0" w:type="auto"/>
          </w:tcPr>
          <w:p w14:paraId="179B43D8"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75678.80</w:t>
            </w:r>
          </w:p>
        </w:tc>
        <w:tc>
          <w:tcPr>
            <w:tcW w:w="0" w:type="auto"/>
          </w:tcPr>
          <w:p w14:paraId="3A86809F"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1.6140</w:t>
            </w:r>
          </w:p>
        </w:tc>
      </w:tr>
      <w:tr w:rsidR="00BA109C" w:rsidRPr="00051243" w14:paraId="03B8AAB4" w14:textId="77777777" w:rsidTr="00BA109C">
        <w:trPr>
          <w:trHeight w:val="442"/>
          <w:jc w:val="center"/>
        </w:trPr>
        <w:tc>
          <w:tcPr>
            <w:tcW w:w="1097" w:type="pct"/>
          </w:tcPr>
          <w:p w14:paraId="2A505255"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1990-01-01</w:t>
            </w:r>
          </w:p>
        </w:tc>
        <w:tc>
          <w:tcPr>
            <w:tcW w:w="1271" w:type="pct"/>
          </w:tcPr>
          <w:p w14:paraId="66735866"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Southern Europe</w:t>
            </w:r>
          </w:p>
        </w:tc>
        <w:tc>
          <w:tcPr>
            <w:tcW w:w="0" w:type="auto"/>
          </w:tcPr>
          <w:p w14:paraId="721332DE"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41.0005</w:t>
            </w:r>
          </w:p>
        </w:tc>
        <w:tc>
          <w:tcPr>
            <w:tcW w:w="0" w:type="auto"/>
          </w:tcPr>
          <w:p w14:paraId="65936B7A"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46101.94</w:t>
            </w:r>
          </w:p>
        </w:tc>
        <w:tc>
          <w:tcPr>
            <w:tcW w:w="0" w:type="auto"/>
          </w:tcPr>
          <w:p w14:paraId="638F18D6"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0.8893</w:t>
            </w:r>
          </w:p>
        </w:tc>
      </w:tr>
      <w:tr w:rsidR="00BA109C" w:rsidRPr="00051243" w14:paraId="6126CA5C" w14:textId="77777777" w:rsidTr="00BA109C">
        <w:trPr>
          <w:trHeight w:val="433"/>
          <w:jc w:val="center"/>
        </w:trPr>
        <w:tc>
          <w:tcPr>
            <w:tcW w:w="1097" w:type="pct"/>
          </w:tcPr>
          <w:p w14:paraId="5E797083"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1990-01-01</w:t>
            </w:r>
          </w:p>
        </w:tc>
        <w:tc>
          <w:tcPr>
            <w:tcW w:w="1271" w:type="pct"/>
          </w:tcPr>
          <w:p w14:paraId="73DE4979"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Western Europe</w:t>
            </w:r>
          </w:p>
        </w:tc>
        <w:tc>
          <w:tcPr>
            <w:tcW w:w="0" w:type="auto"/>
          </w:tcPr>
          <w:p w14:paraId="31B598C6"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352.1945</w:t>
            </w:r>
          </w:p>
        </w:tc>
        <w:tc>
          <w:tcPr>
            <w:tcW w:w="0" w:type="auto"/>
          </w:tcPr>
          <w:p w14:paraId="1EB2BA79"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37330.30</w:t>
            </w:r>
          </w:p>
        </w:tc>
        <w:tc>
          <w:tcPr>
            <w:tcW w:w="0" w:type="auto"/>
          </w:tcPr>
          <w:p w14:paraId="49A885EE"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9.4345</w:t>
            </w:r>
          </w:p>
        </w:tc>
      </w:tr>
      <w:tr w:rsidR="00BA109C" w:rsidRPr="00051243" w14:paraId="3117D637" w14:textId="77777777" w:rsidTr="00BA109C">
        <w:trPr>
          <w:trHeight w:val="433"/>
          <w:jc w:val="center"/>
        </w:trPr>
        <w:tc>
          <w:tcPr>
            <w:tcW w:w="1097" w:type="pct"/>
          </w:tcPr>
          <w:p w14:paraId="282E0F87"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2000-01-01</w:t>
            </w:r>
          </w:p>
        </w:tc>
        <w:tc>
          <w:tcPr>
            <w:tcW w:w="1271" w:type="pct"/>
          </w:tcPr>
          <w:p w14:paraId="0A167B4C"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Central and Eastern Europe</w:t>
            </w:r>
          </w:p>
        </w:tc>
        <w:tc>
          <w:tcPr>
            <w:tcW w:w="0" w:type="auto"/>
          </w:tcPr>
          <w:p w14:paraId="1B84D081"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3.9726</w:t>
            </w:r>
          </w:p>
        </w:tc>
        <w:tc>
          <w:tcPr>
            <w:tcW w:w="0" w:type="auto"/>
          </w:tcPr>
          <w:p w14:paraId="513F99B0"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31986.50</w:t>
            </w:r>
          </w:p>
        </w:tc>
        <w:tc>
          <w:tcPr>
            <w:tcW w:w="0" w:type="auto"/>
          </w:tcPr>
          <w:p w14:paraId="0FF7D0F4"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0.1242</w:t>
            </w:r>
          </w:p>
        </w:tc>
      </w:tr>
      <w:tr w:rsidR="00BA109C" w:rsidRPr="00051243" w14:paraId="68A68AB4" w14:textId="77777777" w:rsidTr="00BA109C">
        <w:trPr>
          <w:trHeight w:val="433"/>
          <w:jc w:val="center"/>
        </w:trPr>
        <w:tc>
          <w:tcPr>
            <w:tcW w:w="1097" w:type="pct"/>
          </w:tcPr>
          <w:p w14:paraId="7A81D0F2"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2000-01-01</w:t>
            </w:r>
          </w:p>
        </w:tc>
        <w:tc>
          <w:tcPr>
            <w:tcW w:w="1271" w:type="pct"/>
          </w:tcPr>
          <w:p w14:paraId="6139D35E"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Northern Europe</w:t>
            </w:r>
          </w:p>
        </w:tc>
        <w:tc>
          <w:tcPr>
            <w:tcW w:w="0" w:type="auto"/>
          </w:tcPr>
          <w:p w14:paraId="026E95F1"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340.0000</w:t>
            </w:r>
          </w:p>
        </w:tc>
        <w:tc>
          <w:tcPr>
            <w:tcW w:w="0" w:type="auto"/>
          </w:tcPr>
          <w:p w14:paraId="677AFB64"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76413.32</w:t>
            </w:r>
          </w:p>
        </w:tc>
        <w:tc>
          <w:tcPr>
            <w:tcW w:w="0" w:type="auto"/>
          </w:tcPr>
          <w:p w14:paraId="740B180C"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4.4495</w:t>
            </w:r>
          </w:p>
        </w:tc>
      </w:tr>
      <w:tr w:rsidR="00BA109C" w:rsidRPr="00051243" w14:paraId="71F013A3" w14:textId="77777777" w:rsidTr="00BA109C">
        <w:trPr>
          <w:trHeight w:val="433"/>
          <w:jc w:val="center"/>
        </w:trPr>
        <w:tc>
          <w:tcPr>
            <w:tcW w:w="1097" w:type="pct"/>
          </w:tcPr>
          <w:p w14:paraId="58240F74"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2000-01-01</w:t>
            </w:r>
          </w:p>
        </w:tc>
        <w:tc>
          <w:tcPr>
            <w:tcW w:w="1271" w:type="pct"/>
          </w:tcPr>
          <w:p w14:paraId="7A71BCD7"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Southern Europe</w:t>
            </w:r>
          </w:p>
        </w:tc>
        <w:tc>
          <w:tcPr>
            <w:tcW w:w="0" w:type="auto"/>
          </w:tcPr>
          <w:p w14:paraId="78666CED"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42.9749</w:t>
            </w:r>
          </w:p>
        </w:tc>
        <w:tc>
          <w:tcPr>
            <w:tcW w:w="0" w:type="auto"/>
          </w:tcPr>
          <w:p w14:paraId="0C6DC4CD"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48335.84</w:t>
            </w:r>
          </w:p>
        </w:tc>
        <w:tc>
          <w:tcPr>
            <w:tcW w:w="0" w:type="auto"/>
          </w:tcPr>
          <w:p w14:paraId="6A2393F5"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0.8891</w:t>
            </w:r>
          </w:p>
        </w:tc>
      </w:tr>
      <w:tr w:rsidR="00BA109C" w:rsidRPr="00051243" w14:paraId="0E8D0D04" w14:textId="77777777" w:rsidTr="00BA109C">
        <w:trPr>
          <w:trHeight w:val="433"/>
          <w:jc w:val="center"/>
        </w:trPr>
        <w:tc>
          <w:tcPr>
            <w:tcW w:w="1097" w:type="pct"/>
          </w:tcPr>
          <w:p w14:paraId="222E5B2A"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2000-01-01</w:t>
            </w:r>
          </w:p>
        </w:tc>
        <w:tc>
          <w:tcPr>
            <w:tcW w:w="1271" w:type="pct"/>
          </w:tcPr>
          <w:p w14:paraId="676C12FA" w14:textId="77777777" w:rsidR="00BA109C" w:rsidRPr="00051243" w:rsidRDefault="00BA109C" w:rsidP="0022057B">
            <w:pPr>
              <w:pStyle w:val="Compact"/>
              <w:rPr>
                <w:rFonts w:ascii="Arial" w:hAnsi="Arial" w:cs="Arial"/>
                <w:sz w:val="22"/>
                <w:szCs w:val="22"/>
              </w:rPr>
            </w:pPr>
            <w:r w:rsidRPr="00051243">
              <w:rPr>
                <w:rFonts w:ascii="Arial" w:hAnsi="Arial" w:cs="Arial"/>
                <w:sz w:val="22"/>
                <w:szCs w:val="22"/>
              </w:rPr>
              <w:t>Western Europe</w:t>
            </w:r>
          </w:p>
        </w:tc>
        <w:tc>
          <w:tcPr>
            <w:tcW w:w="0" w:type="auto"/>
          </w:tcPr>
          <w:p w14:paraId="3820EDEB"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1113.1617</w:t>
            </w:r>
          </w:p>
        </w:tc>
        <w:tc>
          <w:tcPr>
            <w:tcW w:w="0" w:type="auto"/>
          </w:tcPr>
          <w:p w14:paraId="625415D4"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38466.78</w:t>
            </w:r>
          </w:p>
        </w:tc>
        <w:tc>
          <w:tcPr>
            <w:tcW w:w="0" w:type="auto"/>
          </w:tcPr>
          <w:p w14:paraId="4ED64E77" w14:textId="77777777" w:rsidR="00BA109C" w:rsidRPr="00051243" w:rsidRDefault="00BA109C" w:rsidP="0022057B">
            <w:pPr>
              <w:pStyle w:val="Compact"/>
              <w:jc w:val="right"/>
              <w:rPr>
                <w:rFonts w:ascii="Arial" w:hAnsi="Arial" w:cs="Arial"/>
                <w:sz w:val="22"/>
                <w:szCs w:val="22"/>
              </w:rPr>
            </w:pPr>
            <w:r w:rsidRPr="00051243">
              <w:rPr>
                <w:rFonts w:ascii="Arial" w:hAnsi="Arial" w:cs="Arial"/>
                <w:sz w:val="22"/>
                <w:szCs w:val="22"/>
              </w:rPr>
              <w:t>28.9382</w:t>
            </w:r>
          </w:p>
        </w:tc>
      </w:tr>
    </w:tbl>
    <w:p w14:paraId="584CC3F3" w14:textId="551A85F7" w:rsidR="00791D40" w:rsidRPr="00EE5690" w:rsidRDefault="00791D40" w:rsidP="002D2FB4">
      <w:pPr>
        <w:rPr>
          <w:rFonts w:cs="Arial"/>
        </w:rPr>
      </w:pPr>
      <w:r w:rsidRPr="00EE5690">
        <w:rPr>
          <w:rFonts w:cs="Arial"/>
        </w:rPr>
        <w:t>Given there were only two dates, instead of presenting the data in a graph it was presented in</w:t>
      </w:r>
      <w:r w:rsidR="00B16479" w:rsidRPr="00EE5690">
        <w:rPr>
          <w:rFonts w:cs="Arial"/>
        </w:rPr>
        <w:t xml:space="preserve"> a</w:t>
      </w:r>
      <w:r w:rsidRPr="00EE5690">
        <w:rPr>
          <w:rFonts w:cs="Arial"/>
        </w:rPr>
        <w:t xml:space="preserve"> table. </w:t>
      </w:r>
      <w:r w:rsidR="00C0476F" w:rsidRPr="00EE5690">
        <w:rPr>
          <w:rFonts w:cs="Arial"/>
        </w:rPr>
        <w:fldChar w:fldCharType="begin"/>
      </w:r>
      <w:r w:rsidR="00C0476F" w:rsidRPr="00EE5690">
        <w:rPr>
          <w:rFonts w:cs="Arial"/>
        </w:rPr>
        <w:instrText xml:space="preserve"> REF _Ref68685223 \h </w:instrText>
      </w:r>
      <w:r w:rsidR="00EE5690" w:rsidRPr="00EE5690">
        <w:rPr>
          <w:rFonts w:cs="Arial"/>
        </w:rPr>
        <w:instrText xml:space="preserve"> \* MERGEFORMAT </w:instrText>
      </w:r>
      <w:r w:rsidR="00C0476F" w:rsidRPr="00EE5690">
        <w:rPr>
          <w:rFonts w:cs="Arial"/>
        </w:rPr>
      </w:r>
      <w:r w:rsidR="00C0476F" w:rsidRPr="00EE5690">
        <w:rPr>
          <w:rFonts w:cs="Arial"/>
        </w:rPr>
        <w:fldChar w:fldCharType="separate"/>
      </w:r>
      <w:r w:rsidR="0073710A" w:rsidRPr="00AC0F0B">
        <w:rPr>
          <w:rFonts w:cs="Arial"/>
        </w:rPr>
        <w:t xml:space="preserve">Table </w:t>
      </w:r>
      <w:r w:rsidR="0073710A">
        <w:rPr>
          <w:rFonts w:cs="Arial"/>
          <w:noProof/>
        </w:rPr>
        <w:t>29</w:t>
      </w:r>
      <w:r w:rsidR="00C0476F" w:rsidRPr="00EE5690">
        <w:rPr>
          <w:rFonts w:cs="Arial"/>
        </w:rPr>
        <w:fldChar w:fldCharType="end"/>
      </w:r>
      <w:r w:rsidR="00C0476F" w:rsidRPr="00EE5690">
        <w:rPr>
          <w:rFonts w:cs="Arial"/>
        </w:rPr>
        <w:t xml:space="preserve"> </w:t>
      </w:r>
      <w:r w:rsidRPr="00EE5690">
        <w:rPr>
          <w:rFonts w:cs="Arial"/>
        </w:rPr>
        <w:t>represents the value of the forest area for the regional g</w:t>
      </w:r>
      <w:r w:rsidR="00AF62D0" w:rsidRPr="00EE5690">
        <w:rPr>
          <w:rFonts w:cs="Arial"/>
        </w:rPr>
        <w:t xml:space="preserve">roups in thousands of hectares </w:t>
      </w:r>
      <w:r w:rsidRPr="00EE5690">
        <w:rPr>
          <w:rFonts w:cs="Arial"/>
        </w:rPr>
        <w:t>and the millio</w:t>
      </w:r>
      <w:r w:rsidR="00AF62D0" w:rsidRPr="00EE5690">
        <w:rPr>
          <w:rFonts w:cs="Arial"/>
        </w:rPr>
        <w:t xml:space="preserve">ns of euros in forest services. </w:t>
      </w:r>
      <w:r w:rsidRPr="00EE5690">
        <w:rPr>
          <w:rFonts w:cs="Arial"/>
        </w:rPr>
        <w:t xml:space="preserve">Dividing the </w:t>
      </w:r>
      <w:r w:rsidR="00AF62D0" w:rsidRPr="00EE5690">
        <w:rPr>
          <w:rFonts w:cs="Arial"/>
        </w:rPr>
        <w:t>Forest services</w:t>
      </w:r>
      <w:r w:rsidRPr="00EE5690">
        <w:rPr>
          <w:rFonts w:cs="Arial"/>
        </w:rPr>
        <w:t xml:space="preserve"> </w:t>
      </w:r>
      <w:r w:rsidR="0028707A">
        <w:rPr>
          <w:rFonts w:cs="Arial"/>
        </w:rPr>
        <w:t>by</w:t>
      </w:r>
      <w:r w:rsidRPr="00EE5690">
        <w:rPr>
          <w:rFonts w:cs="Arial"/>
        </w:rPr>
        <w:t xml:space="preserve"> </w:t>
      </w:r>
      <w:r w:rsidR="00AF62D0" w:rsidRPr="00EE5690">
        <w:rPr>
          <w:rFonts w:cs="Arial"/>
        </w:rPr>
        <w:t>forest area</w:t>
      </w:r>
      <w:r w:rsidRPr="00EE5690">
        <w:rPr>
          <w:rFonts w:cs="Arial"/>
        </w:rPr>
        <w:t xml:space="preserve"> and multiplying by 1</w:t>
      </w:r>
      <w:r w:rsidR="0028707A">
        <w:rPr>
          <w:rFonts w:cs="Arial"/>
        </w:rPr>
        <w:t>,</w:t>
      </w:r>
      <w:r w:rsidRPr="00EE5690">
        <w:rPr>
          <w:rFonts w:cs="Arial"/>
        </w:rPr>
        <w:t>000 then we obtain the forest servic</w:t>
      </w:r>
      <w:r w:rsidR="00AF62D0" w:rsidRPr="00EE5690">
        <w:rPr>
          <w:rFonts w:cs="Arial"/>
        </w:rPr>
        <w:t>es in euros by hectare. The table shows that</w:t>
      </w:r>
      <w:r w:rsidRPr="00EE5690">
        <w:rPr>
          <w:rFonts w:cs="Arial"/>
        </w:rPr>
        <w:t xml:space="preserve"> Northern and Western Europe have increased the value of the forest services per ha in the period 1990 </w:t>
      </w:r>
      <w:r w:rsidR="00B16479" w:rsidRPr="00EE5690">
        <w:rPr>
          <w:rFonts w:cs="Arial"/>
        </w:rPr>
        <w:t>–</w:t>
      </w:r>
      <w:r w:rsidRPr="00EE5690">
        <w:rPr>
          <w:rFonts w:cs="Arial"/>
        </w:rPr>
        <w:t xml:space="preserve"> 2000</w:t>
      </w:r>
      <w:r w:rsidR="00B16479" w:rsidRPr="00EE5690">
        <w:rPr>
          <w:rFonts w:cs="Arial"/>
        </w:rPr>
        <w:t>, from 1.614 to 4.449</w:t>
      </w:r>
      <w:r w:rsidR="001F1058" w:rsidRPr="00EE5690">
        <w:rPr>
          <w:rFonts w:cs="Arial"/>
        </w:rPr>
        <w:t xml:space="preserve"> euros by ha</w:t>
      </w:r>
      <w:r w:rsidRPr="00EE5690">
        <w:rPr>
          <w:rFonts w:cs="Arial"/>
        </w:rPr>
        <w:t xml:space="preserve">. On the other hand, the values for southern Spain have remained constant for the given period. Alternatively, the same phenomenon is appreciated for the countries </w:t>
      </w:r>
      <w:r w:rsidRPr="00EE5690">
        <w:rPr>
          <w:rFonts w:cs="Arial"/>
        </w:rPr>
        <w:lastRenderedPageBreak/>
        <w:t xml:space="preserve">regarding the other forest services. Increase for Northern and Western Europe, where in Southern </w:t>
      </w:r>
      <w:r w:rsidR="00185F58" w:rsidRPr="00EE5690">
        <w:rPr>
          <w:rFonts w:cs="Arial"/>
        </w:rPr>
        <w:t>Europe</w:t>
      </w:r>
      <w:r w:rsidRPr="00EE5690">
        <w:rPr>
          <w:rFonts w:cs="Arial"/>
        </w:rPr>
        <w:t xml:space="preserve"> remains almost constant, although here a slight increase is appreciated.</w:t>
      </w:r>
    </w:p>
    <w:p w14:paraId="0A877822" w14:textId="252D2D73" w:rsidR="002162E6" w:rsidRPr="0028707A" w:rsidRDefault="002162E6" w:rsidP="00BA109C">
      <w:pPr>
        <w:pStyle w:val="Caption"/>
        <w:keepNext/>
        <w:rPr>
          <w:rFonts w:cs="Arial"/>
        </w:rPr>
      </w:pPr>
      <w:bookmarkStart w:id="141" w:name="_Ref68685244"/>
      <w:bookmarkStart w:id="142" w:name="_Toc91752569"/>
      <w:r w:rsidRPr="0028707A">
        <w:rPr>
          <w:rFonts w:cs="Arial"/>
        </w:rPr>
        <w:t xml:space="preserve">Table </w:t>
      </w:r>
      <w:r w:rsidRPr="0028707A">
        <w:rPr>
          <w:rFonts w:cs="Arial"/>
        </w:rPr>
        <w:fldChar w:fldCharType="begin"/>
      </w:r>
      <w:r w:rsidRPr="0028707A">
        <w:rPr>
          <w:rFonts w:cs="Arial"/>
        </w:rPr>
        <w:instrText xml:space="preserve"> SEQ Table \* ARABIC </w:instrText>
      </w:r>
      <w:r w:rsidRPr="0028707A">
        <w:rPr>
          <w:rFonts w:cs="Arial"/>
        </w:rPr>
        <w:fldChar w:fldCharType="separate"/>
      </w:r>
      <w:r w:rsidR="0073710A">
        <w:rPr>
          <w:rFonts w:cs="Arial"/>
          <w:noProof/>
        </w:rPr>
        <w:t>30</w:t>
      </w:r>
      <w:r w:rsidRPr="0028707A">
        <w:rPr>
          <w:rFonts w:cs="Arial"/>
        </w:rPr>
        <w:fldChar w:fldCharType="end"/>
      </w:r>
      <w:bookmarkEnd w:id="141"/>
      <w:r w:rsidRPr="0028707A">
        <w:rPr>
          <w:rFonts w:cs="Arial"/>
        </w:rPr>
        <w:t xml:space="preserve"> Income provided by other forest services by hectare for the regional groups</w:t>
      </w:r>
      <w:bookmarkEnd w:id="142"/>
    </w:p>
    <w:tbl>
      <w:tblPr>
        <w:tblStyle w:val="TableGrid"/>
        <w:tblW w:w="5000" w:type="pct"/>
        <w:tblLook w:val="07E0" w:firstRow="1" w:lastRow="1" w:firstColumn="1" w:lastColumn="1" w:noHBand="1" w:noVBand="1"/>
        <w:tblCaption w:val="Other Forest services"/>
      </w:tblPr>
      <w:tblGrid>
        <w:gridCol w:w="1701"/>
        <w:gridCol w:w="2657"/>
        <w:gridCol w:w="1507"/>
        <w:gridCol w:w="1530"/>
        <w:gridCol w:w="1100"/>
      </w:tblGrid>
      <w:tr w:rsidR="00BA109C" w:rsidRPr="00051243" w14:paraId="028946BE" w14:textId="77777777" w:rsidTr="0022057B">
        <w:trPr>
          <w:trHeight w:val="405"/>
        </w:trPr>
        <w:tc>
          <w:tcPr>
            <w:tcW w:w="1001" w:type="pct"/>
            <w:shd w:val="clear" w:color="auto" w:fill="BFBFBF" w:themeFill="background1" w:themeFillShade="BF"/>
          </w:tcPr>
          <w:p w14:paraId="394E6167" w14:textId="77777777" w:rsidR="00BA109C" w:rsidRPr="00947F2C" w:rsidRDefault="00BA109C" w:rsidP="0022057B">
            <w:pPr>
              <w:pStyle w:val="Compact"/>
              <w:rPr>
                <w:rFonts w:ascii="Arial" w:hAnsi="Arial" w:cs="Arial"/>
                <w:b/>
                <w:bCs/>
                <w:sz w:val="22"/>
              </w:rPr>
            </w:pPr>
            <w:r w:rsidRPr="00947F2C">
              <w:rPr>
                <w:rFonts w:ascii="Arial" w:hAnsi="Arial" w:cs="Arial"/>
                <w:b/>
                <w:bCs/>
                <w:sz w:val="22"/>
              </w:rPr>
              <w:t>Time</w:t>
            </w:r>
          </w:p>
        </w:tc>
        <w:tc>
          <w:tcPr>
            <w:tcW w:w="1564" w:type="pct"/>
            <w:shd w:val="clear" w:color="auto" w:fill="BFBFBF" w:themeFill="background1" w:themeFillShade="BF"/>
          </w:tcPr>
          <w:p w14:paraId="0EFB7195" w14:textId="77777777" w:rsidR="00BA109C" w:rsidRPr="00947F2C" w:rsidRDefault="00BA109C" w:rsidP="0022057B">
            <w:pPr>
              <w:pStyle w:val="Compact"/>
              <w:rPr>
                <w:rFonts w:ascii="Arial" w:hAnsi="Arial" w:cs="Arial"/>
                <w:b/>
                <w:bCs/>
                <w:sz w:val="22"/>
              </w:rPr>
            </w:pPr>
            <w:proofErr w:type="spellStart"/>
            <w:r w:rsidRPr="00947F2C">
              <w:rPr>
                <w:rFonts w:ascii="Arial" w:hAnsi="Arial" w:cs="Arial"/>
                <w:b/>
                <w:bCs/>
                <w:sz w:val="22"/>
              </w:rPr>
              <w:t>Reg_Groups</w:t>
            </w:r>
            <w:proofErr w:type="spellEnd"/>
          </w:p>
        </w:tc>
        <w:tc>
          <w:tcPr>
            <w:tcW w:w="887" w:type="pct"/>
            <w:shd w:val="clear" w:color="auto" w:fill="BFBFBF" w:themeFill="background1" w:themeFillShade="BF"/>
          </w:tcPr>
          <w:p w14:paraId="5F410757" w14:textId="77777777" w:rsidR="00BA109C" w:rsidRPr="00947F2C" w:rsidRDefault="00BA109C" w:rsidP="0022057B">
            <w:pPr>
              <w:pStyle w:val="Compact"/>
              <w:jc w:val="right"/>
              <w:rPr>
                <w:rFonts w:ascii="Arial" w:hAnsi="Arial" w:cs="Arial"/>
                <w:b/>
                <w:bCs/>
                <w:sz w:val="22"/>
              </w:rPr>
            </w:pPr>
            <w:r w:rsidRPr="00947F2C">
              <w:rPr>
                <w:rFonts w:ascii="Arial" w:hAnsi="Arial" w:cs="Arial"/>
                <w:b/>
                <w:bCs/>
                <w:sz w:val="22"/>
              </w:rPr>
              <w:t>Other Services</w:t>
            </w:r>
          </w:p>
        </w:tc>
        <w:tc>
          <w:tcPr>
            <w:tcW w:w="0" w:type="auto"/>
            <w:shd w:val="clear" w:color="auto" w:fill="BFBFBF" w:themeFill="background1" w:themeFillShade="BF"/>
          </w:tcPr>
          <w:p w14:paraId="5CC386DF" w14:textId="77777777" w:rsidR="00BA109C" w:rsidRPr="00947F2C" w:rsidRDefault="00BA109C" w:rsidP="0022057B">
            <w:pPr>
              <w:pStyle w:val="Compact"/>
              <w:jc w:val="right"/>
              <w:rPr>
                <w:rFonts w:ascii="Arial" w:hAnsi="Arial" w:cs="Arial"/>
                <w:b/>
                <w:bCs/>
                <w:sz w:val="22"/>
              </w:rPr>
            </w:pPr>
            <w:r w:rsidRPr="00947F2C">
              <w:rPr>
                <w:rFonts w:ascii="Arial" w:hAnsi="Arial" w:cs="Arial"/>
                <w:b/>
                <w:bCs/>
                <w:sz w:val="22"/>
              </w:rPr>
              <w:t>Forest Area</w:t>
            </w:r>
          </w:p>
        </w:tc>
        <w:tc>
          <w:tcPr>
            <w:tcW w:w="0" w:type="auto"/>
            <w:shd w:val="clear" w:color="auto" w:fill="BFBFBF" w:themeFill="background1" w:themeFillShade="BF"/>
          </w:tcPr>
          <w:p w14:paraId="5419F2ED" w14:textId="77777777" w:rsidR="00BA109C" w:rsidRPr="00947F2C" w:rsidRDefault="00BA109C" w:rsidP="0022057B">
            <w:pPr>
              <w:pStyle w:val="Compact"/>
              <w:jc w:val="right"/>
              <w:rPr>
                <w:rFonts w:ascii="Arial" w:hAnsi="Arial" w:cs="Arial"/>
                <w:b/>
                <w:bCs/>
                <w:sz w:val="22"/>
              </w:rPr>
            </w:pPr>
            <w:r w:rsidRPr="00947F2C">
              <w:rPr>
                <w:rFonts w:ascii="Arial" w:hAnsi="Arial" w:cs="Arial"/>
                <w:b/>
                <w:bCs/>
                <w:sz w:val="22"/>
              </w:rPr>
              <w:t>Euro/ha</w:t>
            </w:r>
          </w:p>
        </w:tc>
      </w:tr>
      <w:tr w:rsidR="00BA109C" w:rsidRPr="00051243" w14:paraId="589BFA47" w14:textId="77777777" w:rsidTr="0022057B">
        <w:trPr>
          <w:trHeight w:val="405"/>
        </w:trPr>
        <w:tc>
          <w:tcPr>
            <w:tcW w:w="1001" w:type="pct"/>
          </w:tcPr>
          <w:p w14:paraId="676B95ED" w14:textId="77777777" w:rsidR="00BA109C" w:rsidRPr="00051243" w:rsidRDefault="00BA109C" w:rsidP="0022057B">
            <w:pPr>
              <w:pStyle w:val="Compact"/>
              <w:rPr>
                <w:rFonts w:ascii="Arial" w:hAnsi="Arial" w:cs="Arial"/>
                <w:sz w:val="22"/>
              </w:rPr>
            </w:pPr>
            <w:r w:rsidRPr="00051243">
              <w:rPr>
                <w:rFonts w:ascii="Arial" w:hAnsi="Arial" w:cs="Arial"/>
                <w:sz w:val="22"/>
              </w:rPr>
              <w:t>1990-01-01</w:t>
            </w:r>
          </w:p>
        </w:tc>
        <w:tc>
          <w:tcPr>
            <w:tcW w:w="1564" w:type="pct"/>
          </w:tcPr>
          <w:p w14:paraId="25639A11" w14:textId="77777777" w:rsidR="00BA109C" w:rsidRPr="00051243" w:rsidRDefault="00BA109C" w:rsidP="0022057B">
            <w:pPr>
              <w:pStyle w:val="Compact"/>
              <w:rPr>
                <w:rFonts w:ascii="Arial" w:hAnsi="Arial" w:cs="Arial"/>
                <w:sz w:val="22"/>
              </w:rPr>
            </w:pPr>
            <w:r w:rsidRPr="00051243">
              <w:rPr>
                <w:rFonts w:ascii="Arial" w:hAnsi="Arial" w:cs="Arial"/>
                <w:sz w:val="22"/>
              </w:rPr>
              <w:t>Southern Europe</w:t>
            </w:r>
          </w:p>
        </w:tc>
        <w:tc>
          <w:tcPr>
            <w:tcW w:w="887" w:type="pct"/>
          </w:tcPr>
          <w:p w14:paraId="791A370B" w14:textId="77777777" w:rsidR="00BA109C" w:rsidRPr="00051243" w:rsidRDefault="00BA109C" w:rsidP="0022057B">
            <w:pPr>
              <w:pStyle w:val="Compact"/>
              <w:jc w:val="right"/>
              <w:rPr>
                <w:rFonts w:ascii="Arial" w:hAnsi="Arial" w:cs="Arial"/>
                <w:sz w:val="22"/>
              </w:rPr>
            </w:pPr>
            <w:r w:rsidRPr="00051243">
              <w:rPr>
                <w:rFonts w:ascii="Arial" w:hAnsi="Arial" w:cs="Arial"/>
                <w:sz w:val="22"/>
              </w:rPr>
              <w:t>31.7622</w:t>
            </w:r>
          </w:p>
        </w:tc>
        <w:tc>
          <w:tcPr>
            <w:tcW w:w="0" w:type="auto"/>
          </w:tcPr>
          <w:p w14:paraId="7DBE9C06" w14:textId="77777777" w:rsidR="00BA109C" w:rsidRPr="00051243" w:rsidRDefault="00BA109C" w:rsidP="0022057B">
            <w:pPr>
              <w:pStyle w:val="Compact"/>
              <w:jc w:val="right"/>
              <w:rPr>
                <w:rFonts w:ascii="Arial" w:hAnsi="Arial" w:cs="Arial"/>
                <w:sz w:val="22"/>
              </w:rPr>
            </w:pPr>
            <w:r w:rsidRPr="00051243">
              <w:rPr>
                <w:rFonts w:ascii="Arial" w:hAnsi="Arial" w:cs="Arial"/>
                <w:sz w:val="22"/>
              </w:rPr>
              <w:t>46101.94</w:t>
            </w:r>
          </w:p>
        </w:tc>
        <w:tc>
          <w:tcPr>
            <w:tcW w:w="0" w:type="auto"/>
          </w:tcPr>
          <w:p w14:paraId="14749C47" w14:textId="77777777" w:rsidR="00BA109C" w:rsidRPr="00051243" w:rsidRDefault="00BA109C" w:rsidP="0022057B">
            <w:pPr>
              <w:pStyle w:val="Compact"/>
              <w:jc w:val="right"/>
              <w:rPr>
                <w:rFonts w:ascii="Arial" w:hAnsi="Arial" w:cs="Arial"/>
                <w:sz w:val="22"/>
              </w:rPr>
            </w:pPr>
            <w:r w:rsidRPr="00051243">
              <w:rPr>
                <w:rFonts w:ascii="Arial" w:hAnsi="Arial" w:cs="Arial"/>
                <w:sz w:val="22"/>
              </w:rPr>
              <w:t>0.6890</w:t>
            </w:r>
          </w:p>
        </w:tc>
      </w:tr>
      <w:tr w:rsidR="00BA109C" w:rsidRPr="00051243" w14:paraId="1622A7A8" w14:textId="77777777" w:rsidTr="0022057B">
        <w:trPr>
          <w:trHeight w:val="405"/>
        </w:trPr>
        <w:tc>
          <w:tcPr>
            <w:tcW w:w="1001" w:type="pct"/>
          </w:tcPr>
          <w:p w14:paraId="72DD4F41"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1990-01-01</w:t>
            </w:r>
          </w:p>
        </w:tc>
        <w:tc>
          <w:tcPr>
            <w:tcW w:w="1564" w:type="pct"/>
          </w:tcPr>
          <w:p w14:paraId="2F366C2C"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Western Europe</w:t>
            </w:r>
          </w:p>
        </w:tc>
        <w:tc>
          <w:tcPr>
            <w:tcW w:w="887" w:type="pct"/>
          </w:tcPr>
          <w:p w14:paraId="55E09BB1"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447.3426</w:t>
            </w:r>
          </w:p>
        </w:tc>
        <w:tc>
          <w:tcPr>
            <w:tcW w:w="0" w:type="auto"/>
          </w:tcPr>
          <w:p w14:paraId="24C1A89F"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37330.30</w:t>
            </w:r>
          </w:p>
        </w:tc>
        <w:tc>
          <w:tcPr>
            <w:tcW w:w="0" w:type="auto"/>
          </w:tcPr>
          <w:p w14:paraId="346EB501"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11.9837</w:t>
            </w:r>
          </w:p>
        </w:tc>
      </w:tr>
      <w:tr w:rsidR="00BA109C" w:rsidRPr="00051243" w14:paraId="6F9231BA" w14:textId="77777777" w:rsidTr="0022057B">
        <w:trPr>
          <w:trHeight w:val="413"/>
        </w:trPr>
        <w:tc>
          <w:tcPr>
            <w:tcW w:w="1001" w:type="pct"/>
          </w:tcPr>
          <w:p w14:paraId="4A8685AA"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2000-01-01</w:t>
            </w:r>
          </w:p>
        </w:tc>
        <w:tc>
          <w:tcPr>
            <w:tcW w:w="1564" w:type="pct"/>
          </w:tcPr>
          <w:p w14:paraId="25C295FD"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Central and Eastern Europe</w:t>
            </w:r>
          </w:p>
        </w:tc>
        <w:tc>
          <w:tcPr>
            <w:tcW w:w="887" w:type="pct"/>
          </w:tcPr>
          <w:p w14:paraId="3500CC79"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0.1586</w:t>
            </w:r>
          </w:p>
        </w:tc>
        <w:tc>
          <w:tcPr>
            <w:tcW w:w="0" w:type="auto"/>
          </w:tcPr>
          <w:p w14:paraId="7AB11552"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31986.50</w:t>
            </w:r>
          </w:p>
        </w:tc>
        <w:tc>
          <w:tcPr>
            <w:tcW w:w="0" w:type="auto"/>
          </w:tcPr>
          <w:p w14:paraId="768BE30C"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0.0049</w:t>
            </w:r>
          </w:p>
        </w:tc>
      </w:tr>
      <w:tr w:rsidR="00BA109C" w:rsidRPr="00051243" w14:paraId="238D16D3" w14:textId="77777777" w:rsidTr="0022057B">
        <w:trPr>
          <w:trHeight w:val="405"/>
        </w:trPr>
        <w:tc>
          <w:tcPr>
            <w:tcW w:w="1001" w:type="pct"/>
          </w:tcPr>
          <w:p w14:paraId="568A9BD6"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2000-01-01</w:t>
            </w:r>
          </w:p>
        </w:tc>
        <w:tc>
          <w:tcPr>
            <w:tcW w:w="1564" w:type="pct"/>
          </w:tcPr>
          <w:p w14:paraId="1E8956E8"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Northern Europe</w:t>
            </w:r>
          </w:p>
        </w:tc>
        <w:tc>
          <w:tcPr>
            <w:tcW w:w="887" w:type="pct"/>
          </w:tcPr>
          <w:p w14:paraId="15D7C6EB"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232.1000</w:t>
            </w:r>
          </w:p>
        </w:tc>
        <w:tc>
          <w:tcPr>
            <w:tcW w:w="0" w:type="auto"/>
          </w:tcPr>
          <w:p w14:paraId="11F6E789"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76413.32</w:t>
            </w:r>
          </w:p>
        </w:tc>
        <w:tc>
          <w:tcPr>
            <w:tcW w:w="0" w:type="auto"/>
          </w:tcPr>
          <w:p w14:paraId="481D3528"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3.0374</w:t>
            </w:r>
          </w:p>
        </w:tc>
      </w:tr>
      <w:tr w:rsidR="00BA109C" w:rsidRPr="00051243" w14:paraId="561D7D79" w14:textId="77777777" w:rsidTr="0022057B">
        <w:trPr>
          <w:trHeight w:val="405"/>
        </w:trPr>
        <w:tc>
          <w:tcPr>
            <w:tcW w:w="1001" w:type="pct"/>
          </w:tcPr>
          <w:p w14:paraId="76B16794"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2000-01-01</w:t>
            </w:r>
          </w:p>
        </w:tc>
        <w:tc>
          <w:tcPr>
            <w:tcW w:w="1564" w:type="pct"/>
          </w:tcPr>
          <w:p w14:paraId="0EDF8B2F"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Southern Europe</w:t>
            </w:r>
          </w:p>
        </w:tc>
        <w:tc>
          <w:tcPr>
            <w:tcW w:w="887" w:type="pct"/>
          </w:tcPr>
          <w:p w14:paraId="30EB4BA3"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43.1349</w:t>
            </w:r>
          </w:p>
        </w:tc>
        <w:tc>
          <w:tcPr>
            <w:tcW w:w="0" w:type="auto"/>
          </w:tcPr>
          <w:p w14:paraId="4DC18395"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48335.84</w:t>
            </w:r>
          </w:p>
        </w:tc>
        <w:tc>
          <w:tcPr>
            <w:tcW w:w="0" w:type="auto"/>
          </w:tcPr>
          <w:p w14:paraId="13E1BD07"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0.8924</w:t>
            </w:r>
          </w:p>
        </w:tc>
      </w:tr>
      <w:tr w:rsidR="00BA109C" w:rsidRPr="00051243" w14:paraId="46C043FA" w14:textId="77777777" w:rsidTr="0022057B">
        <w:trPr>
          <w:trHeight w:val="405"/>
        </w:trPr>
        <w:tc>
          <w:tcPr>
            <w:tcW w:w="1001" w:type="pct"/>
          </w:tcPr>
          <w:p w14:paraId="4463732F"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2000-01-01</w:t>
            </w:r>
          </w:p>
        </w:tc>
        <w:tc>
          <w:tcPr>
            <w:tcW w:w="1564" w:type="pct"/>
          </w:tcPr>
          <w:p w14:paraId="36469EF4" w14:textId="77777777" w:rsidR="00BA109C" w:rsidRPr="00051243" w:rsidRDefault="00BA109C" w:rsidP="0022057B">
            <w:pPr>
              <w:pStyle w:val="Compact"/>
              <w:spacing w:before="0" w:after="0"/>
              <w:rPr>
                <w:rFonts w:ascii="Arial" w:hAnsi="Arial" w:cs="Arial"/>
                <w:sz w:val="22"/>
              </w:rPr>
            </w:pPr>
            <w:r w:rsidRPr="00051243">
              <w:rPr>
                <w:rFonts w:ascii="Arial" w:hAnsi="Arial" w:cs="Arial"/>
                <w:sz w:val="22"/>
              </w:rPr>
              <w:t>Western Europe</w:t>
            </w:r>
          </w:p>
        </w:tc>
        <w:tc>
          <w:tcPr>
            <w:tcW w:w="887" w:type="pct"/>
          </w:tcPr>
          <w:p w14:paraId="4E4CB80D"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1009.2137</w:t>
            </w:r>
          </w:p>
        </w:tc>
        <w:tc>
          <w:tcPr>
            <w:tcW w:w="0" w:type="auto"/>
          </w:tcPr>
          <w:p w14:paraId="703DBA83"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38466.78</w:t>
            </w:r>
          </w:p>
        </w:tc>
        <w:tc>
          <w:tcPr>
            <w:tcW w:w="0" w:type="auto"/>
          </w:tcPr>
          <w:p w14:paraId="0B293418" w14:textId="77777777" w:rsidR="00BA109C" w:rsidRPr="00051243" w:rsidRDefault="00BA109C" w:rsidP="0022057B">
            <w:pPr>
              <w:pStyle w:val="Compact"/>
              <w:spacing w:before="0" w:after="0"/>
              <w:jc w:val="right"/>
              <w:rPr>
                <w:rFonts w:ascii="Arial" w:hAnsi="Arial" w:cs="Arial"/>
                <w:sz w:val="22"/>
              </w:rPr>
            </w:pPr>
            <w:r w:rsidRPr="00051243">
              <w:rPr>
                <w:rFonts w:ascii="Arial" w:hAnsi="Arial" w:cs="Arial"/>
                <w:sz w:val="22"/>
              </w:rPr>
              <w:t>26.2360</w:t>
            </w:r>
          </w:p>
        </w:tc>
      </w:tr>
    </w:tbl>
    <w:p w14:paraId="3ED24DBC" w14:textId="460DB1D5" w:rsidR="00AF62D0" w:rsidRPr="00EE5690" w:rsidRDefault="00C0476F" w:rsidP="002D2FB4">
      <w:pPr>
        <w:rPr>
          <w:rFonts w:cs="Arial"/>
        </w:rPr>
      </w:pPr>
      <w:r w:rsidRPr="00EE5690">
        <w:rPr>
          <w:rFonts w:cs="Arial"/>
        </w:rPr>
        <w:fldChar w:fldCharType="begin"/>
      </w:r>
      <w:r w:rsidRPr="00EE5690">
        <w:rPr>
          <w:rFonts w:cs="Arial"/>
        </w:rPr>
        <w:instrText xml:space="preserve"> REF _Ref68685244 \h </w:instrText>
      </w:r>
      <w:r w:rsidR="00EE5690" w:rsidRPr="00EE5690">
        <w:rPr>
          <w:rFonts w:cs="Arial"/>
        </w:rPr>
        <w:instrText xml:space="preserve"> \* MERGEFORMAT </w:instrText>
      </w:r>
      <w:r w:rsidRPr="00EE5690">
        <w:rPr>
          <w:rFonts w:cs="Arial"/>
        </w:rPr>
      </w:r>
      <w:r w:rsidRPr="00EE5690">
        <w:rPr>
          <w:rFonts w:cs="Arial"/>
        </w:rPr>
        <w:fldChar w:fldCharType="separate"/>
      </w:r>
      <w:r w:rsidR="0073710A" w:rsidRPr="0028707A">
        <w:rPr>
          <w:rFonts w:cs="Arial"/>
        </w:rPr>
        <w:t xml:space="preserve">Table </w:t>
      </w:r>
      <w:r w:rsidR="0073710A">
        <w:rPr>
          <w:rFonts w:cs="Arial"/>
          <w:noProof/>
        </w:rPr>
        <w:t>30</w:t>
      </w:r>
      <w:r w:rsidRPr="00EE5690">
        <w:rPr>
          <w:rFonts w:cs="Arial"/>
        </w:rPr>
        <w:fldChar w:fldCharType="end"/>
      </w:r>
      <w:r w:rsidRPr="00EE5690">
        <w:rPr>
          <w:rFonts w:cs="Arial"/>
        </w:rPr>
        <w:t xml:space="preserve"> </w:t>
      </w:r>
      <w:r w:rsidR="00E27569" w:rsidRPr="00EE5690">
        <w:rPr>
          <w:rFonts w:cs="Arial"/>
        </w:rPr>
        <w:t>contains the economic contribution of other forest economic services by area of forest for the different regional groupings of Europe.</w:t>
      </w:r>
      <w:r w:rsidR="00B262B0" w:rsidRPr="00EE5690">
        <w:rPr>
          <w:rFonts w:cs="Arial"/>
        </w:rPr>
        <w:t xml:space="preserve"> As, </w:t>
      </w:r>
      <w:r w:rsidR="0033264C" w:rsidRPr="00EE5690">
        <w:rPr>
          <w:rFonts w:cs="Arial"/>
        </w:rPr>
        <w:fldChar w:fldCharType="begin"/>
      </w:r>
      <w:r w:rsidR="0033264C" w:rsidRPr="00EE5690">
        <w:rPr>
          <w:rFonts w:cs="Arial"/>
        </w:rPr>
        <w:instrText xml:space="preserve"> REF _Ref68685223 \h </w:instrText>
      </w:r>
      <w:r w:rsidR="00EE5690" w:rsidRPr="00EE5690">
        <w:rPr>
          <w:rFonts w:cs="Arial"/>
        </w:rPr>
        <w:instrText xml:space="preserve"> \* MERGEFORMAT </w:instrText>
      </w:r>
      <w:r w:rsidR="0033264C" w:rsidRPr="00EE5690">
        <w:rPr>
          <w:rFonts w:cs="Arial"/>
        </w:rPr>
      </w:r>
      <w:r w:rsidR="0033264C" w:rsidRPr="00EE5690">
        <w:rPr>
          <w:rFonts w:cs="Arial"/>
        </w:rPr>
        <w:fldChar w:fldCharType="separate"/>
      </w:r>
      <w:r w:rsidR="0073710A" w:rsidRPr="00AC0F0B">
        <w:rPr>
          <w:rFonts w:cs="Arial"/>
        </w:rPr>
        <w:t xml:space="preserve">Table </w:t>
      </w:r>
      <w:r w:rsidR="0073710A">
        <w:rPr>
          <w:rFonts w:cs="Arial"/>
          <w:noProof/>
        </w:rPr>
        <w:t>29</w:t>
      </w:r>
      <w:r w:rsidR="0033264C" w:rsidRPr="00EE5690">
        <w:rPr>
          <w:rFonts w:cs="Arial"/>
        </w:rPr>
        <w:fldChar w:fldCharType="end"/>
      </w:r>
      <w:r w:rsidR="0033264C" w:rsidRPr="00EE5690">
        <w:rPr>
          <w:rFonts w:cs="Arial"/>
        </w:rPr>
        <w:t xml:space="preserve"> </w:t>
      </w:r>
      <w:r w:rsidR="00B262B0" w:rsidRPr="00EE5690">
        <w:rPr>
          <w:rFonts w:cs="Arial"/>
        </w:rPr>
        <w:t>the data was presented in tabular format because of the small number of data points. The information provided is only for the period between 1990 and 2000. For that period, Western Europe experienced an increment in the income provided by the other services in the forest (from 11.98 euros/ha to 26.24 euros/ha) whereas Southern Europe did not significantly change the income by their forest services during that period (0.68-0.89 euros/ha). For Central and Easter Europe and Northern Europe, data for the year 2000 was provided. Thus, no comparison between dates can be performed.</w:t>
      </w:r>
    </w:p>
    <w:p w14:paraId="31650F0E" w14:textId="7D0D0ECC" w:rsidR="00791D40" w:rsidRPr="00EE5690" w:rsidRDefault="00791D40" w:rsidP="005D4B20">
      <w:pPr>
        <w:pStyle w:val="MAIL11"/>
      </w:pPr>
      <w:bookmarkStart w:id="143" w:name="social"/>
      <w:bookmarkStart w:id="144" w:name="_Toc91752412"/>
      <w:r w:rsidRPr="00EE5690">
        <w:t>Social</w:t>
      </w:r>
      <w:bookmarkEnd w:id="143"/>
      <w:bookmarkEnd w:id="144"/>
    </w:p>
    <w:p w14:paraId="1664CA1F" w14:textId="4B3B789B" w:rsidR="004748D6" w:rsidRPr="00EE5690" w:rsidRDefault="001F1058" w:rsidP="002D2FB4">
      <w:pPr>
        <w:pStyle w:val="FirstParagraph"/>
        <w:spacing w:line="360" w:lineRule="auto"/>
        <w:jc w:val="both"/>
        <w:rPr>
          <w:rFonts w:ascii="Arial" w:hAnsi="Arial" w:cs="Arial"/>
          <w:sz w:val="22"/>
          <w:szCs w:val="22"/>
        </w:rPr>
      </w:pPr>
      <w:r w:rsidRPr="00EE5690">
        <w:rPr>
          <w:rFonts w:ascii="Arial" w:hAnsi="Arial" w:cs="Arial"/>
          <w:sz w:val="22"/>
          <w:szCs w:val="22"/>
        </w:rPr>
        <w:t>The analysis on the social aspects of sustainability focused on employment and recreational variables</w:t>
      </w:r>
      <w:r w:rsidR="003C198F" w:rsidRPr="00EE5690">
        <w:rPr>
          <w:rFonts w:ascii="Arial" w:hAnsi="Arial" w:cs="Arial"/>
          <w:sz w:val="22"/>
          <w:szCs w:val="22"/>
        </w:rPr>
        <w:t>. The variables were extracted from the forestry folder of the Eurostat database</w:t>
      </w:r>
      <w:r w:rsidR="004748D6" w:rsidRPr="00EE5690">
        <w:rPr>
          <w:rFonts w:ascii="Arial" w:hAnsi="Arial" w:cs="Arial"/>
          <w:sz w:val="22"/>
          <w:szCs w:val="22"/>
        </w:rPr>
        <w:t>. The Eurostat datasets were:</w:t>
      </w:r>
    </w:p>
    <w:p w14:paraId="0908316B" w14:textId="77777777" w:rsidR="004748D6" w:rsidRPr="00EE5690" w:rsidRDefault="004748D6" w:rsidP="00A01330">
      <w:pPr>
        <w:pStyle w:val="BodyText"/>
        <w:numPr>
          <w:ilvl w:val="0"/>
          <w:numId w:val="13"/>
        </w:numPr>
        <w:rPr>
          <w:rFonts w:cs="Arial"/>
        </w:rPr>
      </w:pPr>
      <w:r w:rsidRPr="00EE5690">
        <w:rPr>
          <w:rFonts w:cs="Arial"/>
        </w:rPr>
        <w:t xml:space="preserve">Employment in forestry and forest-based industry </w:t>
      </w:r>
    </w:p>
    <w:p w14:paraId="1A5C85E7" w14:textId="77777777" w:rsidR="004748D6" w:rsidRPr="00EE5690" w:rsidRDefault="004748D6" w:rsidP="00A01330">
      <w:pPr>
        <w:pStyle w:val="BodyText"/>
        <w:numPr>
          <w:ilvl w:val="0"/>
          <w:numId w:val="13"/>
        </w:numPr>
        <w:rPr>
          <w:rFonts w:cs="Arial"/>
        </w:rPr>
      </w:pPr>
      <w:r w:rsidRPr="00EE5690">
        <w:rPr>
          <w:rFonts w:cs="Arial"/>
        </w:rPr>
        <w:t xml:space="preserve">Employment in forestry and forest-based industry - </w:t>
      </w:r>
      <w:proofErr w:type="spellStart"/>
      <w:r w:rsidRPr="00EE5690">
        <w:rPr>
          <w:rFonts w:cs="Arial"/>
        </w:rPr>
        <w:t>Nace</w:t>
      </w:r>
      <w:proofErr w:type="spellEnd"/>
      <w:r w:rsidRPr="00EE5690">
        <w:rPr>
          <w:rFonts w:cs="Arial"/>
        </w:rPr>
        <w:t xml:space="preserve"> Rev.1.1</w:t>
      </w:r>
    </w:p>
    <w:p w14:paraId="34F008D9" w14:textId="5D2BEA55" w:rsidR="004748D6" w:rsidRPr="00EE5690" w:rsidRDefault="004748D6" w:rsidP="00A01330">
      <w:pPr>
        <w:pStyle w:val="BodyText"/>
        <w:numPr>
          <w:ilvl w:val="0"/>
          <w:numId w:val="13"/>
        </w:numPr>
        <w:rPr>
          <w:rFonts w:cs="Arial"/>
        </w:rPr>
      </w:pPr>
      <w:r w:rsidRPr="00EE5690">
        <w:rPr>
          <w:rFonts w:cs="Arial"/>
        </w:rPr>
        <w:t>Time spent, participation time and participation rate in the main activity by sex and educational attainment level (tus_00educ)</w:t>
      </w:r>
      <w:r w:rsidR="0071372B" w:rsidRPr="00EE5690">
        <w:rPr>
          <w:rFonts w:cs="Arial"/>
        </w:rPr>
        <w:t>. For the creation database.</w:t>
      </w:r>
    </w:p>
    <w:p w14:paraId="0CFF5D89" w14:textId="7BB1B9A6" w:rsidR="00791D40" w:rsidRPr="00EE5690" w:rsidRDefault="001F1058" w:rsidP="002D2FB4">
      <w:pPr>
        <w:pStyle w:val="FirstParagraph"/>
        <w:spacing w:line="360" w:lineRule="auto"/>
        <w:jc w:val="both"/>
        <w:rPr>
          <w:rFonts w:ascii="Arial" w:hAnsi="Arial" w:cs="Arial"/>
          <w:sz w:val="22"/>
          <w:szCs w:val="22"/>
        </w:rPr>
      </w:pPr>
      <w:r w:rsidRPr="00EE5690">
        <w:rPr>
          <w:rFonts w:ascii="Arial" w:hAnsi="Arial" w:cs="Arial"/>
          <w:sz w:val="22"/>
          <w:szCs w:val="22"/>
        </w:rPr>
        <w:lastRenderedPageBreak/>
        <w:t>The variables</w:t>
      </w:r>
      <w:r w:rsidR="004748D6" w:rsidRPr="00EE5690">
        <w:rPr>
          <w:rFonts w:ascii="Arial" w:hAnsi="Arial" w:cs="Arial"/>
          <w:sz w:val="22"/>
          <w:szCs w:val="22"/>
        </w:rPr>
        <w:t xml:space="preserve"> inside the </w:t>
      </w:r>
      <w:proofErr w:type="gramStart"/>
      <w:r w:rsidR="004748D6" w:rsidRPr="00EE5690">
        <w:rPr>
          <w:rFonts w:ascii="Arial" w:hAnsi="Arial" w:cs="Arial"/>
          <w:sz w:val="22"/>
          <w:szCs w:val="22"/>
        </w:rPr>
        <w:t>aforementioned datasets</w:t>
      </w:r>
      <w:proofErr w:type="gramEnd"/>
      <w:r w:rsidRPr="00EE5690">
        <w:rPr>
          <w:rFonts w:ascii="Arial" w:hAnsi="Arial" w:cs="Arial"/>
          <w:sz w:val="22"/>
          <w:szCs w:val="22"/>
        </w:rPr>
        <w:t xml:space="preserve"> were reported in terms of number of workers and hours</w:t>
      </w:r>
    </w:p>
    <w:p w14:paraId="3BB41541" w14:textId="72229AA2" w:rsidR="00791D40" w:rsidRPr="00EE5690" w:rsidRDefault="00791D40" w:rsidP="009E12D8">
      <w:pPr>
        <w:pStyle w:val="MAIL111"/>
      </w:pPr>
      <w:bookmarkStart w:id="145" w:name="employment"/>
      <w:bookmarkStart w:id="146" w:name="_Toc91752413"/>
      <w:r w:rsidRPr="00EE5690">
        <w:t>Employment</w:t>
      </w:r>
      <w:bookmarkEnd w:id="145"/>
      <w:bookmarkEnd w:id="146"/>
    </w:p>
    <w:p w14:paraId="06A03935" w14:textId="6C2C0219" w:rsidR="00791D40" w:rsidRPr="00EE5690" w:rsidRDefault="00791D40" w:rsidP="002D2FB4">
      <w:pPr>
        <w:pStyle w:val="FirstParagraph"/>
        <w:spacing w:line="360" w:lineRule="auto"/>
        <w:jc w:val="both"/>
        <w:rPr>
          <w:rFonts w:ascii="Arial" w:hAnsi="Arial" w:cs="Arial"/>
          <w:sz w:val="22"/>
          <w:szCs w:val="22"/>
        </w:rPr>
      </w:pPr>
      <w:r w:rsidRPr="00EE5690">
        <w:rPr>
          <w:rFonts w:ascii="Arial" w:hAnsi="Arial" w:cs="Arial"/>
          <w:sz w:val="22"/>
          <w:szCs w:val="22"/>
        </w:rPr>
        <w:t>The employment datasets described the work units for the different forest activities and the number of people employed in the different forest sector activities by sex and level of education</w:t>
      </w:r>
      <w:r w:rsidR="009D4A32" w:rsidRPr="00EE5690">
        <w:rPr>
          <w:rFonts w:ascii="Arial" w:hAnsi="Arial" w:cs="Arial"/>
          <w:sz w:val="22"/>
          <w:szCs w:val="22"/>
        </w:rPr>
        <w:t>. Next the distribution of the employment in the forest sector is described</w:t>
      </w:r>
      <w:r w:rsidR="00BA109C">
        <w:rPr>
          <w:rFonts w:ascii="Arial" w:hAnsi="Arial" w:cs="Arial"/>
          <w:sz w:val="22"/>
          <w:szCs w:val="22"/>
        </w:rPr>
        <w:t>.</w:t>
      </w:r>
      <w:r w:rsidR="009D4A32" w:rsidRPr="00EE5690">
        <w:rPr>
          <w:rFonts w:ascii="Arial" w:hAnsi="Arial" w:cs="Arial"/>
          <w:sz w:val="22"/>
          <w:szCs w:val="22"/>
        </w:rPr>
        <w:t xml:space="preserve"> </w:t>
      </w:r>
    </w:p>
    <w:p w14:paraId="3EEC8F33" w14:textId="2EC5B2B8" w:rsidR="002162E6" w:rsidRPr="00EE5690" w:rsidRDefault="00ED2863" w:rsidP="00BA109C">
      <w:pPr>
        <w:keepNext/>
        <w:jc w:val="center"/>
        <w:rPr>
          <w:rFonts w:cs="Arial"/>
        </w:rPr>
      </w:pPr>
      <w:r w:rsidRPr="00EE5690">
        <w:rPr>
          <w:rFonts w:cs="Arial"/>
          <w:noProof/>
          <w:lang w:val="es-ES" w:eastAsia="es-ES"/>
        </w:rPr>
        <w:drawing>
          <wp:inline distT="0" distB="0" distL="0" distR="0" wp14:anchorId="6B9F16BB" wp14:editId="67CE4778">
            <wp:extent cx="5400675" cy="3857625"/>
            <wp:effectExtent l="0" t="0" r="9525"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mployment_forest_sector.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inline>
        </w:drawing>
      </w:r>
    </w:p>
    <w:p w14:paraId="7C87EEDA" w14:textId="30EE5B99" w:rsidR="00244030" w:rsidRPr="0028707A" w:rsidRDefault="002162E6" w:rsidP="00BA109C">
      <w:pPr>
        <w:pStyle w:val="Caption"/>
        <w:rPr>
          <w:rFonts w:cs="Arial"/>
        </w:rPr>
      </w:pPr>
      <w:bookmarkStart w:id="147" w:name="_Toc91752516"/>
      <w:r w:rsidRPr="0028707A">
        <w:rPr>
          <w:rFonts w:cs="Arial"/>
        </w:rPr>
        <w:t xml:space="preserve">Figure </w:t>
      </w:r>
      <w:r w:rsidRPr="0028707A">
        <w:rPr>
          <w:rFonts w:cs="Arial"/>
        </w:rPr>
        <w:fldChar w:fldCharType="begin"/>
      </w:r>
      <w:r w:rsidRPr="0028707A">
        <w:rPr>
          <w:rFonts w:cs="Arial"/>
        </w:rPr>
        <w:instrText xml:space="preserve"> SEQ Figure \* ARABIC </w:instrText>
      </w:r>
      <w:r w:rsidRPr="0028707A">
        <w:rPr>
          <w:rFonts w:cs="Arial"/>
        </w:rPr>
        <w:fldChar w:fldCharType="separate"/>
      </w:r>
      <w:r w:rsidR="0073710A">
        <w:rPr>
          <w:rFonts w:cs="Arial"/>
          <w:noProof/>
        </w:rPr>
        <w:t>32</w:t>
      </w:r>
      <w:r w:rsidRPr="0028707A">
        <w:rPr>
          <w:rFonts w:cs="Arial"/>
        </w:rPr>
        <w:fldChar w:fldCharType="end"/>
      </w:r>
      <w:r w:rsidRPr="0028707A">
        <w:rPr>
          <w:rFonts w:cs="Arial"/>
        </w:rPr>
        <w:t>. Employment in the forest sector by activity</w:t>
      </w:r>
      <w:bookmarkEnd w:id="147"/>
    </w:p>
    <w:p w14:paraId="72292C31" w14:textId="7F0BA4D3" w:rsidR="00791D40" w:rsidRPr="00EE5690" w:rsidRDefault="00791D40" w:rsidP="002D2FB4">
      <w:pPr>
        <w:rPr>
          <w:rFonts w:cs="Arial"/>
        </w:rPr>
      </w:pPr>
      <w:r w:rsidRPr="00EE5690">
        <w:rPr>
          <w:rFonts w:cs="Arial"/>
        </w:rPr>
        <w:t xml:space="preserve">The employment in the forest sector is divided according to Eurostat in 4 groups: Forestry and logging, manufacture of furniture, manufacture of paper and paper products and products of wood and cork. For Forestry and logging all the regional groups follow the same trend: a soft increase in the employment for the last year. The employment in the manufacture of furniture has remained constant of all the regional groups. Similarly, the same process is appreciated in the manufacture of the paper and paper products. However, here we see that Southern Europe increased the employees in the sector (5%), whereas in Northern Europe this sector shown a loss of employees of 5%. More fluctuations are appreciated in the products of wood and cork sector. First, the strong </w:t>
      </w:r>
      <w:r w:rsidRPr="00EE5690">
        <w:rPr>
          <w:rFonts w:cs="Arial"/>
        </w:rPr>
        <w:lastRenderedPageBreak/>
        <w:t xml:space="preserve">decrease of the percentage of employees in Southern Europe where the 10% of the employees were lost. This 10% can be explained by </w:t>
      </w:r>
      <w:r w:rsidR="00236957" w:rsidRPr="00EE5690">
        <w:rPr>
          <w:rFonts w:cs="Arial"/>
        </w:rPr>
        <w:t>the increment</w:t>
      </w:r>
      <w:r w:rsidRPr="00EE5690">
        <w:rPr>
          <w:rFonts w:cs="Arial"/>
        </w:rPr>
        <w:t xml:space="preserve"> of the </w:t>
      </w:r>
      <w:r w:rsidR="00236957" w:rsidRPr="00EE5690">
        <w:rPr>
          <w:rFonts w:cs="Arial"/>
        </w:rPr>
        <w:t xml:space="preserve">employment rate </w:t>
      </w:r>
      <w:r w:rsidRPr="00EE5690">
        <w:rPr>
          <w:rFonts w:cs="Arial"/>
        </w:rPr>
        <w:t>in the other forest sectors. Second, Central and Eastern Europe also experienced a decreased in the employment in this sect</w:t>
      </w:r>
      <w:r w:rsidR="00E65AC9" w:rsidRPr="00EE5690">
        <w:rPr>
          <w:rFonts w:cs="Arial"/>
        </w:rPr>
        <w:t>or. However, this decrease</w:t>
      </w:r>
      <w:r w:rsidRPr="00EE5690">
        <w:rPr>
          <w:rFonts w:cs="Arial"/>
        </w:rPr>
        <w:t xml:space="preserve"> was not as st</w:t>
      </w:r>
      <w:r w:rsidR="00E65AC9" w:rsidRPr="00EE5690">
        <w:rPr>
          <w:rFonts w:cs="Arial"/>
        </w:rPr>
        <w:t xml:space="preserve">eep </w:t>
      </w:r>
      <w:r w:rsidRPr="00EE5690">
        <w:rPr>
          <w:rFonts w:cs="Arial"/>
        </w:rPr>
        <w:t xml:space="preserve">as the </w:t>
      </w:r>
      <w:r w:rsidR="00E65AC9" w:rsidRPr="00EE5690">
        <w:rPr>
          <w:rFonts w:cs="Arial"/>
        </w:rPr>
        <w:t xml:space="preserve">one </w:t>
      </w:r>
      <w:r w:rsidRPr="00EE5690">
        <w:rPr>
          <w:rFonts w:cs="Arial"/>
        </w:rPr>
        <w:t>observed in Southern Spain (10%).</w:t>
      </w:r>
      <w:r w:rsidR="00A04A27">
        <w:rPr>
          <w:rFonts w:cs="Arial"/>
        </w:rPr>
        <w:t xml:space="preserve"> </w:t>
      </w:r>
      <w:r w:rsidRPr="00EE5690">
        <w:rPr>
          <w:rFonts w:cs="Arial"/>
        </w:rPr>
        <w:t>Finally, Northern Europe and Western Europe have remained constant.</w:t>
      </w:r>
    </w:p>
    <w:p w14:paraId="23F919D8" w14:textId="76394126" w:rsidR="003E3F21" w:rsidRPr="00EE5690" w:rsidRDefault="003E3F21" w:rsidP="009E12D8">
      <w:pPr>
        <w:pStyle w:val="MAIL111"/>
      </w:pPr>
      <w:bookmarkStart w:id="148" w:name="recreation"/>
      <w:bookmarkStart w:id="149" w:name="_Toc91752414"/>
      <w:r w:rsidRPr="00EE5690">
        <w:t>Recreation</w:t>
      </w:r>
      <w:bookmarkEnd w:id="148"/>
      <w:bookmarkEnd w:id="149"/>
    </w:p>
    <w:p w14:paraId="3537DF6D" w14:textId="7B91E400" w:rsidR="002162E6" w:rsidRPr="0028707A" w:rsidRDefault="002162E6" w:rsidP="00A04A27">
      <w:pPr>
        <w:pStyle w:val="Caption"/>
        <w:keepNext/>
        <w:rPr>
          <w:rFonts w:cs="Arial"/>
        </w:rPr>
      </w:pPr>
      <w:bookmarkStart w:id="150" w:name="_Ref68687243"/>
      <w:bookmarkStart w:id="151" w:name="_Toc91752570"/>
      <w:r w:rsidRPr="0028707A">
        <w:rPr>
          <w:rFonts w:cs="Arial"/>
        </w:rPr>
        <w:t xml:space="preserve">Table </w:t>
      </w:r>
      <w:r w:rsidRPr="0028707A">
        <w:rPr>
          <w:rFonts w:cs="Arial"/>
        </w:rPr>
        <w:fldChar w:fldCharType="begin"/>
      </w:r>
      <w:r w:rsidRPr="0028707A">
        <w:rPr>
          <w:rFonts w:cs="Arial"/>
        </w:rPr>
        <w:instrText xml:space="preserve"> SEQ Table \* ARABIC </w:instrText>
      </w:r>
      <w:r w:rsidRPr="0028707A">
        <w:rPr>
          <w:rFonts w:cs="Arial"/>
        </w:rPr>
        <w:fldChar w:fldCharType="separate"/>
      </w:r>
      <w:r w:rsidR="0073710A">
        <w:rPr>
          <w:rFonts w:cs="Arial"/>
          <w:noProof/>
        </w:rPr>
        <w:t>31</w:t>
      </w:r>
      <w:r w:rsidRPr="0028707A">
        <w:rPr>
          <w:rFonts w:cs="Arial"/>
        </w:rPr>
        <w:fldChar w:fldCharType="end"/>
      </w:r>
      <w:bookmarkEnd w:id="150"/>
      <w:r w:rsidRPr="0028707A">
        <w:rPr>
          <w:rFonts w:cs="Arial"/>
        </w:rPr>
        <w:t xml:space="preserve"> Mean participation rate in recreational activities in the regional groups</w:t>
      </w:r>
      <w:bookmarkEnd w:id="151"/>
    </w:p>
    <w:tbl>
      <w:tblPr>
        <w:tblStyle w:val="TableGrid"/>
        <w:tblW w:w="4521" w:type="pct"/>
        <w:jc w:val="center"/>
        <w:tblLook w:val="07E0" w:firstRow="1" w:lastRow="1" w:firstColumn="1" w:lastColumn="1" w:noHBand="1" w:noVBand="1"/>
        <w:tblCaption w:val="Mean participation rate in recreational activities in the regional groups"/>
      </w:tblPr>
      <w:tblGrid>
        <w:gridCol w:w="2304"/>
        <w:gridCol w:w="1362"/>
        <w:gridCol w:w="2988"/>
        <w:gridCol w:w="1027"/>
      </w:tblGrid>
      <w:tr w:rsidR="00342C93" w:rsidRPr="00815666" w14:paraId="20483C2D" w14:textId="77777777" w:rsidTr="00342C93">
        <w:trPr>
          <w:jc w:val="center"/>
        </w:trPr>
        <w:tc>
          <w:tcPr>
            <w:tcW w:w="0" w:type="auto"/>
            <w:shd w:val="clear" w:color="auto" w:fill="BFBFBF" w:themeFill="background1" w:themeFillShade="BF"/>
          </w:tcPr>
          <w:p w14:paraId="2F1D7351" w14:textId="77777777" w:rsidR="00342C93" w:rsidRPr="00947F2C" w:rsidRDefault="00342C93" w:rsidP="0022057B">
            <w:pPr>
              <w:pStyle w:val="Compact"/>
              <w:rPr>
                <w:rFonts w:ascii="Arial" w:hAnsi="Arial" w:cs="Arial"/>
                <w:b/>
                <w:bCs/>
                <w:sz w:val="22"/>
              </w:rPr>
            </w:pPr>
            <w:r w:rsidRPr="00947F2C">
              <w:rPr>
                <w:rFonts w:ascii="Arial" w:hAnsi="Arial" w:cs="Arial"/>
                <w:b/>
                <w:bCs/>
                <w:sz w:val="22"/>
              </w:rPr>
              <w:t>Unit</w:t>
            </w:r>
          </w:p>
        </w:tc>
        <w:tc>
          <w:tcPr>
            <w:tcW w:w="0" w:type="auto"/>
            <w:shd w:val="clear" w:color="auto" w:fill="BFBFBF" w:themeFill="background1" w:themeFillShade="BF"/>
          </w:tcPr>
          <w:p w14:paraId="17DDA4F3" w14:textId="77777777" w:rsidR="00342C93" w:rsidRPr="00947F2C" w:rsidRDefault="00342C93" w:rsidP="0022057B">
            <w:pPr>
              <w:pStyle w:val="Compact"/>
              <w:rPr>
                <w:rFonts w:ascii="Arial" w:hAnsi="Arial" w:cs="Arial"/>
                <w:b/>
                <w:bCs/>
                <w:sz w:val="22"/>
              </w:rPr>
            </w:pPr>
            <w:r w:rsidRPr="00947F2C">
              <w:rPr>
                <w:rFonts w:ascii="Arial" w:hAnsi="Arial" w:cs="Arial"/>
                <w:b/>
                <w:bCs/>
                <w:sz w:val="22"/>
              </w:rPr>
              <w:t>Time</w:t>
            </w:r>
          </w:p>
        </w:tc>
        <w:tc>
          <w:tcPr>
            <w:tcW w:w="0" w:type="auto"/>
            <w:shd w:val="clear" w:color="auto" w:fill="BFBFBF" w:themeFill="background1" w:themeFillShade="BF"/>
          </w:tcPr>
          <w:p w14:paraId="2D0DAC6F" w14:textId="77777777" w:rsidR="00342C93" w:rsidRPr="00947F2C" w:rsidRDefault="00342C93" w:rsidP="0022057B">
            <w:pPr>
              <w:pStyle w:val="Compact"/>
              <w:rPr>
                <w:rFonts w:ascii="Arial" w:hAnsi="Arial" w:cs="Arial"/>
                <w:b/>
                <w:bCs/>
                <w:sz w:val="22"/>
              </w:rPr>
            </w:pPr>
            <w:proofErr w:type="spellStart"/>
            <w:r w:rsidRPr="00947F2C">
              <w:rPr>
                <w:rFonts w:ascii="Arial" w:hAnsi="Arial" w:cs="Arial"/>
                <w:b/>
                <w:bCs/>
                <w:sz w:val="22"/>
              </w:rPr>
              <w:t>Reg_Groups</w:t>
            </w:r>
            <w:proofErr w:type="spellEnd"/>
          </w:p>
        </w:tc>
        <w:tc>
          <w:tcPr>
            <w:tcW w:w="0" w:type="auto"/>
            <w:shd w:val="clear" w:color="auto" w:fill="BFBFBF" w:themeFill="background1" w:themeFillShade="BF"/>
          </w:tcPr>
          <w:p w14:paraId="009CF3F9" w14:textId="77777777" w:rsidR="00342C93" w:rsidRPr="00947F2C" w:rsidRDefault="00342C93" w:rsidP="0022057B">
            <w:pPr>
              <w:pStyle w:val="Compact"/>
              <w:jc w:val="right"/>
              <w:rPr>
                <w:rFonts w:ascii="Arial" w:hAnsi="Arial" w:cs="Arial"/>
                <w:b/>
                <w:bCs/>
                <w:sz w:val="22"/>
              </w:rPr>
            </w:pPr>
            <w:r w:rsidRPr="00947F2C">
              <w:rPr>
                <w:rFonts w:ascii="Arial" w:hAnsi="Arial" w:cs="Arial"/>
                <w:b/>
                <w:bCs/>
                <w:sz w:val="22"/>
              </w:rPr>
              <w:t>Values</w:t>
            </w:r>
          </w:p>
        </w:tc>
      </w:tr>
      <w:tr w:rsidR="00342C93" w:rsidRPr="00815666" w14:paraId="7854E2C1" w14:textId="77777777" w:rsidTr="00342C93">
        <w:trPr>
          <w:jc w:val="center"/>
        </w:trPr>
        <w:tc>
          <w:tcPr>
            <w:tcW w:w="0" w:type="auto"/>
          </w:tcPr>
          <w:p w14:paraId="0E393DFA" w14:textId="77777777" w:rsidR="00342C93" w:rsidRPr="00815666" w:rsidRDefault="00342C93" w:rsidP="0022057B">
            <w:pPr>
              <w:pStyle w:val="Compact"/>
              <w:rPr>
                <w:rFonts w:ascii="Arial" w:hAnsi="Arial" w:cs="Arial"/>
                <w:sz w:val="22"/>
              </w:rPr>
            </w:pPr>
            <w:r w:rsidRPr="00815666">
              <w:rPr>
                <w:rFonts w:ascii="Arial" w:hAnsi="Arial" w:cs="Arial"/>
                <w:sz w:val="22"/>
              </w:rPr>
              <w:t>Participation rate (%)</w:t>
            </w:r>
          </w:p>
        </w:tc>
        <w:tc>
          <w:tcPr>
            <w:tcW w:w="0" w:type="auto"/>
          </w:tcPr>
          <w:p w14:paraId="450B6491" w14:textId="77777777" w:rsidR="00342C93" w:rsidRPr="00815666" w:rsidRDefault="00342C93" w:rsidP="0022057B">
            <w:pPr>
              <w:pStyle w:val="Compact"/>
              <w:rPr>
                <w:rFonts w:ascii="Arial" w:hAnsi="Arial" w:cs="Arial"/>
                <w:sz w:val="22"/>
              </w:rPr>
            </w:pPr>
            <w:r w:rsidRPr="00815666">
              <w:rPr>
                <w:rFonts w:ascii="Arial" w:hAnsi="Arial" w:cs="Arial"/>
                <w:sz w:val="22"/>
              </w:rPr>
              <w:t>2000-01-01</w:t>
            </w:r>
          </w:p>
        </w:tc>
        <w:tc>
          <w:tcPr>
            <w:tcW w:w="0" w:type="auto"/>
          </w:tcPr>
          <w:p w14:paraId="611DEE78" w14:textId="77777777" w:rsidR="00342C93" w:rsidRPr="00815666" w:rsidRDefault="00342C93" w:rsidP="0022057B">
            <w:pPr>
              <w:pStyle w:val="Compact"/>
              <w:rPr>
                <w:rFonts w:ascii="Arial" w:hAnsi="Arial" w:cs="Arial"/>
                <w:sz w:val="22"/>
              </w:rPr>
            </w:pPr>
            <w:r w:rsidRPr="00815666">
              <w:rPr>
                <w:rFonts w:ascii="Arial" w:hAnsi="Arial" w:cs="Arial"/>
                <w:sz w:val="22"/>
              </w:rPr>
              <w:t>Central and Eastern Europe</w:t>
            </w:r>
          </w:p>
        </w:tc>
        <w:tc>
          <w:tcPr>
            <w:tcW w:w="0" w:type="auto"/>
          </w:tcPr>
          <w:p w14:paraId="54526761" w14:textId="77777777" w:rsidR="00342C93" w:rsidRPr="00815666" w:rsidRDefault="00342C93" w:rsidP="0022057B">
            <w:pPr>
              <w:pStyle w:val="Compact"/>
              <w:jc w:val="right"/>
              <w:rPr>
                <w:rFonts w:ascii="Arial" w:hAnsi="Arial" w:cs="Arial"/>
                <w:sz w:val="22"/>
              </w:rPr>
            </w:pPr>
            <w:r w:rsidRPr="00815666">
              <w:rPr>
                <w:rFonts w:ascii="Arial" w:hAnsi="Arial" w:cs="Arial"/>
                <w:sz w:val="22"/>
              </w:rPr>
              <w:t>18.341</w:t>
            </w:r>
            <w:r>
              <w:rPr>
                <w:rFonts w:ascii="Arial" w:hAnsi="Arial" w:cs="Arial"/>
                <w:sz w:val="22"/>
              </w:rPr>
              <w:t>2</w:t>
            </w:r>
          </w:p>
        </w:tc>
      </w:tr>
      <w:tr w:rsidR="00342C93" w:rsidRPr="00815666" w14:paraId="33EF79DE" w14:textId="77777777" w:rsidTr="00342C93">
        <w:trPr>
          <w:jc w:val="center"/>
        </w:trPr>
        <w:tc>
          <w:tcPr>
            <w:tcW w:w="0" w:type="auto"/>
          </w:tcPr>
          <w:p w14:paraId="6B8C033E" w14:textId="77777777" w:rsidR="00342C93" w:rsidRPr="00815666" w:rsidRDefault="00342C93" w:rsidP="0022057B">
            <w:pPr>
              <w:pStyle w:val="Compact"/>
              <w:rPr>
                <w:rFonts w:ascii="Arial" w:hAnsi="Arial" w:cs="Arial"/>
                <w:sz w:val="22"/>
              </w:rPr>
            </w:pPr>
            <w:r w:rsidRPr="00815666">
              <w:rPr>
                <w:rFonts w:ascii="Arial" w:hAnsi="Arial" w:cs="Arial"/>
                <w:sz w:val="22"/>
              </w:rPr>
              <w:t>Participation rate (%)</w:t>
            </w:r>
          </w:p>
        </w:tc>
        <w:tc>
          <w:tcPr>
            <w:tcW w:w="0" w:type="auto"/>
          </w:tcPr>
          <w:p w14:paraId="7565488C" w14:textId="77777777" w:rsidR="00342C93" w:rsidRPr="00815666" w:rsidRDefault="00342C93" w:rsidP="0022057B">
            <w:pPr>
              <w:pStyle w:val="Compact"/>
              <w:rPr>
                <w:rFonts w:ascii="Arial" w:hAnsi="Arial" w:cs="Arial"/>
                <w:sz w:val="22"/>
              </w:rPr>
            </w:pPr>
            <w:r w:rsidRPr="00815666">
              <w:rPr>
                <w:rFonts w:ascii="Arial" w:hAnsi="Arial" w:cs="Arial"/>
                <w:sz w:val="22"/>
              </w:rPr>
              <w:t>2000-01-01</w:t>
            </w:r>
          </w:p>
        </w:tc>
        <w:tc>
          <w:tcPr>
            <w:tcW w:w="0" w:type="auto"/>
          </w:tcPr>
          <w:p w14:paraId="499D19C5" w14:textId="77777777" w:rsidR="00342C93" w:rsidRPr="00815666" w:rsidRDefault="00342C93" w:rsidP="0022057B">
            <w:pPr>
              <w:pStyle w:val="Compact"/>
              <w:rPr>
                <w:rFonts w:ascii="Arial" w:hAnsi="Arial" w:cs="Arial"/>
                <w:sz w:val="22"/>
              </w:rPr>
            </w:pPr>
            <w:r w:rsidRPr="00815666">
              <w:rPr>
                <w:rFonts w:ascii="Arial" w:hAnsi="Arial" w:cs="Arial"/>
                <w:sz w:val="22"/>
              </w:rPr>
              <w:t>Northern Europe</w:t>
            </w:r>
          </w:p>
        </w:tc>
        <w:tc>
          <w:tcPr>
            <w:tcW w:w="0" w:type="auto"/>
          </w:tcPr>
          <w:p w14:paraId="2AF27E99" w14:textId="77777777" w:rsidR="00342C93" w:rsidRPr="00815666" w:rsidRDefault="00342C93" w:rsidP="0022057B">
            <w:pPr>
              <w:pStyle w:val="Compact"/>
              <w:jc w:val="right"/>
              <w:rPr>
                <w:rFonts w:ascii="Arial" w:hAnsi="Arial" w:cs="Arial"/>
                <w:sz w:val="22"/>
              </w:rPr>
            </w:pPr>
            <w:r w:rsidRPr="00815666">
              <w:rPr>
                <w:rFonts w:ascii="Arial" w:hAnsi="Arial" w:cs="Arial"/>
                <w:sz w:val="22"/>
              </w:rPr>
              <w:t>16.064</w:t>
            </w:r>
            <w:r>
              <w:rPr>
                <w:rFonts w:ascii="Arial" w:hAnsi="Arial" w:cs="Arial"/>
                <w:sz w:val="22"/>
              </w:rPr>
              <w:t>3</w:t>
            </w:r>
          </w:p>
        </w:tc>
      </w:tr>
      <w:tr w:rsidR="00342C93" w:rsidRPr="00815666" w14:paraId="1922FB69" w14:textId="77777777" w:rsidTr="00342C93">
        <w:trPr>
          <w:jc w:val="center"/>
        </w:trPr>
        <w:tc>
          <w:tcPr>
            <w:tcW w:w="0" w:type="auto"/>
          </w:tcPr>
          <w:p w14:paraId="0522FBAA" w14:textId="77777777" w:rsidR="00342C93" w:rsidRPr="00815666" w:rsidRDefault="00342C93" w:rsidP="0022057B">
            <w:pPr>
              <w:pStyle w:val="Compact"/>
              <w:rPr>
                <w:rFonts w:ascii="Arial" w:hAnsi="Arial" w:cs="Arial"/>
                <w:sz w:val="22"/>
              </w:rPr>
            </w:pPr>
            <w:r w:rsidRPr="00815666">
              <w:rPr>
                <w:rFonts w:ascii="Arial" w:hAnsi="Arial" w:cs="Arial"/>
                <w:sz w:val="22"/>
              </w:rPr>
              <w:t>Participation rate (%)</w:t>
            </w:r>
          </w:p>
        </w:tc>
        <w:tc>
          <w:tcPr>
            <w:tcW w:w="0" w:type="auto"/>
          </w:tcPr>
          <w:p w14:paraId="2A1D5D36" w14:textId="77777777" w:rsidR="00342C93" w:rsidRPr="00815666" w:rsidRDefault="00342C93" w:rsidP="0022057B">
            <w:pPr>
              <w:pStyle w:val="Compact"/>
              <w:rPr>
                <w:rFonts w:ascii="Arial" w:hAnsi="Arial" w:cs="Arial"/>
                <w:sz w:val="22"/>
              </w:rPr>
            </w:pPr>
            <w:r w:rsidRPr="00815666">
              <w:rPr>
                <w:rFonts w:ascii="Arial" w:hAnsi="Arial" w:cs="Arial"/>
                <w:sz w:val="22"/>
              </w:rPr>
              <w:t>2000-01-01</w:t>
            </w:r>
          </w:p>
        </w:tc>
        <w:tc>
          <w:tcPr>
            <w:tcW w:w="0" w:type="auto"/>
          </w:tcPr>
          <w:p w14:paraId="438D99CA" w14:textId="77777777" w:rsidR="00342C93" w:rsidRPr="00815666" w:rsidRDefault="00342C93" w:rsidP="0022057B">
            <w:pPr>
              <w:pStyle w:val="Compact"/>
              <w:rPr>
                <w:rFonts w:ascii="Arial" w:hAnsi="Arial" w:cs="Arial"/>
                <w:sz w:val="22"/>
              </w:rPr>
            </w:pPr>
            <w:r w:rsidRPr="00815666">
              <w:rPr>
                <w:rFonts w:ascii="Arial" w:hAnsi="Arial" w:cs="Arial"/>
                <w:sz w:val="22"/>
              </w:rPr>
              <w:t>Southern Europe</w:t>
            </w:r>
          </w:p>
        </w:tc>
        <w:tc>
          <w:tcPr>
            <w:tcW w:w="0" w:type="auto"/>
          </w:tcPr>
          <w:p w14:paraId="2A51A490" w14:textId="77777777" w:rsidR="00342C93" w:rsidRPr="00815666" w:rsidRDefault="00342C93" w:rsidP="0022057B">
            <w:pPr>
              <w:pStyle w:val="Compact"/>
              <w:jc w:val="right"/>
              <w:rPr>
                <w:rFonts w:ascii="Arial" w:hAnsi="Arial" w:cs="Arial"/>
                <w:sz w:val="22"/>
              </w:rPr>
            </w:pPr>
            <w:r w:rsidRPr="00815666">
              <w:rPr>
                <w:rFonts w:ascii="Arial" w:hAnsi="Arial" w:cs="Arial"/>
                <w:sz w:val="22"/>
              </w:rPr>
              <w:t>26.481</w:t>
            </w:r>
            <w:r>
              <w:rPr>
                <w:rFonts w:ascii="Arial" w:hAnsi="Arial" w:cs="Arial"/>
                <w:sz w:val="22"/>
              </w:rPr>
              <w:t>8</w:t>
            </w:r>
          </w:p>
        </w:tc>
      </w:tr>
      <w:tr w:rsidR="00342C93" w:rsidRPr="00815666" w14:paraId="302E7B6C" w14:textId="77777777" w:rsidTr="00342C93">
        <w:trPr>
          <w:jc w:val="center"/>
        </w:trPr>
        <w:tc>
          <w:tcPr>
            <w:tcW w:w="0" w:type="auto"/>
          </w:tcPr>
          <w:p w14:paraId="6E13AF7A" w14:textId="77777777" w:rsidR="00342C93" w:rsidRPr="00815666" w:rsidRDefault="00342C93" w:rsidP="0022057B">
            <w:pPr>
              <w:pStyle w:val="Compact"/>
              <w:rPr>
                <w:rFonts w:ascii="Arial" w:hAnsi="Arial" w:cs="Arial"/>
                <w:sz w:val="22"/>
              </w:rPr>
            </w:pPr>
            <w:r w:rsidRPr="00815666">
              <w:rPr>
                <w:rFonts w:ascii="Arial" w:hAnsi="Arial" w:cs="Arial"/>
                <w:sz w:val="22"/>
              </w:rPr>
              <w:t>Participation rate (%)</w:t>
            </w:r>
          </w:p>
        </w:tc>
        <w:tc>
          <w:tcPr>
            <w:tcW w:w="0" w:type="auto"/>
          </w:tcPr>
          <w:p w14:paraId="043FCE57" w14:textId="77777777" w:rsidR="00342C93" w:rsidRPr="00815666" w:rsidRDefault="00342C93" w:rsidP="0022057B">
            <w:pPr>
              <w:pStyle w:val="Compact"/>
              <w:rPr>
                <w:rFonts w:ascii="Arial" w:hAnsi="Arial" w:cs="Arial"/>
                <w:sz w:val="22"/>
              </w:rPr>
            </w:pPr>
            <w:r w:rsidRPr="00815666">
              <w:rPr>
                <w:rFonts w:ascii="Arial" w:hAnsi="Arial" w:cs="Arial"/>
                <w:sz w:val="22"/>
              </w:rPr>
              <w:t>2000-01-01</w:t>
            </w:r>
          </w:p>
        </w:tc>
        <w:tc>
          <w:tcPr>
            <w:tcW w:w="0" w:type="auto"/>
          </w:tcPr>
          <w:p w14:paraId="1EDB8C31" w14:textId="77777777" w:rsidR="00342C93" w:rsidRPr="00815666" w:rsidRDefault="00342C93" w:rsidP="0022057B">
            <w:pPr>
              <w:pStyle w:val="Compact"/>
              <w:rPr>
                <w:rFonts w:ascii="Arial" w:hAnsi="Arial" w:cs="Arial"/>
                <w:sz w:val="22"/>
              </w:rPr>
            </w:pPr>
            <w:r w:rsidRPr="00815666">
              <w:rPr>
                <w:rFonts w:ascii="Arial" w:hAnsi="Arial" w:cs="Arial"/>
                <w:sz w:val="22"/>
              </w:rPr>
              <w:t>Western Europe</w:t>
            </w:r>
          </w:p>
        </w:tc>
        <w:tc>
          <w:tcPr>
            <w:tcW w:w="0" w:type="auto"/>
          </w:tcPr>
          <w:p w14:paraId="679DEA32" w14:textId="77777777" w:rsidR="00342C93" w:rsidRPr="00815666" w:rsidRDefault="00342C93" w:rsidP="0022057B">
            <w:pPr>
              <w:pStyle w:val="Compact"/>
              <w:jc w:val="right"/>
              <w:rPr>
                <w:rFonts w:ascii="Arial" w:hAnsi="Arial" w:cs="Arial"/>
                <w:sz w:val="22"/>
              </w:rPr>
            </w:pPr>
            <w:r w:rsidRPr="00815666">
              <w:rPr>
                <w:rFonts w:ascii="Arial" w:hAnsi="Arial" w:cs="Arial"/>
                <w:sz w:val="22"/>
              </w:rPr>
              <w:t>12.915</w:t>
            </w:r>
            <w:r>
              <w:rPr>
                <w:rFonts w:ascii="Arial" w:hAnsi="Arial" w:cs="Arial"/>
                <w:sz w:val="22"/>
              </w:rPr>
              <w:t>8</w:t>
            </w:r>
          </w:p>
        </w:tc>
      </w:tr>
      <w:tr w:rsidR="00342C93" w:rsidRPr="00815666" w14:paraId="15A70C81" w14:textId="77777777" w:rsidTr="00342C93">
        <w:trPr>
          <w:jc w:val="center"/>
        </w:trPr>
        <w:tc>
          <w:tcPr>
            <w:tcW w:w="0" w:type="auto"/>
          </w:tcPr>
          <w:p w14:paraId="0241B05C" w14:textId="77777777" w:rsidR="00342C93" w:rsidRPr="00815666" w:rsidRDefault="00342C93" w:rsidP="0022057B">
            <w:pPr>
              <w:pStyle w:val="Compact"/>
              <w:rPr>
                <w:rFonts w:ascii="Arial" w:hAnsi="Arial" w:cs="Arial"/>
                <w:sz w:val="22"/>
              </w:rPr>
            </w:pPr>
            <w:r w:rsidRPr="00815666">
              <w:rPr>
                <w:rFonts w:ascii="Arial" w:hAnsi="Arial" w:cs="Arial"/>
                <w:sz w:val="22"/>
              </w:rPr>
              <w:t>Participation rate (%)</w:t>
            </w:r>
          </w:p>
        </w:tc>
        <w:tc>
          <w:tcPr>
            <w:tcW w:w="0" w:type="auto"/>
          </w:tcPr>
          <w:p w14:paraId="2D176FE5" w14:textId="77777777" w:rsidR="00342C93" w:rsidRPr="00815666" w:rsidRDefault="00342C93" w:rsidP="0022057B">
            <w:pPr>
              <w:pStyle w:val="Compact"/>
              <w:rPr>
                <w:rFonts w:ascii="Arial" w:hAnsi="Arial" w:cs="Arial"/>
                <w:sz w:val="22"/>
              </w:rPr>
            </w:pPr>
            <w:r w:rsidRPr="00815666">
              <w:rPr>
                <w:rFonts w:ascii="Arial" w:hAnsi="Arial" w:cs="Arial"/>
                <w:sz w:val="22"/>
              </w:rPr>
              <w:t>2010-01-01</w:t>
            </w:r>
          </w:p>
        </w:tc>
        <w:tc>
          <w:tcPr>
            <w:tcW w:w="0" w:type="auto"/>
          </w:tcPr>
          <w:p w14:paraId="772C800E" w14:textId="77777777" w:rsidR="00342C93" w:rsidRPr="00815666" w:rsidRDefault="00342C93" w:rsidP="0022057B">
            <w:pPr>
              <w:pStyle w:val="Compact"/>
              <w:rPr>
                <w:rFonts w:ascii="Arial" w:hAnsi="Arial" w:cs="Arial"/>
                <w:sz w:val="22"/>
              </w:rPr>
            </w:pPr>
            <w:r w:rsidRPr="00815666">
              <w:rPr>
                <w:rFonts w:ascii="Arial" w:hAnsi="Arial" w:cs="Arial"/>
                <w:sz w:val="22"/>
              </w:rPr>
              <w:t>Central and Eastern Europe</w:t>
            </w:r>
          </w:p>
        </w:tc>
        <w:tc>
          <w:tcPr>
            <w:tcW w:w="0" w:type="auto"/>
          </w:tcPr>
          <w:p w14:paraId="01397E18" w14:textId="77777777" w:rsidR="00342C93" w:rsidRPr="00815666" w:rsidRDefault="00342C93" w:rsidP="0022057B">
            <w:pPr>
              <w:pStyle w:val="Compact"/>
              <w:jc w:val="right"/>
              <w:rPr>
                <w:rFonts w:ascii="Arial" w:hAnsi="Arial" w:cs="Arial"/>
                <w:sz w:val="22"/>
              </w:rPr>
            </w:pPr>
            <w:r w:rsidRPr="00815666">
              <w:rPr>
                <w:rFonts w:ascii="Arial" w:hAnsi="Arial" w:cs="Arial"/>
                <w:sz w:val="22"/>
              </w:rPr>
              <w:t>13.069</w:t>
            </w:r>
            <w:r>
              <w:rPr>
                <w:rFonts w:ascii="Arial" w:hAnsi="Arial" w:cs="Arial"/>
                <w:sz w:val="22"/>
              </w:rPr>
              <w:t>6</w:t>
            </w:r>
          </w:p>
        </w:tc>
      </w:tr>
      <w:tr w:rsidR="00342C93" w:rsidRPr="00815666" w14:paraId="1D69F47A" w14:textId="77777777" w:rsidTr="00342C93">
        <w:trPr>
          <w:jc w:val="center"/>
        </w:trPr>
        <w:tc>
          <w:tcPr>
            <w:tcW w:w="0" w:type="auto"/>
          </w:tcPr>
          <w:p w14:paraId="449763AA" w14:textId="77777777" w:rsidR="00342C93" w:rsidRPr="00815666" w:rsidRDefault="00342C93" w:rsidP="0022057B">
            <w:pPr>
              <w:pStyle w:val="Compact"/>
              <w:rPr>
                <w:rFonts w:ascii="Arial" w:hAnsi="Arial" w:cs="Arial"/>
                <w:sz w:val="22"/>
              </w:rPr>
            </w:pPr>
            <w:r w:rsidRPr="00815666">
              <w:rPr>
                <w:rFonts w:ascii="Arial" w:hAnsi="Arial" w:cs="Arial"/>
                <w:sz w:val="22"/>
              </w:rPr>
              <w:t>Participation rate (%)</w:t>
            </w:r>
          </w:p>
        </w:tc>
        <w:tc>
          <w:tcPr>
            <w:tcW w:w="0" w:type="auto"/>
          </w:tcPr>
          <w:p w14:paraId="7ED75BF0" w14:textId="77777777" w:rsidR="00342C93" w:rsidRPr="00815666" w:rsidRDefault="00342C93" w:rsidP="0022057B">
            <w:pPr>
              <w:pStyle w:val="Compact"/>
              <w:rPr>
                <w:rFonts w:ascii="Arial" w:hAnsi="Arial" w:cs="Arial"/>
                <w:sz w:val="22"/>
              </w:rPr>
            </w:pPr>
            <w:r w:rsidRPr="00815666">
              <w:rPr>
                <w:rFonts w:ascii="Arial" w:hAnsi="Arial" w:cs="Arial"/>
                <w:sz w:val="22"/>
              </w:rPr>
              <w:t>2010-01-01</w:t>
            </w:r>
          </w:p>
        </w:tc>
        <w:tc>
          <w:tcPr>
            <w:tcW w:w="0" w:type="auto"/>
          </w:tcPr>
          <w:p w14:paraId="26EF135B" w14:textId="77777777" w:rsidR="00342C93" w:rsidRPr="00815666" w:rsidRDefault="00342C93" w:rsidP="0022057B">
            <w:pPr>
              <w:pStyle w:val="Compact"/>
              <w:rPr>
                <w:rFonts w:ascii="Arial" w:hAnsi="Arial" w:cs="Arial"/>
                <w:sz w:val="22"/>
              </w:rPr>
            </w:pPr>
            <w:r w:rsidRPr="00815666">
              <w:rPr>
                <w:rFonts w:ascii="Arial" w:hAnsi="Arial" w:cs="Arial"/>
                <w:sz w:val="22"/>
              </w:rPr>
              <w:t>Northern Europe</w:t>
            </w:r>
          </w:p>
        </w:tc>
        <w:tc>
          <w:tcPr>
            <w:tcW w:w="0" w:type="auto"/>
          </w:tcPr>
          <w:p w14:paraId="3CC645A1" w14:textId="77777777" w:rsidR="00342C93" w:rsidRPr="00815666" w:rsidRDefault="00342C93" w:rsidP="0022057B">
            <w:pPr>
              <w:pStyle w:val="Compact"/>
              <w:jc w:val="right"/>
              <w:rPr>
                <w:rFonts w:ascii="Arial" w:hAnsi="Arial" w:cs="Arial"/>
                <w:sz w:val="22"/>
              </w:rPr>
            </w:pPr>
            <w:r w:rsidRPr="00815666">
              <w:rPr>
                <w:rFonts w:ascii="Arial" w:hAnsi="Arial" w:cs="Arial"/>
                <w:sz w:val="22"/>
              </w:rPr>
              <w:t>19.137</w:t>
            </w:r>
            <w:r>
              <w:rPr>
                <w:rFonts w:ascii="Arial" w:hAnsi="Arial" w:cs="Arial"/>
                <w:sz w:val="22"/>
              </w:rPr>
              <w:t>5</w:t>
            </w:r>
          </w:p>
        </w:tc>
      </w:tr>
      <w:tr w:rsidR="00342C93" w:rsidRPr="00815666" w14:paraId="3E1F4B2D" w14:textId="77777777" w:rsidTr="00342C93">
        <w:trPr>
          <w:jc w:val="center"/>
        </w:trPr>
        <w:tc>
          <w:tcPr>
            <w:tcW w:w="0" w:type="auto"/>
          </w:tcPr>
          <w:p w14:paraId="04D4AEA3" w14:textId="77777777" w:rsidR="00342C93" w:rsidRPr="00815666" w:rsidRDefault="00342C93" w:rsidP="0022057B">
            <w:pPr>
              <w:pStyle w:val="Compact"/>
              <w:rPr>
                <w:rFonts w:ascii="Arial" w:hAnsi="Arial" w:cs="Arial"/>
                <w:sz w:val="22"/>
              </w:rPr>
            </w:pPr>
            <w:r w:rsidRPr="00815666">
              <w:rPr>
                <w:rFonts w:ascii="Arial" w:hAnsi="Arial" w:cs="Arial"/>
                <w:sz w:val="22"/>
              </w:rPr>
              <w:t>Participation rate (%)</w:t>
            </w:r>
          </w:p>
        </w:tc>
        <w:tc>
          <w:tcPr>
            <w:tcW w:w="0" w:type="auto"/>
          </w:tcPr>
          <w:p w14:paraId="6E3C4D2C" w14:textId="77777777" w:rsidR="00342C93" w:rsidRPr="00815666" w:rsidRDefault="00342C93" w:rsidP="0022057B">
            <w:pPr>
              <w:pStyle w:val="Compact"/>
              <w:rPr>
                <w:rFonts w:ascii="Arial" w:hAnsi="Arial" w:cs="Arial"/>
                <w:sz w:val="22"/>
              </w:rPr>
            </w:pPr>
            <w:r w:rsidRPr="00815666">
              <w:rPr>
                <w:rFonts w:ascii="Arial" w:hAnsi="Arial" w:cs="Arial"/>
                <w:sz w:val="22"/>
              </w:rPr>
              <w:t>2010-01-01</w:t>
            </w:r>
          </w:p>
        </w:tc>
        <w:tc>
          <w:tcPr>
            <w:tcW w:w="0" w:type="auto"/>
          </w:tcPr>
          <w:p w14:paraId="1A698666" w14:textId="77777777" w:rsidR="00342C93" w:rsidRPr="00815666" w:rsidRDefault="00342C93" w:rsidP="0022057B">
            <w:pPr>
              <w:pStyle w:val="Compact"/>
              <w:rPr>
                <w:rFonts w:ascii="Arial" w:hAnsi="Arial" w:cs="Arial"/>
                <w:sz w:val="22"/>
              </w:rPr>
            </w:pPr>
            <w:r w:rsidRPr="00815666">
              <w:rPr>
                <w:rFonts w:ascii="Arial" w:hAnsi="Arial" w:cs="Arial"/>
                <w:sz w:val="22"/>
              </w:rPr>
              <w:t>Southern Europe</w:t>
            </w:r>
          </w:p>
        </w:tc>
        <w:tc>
          <w:tcPr>
            <w:tcW w:w="0" w:type="auto"/>
          </w:tcPr>
          <w:p w14:paraId="5D55C2CE" w14:textId="77777777" w:rsidR="00342C93" w:rsidRPr="00815666" w:rsidRDefault="00342C93" w:rsidP="0022057B">
            <w:pPr>
              <w:pStyle w:val="Compact"/>
              <w:jc w:val="right"/>
              <w:rPr>
                <w:rFonts w:ascii="Arial" w:hAnsi="Arial" w:cs="Arial"/>
                <w:sz w:val="22"/>
              </w:rPr>
            </w:pPr>
            <w:r w:rsidRPr="00815666">
              <w:rPr>
                <w:rFonts w:ascii="Arial" w:hAnsi="Arial" w:cs="Arial"/>
                <w:sz w:val="22"/>
              </w:rPr>
              <w:t>19.140</w:t>
            </w:r>
            <w:r>
              <w:rPr>
                <w:rFonts w:ascii="Arial" w:hAnsi="Arial" w:cs="Arial"/>
                <w:sz w:val="22"/>
              </w:rPr>
              <w:t>9</w:t>
            </w:r>
          </w:p>
        </w:tc>
      </w:tr>
      <w:tr w:rsidR="00342C93" w:rsidRPr="00815666" w14:paraId="22AA6193" w14:textId="77777777" w:rsidTr="00342C93">
        <w:trPr>
          <w:jc w:val="center"/>
        </w:trPr>
        <w:tc>
          <w:tcPr>
            <w:tcW w:w="0" w:type="auto"/>
          </w:tcPr>
          <w:p w14:paraId="5193DE3B" w14:textId="77777777" w:rsidR="00342C93" w:rsidRPr="00815666" w:rsidRDefault="00342C93" w:rsidP="0022057B">
            <w:pPr>
              <w:pStyle w:val="Compact"/>
              <w:rPr>
                <w:rFonts w:ascii="Arial" w:hAnsi="Arial" w:cs="Arial"/>
                <w:sz w:val="22"/>
              </w:rPr>
            </w:pPr>
            <w:r w:rsidRPr="00815666">
              <w:rPr>
                <w:rFonts w:ascii="Arial" w:hAnsi="Arial" w:cs="Arial"/>
                <w:sz w:val="22"/>
              </w:rPr>
              <w:t>Participation rate (%)</w:t>
            </w:r>
          </w:p>
        </w:tc>
        <w:tc>
          <w:tcPr>
            <w:tcW w:w="0" w:type="auto"/>
          </w:tcPr>
          <w:p w14:paraId="30C151F4" w14:textId="77777777" w:rsidR="00342C93" w:rsidRPr="00815666" w:rsidRDefault="00342C93" w:rsidP="0022057B">
            <w:pPr>
              <w:pStyle w:val="Compact"/>
              <w:rPr>
                <w:rFonts w:ascii="Arial" w:hAnsi="Arial" w:cs="Arial"/>
                <w:sz w:val="22"/>
              </w:rPr>
            </w:pPr>
            <w:r w:rsidRPr="00815666">
              <w:rPr>
                <w:rFonts w:ascii="Arial" w:hAnsi="Arial" w:cs="Arial"/>
                <w:sz w:val="22"/>
              </w:rPr>
              <w:t>2010-01-01</w:t>
            </w:r>
          </w:p>
        </w:tc>
        <w:tc>
          <w:tcPr>
            <w:tcW w:w="0" w:type="auto"/>
          </w:tcPr>
          <w:p w14:paraId="0371D34A" w14:textId="77777777" w:rsidR="00342C93" w:rsidRPr="00815666" w:rsidRDefault="00342C93" w:rsidP="0022057B">
            <w:pPr>
              <w:pStyle w:val="Compact"/>
              <w:rPr>
                <w:rFonts w:ascii="Arial" w:hAnsi="Arial" w:cs="Arial"/>
                <w:sz w:val="22"/>
              </w:rPr>
            </w:pPr>
            <w:r w:rsidRPr="00815666">
              <w:rPr>
                <w:rFonts w:ascii="Arial" w:hAnsi="Arial" w:cs="Arial"/>
                <w:sz w:val="22"/>
              </w:rPr>
              <w:t>Western Europe</w:t>
            </w:r>
          </w:p>
        </w:tc>
        <w:tc>
          <w:tcPr>
            <w:tcW w:w="0" w:type="auto"/>
          </w:tcPr>
          <w:p w14:paraId="40C36299" w14:textId="77777777" w:rsidR="00342C93" w:rsidRPr="00815666" w:rsidRDefault="00342C93" w:rsidP="0022057B">
            <w:pPr>
              <w:pStyle w:val="Compact"/>
              <w:jc w:val="right"/>
              <w:rPr>
                <w:rFonts w:ascii="Arial" w:hAnsi="Arial" w:cs="Arial"/>
                <w:sz w:val="22"/>
              </w:rPr>
            </w:pPr>
            <w:r w:rsidRPr="00815666">
              <w:rPr>
                <w:rFonts w:ascii="Arial" w:hAnsi="Arial" w:cs="Arial"/>
                <w:sz w:val="22"/>
              </w:rPr>
              <w:t>14.370</w:t>
            </w:r>
            <w:r>
              <w:rPr>
                <w:rFonts w:ascii="Arial" w:hAnsi="Arial" w:cs="Arial"/>
                <w:sz w:val="22"/>
              </w:rPr>
              <w:t>6</w:t>
            </w:r>
          </w:p>
        </w:tc>
      </w:tr>
    </w:tbl>
    <w:p w14:paraId="01B8FBAF" w14:textId="69C7A4DC" w:rsidR="003E3F21" w:rsidRPr="00EE5690" w:rsidRDefault="003E3F21" w:rsidP="002D2FB4">
      <w:pPr>
        <w:pStyle w:val="FirstParagraph"/>
        <w:spacing w:line="360" w:lineRule="auto"/>
        <w:jc w:val="both"/>
        <w:rPr>
          <w:rFonts w:ascii="Arial" w:hAnsi="Arial" w:cs="Arial"/>
          <w:sz w:val="22"/>
          <w:szCs w:val="22"/>
        </w:rPr>
      </w:pPr>
      <w:r w:rsidRPr="00EE5690">
        <w:rPr>
          <w:rFonts w:ascii="Arial" w:hAnsi="Arial" w:cs="Arial"/>
          <w:sz w:val="22"/>
          <w:szCs w:val="22"/>
        </w:rPr>
        <w:t xml:space="preserve">The participation rate in the recreation activities (hiking and walking) is described in </w:t>
      </w:r>
      <w:r w:rsidR="0033264C" w:rsidRPr="00EE5690">
        <w:rPr>
          <w:rFonts w:ascii="Arial" w:hAnsi="Arial" w:cs="Arial"/>
          <w:sz w:val="22"/>
          <w:szCs w:val="22"/>
        </w:rPr>
        <w:fldChar w:fldCharType="begin"/>
      </w:r>
      <w:r w:rsidR="0033264C" w:rsidRPr="00EE5690">
        <w:rPr>
          <w:rFonts w:ascii="Arial" w:hAnsi="Arial" w:cs="Arial"/>
          <w:sz w:val="22"/>
          <w:szCs w:val="22"/>
        </w:rPr>
        <w:instrText xml:space="preserve"> REF _Ref68687243 \h  \* MERGEFORMAT </w:instrText>
      </w:r>
      <w:r w:rsidR="0033264C" w:rsidRPr="00EE5690">
        <w:rPr>
          <w:rFonts w:ascii="Arial" w:hAnsi="Arial" w:cs="Arial"/>
          <w:sz w:val="22"/>
          <w:szCs w:val="22"/>
        </w:rPr>
      </w:r>
      <w:r w:rsidR="0033264C" w:rsidRPr="00EE5690">
        <w:rPr>
          <w:rFonts w:ascii="Arial" w:hAnsi="Arial" w:cs="Arial"/>
          <w:sz w:val="22"/>
          <w:szCs w:val="22"/>
        </w:rPr>
        <w:fldChar w:fldCharType="separate"/>
      </w:r>
      <w:r w:rsidR="0073710A" w:rsidRPr="0073710A">
        <w:rPr>
          <w:rFonts w:ascii="Arial" w:hAnsi="Arial" w:cs="Arial"/>
          <w:sz w:val="22"/>
          <w:szCs w:val="22"/>
        </w:rPr>
        <w:t xml:space="preserve">Table </w:t>
      </w:r>
      <w:r w:rsidR="0073710A" w:rsidRPr="0073710A">
        <w:rPr>
          <w:rFonts w:ascii="Arial" w:hAnsi="Arial" w:cs="Arial"/>
          <w:noProof/>
          <w:sz w:val="22"/>
          <w:szCs w:val="22"/>
        </w:rPr>
        <w:t>31</w:t>
      </w:r>
      <w:r w:rsidR="0033264C" w:rsidRPr="00EE5690">
        <w:rPr>
          <w:rFonts w:ascii="Arial" w:hAnsi="Arial" w:cs="Arial"/>
          <w:sz w:val="22"/>
          <w:szCs w:val="22"/>
        </w:rPr>
        <w:fldChar w:fldCharType="end"/>
      </w:r>
      <w:r w:rsidRPr="00EE5690">
        <w:rPr>
          <w:rFonts w:ascii="Arial" w:hAnsi="Arial" w:cs="Arial"/>
          <w:sz w:val="22"/>
          <w:szCs w:val="22"/>
        </w:rPr>
        <w:t xml:space="preserve">. As there are not may data points, a table is presented. Analyzing the </w:t>
      </w:r>
      <w:r w:rsidR="00987D67" w:rsidRPr="00EE5690">
        <w:rPr>
          <w:rFonts w:ascii="Arial" w:hAnsi="Arial" w:cs="Arial"/>
          <w:sz w:val="22"/>
          <w:szCs w:val="22"/>
        </w:rPr>
        <w:t>table,</w:t>
      </w:r>
      <w:r w:rsidRPr="00EE5690">
        <w:rPr>
          <w:rFonts w:ascii="Arial" w:hAnsi="Arial" w:cs="Arial"/>
          <w:sz w:val="22"/>
          <w:szCs w:val="22"/>
        </w:rPr>
        <w:t xml:space="preserve"> </w:t>
      </w:r>
      <w:r w:rsidR="0033264C" w:rsidRPr="00EE5690">
        <w:rPr>
          <w:rFonts w:ascii="Arial" w:hAnsi="Arial" w:cs="Arial"/>
          <w:sz w:val="22"/>
          <w:szCs w:val="22"/>
        </w:rPr>
        <w:t>two trend</w:t>
      </w:r>
      <w:r w:rsidR="00236957" w:rsidRPr="00EE5690">
        <w:rPr>
          <w:rFonts w:ascii="Arial" w:hAnsi="Arial" w:cs="Arial"/>
          <w:sz w:val="22"/>
          <w:szCs w:val="22"/>
        </w:rPr>
        <w:t>s</w:t>
      </w:r>
      <w:r w:rsidR="0033264C" w:rsidRPr="00EE5690">
        <w:rPr>
          <w:rFonts w:ascii="Arial" w:hAnsi="Arial" w:cs="Arial"/>
          <w:sz w:val="22"/>
          <w:szCs w:val="22"/>
        </w:rPr>
        <w:t xml:space="preserve"> are observed</w:t>
      </w:r>
      <w:r w:rsidRPr="00EE5690">
        <w:rPr>
          <w:rFonts w:ascii="Arial" w:hAnsi="Arial" w:cs="Arial"/>
          <w:sz w:val="22"/>
          <w:szCs w:val="22"/>
        </w:rPr>
        <w:t>: increase in the participation rate for Northern (16.1% to 19.1%) and Western Europe (12.9% to 14.4%) and decrease for the Southern Europe (26.48% to 19.44%) and Central and Eastern Europe (18.34% to 13.07%)</w:t>
      </w:r>
      <w:r w:rsidR="00A04A27">
        <w:rPr>
          <w:rFonts w:ascii="Arial" w:hAnsi="Arial" w:cs="Arial"/>
          <w:sz w:val="22"/>
          <w:szCs w:val="22"/>
        </w:rPr>
        <w:t>.</w:t>
      </w:r>
    </w:p>
    <w:p w14:paraId="49F3159F" w14:textId="61D64104" w:rsidR="00916DE9" w:rsidRPr="00EE5690" w:rsidRDefault="00916DE9" w:rsidP="005D4B20">
      <w:pPr>
        <w:pStyle w:val="MAIL11"/>
      </w:pPr>
      <w:bookmarkStart w:id="152" w:name="environmental"/>
      <w:bookmarkStart w:id="153" w:name="_Toc91752415"/>
      <w:r w:rsidRPr="00EE5690">
        <w:t>Environmental</w:t>
      </w:r>
      <w:bookmarkEnd w:id="152"/>
      <w:bookmarkEnd w:id="153"/>
    </w:p>
    <w:p w14:paraId="79A11292" w14:textId="62B4ED88" w:rsidR="0033264C" w:rsidRPr="00EE5690" w:rsidRDefault="0033264C" w:rsidP="002D2FB4">
      <w:pPr>
        <w:rPr>
          <w:rFonts w:cs="Arial"/>
        </w:rPr>
      </w:pPr>
      <w:r w:rsidRPr="00EE5690">
        <w:rPr>
          <w:rFonts w:cs="Arial"/>
        </w:rPr>
        <w:t>The environmental datasets concern the state of conservation of natural areas and the ecosystem functions that they provide. The state of conservation refers to the surface declared as protected and the reason for conservation, as well as the erosion ra</w:t>
      </w:r>
      <w:r w:rsidR="00E65AC9" w:rsidRPr="00EE5690">
        <w:rPr>
          <w:rFonts w:cs="Arial"/>
        </w:rPr>
        <w:t xml:space="preserve">te by land cover. </w:t>
      </w:r>
      <w:r w:rsidRPr="00EE5690">
        <w:rPr>
          <w:rFonts w:cs="Arial"/>
        </w:rPr>
        <w:t xml:space="preserve">On the other hand, the ecosystem functions account for the percentage of protected areas that are </w:t>
      </w:r>
      <w:proofErr w:type="gramStart"/>
      <w:r w:rsidRPr="00EE5690">
        <w:rPr>
          <w:rFonts w:cs="Arial"/>
        </w:rPr>
        <w:t>actually providing</w:t>
      </w:r>
      <w:proofErr w:type="gramEnd"/>
      <w:r w:rsidRPr="00EE5690">
        <w:rPr>
          <w:rFonts w:cs="Arial"/>
        </w:rPr>
        <w:t xml:space="preserve"> of a protective </w:t>
      </w:r>
      <w:r w:rsidR="00BE5AC3" w:rsidRPr="00EE5690">
        <w:rPr>
          <w:rFonts w:cs="Arial"/>
        </w:rPr>
        <w:t>ecosystem</w:t>
      </w:r>
      <w:r w:rsidRPr="00EE5690">
        <w:rPr>
          <w:rFonts w:cs="Arial"/>
        </w:rPr>
        <w:t xml:space="preserve"> function.</w:t>
      </w:r>
      <w:r w:rsidR="00BE5AC3" w:rsidRPr="00EE5690">
        <w:rPr>
          <w:rFonts w:cs="Arial"/>
        </w:rPr>
        <w:t xml:space="preserve"> </w:t>
      </w:r>
    </w:p>
    <w:p w14:paraId="0D91496F" w14:textId="5CC921C9" w:rsidR="00916DE9" w:rsidRPr="00EE5690" w:rsidRDefault="00916DE9" w:rsidP="009E12D8">
      <w:pPr>
        <w:pStyle w:val="MAIL111"/>
      </w:pPr>
      <w:bookmarkStart w:id="154" w:name="increase-biodiversity"/>
      <w:bookmarkStart w:id="155" w:name="_Toc91752416"/>
      <w:r w:rsidRPr="00EE5690">
        <w:t>Increase biodiversity</w:t>
      </w:r>
      <w:bookmarkEnd w:id="154"/>
      <w:bookmarkEnd w:id="155"/>
    </w:p>
    <w:p w14:paraId="19BAE48B" w14:textId="6820ECEE" w:rsidR="00916DE9" w:rsidRPr="00EE5690" w:rsidRDefault="00916DE9" w:rsidP="002D2FB4">
      <w:pPr>
        <w:rPr>
          <w:rFonts w:cs="Arial"/>
        </w:rPr>
      </w:pPr>
      <w:r w:rsidRPr="00EE5690">
        <w:rPr>
          <w:rFonts w:cs="Arial"/>
        </w:rPr>
        <w:t>Surface of terrestrial sites designated under Natura 2000 in % or km</w:t>
      </w:r>
      <w:r w:rsidRPr="00EE5690">
        <w:rPr>
          <w:rFonts w:cs="Arial"/>
          <w:vertAlign w:val="superscript"/>
        </w:rPr>
        <w:t>2</w:t>
      </w:r>
      <w:r w:rsidRPr="00EE5690">
        <w:rPr>
          <w:rFonts w:cs="Arial"/>
        </w:rPr>
        <w:t xml:space="preserve"> by country following the Sustainable Development Goal 15.2</w:t>
      </w:r>
    </w:p>
    <w:p w14:paraId="57618989" w14:textId="793C95B0" w:rsidR="002162E6" w:rsidRPr="00EE5690" w:rsidRDefault="00141716" w:rsidP="009E12D8">
      <w:pPr>
        <w:keepNext/>
        <w:jc w:val="center"/>
        <w:rPr>
          <w:rFonts w:cs="Arial"/>
        </w:rPr>
      </w:pPr>
      <w:r w:rsidRPr="00EE5690">
        <w:rPr>
          <w:rFonts w:cs="Arial"/>
          <w:noProof/>
          <w:lang w:val="es-ES" w:eastAsia="es-ES"/>
        </w:rPr>
        <w:lastRenderedPageBreak/>
        <w:drawing>
          <wp:inline distT="0" distB="0" distL="0" distR="0" wp14:anchorId="51D45576" wp14:editId="2E8D700B">
            <wp:extent cx="4950403" cy="3536002"/>
            <wp:effectExtent l="0" t="0" r="3175"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urface_terrestial_protected_site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57211" cy="3540865"/>
                    </a:xfrm>
                    <a:prstGeom prst="rect">
                      <a:avLst/>
                    </a:prstGeom>
                  </pic:spPr>
                </pic:pic>
              </a:graphicData>
            </a:graphic>
          </wp:inline>
        </w:drawing>
      </w:r>
    </w:p>
    <w:p w14:paraId="689ED5AC" w14:textId="37EEEC14" w:rsidR="00916DE9" w:rsidRPr="0028707A" w:rsidRDefault="002162E6" w:rsidP="009E12D8">
      <w:pPr>
        <w:pStyle w:val="Caption"/>
        <w:rPr>
          <w:rFonts w:cs="Arial"/>
        </w:rPr>
      </w:pPr>
      <w:bookmarkStart w:id="156" w:name="_Ref68687677"/>
      <w:bookmarkStart w:id="157" w:name="_Toc91752517"/>
      <w:r w:rsidRPr="0028707A">
        <w:rPr>
          <w:rFonts w:cs="Arial"/>
        </w:rPr>
        <w:t xml:space="preserve">Figure </w:t>
      </w:r>
      <w:r w:rsidRPr="0028707A">
        <w:rPr>
          <w:rFonts w:cs="Arial"/>
        </w:rPr>
        <w:fldChar w:fldCharType="begin"/>
      </w:r>
      <w:r w:rsidRPr="0028707A">
        <w:rPr>
          <w:rFonts w:cs="Arial"/>
        </w:rPr>
        <w:instrText xml:space="preserve"> SEQ Figure \* ARABIC </w:instrText>
      </w:r>
      <w:r w:rsidRPr="0028707A">
        <w:rPr>
          <w:rFonts w:cs="Arial"/>
        </w:rPr>
        <w:fldChar w:fldCharType="separate"/>
      </w:r>
      <w:r w:rsidR="0073710A">
        <w:rPr>
          <w:rFonts w:cs="Arial"/>
          <w:noProof/>
        </w:rPr>
        <w:t>33</w:t>
      </w:r>
      <w:r w:rsidRPr="0028707A">
        <w:rPr>
          <w:rFonts w:cs="Arial"/>
        </w:rPr>
        <w:fldChar w:fldCharType="end"/>
      </w:r>
      <w:bookmarkEnd w:id="156"/>
      <w:r w:rsidRPr="0028707A">
        <w:rPr>
          <w:rFonts w:cs="Arial"/>
        </w:rPr>
        <w:t xml:space="preserve"> Surface of terrestrial sites designated under Natura 2000</w:t>
      </w:r>
      <w:bookmarkEnd w:id="157"/>
    </w:p>
    <w:p w14:paraId="293978BB" w14:textId="0D21F8D5" w:rsidR="00165095" w:rsidRPr="00EE5690" w:rsidRDefault="007B1B11" w:rsidP="009E12D8">
      <w:pPr>
        <w:rPr>
          <w:rFonts w:cs="Arial"/>
        </w:rPr>
      </w:pPr>
      <w:r w:rsidRPr="00EE5690">
        <w:rPr>
          <w:rFonts w:cs="Arial"/>
        </w:rPr>
        <w:fldChar w:fldCharType="begin"/>
      </w:r>
      <w:r w:rsidRPr="00EE5690">
        <w:rPr>
          <w:rFonts w:cs="Arial"/>
        </w:rPr>
        <w:instrText xml:space="preserve"> REF _Ref68687677 \h </w:instrText>
      </w:r>
      <w:r w:rsidR="00EE5690" w:rsidRPr="00EE5690">
        <w:rPr>
          <w:rFonts w:cs="Arial"/>
        </w:rPr>
        <w:instrText xml:space="preserve"> \* MERGEFORMAT </w:instrText>
      </w:r>
      <w:r w:rsidRPr="00EE5690">
        <w:rPr>
          <w:rFonts w:cs="Arial"/>
        </w:rPr>
      </w:r>
      <w:r w:rsidRPr="00EE5690">
        <w:rPr>
          <w:rFonts w:cs="Arial"/>
        </w:rPr>
        <w:fldChar w:fldCharType="separate"/>
      </w:r>
      <w:r w:rsidR="0073710A" w:rsidRPr="0028707A">
        <w:rPr>
          <w:rFonts w:cs="Arial"/>
        </w:rPr>
        <w:t xml:space="preserve">Figure </w:t>
      </w:r>
      <w:r w:rsidR="0073710A">
        <w:rPr>
          <w:rFonts w:cs="Arial"/>
          <w:noProof/>
        </w:rPr>
        <w:t>33</w:t>
      </w:r>
      <w:r w:rsidRPr="00EE5690">
        <w:rPr>
          <w:rFonts w:cs="Arial"/>
        </w:rPr>
        <w:fldChar w:fldCharType="end"/>
      </w:r>
      <w:r w:rsidRPr="00EE5690">
        <w:rPr>
          <w:rFonts w:cs="Arial"/>
        </w:rPr>
        <w:t xml:space="preserve"> </w:t>
      </w:r>
      <w:r w:rsidR="00165095" w:rsidRPr="00EE5690">
        <w:rPr>
          <w:rFonts w:cs="Arial"/>
        </w:rPr>
        <w:t xml:space="preserve">shows that the surface designated under Natura </w:t>
      </w:r>
      <w:r w:rsidR="006A4B10" w:rsidRPr="00EE5690">
        <w:rPr>
          <w:rFonts w:cs="Arial"/>
        </w:rPr>
        <w:t>2000,</w:t>
      </w:r>
      <w:r w:rsidR="00165095" w:rsidRPr="00EE5690">
        <w:rPr>
          <w:rFonts w:cs="Arial"/>
        </w:rPr>
        <w:t xml:space="preserve"> has not changed meaningfully in the per</w:t>
      </w:r>
      <w:r w:rsidR="00E65AC9" w:rsidRPr="00EE5690">
        <w:rPr>
          <w:rFonts w:cs="Arial"/>
        </w:rPr>
        <w:t>iod between 2011 and 2019. There was only a</w:t>
      </w:r>
      <w:r w:rsidR="00165095" w:rsidRPr="00EE5690">
        <w:rPr>
          <w:rFonts w:cs="Arial"/>
        </w:rPr>
        <w:t xml:space="preserve"> small increment </w:t>
      </w:r>
      <w:r w:rsidR="00E65AC9" w:rsidRPr="00EE5690">
        <w:rPr>
          <w:rFonts w:cs="Arial"/>
        </w:rPr>
        <w:t xml:space="preserve">in the area under Natura 2000 </w:t>
      </w:r>
      <w:r w:rsidR="00165095" w:rsidRPr="00EE5690">
        <w:rPr>
          <w:rFonts w:cs="Arial"/>
        </w:rPr>
        <w:t>for Central and Easter Europe and Western Europe</w:t>
      </w:r>
      <w:r w:rsidR="009E12D8">
        <w:rPr>
          <w:rFonts w:cs="Arial"/>
        </w:rPr>
        <w:t>.</w:t>
      </w:r>
    </w:p>
    <w:p w14:paraId="3037F8A5" w14:textId="39C144E0" w:rsidR="002162E6" w:rsidRPr="00EE5690" w:rsidRDefault="00ED2863" w:rsidP="009E12D8">
      <w:pPr>
        <w:keepNext/>
        <w:jc w:val="center"/>
        <w:rPr>
          <w:rFonts w:cs="Arial"/>
        </w:rPr>
      </w:pPr>
      <w:r w:rsidRPr="00EE5690">
        <w:rPr>
          <w:rFonts w:cs="Arial"/>
          <w:noProof/>
          <w:lang w:val="es-ES" w:eastAsia="es-ES"/>
        </w:rPr>
        <w:drawing>
          <wp:inline distT="0" distB="0" distL="0" distR="0" wp14:anchorId="737E1791" wp14:editId="7D41EB73">
            <wp:extent cx="4191000" cy="2993572"/>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rea_protected_for_biodiversity_conservatio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98378" cy="2998842"/>
                    </a:xfrm>
                    <a:prstGeom prst="rect">
                      <a:avLst/>
                    </a:prstGeom>
                  </pic:spPr>
                </pic:pic>
              </a:graphicData>
            </a:graphic>
          </wp:inline>
        </w:drawing>
      </w:r>
    </w:p>
    <w:p w14:paraId="791AEAD1" w14:textId="2D9FA273" w:rsidR="00916DE9" w:rsidRPr="0028707A" w:rsidRDefault="002162E6" w:rsidP="009E12D8">
      <w:pPr>
        <w:pStyle w:val="Caption"/>
        <w:rPr>
          <w:rFonts w:cs="Arial"/>
        </w:rPr>
      </w:pPr>
      <w:bookmarkStart w:id="158" w:name="_Toc91752518"/>
      <w:r w:rsidRPr="0028707A">
        <w:rPr>
          <w:rFonts w:cs="Arial"/>
        </w:rPr>
        <w:t xml:space="preserve">Figure </w:t>
      </w:r>
      <w:r w:rsidRPr="0028707A">
        <w:rPr>
          <w:rFonts w:cs="Arial"/>
        </w:rPr>
        <w:fldChar w:fldCharType="begin"/>
      </w:r>
      <w:r w:rsidRPr="0028707A">
        <w:rPr>
          <w:rFonts w:cs="Arial"/>
        </w:rPr>
        <w:instrText xml:space="preserve"> SEQ Figure \* ARABIC </w:instrText>
      </w:r>
      <w:r w:rsidRPr="0028707A">
        <w:rPr>
          <w:rFonts w:cs="Arial"/>
        </w:rPr>
        <w:fldChar w:fldCharType="separate"/>
      </w:r>
      <w:r w:rsidR="0073710A">
        <w:rPr>
          <w:rFonts w:cs="Arial"/>
          <w:noProof/>
        </w:rPr>
        <w:t>34</w:t>
      </w:r>
      <w:r w:rsidRPr="0028707A">
        <w:rPr>
          <w:rFonts w:cs="Arial"/>
        </w:rPr>
        <w:fldChar w:fldCharType="end"/>
      </w:r>
      <w:r w:rsidRPr="0028707A">
        <w:rPr>
          <w:rFonts w:cs="Arial"/>
        </w:rPr>
        <w:t>. Area protected for biodiversity conversion</w:t>
      </w:r>
      <w:bookmarkEnd w:id="158"/>
    </w:p>
    <w:p w14:paraId="7A6F3801" w14:textId="5FBB75CB" w:rsidR="00916DE9" w:rsidRPr="00EE5690" w:rsidRDefault="00916DE9" w:rsidP="006C7295">
      <w:pPr>
        <w:rPr>
          <w:rFonts w:cs="Arial"/>
        </w:rPr>
      </w:pPr>
      <w:r w:rsidRPr="00EE5690">
        <w:rPr>
          <w:rFonts w:cs="Arial"/>
        </w:rPr>
        <w:lastRenderedPageBreak/>
        <w:t xml:space="preserve">The terrestrial biodiversity protected areas designed under the Natural 2000 network have remained almost constant for the period between 2012 and 2020. Only small area </w:t>
      </w:r>
      <w:r w:rsidR="00165095" w:rsidRPr="00EE5690">
        <w:rPr>
          <w:rFonts w:cs="Arial"/>
        </w:rPr>
        <w:t>increment was</w:t>
      </w:r>
      <w:r w:rsidRPr="00EE5690">
        <w:rPr>
          <w:rFonts w:cs="Arial"/>
        </w:rPr>
        <w:t xml:space="preserve"> </w:t>
      </w:r>
      <w:r w:rsidR="00815666" w:rsidRPr="00EE5690">
        <w:rPr>
          <w:rFonts w:cs="Arial"/>
        </w:rPr>
        <w:t>appreciated</w:t>
      </w:r>
      <w:r w:rsidRPr="00EE5690">
        <w:rPr>
          <w:rFonts w:cs="Arial"/>
        </w:rPr>
        <w:t xml:space="preserve"> in 2013 for Central and Easter Europe and in 2015 for Western Europe.</w:t>
      </w:r>
      <w:r w:rsidR="00165095" w:rsidRPr="00EE5690">
        <w:rPr>
          <w:rFonts w:cs="Arial"/>
        </w:rPr>
        <w:t xml:space="preserve"> On the other hand, Southern </w:t>
      </w:r>
      <w:proofErr w:type="gramStart"/>
      <w:r w:rsidR="00165095" w:rsidRPr="00EE5690">
        <w:rPr>
          <w:rFonts w:cs="Arial"/>
        </w:rPr>
        <w:t>Europe</w:t>
      </w:r>
      <w:proofErr w:type="gramEnd"/>
      <w:r w:rsidR="00165095" w:rsidRPr="00EE5690">
        <w:rPr>
          <w:rFonts w:cs="Arial"/>
        </w:rPr>
        <w:t xml:space="preserve"> and Western Europe, greatly increased their protected areas for biodiversity conservation in the period 2000-2010. Increasing a15% of the forest protected area for SE and above a 30% for WE. </w:t>
      </w:r>
    </w:p>
    <w:p w14:paraId="18B14F1A" w14:textId="3540D945" w:rsidR="00916DE9" w:rsidRPr="00EE5690" w:rsidRDefault="00916DE9" w:rsidP="009E12D8">
      <w:pPr>
        <w:pStyle w:val="MAIL111"/>
      </w:pPr>
      <w:bookmarkStart w:id="159" w:name="erosion"/>
      <w:bookmarkStart w:id="160" w:name="_Toc91752417"/>
      <w:r w:rsidRPr="00EE5690">
        <w:t>Erosion</w:t>
      </w:r>
      <w:bookmarkEnd w:id="159"/>
      <w:bookmarkEnd w:id="160"/>
    </w:p>
    <w:p w14:paraId="65344AF2" w14:textId="6D5DC065" w:rsidR="00916DE9" w:rsidRPr="00EE5690" w:rsidRDefault="00974509" w:rsidP="006C7295">
      <w:pPr>
        <w:pStyle w:val="FirstParagraph"/>
        <w:spacing w:line="360" w:lineRule="auto"/>
        <w:jc w:val="both"/>
        <w:rPr>
          <w:rFonts w:ascii="Arial" w:hAnsi="Arial" w:cs="Arial"/>
          <w:sz w:val="22"/>
          <w:szCs w:val="22"/>
        </w:rPr>
      </w:pPr>
      <w:r w:rsidRPr="00EE5690">
        <w:rPr>
          <w:rFonts w:ascii="Arial" w:hAnsi="Arial" w:cs="Arial"/>
          <w:sz w:val="22"/>
          <w:szCs w:val="22"/>
        </w:rPr>
        <w:t>The erosion evolution over time was estimated as the soil loss by water in two land cover types. The information was found in the dataset ‘</w:t>
      </w:r>
      <w:r w:rsidR="00916DE9" w:rsidRPr="00EE5690">
        <w:rPr>
          <w:rFonts w:ascii="Arial" w:hAnsi="Arial" w:cs="Arial"/>
          <w:sz w:val="22"/>
          <w:szCs w:val="22"/>
        </w:rPr>
        <w:t>Estimated soil loss by water erosion by land cover type (source: JRC)</w:t>
      </w:r>
      <w:r w:rsidRPr="00EE5690">
        <w:rPr>
          <w:rFonts w:ascii="Arial" w:hAnsi="Arial" w:cs="Arial"/>
          <w:sz w:val="22"/>
          <w:szCs w:val="22"/>
        </w:rPr>
        <w:t>’ of the Eurostat database.</w:t>
      </w:r>
    </w:p>
    <w:p w14:paraId="6C1D59B8" w14:textId="29577C1C" w:rsidR="002162E6" w:rsidRPr="00EE5690" w:rsidRDefault="006A4B10" w:rsidP="00EE5690">
      <w:pPr>
        <w:keepNext/>
        <w:jc w:val="left"/>
        <w:rPr>
          <w:rFonts w:cs="Arial"/>
        </w:rPr>
      </w:pPr>
      <w:r w:rsidRPr="00EE5690">
        <w:rPr>
          <w:rFonts w:cs="Arial"/>
          <w:noProof/>
          <w:lang w:val="es-ES" w:eastAsia="es-ES"/>
        </w:rPr>
        <w:drawing>
          <wp:inline distT="0" distB="0" distL="0" distR="0" wp14:anchorId="2F4C07F5" wp14:editId="775DD86F">
            <wp:extent cx="5400675" cy="3857625"/>
            <wp:effectExtent l="0" t="0" r="9525"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rosion_by_land_cover.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inline>
        </w:drawing>
      </w:r>
    </w:p>
    <w:p w14:paraId="7BDF21DF" w14:textId="04E6ED32" w:rsidR="00916DE9" w:rsidRPr="00AD5193" w:rsidRDefault="002162E6" w:rsidP="009E12D8">
      <w:pPr>
        <w:pStyle w:val="Caption"/>
        <w:rPr>
          <w:rFonts w:cs="Arial"/>
        </w:rPr>
      </w:pPr>
      <w:bookmarkStart w:id="161" w:name="_Toc91752519"/>
      <w:r w:rsidRPr="00AD5193">
        <w:rPr>
          <w:rFonts w:cs="Arial"/>
        </w:rPr>
        <w:t xml:space="preserve">Figure </w:t>
      </w:r>
      <w:r w:rsidRPr="00AD5193">
        <w:rPr>
          <w:rFonts w:cs="Arial"/>
        </w:rPr>
        <w:fldChar w:fldCharType="begin"/>
      </w:r>
      <w:r w:rsidRPr="00AD5193">
        <w:rPr>
          <w:rFonts w:cs="Arial"/>
        </w:rPr>
        <w:instrText xml:space="preserve"> SEQ Figure \* ARABIC </w:instrText>
      </w:r>
      <w:r w:rsidRPr="00AD5193">
        <w:rPr>
          <w:rFonts w:cs="Arial"/>
        </w:rPr>
        <w:fldChar w:fldCharType="separate"/>
      </w:r>
      <w:r w:rsidR="0073710A">
        <w:rPr>
          <w:rFonts w:cs="Arial"/>
          <w:noProof/>
        </w:rPr>
        <w:t>35</w:t>
      </w:r>
      <w:r w:rsidRPr="00AD5193">
        <w:rPr>
          <w:rFonts w:cs="Arial"/>
        </w:rPr>
        <w:fldChar w:fldCharType="end"/>
      </w:r>
      <w:r w:rsidRPr="00AD5193">
        <w:rPr>
          <w:rFonts w:cs="Arial"/>
        </w:rPr>
        <w:t xml:space="preserve"> Erosion by land cover type</w:t>
      </w:r>
      <w:bookmarkEnd w:id="161"/>
    </w:p>
    <w:p w14:paraId="48E06553" w14:textId="08B549C4" w:rsidR="00916DE9" w:rsidRPr="00EE5690" w:rsidRDefault="00105D06" w:rsidP="006C7295">
      <w:pPr>
        <w:rPr>
          <w:rFonts w:cs="Arial"/>
        </w:rPr>
      </w:pPr>
      <w:r w:rsidRPr="00EE5690">
        <w:rPr>
          <w:rFonts w:cs="Arial"/>
        </w:rPr>
        <w:t>The e</w:t>
      </w:r>
      <w:r w:rsidR="00916DE9" w:rsidRPr="00EE5690">
        <w:rPr>
          <w:rFonts w:cs="Arial"/>
        </w:rPr>
        <w:t xml:space="preserve">rosion rates are represented by land cover type for the different regional groups, the land covers selected were the agricultural lands and the natural grasslands or pastures. Comparing the erosion values between the two different types of land cover we observe that for Western Europe and Central and Eastern Europe the erosion rates for natural pastures and grasslands are higher than for agricultural land, whereas in </w:t>
      </w:r>
      <w:r w:rsidR="00916DE9" w:rsidRPr="00EE5690">
        <w:rPr>
          <w:rFonts w:cs="Arial"/>
        </w:rPr>
        <w:lastRenderedPageBreak/>
        <w:t>Northern Europe and Southern Europe agricultural areas are the ones holding the highest rates of erosion.</w:t>
      </w:r>
      <w:r w:rsidR="00974509" w:rsidRPr="00EE5690">
        <w:rPr>
          <w:rFonts w:cs="Arial"/>
        </w:rPr>
        <w:t xml:space="preserve"> In the Southern European </w:t>
      </w:r>
      <w:proofErr w:type="gramStart"/>
      <w:r w:rsidR="00974509" w:rsidRPr="00EE5690">
        <w:rPr>
          <w:rFonts w:cs="Arial"/>
        </w:rPr>
        <w:t>scenario</w:t>
      </w:r>
      <w:proofErr w:type="gramEnd"/>
      <w:r w:rsidR="00974509" w:rsidRPr="00EE5690">
        <w:rPr>
          <w:rFonts w:cs="Arial"/>
        </w:rPr>
        <w:t xml:space="preserve"> it can be explained by the big influence of dry crops, such as the olive tree crops or the vineyards.</w:t>
      </w:r>
    </w:p>
    <w:p w14:paraId="5A807B5D" w14:textId="3F108397" w:rsidR="00916DE9" w:rsidRPr="00EE5690" w:rsidRDefault="00916DE9" w:rsidP="009E12D8">
      <w:pPr>
        <w:pStyle w:val="MAIL111"/>
      </w:pPr>
      <w:bookmarkStart w:id="162" w:name="protective-function"/>
      <w:bookmarkStart w:id="163" w:name="_Toc91752418"/>
      <w:r w:rsidRPr="00EE5690">
        <w:t>Protective function</w:t>
      </w:r>
      <w:bookmarkEnd w:id="162"/>
      <w:bookmarkEnd w:id="163"/>
    </w:p>
    <w:p w14:paraId="0E0988AA" w14:textId="659C09F3" w:rsidR="00916DE9" w:rsidRPr="00EE5690" w:rsidRDefault="00916DE9" w:rsidP="006C7295">
      <w:pPr>
        <w:pStyle w:val="FirstParagraph"/>
        <w:spacing w:line="360" w:lineRule="auto"/>
        <w:jc w:val="both"/>
        <w:rPr>
          <w:rFonts w:ascii="Arial" w:hAnsi="Arial" w:cs="Arial"/>
          <w:sz w:val="22"/>
          <w:szCs w:val="22"/>
        </w:rPr>
      </w:pPr>
      <w:r w:rsidRPr="00EE5690">
        <w:rPr>
          <w:rFonts w:ascii="Arial" w:hAnsi="Arial" w:cs="Arial"/>
          <w:sz w:val="22"/>
          <w:szCs w:val="22"/>
        </w:rPr>
        <w:t>The datasets identified offer information about the area of forest with protective function in Europe and the area of protected forest in Europe, both datasets refer the information by country and in thousands of hectares</w:t>
      </w:r>
      <w:r w:rsidR="00974509" w:rsidRPr="00EE5690">
        <w:rPr>
          <w:rFonts w:ascii="Arial" w:hAnsi="Arial" w:cs="Arial"/>
          <w:sz w:val="22"/>
          <w:szCs w:val="22"/>
        </w:rPr>
        <w:t xml:space="preserve"> The variables were found in the Eurostat forestry folder in the Environmental functions dataset.</w:t>
      </w:r>
    </w:p>
    <w:p w14:paraId="572A516E" w14:textId="2B40CE8B" w:rsidR="002162E6" w:rsidRPr="00EE5690" w:rsidRDefault="00141716" w:rsidP="00EE5690">
      <w:pPr>
        <w:pStyle w:val="BodyText"/>
        <w:keepNext/>
        <w:jc w:val="left"/>
        <w:rPr>
          <w:rFonts w:cs="Arial"/>
        </w:rPr>
      </w:pPr>
      <w:r w:rsidRPr="00EE5690">
        <w:rPr>
          <w:rFonts w:cs="Arial"/>
          <w:noProof/>
          <w:lang w:val="es-ES" w:eastAsia="es-ES"/>
        </w:rPr>
        <w:drawing>
          <wp:inline distT="0" distB="0" distL="0" distR="0" wp14:anchorId="2966CB04" wp14:editId="5198428F">
            <wp:extent cx="5400675" cy="385762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rea_of_forest_with_protective_functio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inline>
        </w:drawing>
      </w:r>
    </w:p>
    <w:p w14:paraId="2286B99B" w14:textId="0949DDB6" w:rsidR="00916DE9" w:rsidRPr="00AD5193" w:rsidRDefault="002162E6" w:rsidP="009E12D8">
      <w:pPr>
        <w:pStyle w:val="Caption"/>
        <w:rPr>
          <w:rFonts w:cs="Arial"/>
        </w:rPr>
      </w:pPr>
      <w:bookmarkStart w:id="164" w:name="_Ref68687709"/>
      <w:bookmarkStart w:id="165" w:name="_Toc91752520"/>
      <w:r w:rsidRPr="00AD5193">
        <w:rPr>
          <w:rFonts w:cs="Arial"/>
        </w:rPr>
        <w:t xml:space="preserve">Figure </w:t>
      </w:r>
      <w:r w:rsidRPr="00AD5193">
        <w:rPr>
          <w:rFonts w:cs="Arial"/>
        </w:rPr>
        <w:fldChar w:fldCharType="begin"/>
      </w:r>
      <w:r w:rsidRPr="00AD5193">
        <w:rPr>
          <w:rFonts w:cs="Arial"/>
        </w:rPr>
        <w:instrText xml:space="preserve"> SEQ Figure \* ARABIC </w:instrText>
      </w:r>
      <w:r w:rsidRPr="00AD5193">
        <w:rPr>
          <w:rFonts w:cs="Arial"/>
        </w:rPr>
        <w:fldChar w:fldCharType="separate"/>
      </w:r>
      <w:r w:rsidR="0073710A">
        <w:rPr>
          <w:rFonts w:cs="Arial"/>
          <w:noProof/>
        </w:rPr>
        <w:t>36</w:t>
      </w:r>
      <w:r w:rsidRPr="00AD5193">
        <w:rPr>
          <w:rFonts w:cs="Arial"/>
        </w:rPr>
        <w:fldChar w:fldCharType="end"/>
      </w:r>
      <w:bookmarkEnd w:id="164"/>
      <w:r w:rsidRPr="00AD5193">
        <w:rPr>
          <w:rFonts w:cs="Arial"/>
        </w:rPr>
        <w:t xml:space="preserve"> Share of forest and other wooded land that provides a protective function</w:t>
      </w:r>
      <w:bookmarkEnd w:id="165"/>
    </w:p>
    <w:p w14:paraId="6E782F0E" w14:textId="6D697F5B" w:rsidR="00916DE9" w:rsidRPr="00EE5690" w:rsidRDefault="003D32E9" w:rsidP="006C7295">
      <w:pPr>
        <w:pStyle w:val="BodyText"/>
        <w:rPr>
          <w:rFonts w:cs="Arial"/>
        </w:rPr>
      </w:pPr>
      <w:r w:rsidRPr="00EE5690">
        <w:rPr>
          <w:rFonts w:cs="Arial"/>
        </w:rPr>
        <w:fldChar w:fldCharType="begin"/>
      </w:r>
      <w:r w:rsidRPr="00EE5690">
        <w:rPr>
          <w:rFonts w:cs="Arial"/>
        </w:rPr>
        <w:instrText xml:space="preserve"> REF _Ref68687709 \h </w:instrText>
      </w:r>
      <w:r w:rsidR="00EE5690" w:rsidRPr="00EE5690">
        <w:rPr>
          <w:rFonts w:cs="Arial"/>
        </w:rPr>
        <w:instrText xml:space="preserve"> \* MERGEFORMAT </w:instrText>
      </w:r>
      <w:r w:rsidRPr="00EE5690">
        <w:rPr>
          <w:rFonts w:cs="Arial"/>
        </w:rPr>
      </w:r>
      <w:r w:rsidRPr="00EE5690">
        <w:rPr>
          <w:rFonts w:cs="Arial"/>
        </w:rPr>
        <w:fldChar w:fldCharType="separate"/>
      </w:r>
      <w:r w:rsidR="0073710A" w:rsidRPr="00AD5193">
        <w:rPr>
          <w:rFonts w:cs="Arial"/>
        </w:rPr>
        <w:t xml:space="preserve">Figure </w:t>
      </w:r>
      <w:r w:rsidR="0073710A">
        <w:rPr>
          <w:rFonts w:cs="Arial"/>
          <w:noProof/>
        </w:rPr>
        <w:t>36</w:t>
      </w:r>
      <w:r w:rsidRPr="00EE5690">
        <w:rPr>
          <w:rFonts w:cs="Arial"/>
        </w:rPr>
        <w:fldChar w:fldCharType="end"/>
      </w:r>
      <w:r w:rsidRPr="00EE5690">
        <w:rPr>
          <w:rFonts w:cs="Arial"/>
        </w:rPr>
        <w:t xml:space="preserve"> </w:t>
      </w:r>
      <w:r w:rsidR="00916DE9" w:rsidRPr="00EE5690">
        <w:rPr>
          <w:rFonts w:cs="Arial"/>
        </w:rPr>
        <w:t>represents the percentage of protected areas over time in the different regional groups. The percentage o</w:t>
      </w:r>
      <w:r w:rsidR="00E65AC9" w:rsidRPr="00EE5690">
        <w:rPr>
          <w:rFonts w:cs="Arial"/>
        </w:rPr>
        <w:t>f protected areas is divided in protected</w:t>
      </w:r>
      <w:r w:rsidR="00916DE9" w:rsidRPr="00EE5690">
        <w:rPr>
          <w:rFonts w:cs="Arial"/>
        </w:rPr>
        <w:t xml:space="preserve"> area for biodiversity purposes and protected area for landscape features. Thus, the aggregation of both curves makes the 100% of the protected area for the regional group. Comparing the two graphs, we can appreciate that for all the regional groups area protection is destined more to the biodiversity protection. In Southern Europe this value surpasses the 90% in 2014, maybe indicating that more biodiversity efforts are being considered in area </w:t>
      </w:r>
      <w:r w:rsidR="00916DE9" w:rsidRPr="00EE5690">
        <w:rPr>
          <w:rFonts w:cs="Arial"/>
        </w:rPr>
        <w:lastRenderedPageBreak/>
        <w:t xml:space="preserve">protection. For the rest of regional groups, the surfaces of protected area are more balanced between the </w:t>
      </w:r>
      <w:proofErr w:type="gramStart"/>
      <w:r w:rsidR="00916DE9" w:rsidRPr="00EE5690">
        <w:rPr>
          <w:rFonts w:cs="Arial"/>
        </w:rPr>
        <w:t>biodiversity</w:t>
      </w:r>
      <w:proofErr w:type="gramEnd"/>
      <w:r w:rsidR="00916DE9" w:rsidRPr="00EE5690">
        <w:rPr>
          <w:rFonts w:cs="Arial"/>
        </w:rPr>
        <w:t xml:space="preserve"> or the landscape driven protection oscillating around the 50% (the 65% and 48%) of distribution, between biodiversity protected area and the landscape features.</w:t>
      </w:r>
    </w:p>
    <w:p w14:paraId="2FABA8EF" w14:textId="702E4848" w:rsidR="00236957" w:rsidRPr="00EE5690" w:rsidRDefault="002D6198" w:rsidP="005D4B20">
      <w:pPr>
        <w:pStyle w:val="MAIL1"/>
      </w:pPr>
      <w:bookmarkStart w:id="166" w:name="_Toc91752419"/>
      <w:r w:rsidRPr="00EE5690">
        <w:t>Increasing Carbon Sequestration Strategies</w:t>
      </w:r>
      <w:bookmarkEnd w:id="166"/>
    </w:p>
    <w:p w14:paraId="2A4DF904" w14:textId="77777777" w:rsidR="000519D9" w:rsidRPr="00EE5690" w:rsidRDefault="000519D9" w:rsidP="006C7295">
      <w:pPr>
        <w:rPr>
          <w:rFonts w:cs="Arial"/>
        </w:rPr>
      </w:pPr>
      <w:r w:rsidRPr="00EE5690">
        <w:rPr>
          <w:rFonts w:cs="Arial"/>
        </w:rPr>
        <w:t xml:space="preserve">Forests have long played a vital role in our economy and culture, supplying jobs as well as food, medicines, materials, and clean water. Forests have been a prospering hub for cultural heritage and craftsmanship, tradition, and creativity for ages. However, they are as vital for our future as they were in the past. Forests are a natural ally in coping with and combating climate change, and they will be critical in making Europe the first carbon-neutral continent by 2050. The risk of zoonotic diseases and global pandemics is reduced when forest ecosystems are protected. As a result, sustaining healthy, biodiverse, and resilient forests across Europe and the world is critical to guaranteeing a healthy future for people, planet, and prosperity. Despite this necessity, European forests are under increasing stress, due to natural processes as well as rising human activity and pressures. While forest area has grown in recent decades as a result of natural processes, afforestation, sustainable management, and active restoration, and while this has resulted in several upward trends, forest conservation status should be greatly improved, particularly in the 27 % of EU forest area that is protected and should be the healthiest </w:t>
      </w:r>
      <w:r w:rsidRPr="00EE5690">
        <w:rPr>
          <w:rFonts w:cs="Arial"/>
        </w:rPr>
        <w:fldChar w:fldCharType="begin" w:fldLock="1"/>
      </w:r>
      <w:r w:rsidRPr="00EE5690">
        <w:rPr>
          <w:rFonts w:cs="Arial"/>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approach.","author":[{"dropping-particle":"","family":"European Commission","given":"","non-dropping-particle":"","parse-names":false,"suffix":""}],"container-title":"European Commission","id":"ITEM-1","issued":{"date-parts":[["2021"]]},"page":"5-24","title":"New EU Forest Strategy for 2030","type":"article-journal"},"uris":["http://www.mendeley.com/documents/?uuid=32b8ba3f-26d2-4138-8ede-792b744d4507"]}],"mendeley":{"formattedCitation":"(European Commission, 2021a)","plainTextFormattedCitation":"(European Commission, 2021a)","previouslyFormattedCitation":"(European Commission, 2021a)"},"properties":{"noteIndex":0},"schema":"https://github.com/citation-style-language/schema/raw/master/csl-citation.json"}</w:instrText>
      </w:r>
      <w:r w:rsidRPr="00EE5690">
        <w:rPr>
          <w:rFonts w:cs="Arial"/>
        </w:rPr>
        <w:fldChar w:fldCharType="separate"/>
      </w:r>
      <w:r w:rsidRPr="00EE5690">
        <w:rPr>
          <w:rFonts w:cs="Arial"/>
          <w:noProof/>
        </w:rPr>
        <w:t>(European Commission, 2021a)</w:t>
      </w:r>
      <w:r w:rsidRPr="00EE5690">
        <w:rPr>
          <w:rFonts w:cs="Arial"/>
        </w:rPr>
        <w:fldChar w:fldCharType="end"/>
      </w:r>
      <w:r w:rsidRPr="00EE5690">
        <w:rPr>
          <w:rFonts w:cs="Arial"/>
        </w:rPr>
        <w:t xml:space="preserve">. </w:t>
      </w:r>
    </w:p>
    <w:p w14:paraId="0C56C6BA" w14:textId="77777777" w:rsidR="000519D9" w:rsidRPr="00EE5690" w:rsidRDefault="000519D9" w:rsidP="006C7295">
      <w:pPr>
        <w:rPr>
          <w:rFonts w:cs="Arial"/>
        </w:rPr>
      </w:pPr>
      <w:r w:rsidRPr="00EE5690">
        <w:rPr>
          <w:rFonts w:cs="Arial"/>
        </w:rPr>
        <w:t xml:space="preserve">Climate change continues to have a severe impact on European forests, notably in places with mono-specific and even-aged forest stands, but not exclusively. Climate change has also revealed previously unknown vulnerabilities, exacerbating other destructive pressures such as pests, pollution, and diseases, as well as affecting forest fire regimes, resulting in conditions where the extent and intensity of forest fires in the EU will increase in the coming years </w:t>
      </w:r>
      <w:r w:rsidRPr="00EE5690">
        <w:rPr>
          <w:rFonts w:cs="Arial"/>
        </w:rPr>
        <w:fldChar w:fldCharType="begin" w:fldLock="1"/>
      </w:r>
      <w:r w:rsidRPr="00EE5690">
        <w:rPr>
          <w:rFonts w:cs="Arial"/>
        </w:rPr>
        <w:instrText>ADDIN CSL_CITATION {"citationItems":[{"id":"ITEM-1","itemData":{"DOI":"10.2760/46951","ISBN":"9789276168980","abstract":"In Europe, forests cover over one third of the land area, but the continent is characterised by high fragmentation of land cover, with complex patterns of human settlements and land uses, where populated areas are frequently found close to wildland. This human-nature interface may be due to either expansion of wildland (for example on abandoned agricultural areas) or to the extension of settlements in areas previously characterised by a high proportion of wildland. Con- sequently, wildfires have a great impact on agricultural resources and urban settlements, with critical consequences for the safety and health of citizens, the safeguard of economic assets and the provision of essential services from fire-damaged ecosystems. Furthermore, climate change may directly change fire regimes in Europe and globally and affect the biophysical conditions of ecosystems so that, in some areas of Europe, the current vegetation structure might become irrecoverable after fire damage","author":[{"dropping-particle":"","family":"Costa","given":"H.","non-dropping-particle":"","parse-names":false,"suffix":""},{"dropping-particle":"","family":"Rigo","given":"D.","non-dropping-particle":"de","parse-names":false,"suffix":""},{"dropping-particle":"","family":"Libertà","given":"G.","non-dropping-particle":"","parse-names":false,"suffix":""},{"dropping-particle":"","family":"Houston Durrant","given":"T.","non-dropping-particle":"","parse-names":false,"suffix":""},{"dropping-particle":"","family":"San-Miguel-Ayanz","given":"J.","non-dropping-particle":"","parse-names":false,"suffix":""}],"id":"ITEM-1","issued":{"date-parts":[["2020"]]},"number-of-pages":"59","title":"European wildfire danger and vulnerability in a changing climate: towards integrating risk dimensions","type":"book"},"uris":["http://www.mendeley.com/documents/?uuid=a434f390-35a6-49b2-b4c9-73c1d9389c89"]}],"mendeley":{"formattedCitation":"(Costa et al., 2020)","plainTextFormattedCitation":"(Costa et al., 2020)","previouslyFormattedCitation":"(Costa et al., 2020)"},"properties":{"noteIndex":0},"schema":"https://github.com/citation-style-language/schema/raw/master/csl-citation.json"}</w:instrText>
      </w:r>
      <w:r w:rsidRPr="00EE5690">
        <w:rPr>
          <w:rFonts w:cs="Arial"/>
        </w:rPr>
        <w:fldChar w:fldCharType="separate"/>
      </w:r>
      <w:r w:rsidRPr="00EE5690">
        <w:rPr>
          <w:rFonts w:cs="Arial"/>
          <w:noProof/>
        </w:rPr>
        <w:t>(Costa et al., 2020)</w:t>
      </w:r>
      <w:r w:rsidRPr="00EE5690">
        <w:rPr>
          <w:rFonts w:cs="Arial"/>
        </w:rPr>
        <w:fldChar w:fldCharType="end"/>
      </w:r>
      <w:r w:rsidRPr="00EE5690">
        <w:rPr>
          <w:rFonts w:cs="Arial"/>
        </w:rPr>
        <w:t xml:space="preserve">. Because of harsh weather occurrences and increased harvesting for various economic purposes, tree cover loss has accelerated in the recent decade </w:t>
      </w:r>
      <w:r w:rsidRPr="00EE5690">
        <w:rPr>
          <w:rFonts w:cs="Arial"/>
        </w:rPr>
        <w:fldChar w:fldCharType="begin" w:fldLock="1"/>
      </w:r>
      <w:r w:rsidRPr="00EE5690">
        <w:rPr>
          <w:rFonts w:cs="Arial"/>
        </w:rPr>
        <w:instrText>ADDIN CSL_CITATION {"citationItems":[{"id":"ITEM-1","itemData":{"abstract":"This brief is one out of a series of Knowledge Centre for Bioeconomy's briefs which intend to provide independent evidence for EU policy in this field. 1. Assessing the role of the forest-based bioeconomy in mitigating climate change requires a “system-perspective”, considering all possible options: increasing carbon stocks (‘net sink’) in forest land and in Harvested Wood Products (HWPs), and using wood to substitute other materials or fossil fuels. 2. Reducing the harvest appears the easiest option to increase the net forest sink in the short to medium term (2030-2050). However, this option would have negative socio-economic impacts in the forest sector and would likely lead to a net forest sink saturation in the long term. 3. Increasing the harvest would make more wood available for carbon storage in HWPs and for material substitution. However, in the short to medium term, the potential additional benefits from HWPs and material substitution are unlikely to compensate for the reduction of the net forest sink associated with the increased harvest. 4. A further increase in the net annual forest increment, through forest management practices and new forest area, is necessary to reverse the current trend of declining sinks and thus align the contribution of the forest-based bioeconomy with the EU goal of climate neutrality by 2050. 5. Part of this extra increment could also increase the potential for carbon storage in HWPs and for material substitution. A shift towards greater use of wood products with longer service lives and substitution benefits can enhance their climate change mitigation benefit.6. A holistic assessment is essential to guide policies that ensure that the forest-based bioeconomy makes an effective and resilient contribution to climate change mitigation.","author":[{"dropping-particle":"","family":"Grassi","given":"G.","non-dropping-particle":"","parse-names":false,"suffix":""},{"dropping-particle":"","family":"Fiorese","given":"G.","non-dropping-particle":"","parse-names":false,"suffix":""},{"dropping-particle":"","family":"Pilli","given":"R.","non-dropping-particle":"","parse-names":false,"suffix":""},{"dropping-particle":"","family":"Jonsson","given":"K.","non-dropping-particle":"","parse-names":false,"suffix":""},{"dropping-particle":"","family":"Blujdea","given":"V.","non-dropping-particle":"","parse-names":false,"suffix":""},{"dropping-particle":"","family":"Korosuo","given":"A.","non-dropping-particle":"","parse-names":false,"suffix":""},{"dropping-particle":"","family":"Vizzarri","given":"M.","non-dropping-particle":"","parse-names":false,"suffix":""}],"id":"ITEM-1","issued":{"date-parts":[["2021"]]},"page":"1-16","title":"Brief on the role of the forest-based bioeconomy in mitigating climate change through carbon storage and material substitution","type":"article-journal"},"uris":["http://www.mendeley.com/documents/?uuid=254bb51b-90cb-4c18-9db6-17b35c7e017e"]}],"mendeley":{"formattedCitation":"(Grassi et al., 2021)","plainTextFormattedCitation":"(Grassi et al., 2021)","previouslyFormattedCitation":"(Grassi et al., 2021)"},"properties":{"noteIndex":0},"schema":"https://github.com/citation-style-language/schema/raw/master/csl-citation.json"}</w:instrText>
      </w:r>
      <w:r w:rsidRPr="00EE5690">
        <w:rPr>
          <w:rFonts w:cs="Arial"/>
        </w:rPr>
        <w:fldChar w:fldCharType="separate"/>
      </w:r>
      <w:r w:rsidRPr="00EE5690">
        <w:rPr>
          <w:rFonts w:cs="Arial"/>
          <w:noProof/>
        </w:rPr>
        <w:t>(Grassi et al., 2021)</w:t>
      </w:r>
      <w:r w:rsidRPr="00EE5690">
        <w:rPr>
          <w:rFonts w:cs="Arial"/>
        </w:rPr>
        <w:fldChar w:fldCharType="end"/>
      </w:r>
      <w:r w:rsidRPr="00EE5690">
        <w:rPr>
          <w:rFonts w:cs="Arial"/>
        </w:rPr>
        <w:t>.</w:t>
      </w:r>
    </w:p>
    <w:p w14:paraId="781290DA" w14:textId="77777777" w:rsidR="000519D9" w:rsidRPr="00EE5690" w:rsidRDefault="000519D9" w:rsidP="006C7295">
      <w:pPr>
        <w:rPr>
          <w:rFonts w:cs="Arial"/>
        </w:rPr>
      </w:pPr>
      <w:r w:rsidRPr="00EE5690">
        <w:rPr>
          <w:rFonts w:cs="Arial"/>
        </w:rPr>
        <w:t xml:space="preserve">According to the Climate Law, the relevant EU institutions and Member States must prioritize rapid and predictable emission reductions while also enhancing natural sink removals </w:t>
      </w:r>
      <w:proofErr w:type="gramStart"/>
      <w:r w:rsidRPr="00EE5690">
        <w:rPr>
          <w:rFonts w:cs="Arial"/>
        </w:rPr>
        <w:t>in order to</w:t>
      </w:r>
      <w:proofErr w:type="gramEnd"/>
      <w:r w:rsidRPr="00EE5690">
        <w:rPr>
          <w:rFonts w:cs="Arial"/>
        </w:rPr>
        <w:t xml:space="preserve"> meet the 2030 target and the climate neutrality aim. Forests and forest products will play a critical part in meeting the Union's ambitious net removal </w:t>
      </w:r>
      <w:r w:rsidRPr="00EE5690">
        <w:rPr>
          <w:rFonts w:cs="Arial"/>
        </w:rPr>
        <w:lastRenderedPageBreak/>
        <w:t xml:space="preserve">objective of -310 million </w:t>
      </w:r>
      <w:proofErr w:type="spellStart"/>
      <w:r w:rsidRPr="00EE5690">
        <w:rPr>
          <w:rFonts w:cs="Arial"/>
        </w:rPr>
        <w:t>tonnes</w:t>
      </w:r>
      <w:proofErr w:type="spellEnd"/>
      <w:r w:rsidRPr="00EE5690">
        <w:rPr>
          <w:rFonts w:cs="Arial"/>
        </w:rPr>
        <w:t xml:space="preserve"> of carbon dioxide equivalents, as outlined in the proposal for a new Regulation on Land Use, Land Use Change, and Forestry (LULUCF) </w:t>
      </w:r>
      <w:r w:rsidRPr="00EE5690">
        <w:rPr>
          <w:rFonts w:cs="Arial"/>
        </w:rPr>
        <w:fldChar w:fldCharType="begin" w:fldLock="1"/>
      </w:r>
      <w:r w:rsidRPr="00EE5690">
        <w:rPr>
          <w:rFonts w:cs="Arial"/>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Kata","author":[{"dropping-particle":"","family":"European Commission","given":"","non-dropping-particle":"","parse-names":false,"suffix":""}],"container-title":"European Commission","id":"ITEM-1","issued":{"date-parts":[["2021"]]},"title":"Proposal for a Regulation of the European Parliament and of the Council amending Regulation 2018/841 on the inclusion of greenhouse gas emissions and removals from land use, land use change and forestry in the 2030 climate and energy framework, and amendi","type":"article-journal","volume":"554"},"uris":["http://www.mendeley.com/documents/?uuid=59e8ec80-cee1-4ef0-9138-1a998bdbecf0"]}],"mendeley":{"formattedCitation":"(European Commission, 2021c)","plainTextFormattedCitation":"(European Commission, 2021c)","previouslyFormattedCitation":"(European Commission, 2021c)"},"properties":{"noteIndex":0},"schema":"https://github.com/citation-style-language/schema/raw/master/csl-citation.json"}</w:instrText>
      </w:r>
      <w:r w:rsidRPr="00EE5690">
        <w:rPr>
          <w:rFonts w:cs="Arial"/>
        </w:rPr>
        <w:fldChar w:fldCharType="separate"/>
      </w:r>
      <w:r w:rsidRPr="00EE5690">
        <w:rPr>
          <w:rFonts w:cs="Arial"/>
          <w:noProof/>
        </w:rPr>
        <w:t>(European Commission, 2021c)</w:t>
      </w:r>
      <w:r w:rsidRPr="00EE5690">
        <w:rPr>
          <w:rFonts w:cs="Arial"/>
        </w:rPr>
        <w:fldChar w:fldCharType="end"/>
      </w:r>
      <w:r w:rsidRPr="00EE5690">
        <w:rPr>
          <w:rFonts w:cs="Arial"/>
        </w:rPr>
        <w:t>.</w:t>
      </w:r>
    </w:p>
    <w:p w14:paraId="3A97E8C5" w14:textId="266FE901" w:rsidR="002D6198" w:rsidRPr="00EE5690" w:rsidRDefault="000519D9" w:rsidP="005D4B20">
      <w:pPr>
        <w:pStyle w:val="MAIL11"/>
      </w:pPr>
      <w:bookmarkStart w:id="167" w:name="_Toc91752420"/>
      <w:r w:rsidRPr="00EE5690">
        <w:t>Sustainable raw wood and non-wood materials and products for a sustainable climate-neutrality</w:t>
      </w:r>
      <w:bookmarkEnd w:id="167"/>
    </w:p>
    <w:p w14:paraId="409C69E7" w14:textId="77777777" w:rsidR="000519D9" w:rsidRPr="00EE5690" w:rsidRDefault="000519D9" w:rsidP="006C7295">
      <w:pPr>
        <w:rPr>
          <w:rFonts w:cs="Arial"/>
        </w:rPr>
      </w:pPr>
      <w:r w:rsidRPr="00EE5690">
        <w:rPr>
          <w:rFonts w:cs="Arial"/>
        </w:rPr>
        <w:t xml:space="preserve">Sustainably produced and long-lived wood-based products can aid in climate neutrality by storing carbon and substituting fossil-based products, particularly through their embodied carbon, which contributes to carbon removal that would otherwise occur through biological processes </w:t>
      </w:r>
      <w:r w:rsidRPr="00EE5690">
        <w:rPr>
          <w:rFonts w:cs="Arial"/>
        </w:rPr>
        <w:fldChar w:fldCharType="begin" w:fldLock="1"/>
      </w:r>
      <w:r w:rsidRPr="00EE5690">
        <w:rPr>
          <w:rFonts w:cs="Arial"/>
        </w:rPr>
        <w:instrText>ADDIN CSL_CITATION {"citationItems":[{"id":"ITEM-1","itemData":{"DOI":"10.7312/columbia/9780231167352.003.0015","ISSN":"0035-2039","abstract":"Predicting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approach.","author":[{"dropping-particle":"","family":"European Commission","given":"","non-dropping-particle":"","parse-names":false,"suffix":""}],"container-title":"European Commission","id":"ITEM-1","issued":{"date-parts":[["2020"]]},"page":"1-20","title":"Communication from the Commission to the European Parliament, the Council, the European Economics and Social Committee and the Committee of the Regions: A new Circular Economy Action Plan For a cleaner and more competitive Europe","type":"article-journal","volume":"98 final"},"uris":["http://www.mendeley.com/documents/?uuid=b9bb4e1f-5504-41f7-8cea-c21bccf87bad"]}],"mendeley":{"formattedCitation":"(European Commission, 2020)","plainTextFormattedCitation":"(European Commission, 2020)","previouslyFormattedCitation":"(European Commission, 2020)"},"properties":{"noteIndex":0},"schema":"https://github.com/citation-style-language/schema/raw/master/csl-citation.json"}</w:instrText>
      </w:r>
      <w:r w:rsidRPr="00EE5690">
        <w:rPr>
          <w:rFonts w:cs="Arial"/>
        </w:rPr>
        <w:fldChar w:fldCharType="separate"/>
      </w:r>
      <w:r w:rsidRPr="00EE5690">
        <w:rPr>
          <w:rFonts w:cs="Arial"/>
          <w:noProof/>
        </w:rPr>
        <w:t>(European Commission, 2020)</w:t>
      </w:r>
      <w:r w:rsidRPr="00EE5690">
        <w:rPr>
          <w:rFonts w:cs="Arial"/>
        </w:rPr>
        <w:fldChar w:fldCharType="end"/>
      </w:r>
      <w:r w:rsidRPr="00EE5690">
        <w:rPr>
          <w:rFonts w:cs="Arial"/>
        </w:rPr>
        <w:t xml:space="preserve">. Trees emit carbon into the atmosphere at the time of harvest or natural death, for example, through fires, burning for energy, incineration, or natural decaying processes. When converting woody biomass into wood materials and products with a long-life cycle, the carbon removal period can be greatly extended. The LULUCF Regulation (Regulation 841/2018) ensures that Member States record and account for changes in carbon stocks in harvested wood products carbon pools, which will be reinforced under the amended rule proposed as part of the Fit-for-55 package. Harvested wood products in the EU constitute an active net carbon sink of roughly -40 MtCO2e/year, with values ranging from -18 to -43 MtCO2e/year, while also delivering climate benefits through a material substitution impact </w:t>
      </w:r>
      <w:r w:rsidRPr="00EE5690">
        <w:rPr>
          <w:rFonts w:cs="Arial"/>
        </w:rPr>
        <w:fldChar w:fldCharType="begin" w:fldLock="1"/>
      </w:r>
      <w:r w:rsidRPr="00EE5690">
        <w:rPr>
          <w:rFonts w:cs="Arial"/>
        </w:rPr>
        <w:instrText>ADDIN CSL_CITATION {"citationItems":[{"id":"ITEM-1","itemData":{"abstract":"This brief is one out of a series of Knowledge Centre for Bioeconomy's briefs which intend to provide independent evidence for EU policy in this field. 1. Assessing the role of the forest-based bioeconomy in mitigating climate change requires a “system-perspective”, considering all possible options: increasing carbon stocks (‘net sink’) in forest land and in Harvested Wood Products (HWPs), and using wood to substitute other materials or fossil fuels. 2. Reducing the harvest appears the easiest option to increase the net forest sink in the short to medium term (2030-2050). However, this option would have negative socio-economic impacts in the forest sector and would likely lead to a net forest sink saturation in the long term. 3. Increasing the harvest would make more wood available for carbon storage in HWPs and for material substitution. However, in the short to medium term, the potential additional benefits from HWPs and material substitution are unlikely to compensate for the reduction of the net forest sink associated with the increased harvest. 4. A further increase in the net annual forest increment, through forest management practices and new forest area, is necessary to reverse the current trend of declining sinks and thus align the contribution of the forest-based bioeconomy with the EU goal of climate neutrality by 2050. 5. Part of this extra increment could also increase the potential for carbon storage in HWPs and for material substitution. A shift towards greater use of wood products with longer service lives and substitution benefits can enhance their climate change mitigation benefit.6. A holistic assessment is essential to guide policies that ensure that the forest-based bioeconomy makes an effective and resilient contribution to climate change mitigation.","author":[{"dropping-particle":"","family":"Grassi","given":"G.","non-dropping-particle":"","parse-names":false,"suffix":""},{"dropping-particle":"","family":"Fiorese","given":"G.","non-dropping-particle":"","parse-names":false,"suffix":""},{"dropping-particle":"","family":"Pilli","given":"R.","non-dropping-particle":"","parse-names":false,"suffix":""},{"dropping-particle":"","family":"Jonsson","given":"K.","non-dropping-particle":"","parse-names":false,"suffix":""},{"dropping-particle":"","family":"Blujdea","given":"V.","non-dropping-particle":"","parse-names":false,"suffix":""},{"dropping-particle":"","family":"Korosuo","given":"A.","non-dropping-particle":"","parse-names":false,"suffix":""},{"dropping-particle":"","family":"Vizzarri","given":"M.","non-dropping-particle":"","parse-names":false,"suffix":""}],"id":"ITEM-1","issued":{"date-parts":[["2021"]]},"page":"1-16","title":"Brief on the role of the forest-based bioeconomy in mitigating climate change through carbon storage and material substitution","type":"article-journal"},"uris":["http://www.mendeley.com/documents/?uuid=254bb51b-90cb-4c18-9db6-17b35c7e017e"]}],"mendeley":{"formattedCitation":"(Grassi et al., 2021)","plainTextFormattedCitation":"(Grassi et al., 2021)","previouslyFormattedCitation":"(Grassi et al., 2021)"},"properties":{"noteIndex":0},"schema":"https://github.com/citation-style-language/schema/raw/master/csl-citation.json"}</w:instrText>
      </w:r>
      <w:r w:rsidRPr="00EE5690">
        <w:rPr>
          <w:rFonts w:cs="Arial"/>
        </w:rPr>
        <w:fldChar w:fldCharType="separate"/>
      </w:r>
      <w:r w:rsidRPr="00EE5690">
        <w:rPr>
          <w:rFonts w:cs="Arial"/>
          <w:noProof/>
        </w:rPr>
        <w:t>(Grassi et al., 2021)</w:t>
      </w:r>
      <w:r w:rsidRPr="00EE5690">
        <w:rPr>
          <w:rFonts w:cs="Arial"/>
        </w:rPr>
        <w:fldChar w:fldCharType="end"/>
      </w:r>
      <w:r w:rsidRPr="00EE5690">
        <w:rPr>
          <w:rFonts w:cs="Arial"/>
        </w:rPr>
        <w:t>. The longer a product lasts, the better it is for climate mitigation, which is represented in greater net removals under Member States' LULUCF reporting and accounting, as well as indirectly reported and accounted for as reduced emissions in other sectors due to substitution effects.</w:t>
      </w:r>
    </w:p>
    <w:p w14:paraId="4B979CAF" w14:textId="77777777" w:rsidR="000519D9" w:rsidRPr="00EE5690" w:rsidRDefault="000519D9" w:rsidP="006C7295">
      <w:pPr>
        <w:rPr>
          <w:rFonts w:cs="Arial"/>
        </w:rPr>
      </w:pPr>
      <w:r w:rsidRPr="00EE5690">
        <w:rPr>
          <w:rFonts w:cs="Arial"/>
        </w:rPr>
        <w:t xml:space="preserve">For forest resilience, climate adaptation, and forest multifunctionality, wood product supply should work in tandem with improving the conservation status of European and worldwide forests, as well as protecting and restoring biodiversity. Wood with high ecological value should not be utilized, and the wood-based bioeconomy should stay within sustainable bounds and be compatible with the EU's 2030 and 2050 climate and biodiversity goals. According to recent studies </w:t>
      </w:r>
      <w:r w:rsidRPr="00EE5690">
        <w:rPr>
          <w:rFonts w:cs="Arial"/>
        </w:rPr>
        <w:fldChar w:fldCharType="begin" w:fldLock="1"/>
      </w:r>
      <w:r w:rsidRPr="00EE5690">
        <w:rPr>
          <w:rFonts w:cs="Arial"/>
        </w:rPr>
        <w:instrText>ADDIN CSL_CITATION {"citationItems":[{"id":"ITEM-1","itemData":{"abstract":"This brief is one out of a series of Knowledge Centre for Bioeconomy's briefs which intend to provide independent evidence for EU policy in this field. 1. Assessing the role of the forest-based bioeconomy in mitigating climate change requires a “system-perspective”, considering all possible options: increasing carbon stocks (‘net sink’) in forest land and in Harvested Wood Products (HWPs), and using wood to substitute other materials or fossil fuels. 2. Reducing the harvest appears the easiest option to increase the net forest sink in the short to medium term (2030-2050). However, this option would have negative socio-economic impacts in the forest sector and would likely lead to a net forest sink saturation in the long term. 3. Increasing the harvest would make more wood available for carbon storage in HWPs and for material substitution. However, in the short to medium term, the potential additional benefits from HWPs and material substitution are unlikely to compensate for the reduction of the net forest sink associated with the increased harvest. 4. A further increase in the net annual forest increment, through forest management practices and new forest area, is necessary to reverse the current trend of declining sinks and thus align the contribution of the forest-based bioeconomy with the EU goal of climate neutrality by 2050. 5. Part of this extra increment could also increase the potential for carbon storage in HWPs and for material substitution. A shift towards greater use of wood products with longer service lives and substitution benefits can enhance their climate change mitigation benefit.6. A holistic assessment is essential to guide policies that ensure that the forest-based bioeconomy makes an effective and resilient contribution to climate change mitigation.","author":[{"dropping-particle":"","family":"Grassi","given":"G.","non-dropping-particle":"","parse-names":false,"suffix":""},{"dropping-particle":"","family":"Fiorese","given":"G.","non-dropping-particle":"","parse-names":false,"suffix":""},{"dropping-particle":"","family":"Pilli","given":"R.","non-dropping-particle":"","parse-names":false,"suffix":""},{"dropping-particle":"","family":"Jonsson","given":"K.","non-dropping-particle":"","parse-names":false,"suffix":""},{"dropping-particle":"","family":"Blujdea","given":"V.","non-dropping-particle":"","parse-names":false,"suffix":""},{"dropping-particle":"","family":"Korosuo","given":"A.","non-dropping-particle":"","parse-names":false,"suffix":""},{"dropping-particle":"","family":"Vizzarri","given":"M.","non-dropping-particle":"","parse-names":false,"suffix":""}],"id":"ITEM-1","issued":{"date-parts":[["2021"]]},"page":"1-16","title":"Brief on the role of the forest-based bioeconomy in mitigating climate change through carbon storage and material substitution","type":"article-journal"},"uris":["http://www.mendeley.com/documents/?uuid=254bb51b-90cb-4c18-9db6-17b35c7e017e"]}],"mendeley":{"formattedCitation":"(Grassi et al., 2021)","plainTextFormattedCitation":"(Grassi et al., 2021)","previouslyFormattedCitation":"(Grassi et al., 2021)"},"properties":{"noteIndex":0},"schema":"https://github.com/citation-style-language/schema/raw/master/csl-citation.json"}</w:instrText>
      </w:r>
      <w:r w:rsidRPr="00EE5690">
        <w:rPr>
          <w:rFonts w:cs="Arial"/>
        </w:rPr>
        <w:fldChar w:fldCharType="separate"/>
      </w:r>
      <w:r w:rsidRPr="00EE5690">
        <w:rPr>
          <w:rFonts w:cs="Arial"/>
          <w:noProof/>
        </w:rPr>
        <w:t>(Grassi et al., 2021)</w:t>
      </w:r>
      <w:r w:rsidRPr="00EE5690">
        <w:rPr>
          <w:rFonts w:cs="Arial"/>
        </w:rPr>
        <w:fldChar w:fldCharType="end"/>
      </w:r>
      <w:r w:rsidRPr="00EE5690">
        <w:rPr>
          <w:rFonts w:cs="Arial"/>
        </w:rPr>
        <w:t xml:space="preserve">, the possible additional benefits from harvested wood products and material substitution are unlikely to compensate for the loss in the net forest sink associated with increasing harvesting in the short to medium term, i.e. until 2050. Member states should be aware of this risk, which falls within their jurisdiction under applicable legislation </w:t>
      </w:r>
      <w:r w:rsidRPr="00EE5690">
        <w:rPr>
          <w:rFonts w:cs="Arial"/>
        </w:rPr>
        <w:fldChar w:fldCharType="begin" w:fldLock="1"/>
      </w:r>
      <w:r w:rsidRPr="00EE5690">
        <w:rPr>
          <w:rFonts w:cs="Arial"/>
        </w:rPr>
        <w:instrText>ADDIN CSL_CITATION {"citationItems":[{"id":"ITEM-1","itemData":{"ISBN":"9781119130536","ISSN":"1000565X","abstract":"Seiring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Kata","author":[{"dropping-particle":"","family":"European Commission","given":"","non-dropping-particle":"","parse-names":false,"suffix":""}],"id":"ITEM-1","issued":{"date-parts":[["2021"]]},"title":"New EU Forest Strategy for 2030","type":"report","volume":"572"},"uris":["http://www.mendeley.com/documents/?uuid=528fa537-971c-400a-ba61-f553eff32532"]}],"mendeley":{"formattedCitation":"(European Commission, 2021b)","plainTextFormattedCitation":"(European Commission, 2021b)","previouslyFormattedCitation":"(European Commission, 2021b)"},"properties":{"noteIndex":0},"schema":"https://github.com/citation-style-language/schema/raw/master/csl-citation.json"}</w:instrText>
      </w:r>
      <w:r w:rsidRPr="00EE5690">
        <w:rPr>
          <w:rFonts w:cs="Arial"/>
        </w:rPr>
        <w:fldChar w:fldCharType="separate"/>
      </w:r>
      <w:r w:rsidRPr="00EE5690">
        <w:rPr>
          <w:rFonts w:cs="Arial"/>
          <w:noProof/>
        </w:rPr>
        <w:t>(European Commission, 2021b)</w:t>
      </w:r>
      <w:r w:rsidRPr="00EE5690">
        <w:rPr>
          <w:rFonts w:cs="Arial"/>
        </w:rPr>
        <w:fldChar w:fldCharType="end"/>
      </w:r>
      <w:r w:rsidRPr="00EE5690">
        <w:rPr>
          <w:rFonts w:cs="Arial"/>
        </w:rPr>
        <w:t>.</w:t>
      </w:r>
    </w:p>
    <w:p w14:paraId="1262B048" w14:textId="77777777" w:rsidR="000519D9" w:rsidRPr="00EE5690" w:rsidRDefault="000519D9" w:rsidP="006C7295">
      <w:pPr>
        <w:rPr>
          <w:rFonts w:cs="Arial"/>
        </w:rPr>
      </w:pPr>
      <w:r w:rsidRPr="00EE5690">
        <w:rPr>
          <w:rFonts w:cs="Arial"/>
        </w:rPr>
        <w:lastRenderedPageBreak/>
        <w:t xml:space="preserve">Forests provide </w:t>
      </w:r>
      <w:proofErr w:type="gramStart"/>
      <w:r w:rsidRPr="00EE5690">
        <w:rPr>
          <w:rFonts w:cs="Arial"/>
        </w:rPr>
        <w:t>a number of</w:t>
      </w:r>
      <w:proofErr w:type="gramEnd"/>
      <w:r w:rsidRPr="00EE5690">
        <w:rPr>
          <w:rFonts w:cs="Arial"/>
        </w:rPr>
        <w:t xml:space="preserve"> equally vital secondary products and services, ranging from food to ecotourism, that support the economies and social fabric of rural regions in addition to the wood-based economy. The annual value of all harvested non-wood products in Europe is estimated to be EUR 19.5 billion. This equals approximately to EUR 77,80 per hectare per year. Moreover, 86% of forest products gathered are for personal consumption </w:t>
      </w:r>
      <w:r w:rsidRPr="00EE5690">
        <w:rPr>
          <w:rFonts w:cs="Arial"/>
        </w:rPr>
        <w:fldChar w:fldCharType="begin" w:fldLock="1"/>
      </w:r>
      <w:r w:rsidRPr="00EE5690">
        <w:rPr>
          <w:rFonts w:cs="Arial"/>
        </w:rPr>
        <w:instrText>ADDIN CSL_CITATION {"citationItems":[{"id":"ITEM-1","itemData":{"DOI":"10.1016/j.forpol.2020.102175","ISSN":"13899341","abstract":"Mushrooms, berries and other Non-Wood Forest Products (NWFPs) are an important part of forest recreation, rural income and of cultural heritage. Due to poor data on their collection and use, they are often ignored in forest policy and management decisions, which could impair those livelihoods that depend on NWFPs as an income source. We conducted a survey involving 17,346 respondents from 28 European countries to estimate which and how much of these products are collected. Our results show that 26% of European households collect NWFPs and that collection rates and quantities increase from Western to Eastern Europe. Previous studies focused mainly on marketed NWFPs, but our findings suggest that marketed NWFPs represent only a small share and that 86% of the collected weight is self-consumed. The total value of NWFPs collected each year amounts to 71% of the value of annual roundwood production, much more than previously estimated. Our results point to the need to consider co-production of wood and NWFPs, especially in Central Europe where their value per hectare is the highest.","author":[{"dropping-particle":"","family":"Lovrić","given":"Marko","non-dropping-particle":"","parse-names":false,"suffix":""},{"dropping-particle":"","family":"Re","given":"Riccardo","non-dropping-particle":"Da","parse-names":false,"suffix":""},{"dropping-particle":"","family":"Vidale","given":"Enrico","non-dropping-particle":"","parse-names":false,"suffix":""},{"dropping-particle":"","family":"Prokofieva","given":"Irina","non-dropping-particle":"","parse-names":false,"suffix":""},{"dropping-particle":"","family":"Wong","given":"Jennifer","non-dropping-particle":"","parse-names":false,"suffix":""},{"dropping-particle":"","family":"Pettenella","given":"Davide","non-dropping-particle":"","parse-names":false,"suffix":""},{"dropping-particle":"","family":"Verkerk","given":"Pieter Johannes","non-dropping-particle":"","parse-names":false,"suffix":""},{"dropping-particle":"","family":"Mavsar","given":"Robert","non-dropping-particle":"","parse-names":false,"suffix":""}],"container-title":"Forest Policy and Economics","id":"ITEM-1","issue":"April","issued":{"date-parts":[["2020"]]},"title":"Non-wood forest products in Europe – A quantitative overview","type":"article-journal","volume":"116"},"uris":["http://www.mendeley.com/documents/?uuid=24307636-37bd-4bda-991c-690d26f700c1"]}],"mendeley":{"formattedCitation":"(Lovrić et al., 2020)","plainTextFormattedCitation":"(Lovrić et al., 2020)","previouslyFormattedCitation":"(Lovrić et al., 2020)"},"properties":{"noteIndex":0},"schema":"https://github.com/citation-style-language/schema/raw/master/csl-citation.json"}</w:instrText>
      </w:r>
      <w:r w:rsidRPr="00EE5690">
        <w:rPr>
          <w:rFonts w:cs="Arial"/>
        </w:rPr>
        <w:fldChar w:fldCharType="separate"/>
      </w:r>
      <w:r w:rsidRPr="00EE5690">
        <w:rPr>
          <w:rFonts w:cs="Arial"/>
          <w:noProof/>
        </w:rPr>
        <w:t>(Lovrić et al., 2020)</w:t>
      </w:r>
      <w:r w:rsidRPr="00EE5690">
        <w:rPr>
          <w:rFonts w:cs="Arial"/>
        </w:rPr>
        <w:fldChar w:fldCharType="end"/>
      </w:r>
      <w:r w:rsidRPr="00EE5690">
        <w:rPr>
          <w:rFonts w:cs="Arial"/>
        </w:rPr>
        <w:t xml:space="preserve">. The EU Forest Strategy acknowledges and aims to strengthen the overall sustainable forest bioeconomy </w:t>
      </w:r>
      <w:proofErr w:type="gramStart"/>
      <w:r w:rsidRPr="00EE5690">
        <w:rPr>
          <w:rFonts w:cs="Arial"/>
        </w:rPr>
        <w:t>in order to</w:t>
      </w:r>
      <w:proofErr w:type="gramEnd"/>
      <w:r w:rsidRPr="00EE5690">
        <w:rPr>
          <w:rFonts w:cs="Arial"/>
        </w:rPr>
        <w:t xml:space="preserve"> support the EU's increasing climate and biodiversity goals.</w:t>
      </w:r>
    </w:p>
    <w:p w14:paraId="4133F10D" w14:textId="52FA2915" w:rsidR="000519D9" w:rsidRPr="00EE5690" w:rsidRDefault="000519D9" w:rsidP="005D4B20">
      <w:pPr>
        <w:pStyle w:val="MAIL11"/>
      </w:pPr>
      <w:bookmarkStart w:id="168" w:name="_Toc91752421"/>
      <w:r w:rsidRPr="00EE5690">
        <w:t>Skills development and empowerment for a sustainable forest-based bioeconomy</w:t>
      </w:r>
      <w:bookmarkEnd w:id="168"/>
    </w:p>
    <w:p w14:paraId="2682A7E6" w14:textId="77777777" w:rsidR="000519D9" w:rsidRPr="00EE5690" w:rsidRDefault="000519D9" w:rsidP="006C7295">
      <w:pPr>
        <w:rPr>
          <w:rFonts w:cs="Arial"/>
        </w:rPr>
      </w:pPr>
      <w:r w:rsidRPr="00EE5690">
        <w:rPr>
          <w:rFonts w:cs="Arial"/>
        </w:rPr>
        <w:t>People with a wide range of expertise are behind the delivery of the many services that forests provide. Experts in enhanced sustainable forest management practices, including adaptive reforestation and afforestation and restoration, architects, engineers and designers, food experts, data specialists, chemists, and ecotourism facilitators will be required to play an increasingly multifunctional role in the transition to a sustainable and climate neutral future.</w:t>
      </w:r>
    </w:p>
    <w:p w14:paraId="7D6FF13A" w14:textId="77777777" w:rsidR="000519D9" w:rsidRPr="00EE5690" w:rsidRDefault="000519D9" w:rsidP="006C7295">
      <w:pPr>
        <w:rPr>
          <w:rFonts w:cs="Arial"/>
        </w:rPr>
      </w:pPr>
      <w:r w:rsidRPr="00EE5690">
        <w:rPr>
          <w:rFonts w:cs="Arial"/>
        </w:rPr>
        <w:t xml:space="preserve">The case for nature-based tourism has a lot of room for expansion. COVID-19 has had a particularly negative impact on the European tourism business, but the pandemic has also stimulated demand for proximity-based tourism and less congested locations in nature and the open air. The growing trend of nature tourism and nature-based wellbeing services offers an opportunity to accelerate the green transition of the tourism sector, provide significant income opportunities in rural areas, and improve rural welfare, while also promoting biodiversity conservation and carbon stock preservation, </w:t>
      </w:r>
      <w:proofErr w:type="gramStart"/>
      <w:r w:rsidRPr="00EE5690">
        <w:rPr>
          <w:rFonts w:cs="Arial"/>
        </w:rPr>
        <w:t>as long as</w:t>
      </w:r>
      <w:proofErr w:type="gramEnd"/>
      <w:r w:rsidRPr="00EE5690">
        <w:rPr>
          <w:rFonts w:cs="Arial"/>
        </w:rPr>
        <w:t xml:space="preserve"> it adheres to environmental carrying capacity and relevant legislation. The Commission will foster collaboration between the tourism sector, forest owners, and environment protection services, as well as rules and regulations for eco-tourism activities, </w:t>
      </w:r>
      <w:proofErr w:type="gramStart"/>
      <w:r w:rsidRPr="00EE5690">
        <w:rPr>
          <w:rFonts w:cs="Arial"/>
        </w:rPr>
        <w:t>in order to</w:t>
      </w:r>
      <w:proofErr w:type="gramEnd"/>
      <w:r w:rsidRPr="00EE5690">
        <w:rPr>
          <w:rFonts w:cs="Arial"/>
        </w:rPr>
        <w:t xml:space="preserve"> increase EU forest ecotourism. The tourism sector should collaborate closely with forest management to develop sustainable tourism products that benefit human health while minimizing negative impacts on the natural values of the destinations, particularly in protected areas </w:t>
      </w:r>
      <w:r w:rsidRPr="00EE5690">
        <w:rPr>
          <w:rFonts w:cs="Arial"/>
        </w:rPr>
        <w:fldChar w:fldCharType="begin" w:fldLock="1"/>
      </w:r>
      <w:r w:rsidRPr="00EE5690">
        <w:rPr>
          <w:rFonts w:cs="Arial"/>
        </w:rPr>
        <w:instrText>ADDIN CSL_CITATION {"citationItems":[{"id":"ITEM-1","itemData":{"ISBN":"9781119130536","ISSN":"1000565X","abstract":"Seiring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Kata","author":[{"dropping-particle":"","family":"European Commission","given":"","non-dropping-particle":"","parse-names":false,"suffix":""}],"id":"ITEM-1","issued":{"date-parts":[["2021"]]},"title":"New EU Forest Strategy for 2030","type":"report","volume":"572"},"uris":["http://www.mendeley.com/documents/?uuid=528fa537-971c-400a-ba61-f553eff32532"]}],"mendeley":{"formattedCitation":"(European Commission, 2021b)","plainTextFormattedCitation":"(European Commission, 2021b)","previouslyFormattedCitation":"(European Commission, 2021b)"},"properties":{"noteIndex":0},"schema":"https://github.com/citation-style-language/schema/raw/master/csl-citation.json"}</w:instrText>
      </w:r>
      <w:r w:rsidRPr="00EE5690">
        <w:rPr>
          <w:rFonts w:cs="Arial"/>
        </w:rPr>
        <w:fldChar w:fldCharType="separate"/>
      </w:r>
      <w:r w:rsidRPr="00EE5690">
        <w:rPr>
          <w:rFonts w:cs="Arial"/>
          <w:noProof/>
        </w:rPr>
        <w:t>(European Commission, 2021b)</w:t>
      </w:r>
      <w:r w:rsidRPr="00EE5690">
        <w:rPr>
          <w:rFonts w:cs="Arial"/>
        </w:rPr>
        <w:fldChar w:fldCharType="end"/>
      </w:r>
      <w:r w:rsidRPr="00EE5690">
        <w:rPr>
          <w:rFonts w:cs="Arial"/>
        </w:rPr>
        <w:t>.</w:t>
      </w:r>
    </w:p>
    <w:p w14:paraId="4A8633A2" w14:textId="3C3BF1C7" w:rsidR="000519D9" w:rsidRPr="00EE5690" w:rsidRDefault="000519D9" w:rsidP="006C7295">
      <w:pPr>
        <w:rPr>
          <w:rFonts w:cs="Arial"/>
        </w:rPr>
      </w:pPr>
      <w:r w:rsidRPr="00EE5690">
        <w:rPr>
          <w:rFonts w:cs="Arial"/>
        </w:rPr>
        <w:t xml:space="preserve">The Commission will also encourage forestry stakeholders to sign up for the </w:t>
      </w:r>
      <w:hyperlink r:id="rId63" w:history="1">
        <w:r w:rsidRPr="00EE5690">
          <w:rPr>
            <w:rStyle w:val="Hyperlink"/>
            <w:rFonts w:cs="Arial"/>
          </w:rPr>
          <w:t>Pact for Skills</w:t>
        </w:r>
      </w:hyperlink>
      <w:r w:rsidRPr="00EE5690">
        <w:rPr>
          <w:rFonts w:cs="Arial"/>
        </w:rPr>
        <w:t xml:space="preserve"> (European </w:t>
      </w:r>
      <w:proofErr w:type="spellStart"/>
      <w:r w:rsidRPr="00EE5690">
        <w:rPr>
          <w:rFonts w:cs="Arial"/>
        </w:rPr>
        <w:t>Commision</w:t>
      </w:r>
      <w:proofErr w:type="spellEnd"/>
      <w:r w:rsidRPr="00EE5690">
        <w:rPr>
          <w:rFonts w:cs="Arial"/>
        </w:rPr>
        <w:t xml:space="preserve">, 2021). The goal of the Pact is to mobilize and incentivize commercial and public sector stakeholders to </w:t>
      </w:r>
      <w:proofErr w:type="gramStart"/>
      <w:r w:rsidRPr="00EE5690">
        <w:rPr>
          <w:rFonts w:cs="Arial"/>
        </w:rPr>
        <w:t>take action</w:t>
      </w:r>
      <w:proofErr w:type="gramEnd"/>
      <w:r w:rsidRPr="00EE5690">
        <w:rPr>
          <w:rFonts w:cs="Arial"/>
        </w:rPr>
        <w:t xml:space="preserve">. Commitments from relevant </w:t>
      </w:r>
      <w:r w:rsidRPr="00EE5690">
        <w:rPr>
          <w:rFonts w:cs="Arial"/>
        </w:rPr>
        <w:lastRenderedPageBreak/>
        <w:t xml:space="preserve">forestry stakeholders, both public and private, to upskill and reskill people for the forestry sector could take a variety of forms, including large-scale collaborations, regional/local partnerships, tripartite agreements, or single-entity commitments. Under the Pact, forest and forestry stakeholders would collaborate to adapt forester education and training to the problems and needs of today's realities. Apprenticeships, especially job-based learning, are critical for attracting young people to the forest bioeconomy and equipping them with the skills they need to work in a sustainable forest bioeconomy. The Commission will continue to foster cooperation and connect learners, students, teachers, and stakeholders on the role of forests, particularly the benefits of outdoor learning, through the </w:t>
      </w:r>
      <w:hyperlink r:id="rId64" w:history="1">
        <w:r w:rsidRPr="00EE5690">
          <w:rPr>
            <w:rStyle w:val="Hyperlink"/>
            <w:rFonts w:cs="Arial"/>
          </w:rPr>
          <w:t>Education for Climate Coalition</w:t>
        </w:r>
      </w:hyperlink>
      <w:r w:rsidRPr="00EE5690">
        <w:rPr>
          <w:rFonts w:cs="Arial"/>
        </w:rPr>
        <w:t>.</w:t>
      </w:r>
    </w:p>
    <w:p w14:paraId="7D1DE141" w14:textId="223302F6" w:rsidR="000519D9" w:rsidRPr="00EE5690" w:rsidRDefault="000519D9" w:rsidP="005D4B20">
      <w:pPr>
        <w:pStyle w:val="MAIL11"/>
      </w:pPr>
      <w:bookmarkStart w:id="169" w:name="_Toc91752422"/>
      <w:r w:rsidRPr="00EE5690">
        <w:t xml:space="preserve">Protecting, </w:t>
      </w:r>
      <w:proofErr w:type="gramStart"/>
      <w:r w:rsidRPr="00EE5690">
        <w:t>restoring</w:t>
      </w:r>
      <w:proofErr w:type="gramEnd"/>
      <w:r w:rsidRPr="00EE5690">
        <w:t xml:space="preserve"> and enlarging EU’s forests to combat climate change</w:t>
      </w:r>
      <w:bookmarkEnd w:id="169"/>
    </w:p>
    <w:p w14:paraId="356F261F" w14:textId="77777777" w:rsidR="000519D9" w:rsidRPr="00EE5690" w:rsidRDefault="000519D9" w:rsidP="006C7295">
      <w:pPr>
        <w:rPr>
          <w:rFonts w:cs="Arial"/>
        </w:rPr>
      </w:pPr>
      <w:r w:rsidRPr="00EE5690">
        <w:rPr>
          <w:rFonts w:cs="Arial"/>
        </w:rPr>
        <w:t xml:space="preserve">Adaptive forest restoration and ecosystem-based management techniques that increase the resilience of EU forests are urgently needed </w:t>
      </w:r>
      <w:proofErr w:type="gramStart"/>
      <w:r w:rsidRPr="00EE5690">
        <w:rPr>
          <w:rFonts w:cs="Arial"/>
        </w:rPr>
        <w:t>in light of</w:t>
      </w:r>
      <w:proofErr w:type="gramEnd"/>
      <w:r w:rsidRPr="00EE5690">
        <w:rPr>
          <w:rFonts w:cs="Arial"/>
        </w:rPr>
        <w:t xml:space="preserve"> climate change and biodiversity loss. This is a must for forests to continue to fulfil their socioeconomic and environmental duties for future generations, as well as to support a thriving forest-based bioeconomy for decades. But it's also about avoiding rising socioeconomic costs from forest disasters, protecting people, land, and homes from floods, fires, and landslides, and preserving the carbon stock and sink function, as well as other ecosystem services provided by forests that are essential for human health and well-being, such as clean air, water regulation, and habitat for the diverse living species they support.</w:t>
      </w:r>
    </w:p>
    <w:p w14:paraId="041631D5" w14:textId="77777777" w:rsidR="000519D9" w:rsidRPr="00EE5690" w:rsidRDefault="000519D9" w:rsidP="006C7295">
      <w:pPr>
        <w:rPr>
          <w:rFonts w:cs="Arial"/>
        </w:rPr>
      </w:pPr>
      <w:r w:rsidRPr="00EE5690">
        <w:rPr>
          <w:rFonts w:cs="Arial"/>
        </w:rPr>
        <w:t xml:space="preserve">To promote forest resilience and adaptability, forest biodiversity must be protected and restored, and biodiversity-friendly forest management methods must be used. If forest owners and managers are adequately supported during the transition, this is also a wonderful economic opportunity. Forest protection, restoration, and sustainable management, according to the World Economic Forum, may produce EUR 190 billion in economic prospects and 16 million employments globally by 2030 </w:t>
      </w:r>
      <w:r w:rsidRPr="00EE5690">
        <w:rPr>
          <w:rFonts w:cs="Arial"/>
        </w:rPr>
        <w:fldChar w:fldCharType="begin" w:fldLock="1"/>
      </w:r>
      <w:r w:rsidRPr="00EE5690">
        <w:rPr>
          <w:rFonts w:cs="Arial"/>
        </w:rPr>
        <w:instrText>ADDIN CSL_CITATION {"citationItems":[{"id":"ITEM-1","itemData":{"URL":"https://www.weforum.org/press/2020/08/us-businesses-governments-and-non-profits-join-global-push-for-1-trillion-trees/","author":[{"dropping-particle":"","family":"Max Hall Public Engagement","given":"","non-dropping-particle":"","parse-names":false,"suffix":""},{"dropping-particle":"","family":"Russo","given":"Amanda","non-dropping-particle":"","parse-names":false,"suffix":""}],"container-title":"World Economic Forum","id":"ITEM-1","issued":{"date-parts":[["2020"]]},"title":"US Businesses, Governments and Non-Profits Join Global Push for 1 Trillion Trees","type":"webpage"},"uris":["http://www.mendeley.com/documents/?uuid=63d38ec9-373a-4dc5-8ddc-ae37883aea06"]}],"mendeley":{"formattedCitation":"(Max Hall Public Engagement &amp; Russo, 2020)","plainTextFormattedCitation":"(Max Hall Public Engagement &amp; Russo, 2020)","previouslyFormattedCitation":"(Max Hall Public Engagement &amp; Russo, 2020)"},"properties":{"noteIndex":0},"schema":"https://github.com/citation-style-language/schema/raw/master/csl-citation.json"}</w:instrText>
      </w:r>
      <w:r w:rsidRPr="00EE5690">
        <w:rPr>
          <w:rFonts w:cs="Arial"/>
        </w:rPr>
        <w:fldChar w:fldCharType="separate"/>
      </w:r>
      <w:r w:rsidRPr="00EE5690">
        <w:rPr>
          <w:rFonts w:cs="Arial"/>
          <w:noProof/>
        </w:rPr>
        <w:t>(Max Hall Public Engagement &amp; Russo, 2020)</w:t>
      </w:r>
      <w:r w:rsidRPr="00EE5690">
        <w:rPr>
          <w:rFonts w:cs="Arial"/>
        </w:rPr>
        <w:fldChar w:fldCharType="end"/>
      </w:r>
      <w:r w:rsidRPr="00EE5690">
        <w:rPr>
          <w:rFonts w:cs="Arial"/>
        </w:rPr>
        <w:t>.</w:t>
      </w:r>
    </w:p>
    <w:p w14:paraId="62825F31" w14:textId="0AA59995" w:rsidR="000519D9" w:rsidRPr="00EE5690" w:rsidRDefault="000519D9" w:rsidP="006C7295">
      <w:pPr>
        <w:rPr>
          <w:rFonts w:cs="Arial"/>
        </w:rPr>
      </w:pPr>
      <w:r w:rsidRPr="00EE5690">
        <w:rPr>
          <w:rFonts w:cs="Arial"/>
        </w:rPr>
        <w:t xml:space="preserve">Furthermore, in the face of enormous uncertainty about the future of forests, it is required comprehensive risk-reduction strategies. Forest change is a result of climate change. The vegetation zones of Europe have begun to migrate higher and northwards, causing forest ecosystems to change in most areas. This suggests that only a small percentage of forests will be unaffected by climate change or will not require rapid treatment to lessen </w:t>
      </w:r>
      <w:r w:rsidRPr="00EE5690">
        <w:rPr>
          <w:rFonts w:cs="Arial"/>
        </w:rPr>
        <w:lastRenderedPageBreak/>
        <w:t xml:space="preserve">their sensitivity to climate change. Forest owners and managers all around Europe are </w:t>
      </w:r>
      <w:proofErr w:type="gramStart"/>
      <w:r w:rsidRPr="00EE5690">
        <w:rPr>
          <w:rFonts w:cs="Arial"/>
        </w:rPr>
        <w:t>well aware</w:t>
      </w:r>
      <w:proofErr w:type="gramEnd"/>
      <w:r w:rsidRPr="00EE5690">
        <w:rPr>
          <w:rFonts w:cs="Arial"/>
        </w:rPr>
        <w:t xml:space="preserve"> of climate change and concerned about its consequences. This awareness must be turned into sufficient and practical adaptation activities and resilience-enhancing forest management practices on a more regular basis. Technical expertise and information, as well as appropriate regulatory and financial incentives and support, must be generated </w:t>
      </w:r>
      <w:proofErr w:type="gramStart"/>
      <w:r w:rsidRPr="00EE5690">
        <w:rPr>
          <w:rFonts w:cs="Arial"/>
        </w:rPr>
        <w:t>in order to</w:t>
      </w:r>
      <w:proofErr w:type="gramEnd"/>
      <w:r w:rsidRPr="00EE5690">
        <w:rPr>
          <w:rFonts w:cs="Arial"/>
        </w:rPr>
        <w:t xml:space="preserve"> accomplish this. This Strategy intends to address these concerns by assisting forest owners and managers in their efforts, scaling up best practices, and ensuring a long-term increase in the amount and quality of the EU's forest cover</w:t>
      </w:r>
      <w:r w:rsidR="00DA42C0" w:rsidRPr="00EE5690">
        <w:rPr>
          <w:rFonts w:cs="Arial"/>
        </w:rPr>
        <w:t xml:space="preserve"> </w:t>
      </w:r>
      <w:r w:rsidRPr="00EE5690">
        <w:rPr>
          <w:rFonts w:cs="Arial"/>
        </w:rPr>
        <w:fldChar w:fldCharType="begin" w:fldLock="1"/>
      </w:r>
      <w:r w:rsidRPr="00EE5690">
        <w:rPr>
          <w:rFonts w:cs="Arial"/>
        </w:rPr>
        <w:instrText>ADDIN CSL_CITATION {"citationItems":[{"id":"ITEM-1","itemData":{"ISBN":"9781119130536","ISSN":"1000565X","abstract":"Seiring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Kata","author":[{"dropping-particle":"","family":"European Commission","given":"","non-dropping-particle":"","parse-names":false,"suffix":""}],"id":"ITEM-1","issued":{"date-parts":[["2021"]]},"title":"New EU Forest Strategy for 2030","type":"report","volume":"572"},"uris":["http://www.mendeley.com/documents/?uuid=528fa537-971c-400a-ba61-f553eff32532"]}],"mendeley":{"formattedCitation":"(European Commission, 2021b)","plainTextFormattedCitation":"(European Commission, 2021b)","previouslyFormattedCitation":"(European Commission, 2021b)"},"properties":{"noteIndex":0},"schema":"https://github.com/citation-style-language/schema/raw/master/csl-citation.json"}</w:instrText>
      </w:r>
      <w:r w:rsidRPr="00EE5690">
        <w:rPr>
          <w:rFonts w:cs="Arial"/>
        </w:rPr>
        <w:fldChar w:fldCharType="separate"/>
      </w:r>
      <w:r w:rsidRPr="00EE5690">
        <w:rPr>
          <w:rFonts w:cs="Arial"/>
          <w:noProof/>
        </w:rPr>
        <w:t>(European Commission, 2021b)</w:t>
      </w:r>
      <w:r w:rsidRPr="00EE5690">
        <w:rPr>
          <w:rFonts w:cs="Arial"/>
        </w:rPr>
        <w:fldChar w:fldCharType="end"/>
      </w:r>
      <w:r w:rsidRPr="00EE5690">
        <w:rPr>
          <w:rFonts w:cs="Arial"/>
        </w:rPr>
        <w:t>.</w:t>
      </w:r>
    </w:p>
    <w:p w14:paraId="1CB5BECA" w14:textId="705053DD" w:rsidR="000519D9" w:rsidRPr="00EE5690" w:rsidRDefault="000519D9" w:rsidP="005D4B20">
      <w:pPr>
        <w:pStyle w:val="MAIL11"/>
      </w:pPr>
      <w:bookmarkStart w:id="170" w:name="_Toc91752423"/>
      <w:r w:rsidRPr="00EE5690">
        <w:t>Afforestation and reforestation of biodiverse forests</w:t>
      </w:r>
      <w:bookmarkEnd w:id="170"/>
    </w:p>
    <w:p w14:paraId="46CD8F0C" w14:textId="5DE94404" w:rsidR="000519D9" w:rsidRPr="00EE5690" w:rsidRDefault="000519D9" w:rsidP="006C7295">
      <w:pPr>
        <w:rPr>
          <w:rFonts w:cs="Arial"/>
        </w:rPr>
      </w:pPr>
      <w:r w:rsidRPr="00EE5690">
        <w:rPr>
          <w:rFonts w:cs="Arial"/>
        </w:rPr>
        <w:t xml:space="preserve">The main force driving the expansion of forested areas in EU is spontaneous forest regrowth through natural succession, which is largely related with the abandonment of agricultural and rural areas. However, </w:t>
      </w:r>
      <w:proofErr w:type="gramStart"/>
      <w:r w:rsidRPr="00EE5690">
        <w:rPr>
          <w:rFonts w:cs="Arial"/>
        </w:rPr>
        <w:t>active</w:t>
      </w:r>
      <w:proofErr w:type="gramEnd"/>
      <w:r w:rsidRPr="00EE5690">
        <w:rPr>
          <w:rFonts w:cs="Arial"/>
        </w:rPr>
        <w:t xml:space="preserve"> and sustainable reforestation and afforestation, as well as tree planting, have the potential to increase forest and tree coverage throughout the EU. Enhancing afforestation is also one of the most effective climate change and disaster risk mitigation strategies in the forest sector, and it has the potential to offer substantial job opportunities.</w:t>
      </w:r>
    </w:p>
    <w:p w14:paraId="56F58CFC" w14:textId="20DBCAC8" w:rsidR="000519D9" w:rsidRPr="00EE5690" w:rsidRDefault="000519D9" w:rsidP="006C7295">
      <w:pPr>
        <w:rPr>
          <w:rFonts w:cs="Arial"/>
        </w:rPr>
      </w:pPr>
      <w:r w:rsidRPr="00EE5690">
        <w:rPr>
          <w:rFonts w:cs="Arial"/>
        </w:rPr>
        <w:t>Forests created by reforestation and afforestation can improve the terrestrial carbon sink, decreasing CO</w:t>
      </w:r>
      <w:r w:rsidRPr="007E4FDC">
        <w:rPr>
          <w:rFonts w:cs="Arial"/>
          <w:vertAlign w:val="subscript"/>
        </w:rPr>
        <w:t>2</w:t>
      </w:r>
      <w:r w:rsidRPr="00EE5690">
        <w:rPr>
          <w:rFonts w:cs="Arial"/>
        </w:rPr>
        <w:t xml:space="preserve"> accumulation in the atmosphere. The potential quantity of carbon uptake by newly planted trees, on the other hand, is a highly debated question. Although land and water needs are generally substantial, reforestation and afforestation compare </w:t>
      </w:r>
      <w:r w:rsidR="00C31E05" w:rsidRPr="00EE5690">
        <w:rPr>
          <w:rFonts w:cs="Arial"/>
        </w:rPr>
        <w:t>favorably</w:t>
      </w:r>
      <w:r w:rsidRPr="00EE5690">
        <w:rPr>
          <w:rFonts w:cs="Arial"/>
        </w:rPr>
        <w:t xml:space="preserve"> to other negative emissions technologies in terms of carbon absorption potential </w:t>
      </w:r>
      <w:r w:rsidRPr="00EE5690">
        <w:rPr>
          <w:rFonts w:cs="Arial"/>
        </w:rPr>
        <w:fldChar w:fldCharType="begin" w:fldLock="1"/>
      </w:r>
      <w:r w:rsidRPr="00EE5690">
        <w:rPr>
          <w:rFonts w:cs="Arial"/>
        </w:rPr>
        <w:instrText>ADDIN CSL_CITATION {"citationItems":[{"id":"ITEM-1","itemData":{"DOI":"10.1038/nclimate2870","ISSN":"17586798","abstract":"To have a &gt;50% chance of limiting warming below 2 °C, most recent scenarios from integrated assessment models (IAMs) require large-scale deployment of negative emissions technologies (NETs). These are technologies that result in the net removal of greenhouse gases from the atmosphere. We quantify potential global impacts of the different NETs on various factors (such as land, greenhouse gas emissions, water, albedo, nutrients and energy) to determine the biophysical limits to, and economic costs of, their widespread application. Resource implications vary between technologies and need to be satisfactorily addressed if NETs are to have a significant role in achieving climate goals.","author":[{"dropping-particle":"","family":"Smith","given":"Pete","non-dropping-particle":"","parse-names":false,"suffix":""},{"dropping-particle":"","family":"Davis","given":"Steven J.","non-dropping-particle":"","parse-names":false,"suffix":""},{"dropping-particle":"","family":"Creutzig","given":"Felix","non-dropping-particle":"","parse-names":false,"suffix":""},{"dropping-particle":"","family":"Fuss","given":"Sabine","non-dropping-particle":"","parse-names":false,"suffix":""},{"dropping-particle":"","family":"Minx","given":"Jan","non-dropping-particle":"","parse-names":false,"suffix":""},{"dropping-particle":"","family":"Gabrielle","given":"Benoit","non-dropping-particle":"","parse-names":false,"suffix":""},{"dropping-particle":"","family":"Kato","given":"Etsushi","non-dropping-particle":"","parse-names":false,"suffix":""},{"dropping-particle":"","family":"Jackson","given":"Robert B.","non-dropping-particle":"","parse-names":false,"suffix":""},{"dropping-particle":"","family":"Cowie","given":"Annette","non-dropping-particle":"","parse-names":false,"suffix":""},{"dropping-particle":"","family":"Kriegler","given":"Elmar","non-dropping-particle":"","parse-names":false,"suffix":""},{"dropping-particle":"","family":"Vuuren","given":"Detlef P.","non-dropping-particle":"Van","parse-names":false,"suffix":""},{"dropping-particle":"","family":"Rogelj","given":"Joeri","non-dropping-particle":"","parse-names":false,"suffix":""},{"dropping-particle":"","family":"Ciais","given":"Philippe","non-dropping-particle":"","parse-names":false,"suffix":""},{"dropping-particle":"","family":"Milne","given":"Jennifer","non-dropping-particle":"","parse-names":false,"suffix":""},{"dropping-particle":"","family":"Canadell","given":"Josep G.","non-dropping-particle":"","parse-names":false,"suffix":""},{"dropping-particle":"","family":"McCollum","given":"David","non-dropping-particle":"","parse-names":false,"suffix":""},{"dropping-particle":"","family":"Peters","given":"Glen","non-dropping-particle":"","parse-names":false,"suffix":""},{"dropping-particle":"","family":"Andrew","given":"Robbie","non-dropping-particle":"","parse-names":false,"suffix":""},{"dropping-particle":"","family":"Krey","given":"Volker","non-dropping-particle":"","parse-names":false,"suffix":""},{"dropping-particle":"","family":"Shrestha","given":"Gyami","non-dropping-particle":"","parse-names":false,"suffix":""},{"dropping-particle":"","family":"Friedlingstein","given":"Pierre","non-dropping-particle":"","parse-names":false,"suffix":""},{"dropping-particle":"","family":"Gasser","given":"Thomas","non-dropping-particle":"","parse-names":false,"suffix":""},{"dropping-particle":"","family":"Grübler","given":"Arnulf","non-dropping-particle":"","parse-names":false,"suffix":""},{"dropping-particle":"","family":"Heidug","given":"Wolfgang K.","non-dropping-particle":"","parse-names":false,"suffix":""},{"dropping-particle":"","family":"Jonas","given":"Matthias","non-dropping-particle":"","parse-names":false,"suffix":""},{"dropping-particle":"","family":"Jones","given":"Chris D.","non-dropping-particle":"","parse-names":false,"suffix":""},{"dropping-particle":"","family":"Kraxner","given":"Florian","non-dropping-particle":"","parse-names":false,"suffix":""},{"dropping-particle":"","family":"Littleton","given":"Emma","non-dropping-particle":"","parse-names":false,"suffix":""},{"dropping-particle":"","family":"Lowe","given":"Jason","non-dropping-particle":"","parse-names":false,"suffix":""},{"dropping-particle":"","family":"Moreira","given":"José Roberto","non-dropping-particle":"","parse-names":false,"suffix":""},{"dropping-particle":"","family":"Nakicenovic","given":"Nebojsa","non-dropping-particle":"","parse-names":false,"suffix":""},{"dropping-particle":"","family":"Obersteiner","given":"Michael","non-dropping-particle":"","parse-names":false,"suffix":""},{"dropping-particle":"","family":"Patwardhan","given":"Anand","non-dropping-particle":"","parse-names":false,"suffix":""},{"dropping-particle":"","family":"Rogner","given":"Mathis","non-dropping-particle":"","parse-names":false,"suffix":""},{"dropping-particle":"","family":"Rubin","given":"Ed","non-dropping-particle":"","parse-names":false,"suffix":""},{"dropping-particle":"","family":"Sharifi","given":"Ayyoob","non-dropping-particle":"","parse-names":false,"suffix":""},{"dropping-particle":"","family":"Torvanger","given":"Asbjørn","non-dropping-particle":"","parse-names":false,"suffix":""},{"dropping-particle":"","family":"Yamagata","given":"Yoshiki","non-dropping-particle":"","parse-names":false,"suffix":""},{"dropping-particle":"","family":"Edmonds","given":"Jae","non-dropping-particle":"","parse-names":false,"suffix":""},{"dropping-particle":"","family":"Yongsung","given":"Cho","non-dropping-particle":"","parse-names":false,"suffix":""}],"container-title":"Nature Climate Change","id":"ITEM-1","issue":"1","issued":{"date-parts":[["2016"]]},"page":"42-50","title":"Biophysical and economic limits to negative CO2 emissions","type":"article-journal","volume":"6"},"uris":["http://www.mendeley.com/documents/?uuid=f2edc677-cd7c-493a-b11a-a283a3a0811f"]}],"mendeley":{"formattedCitation":"(Smith et al., 2016)","plainTextFormattedCitation":"(Smith et al., 2016)","previouslyFormattedCitation":"(Smith et al., 2016)"},"properties":{"noteIndex":0},"schema":"https://github.com/citation-style-language/schema/raw/master/csl-citation.json"}</w:instrText>
      </w:r>
      <w:r w:rsidRPr="00EE5690">
        <w:rPr>
          <w:rFonts w:cs="Arial"/>
        </w:rPr>
        <w:fldChar w:fldCharType="separate"/>
      </w:r>
      <w:r w:rsidRPr="00EE5690">
        <w:rPr>
          <w:rFonts w:cs="Arial"/>
          <w:noProof/>
        </w:rPr>
        <w:t>(Smith et al., 2016)</w:t>
      </w:r>
      <w:r w:rsidRPr="00EE5690">
        <w:rPr>
          <w:rFonts w:cs="Arial"/>
        </w:rPr>
        <w:fldChar w:fldCharType="end"/>
      </w:r>
      <w:r w:rsidRPr="00EE5690">
        <w:rPr>
          <w:rFonts w:cs="Arial"/>
        </w:rPr>
        <w:t>. Forests also provide valuable ecosystem services and provide wood products that may be used instead of more fossil-fuel-intensive components. However, achieving these co-benefits, requires site-specific forest management approaches and careful consideration of new forest landscape context.</w:t>
      </w:r>
    </w:p>
    <w:p w14:paraId="252E8048" w14:textId="77777777" w:rsidR="000519D9" w:rsidRPr="00EE5690" w:rsidRDefault="000519D9" w:rsidP="006C7295">
      <w:pPr>
        <w:rPr>
          <w:rFonts w:cs="Arial"/>
        </w:rPr>
      </w:pPr>
      <w:r w:rsidRPr="00EE5690">
        <w:rPr>
          <w:rFonts w:cs="Arial"/>
        </w:rPr>
        <w:t>Three important elements determine the efficiency of tree-planting initiatives to establish new forests: (1) site selection; (2) species selection and site management; and (3) Long-Term Management of Carbon in Trees.</w:t>
      </w:r>
    </w:p>
    <w:p w14:paraId="2F4D5794" w14:textId="67E8FA46" w:rsidR="000519D9" w:rsidRPr="00EE5690" w:rsidRDefault="000519D9" w:rsidP="009E12D8">
      <w:pPr>
        <w:pStyle w:val="MAIL111"/>
      </w:pPr>
      <w:bookmarkStart w:id="171" w:name="_Toc91752424"/>
      <w:r w:rsidRPr="00EE5690">
        <w:t>Site Selection</w:t>
      </w:r>
      <w:bookmarkEnd w:id="171"/>
    </w:p>
    <w:p w14:paraId="7B3AB230" w14:textId="77777777" w:rsidR="000519D9" w:rsidRPr="00EE5690" w:rsidRDefault="000519D9" w:rsidP="006C7295">
      <w:pPr>
        <w:rPr>
          <w:rFonts w:cs="Arial"/>
        </w:rPr>
      </w:pPr>
      <w:bookmarkStart w:id="172" w:name="_Toc223361319"/>
      <w:r w:rsidRPr="00EE5690">
        <w:rPr>
          <w:rFonts w:cs="Arial"/>
        </w:rPr>
        <w:t xml:space="preserve">Land is a finite resource and subject to competition for use. Therefore, the land chosen for planting must be suitable. The conversion of land with a high value for climate or biodiversity must be avoided, as should pressure on agricultural land, except in the case </w:t>
      </w:r>
      <w:r w:rsidRPr="00EE5690">
        <w:rPr>
          <w:rFonts w:cs="Arial"/>
        </w:rPr>
        <w:lastRenderedPageBreak/>
        <w:t xml:space="preserve">of agroforestry, where trees are part of the production system. Another significant consideration is ensuring connectivity benefits; afforestation should be done at the landscape level to improve connectivity with natural or semi-natural regions (forests, agricultural landscape). For the correct functioning of forest, agroforestry, and urban forest ecosystems, land planning is also required to connect habitats in space and time, particularly through green infrastructure and ecological corridors. Forest aesthetics are sometimes neglected in policy and legislation, but they have a significant cultural and spiritual importance for residents and future generations. Overall, the EU has enough territory to meet its goal of 3 billion trees. The fundamental concern is whether the area is suited for tree growth and whether it is ecologically significant. Wetlands, peatlands, permanent grasslands, and land with significant carbon or biodiversity should all be avoided. Where applicable, the albedo impact should also be considered. Regarding carbon stocks, afforestation on former agriculture increases soil organic carbon, which contributes with carbon sequestration. Afforestation on pastures and natural grasslands, on the other hand, did not result in any substantial changes in soil organic carbon, hence these regions should be avoided. Furthermore, the tree species chosen is essential, with broadleaved forests producing the greatest increase in soil organic carbon and coniferous forests producing the same amount of soil organic carbon as the previous land usage </w:t>
      </w:r>
      <w:r w:rsidRPr="00EE5690">
        <w:rPr>
          <w:rFonts w:cs="Arial"/>
        </w:rPr>
        <w:fldChar w:fldCharType="begin" w:fldLock="1"/>
      </w:r>
      <w:r w:rsidRPr="00EE5690">
        <w:rPr>
          <w:rFonts w:cs="Arial"/>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Pr="00EE5690">
        <w:rPr>
          <w:rFonts w:cs="Arial"/>
        </w:rPr>
        <w:fldChar w:fldCharType="separate"/>
      </w:r>
      <w:r w:rsidRPr="00EE5690">
        <w:rPr>
          <w:rFonts w:cs="Arial"/>
          <w:noProof/>
        </w:rPr>
        <w:t>(European Commission, 2021d)</w:t>
      </w:r>
      <w:r w:rsidRPr="00EE5690">
        <w:rPr>
          <w:rFonts w:cs="Arial"/>
        </w:rPr>
        <w:fldChar w:fldCharType="end"/>
      </w:r>
      <w:r w:rsidRPr="00EE5690">
        <w:rPr>
          <w:rFonts w:cs="Arial"/>
        </w:rPr>
        <w:t>.</w:t>
      </w:r>
    </w:p>
    <w:p w14:paraId="15D2D473" w14:textId="77777777" w:rsidR="000519D9" w:rsidRPr="00EE5690" w:rsidRDefault="000519D9" w:rsidP="006C7295">
      <w:pPr>
        <w:rPr>
          <w:rFonts w:cs="Arial"/>
        </w:rPr>
      </w:pPr>
      <w:r w:rsidRPr="00EE5690">
        <w:rPr>
          <w:rFonts w:cs="Arial"/>
        </w:rPr>
        <w:t xml:space="preserve">Planting trees in some non-forest ecosystems, oddly, can </w:t>
      </w:r>
      <w:proofErr w:type="gramStart"/>
      <w:r w:rsidRPr="00EE5690">
        <w:rPr>
          <w:rFonts w:cs="Arial"/>
        </w:rPr>
        <w:t>actually increase</w:t>
      </w:r>
      <w:proofErr w:type="gramEnd"/>
      <w:r w:rsidRPr="00EE5690">
        <w:rPr>
          <w:rFonts w:cs="Arial"/>
        </w:rPr>
        <w:t xml:space="preserve"> carbon emissions and warming. Low-lying natural flora is frequently covered in reflecting snow at high latitudes, but taller, darker trees absorb more solar radiation and cause warming </w:t>
      </w:r>
      <w:r w:rsidRPr="00EE5690">
        <w:rPr>
          <w:rFonts w:cs="Arial"/>
        </w:rPr>
        <w:fldChar w:fldCharType="begin" w:fldLock="1"/>
      </w:r>
      <w:r w:rsidRPr="00EE5690">
        <w:rPr>
          <w:rFonts w:cs="Arial"/>
        </w:rPr>
        <w:instrText>ADDIN CSL_CITATION {"citationItems":[{"id":"ITEM-1","itemData":{"DOI":"10.1038/nclimate2870","ISSN":"17586798","abstract":"To have a &gt;50% chance of limiting warming below 2 °C, most recent scenarios from integrated assessment models (IAMs) require large-scale deployment of negative emissions technologies (NETs). These are technologies that result in the net removal of greenhouse gases from the atmosphere. We quantify potential global impacts of the different NETs on various factors (such as land, greenhouse gas emissions, water, albedo, nutrients and energy) to determine the biophysical limits to, and economic costs of, their widespread application. Resource implications vary between technologies and need to be satisfactorily addressed if NETs are to have a significant role in achieving climate goals.","author":[{"dropping-particle":"","family":"Smith","given":"Pete","non-dropping-particle":"","parse-names":false,"suffix":""},{"dropping-particle":"","family":"Davis","given":"Steven J.","non-dropping-particle":"","parse-names":false,"suffix":""},{"dropping-particle":"","family":"Creutzig","given":"Felix","non-dropping-particle":"","parse-names":false,"suffix":""},{"dropping-particle":"","family":"Fuss","given":"Sabine","non-dropping-particle":"","parse-names":false,"suffix":""},{"dropping-particle":"","family":"Minx","given":"Jan","non-dropping-particle":"","parse-names":false,"suffix":""},{"dropping-particle":"","family":"Gabrielle","given":"Benoit","non-dropping-particle":"","parse-names":false,"suffix":""},{"dropping-particle":"","family":"Kato","given":"Etsushi","non-dropping-particle":"","parse-names":false,"suffix":""},{"dropping-particle":"","family":"Jackson","given":"Robert B.","non-dropping-particle":"","parse-names":false,"suffix":""},{"dropping-particle":"","family":"Cowie","given":"Annette","non-dropping-particle":"","parse-names":false,"suffix":""},{"dropping-particle":"","family":"Kriegler","given":"Elmar","non-dropping-particle":"","parse-names":false,"suffix":""},{"dropping-particle":"","family":"Vuuren","given":"Detlef P.","non-dropping-particle":"Van","parse-names":false,"suffix":""},{"dropping-particle":"","family":"Rogelj","given":"Joeri","non-dropping-particle":"","parse-names":false,"suffix":""},{"dropping-particle":"","family":"Ciais","given":"Philippe","non-dropping-particle":"","parse-names":false,"suffix":""},{"dropping-particle":"","family":"Milne","given":"Jennifer","non-dropping-particle":"","parse-names":false,"suffix":""},{"dropping-particle":"","family":"Canadell","given":"Josep G.","non-dropping-particle":"","parse-names":false,"suffix":""},{"dropping-particle":"","family":"McCollum","given":"David","non-dropping-particle":"","parse-names":false,"suffix":""},{"dropping-particle":"","family":"Peters","given":"Glen","non-dropping-particle":"","parse-names":false,"suffix":""},{"dropping-particle":"","family":"Andrew","given":"Robbie","non-dropping-particle":"","parse-names":false,"suffix":""},{"dropping-particle":"","family":"Krey","given":"Volker","non-dropping-particle":"","parse-names":false,"suffix":""},{"dropping-particle":"","family":"Shrestha","given":"Gyami","non-dropping-particle":"","parse-names":false,"suffix":""},{"dropping-particle":"","family":"Friedlingstein","given":"Pierre","non-dropping-particle":"","parse-names":false,"suffix":""},{"dropping-particle":"","family":"Gasser","given":"Thomas","non-dropping-particle":"","parse-names":false,"suffix":""},{"dropping-particle":"","family":"Grübler","given":"Arnulf","non-dropping-particle":"","parse-names":false,"suffix":""},{"dropping-particle":"","family":"Heidug","given":"Wolfgang K.","non-dropping-particle":"","parse-names":false,"suffix":""},{"dropping-particle":"","family":"Jonas","given":"Matthias","non-dropping-particle":"","parse-names":false,"suffix":""},{"dropping-particle":"","family":"Jones","given":"Chris D.","non-dropping-particle":"","parse-names":false,"suffix":""},{"dropping-particle":"","family":"Kraxner","given":"Florian","non-dropping-particle":"","parse-names":false,"suffix":""},{"dropping-particle":"","family":"Littleton","given":"Emma","non-dropping-particle":"","parse-names":false,"suffix":""},{"dropping-particle":"","family":"Lowe","given":"Jason","non-dropping-particle":"","parse-names":false,"suffix":""},{"dropping-particle":"","family":"Moreira","given":"José Roberto","non-dropping-particle":"","parse-names":false,"suffix":""},{"dropping-particle":"","family":"Nakicenovic","given":"Nebojsa","non-dropping-particle":"","parse-names":false,"suffix":""},{"dropping-particle":"","family":"Obersteiner","given":"Michael","non-dropping-particle":"","parse-names":false,"suffix":""},{"dropping-particle":"","family":"Patwardhan","given":"Anand","non-dropping-particle":"","parse-names":false,"suffix":""},{"dropping-particle":"","family":"Rogner","given":"Mathis","non-dropping-particle":"","parse-names":false,"suffix":""},{"dropping-particle":"","family":"Rubin","given":"Ed","non-dropping-particle":"","parse-names":false,"suffix":""},{"dropping-particle":"","family":"Sharifi","given":"Ayyoob","non-dropping-particle":"","parse-names":false,"suffix":""},{"dropping-particle":"","family":"Torvanger","given":"Asbjørn","non-dropping-particle":"","parse-names":false,"suffix":""},{"dropping-particle":"","family":"Yamagata","given":"Yoshiki","non-dropping-particle":"","parse-names":false,"suffix":""},{"dropping-particle":"","family":"Edmonds","given":"Jae","non-dropping-particle":"","parse-names":false,"suffix":""},{"dropping-particle":"","family":"Yongsung","given":"Cho","non-dropping-particle":"","parse-names":false,"suffix":""}],"container-title":"Nature Climate Change","id":"ITEM-1","issue":"1","issued":{"date-parts":[["2016"]]},"page":"42-50","title":"Biophysical and economic limits to negative CO2 emissions","type":"article-journal","volume":"6"},"uris":["http://www.mendeley.com/documents/?uuid=f2edc677-cd7c-493a-b11a-a283a3a0811f"]},{"id":"ITEM-2","itemData":{"DOI":"10.1029/2018GL080211","ISSN":"19448007","abstract":"Deforestation influences surface temperature locally (“local effects”), but also at neighboring or remote regions (“nonlocal effects”). Observations indicate that local effects induce a warming in most locations, while many climate models show a global mean cooling when simulating global deforestation. We show that a nonlocal cooling in models, which is excluded from observations, may strongly contribute to these conflicting results. For the MPI-ESM, the globally averaged nonlocal cooling exceeds the globally averaged local warming by a factor of three, for global deforestation but also for realistic areal extents and spatial distributions of deforestation. Furthermore, the globally averaged nonlocal effects dominate the local effects in realistic scenarios across a range of climate models. We conclude that observations alone are not sufficient to capture the full biogeophysical effects, and climate models are needed to better understand and quantify the full effects of deforestation before they are considered in strategies for climate mitigation.","author":[{"dropping-particle":"","family":"Winckler","given":"Johannes","non-dropping-particle":"","parse-names":false,"suffix":""},{"dropping-particle":"","family":"Lejeune","given":"Quentin","non-dropping-particle":"","parse-names":false,"suffix":""},{"dropping-particle":"","family":"Reick","given":"Christian H.","non-dropping-particle":"","parse-names":false,"suffix":""},{"dropping-particle":"","family":"Pongratz","given":"Julia","non-dropping-particle":"","parse-names":false,"suffix":""}],"container-title":"Geophysical Research Letters","id":"ITEM-2","issue":"2","issued":{"date-parts":[["2019"]]},"page":"745-755","title":"Nonlocal Effects Dominate the Global Mean Surface Temperature Response to the Biogeophysical Effects of Deforestation","type":"article-journal","volume":"46"},"uris":["http://www.mendeley.com/documents/?uuid=cdb73524-8826-4432-a7c4-cb034a3b82f6"]}],"mendeley":{"formattedCitation":"(Smith et al., 2016; Winckler et al., 2019)","plainTextFormattedCitation":"(Smith et al., 2016; Winckler et al., 2019)","previouslyFormattedCitation":"(Smith et al., 2016; Winckler et al., 2019)"},"properties":{"noteIndex":0},"schema":"https://github.com/citation-style-language/schema/raw/master/csl-citation.json"}</w:instrText>
      </w:r>
      <w:r w:rsidRPr="00EE5690">
        <w:rPr>
          <w:rFonts w:cs="Arial"/>
        </w:rPr>
        <w:fldChar w:fldCharType="separate"/>
      </w:r>
      <w:r w:rsidRPr="00EE5690">
        <w:rPr>
          <w:rFonts w:cs="Arial"/>
          <w:noProof/>
        </w:rPr>
        <w:t>(Smith et al., 2016; Winckler et al., 2019)</w:t>
      </w:r>
      <w:r w:rsidRPr="00EE5690">
        <w:rPr>
          <w:rFonts w:cs="Arial"/>
        </w:rPr>
        <w:fldChar w:fldCharType="end"/>
      </w:r>
      <w:r w:rsidRPr="00EE5690">
        <w:rPr>
          <w:rFonts w:cs="Arial"/>
        </w:rPr>
        <w:t xml:space="preserve">. Peat bogs are frequently drained and reforested, resulting in large losses of carbon from the soil organic matter, which can outweigh carbon capture in newly planted trees </w:t>
      </w:r>
      <w:r w:rsidRPr="00EE5690">
        <w:rPr>
          <w:rFonts w:cs="Arial"/>
        </w:rPr>
        <w:fldChar w:fldCharType="begin" w:fldLock="1"/>
      </w:r>
      <w:r w:rsidRPr="00EE5690">
        <w:rPr>
          <w:rFonts w:cs="Arial"/>
        </w:rPr>
        <w:instrText>ADDIN CSL_CITATION {"citationItems":[{"id":"ITEM-1","itemData":{"DOI":"10.19189/MaP.2017.OMB.315","ISSN":"1819754X","abstract":"Peatlands are a globally significant store of carbon. During the second half of the 20th century new planting techniques combined with tax incentives encouraged commercial forestry across large areas of peat bog in the UK, particularly in the Flow Country of northern Scotland. Such planting was controversial and was ultimately halted by removal of the tax incentives, and policies to prevent new planting. Here we review the literature on UK peatland afforestation in relation to carbon and climate implications, and identify key issues for future research. The effects of conifer planting on peat bog carbon storage in the UK are poorly understood. A large body of research on peatland forestry exists, particularly from naturally forested fen peatlands in Fennoscandia and Russia, but the different conditions in the UK mean that results are not directly transferable. Data on the responses of UK peat bogs to afforestation are required to address this shortfall. Studies are required that quantify the loss of carbon from the peat and evaluate it against the accumulation of carbon above and below ground in trees, considering the likely residence time of carbon in wood products.","author":[{"dropping-particle":"","family":"Sloan","given":"T. J.","non-dropping-particle":"","parse-names":false,"suffix":""},{"dropping-particle":"","family":"Payne","given":"R. J.","non-dropping-particle":"","parse-names":false,"suffix":""},{"dropping-particle":"","family":"Anderson","given":"A. R.","non-dropping-particle":"","parse-names":false,"suffix":""},{"dropping-particle":"","family":"Bain","given":"C.","non-dropping-particle":"","parse-names":false,"suffix":""},{"dropping-particle":"","family":"Chapman","given":"S.","non-dropping-particle":"","parse-names":false,"suffix":""},{"dropping-particle":"","family":"Cowie","given":"N.","non-dropping-particle":"","parse-names":false,"suffix":""},{"dropping-particle":"","family":"Gilbert","given":"P.","non-dropping-particle":"","parse-names":false,"suffix":""},{"dropping-particle":"","family":"Lindsay","given":"R.","non-dropping-particle":"","parse-names":false,"suffix":""},{"dropping-particle":"","family":"Mauquoy","given":"D.","non-dropping-particle":"","parse-names":false,"suffix":""},{"dropping-particle":"","family":"Newton","given":"A. J.","non-dropping-particle":"","parse-names":false,"suffix":""},{"dropping-particle":"","family":"Andersen","given":"R.","non-dropping-particle":"","parse-names":false,"suffix":""}],"container-title":"Mires and Peat","id":"ITEM-1","issued":{"date-parts":[["2018"]]},"page":"1-17","title":"Peatland afforestation in the UK and consequences for carbon storage","type":"article-journal","volume":"23"},"uris":["http://www.mendeley.com/documents/?uuid=5a8649a6-ccfc-4d0d-9512-cb17b7017ece"]}],"mendeley":{"formattedCitation":"(Sloan et al., 2018)","plainTextFormattedCitation":"(Sloan et al., 2018)","previouslyFormattedCitation":"(Sloan et al., 2018)"},"properties":{"noteIndex":0},"schema":"https://github.com/citation-style-language/schema/raw/master/csl-citation.json"}</w:instrText>
      </w:r>
      <w:r w:rsidRPr="00EE5690">
        <w:rPr>
          <w:rFonts w:cs="Arial"/>
        </w:rPr>
        <w:fldChar w:fldCharType="separate"/>
      </w:r>
      <w:r w:rsidRPr="00EE5690">
        <w:rPr>
          <w:rFonts w:cs="Arial"/>
          <w:noProof/>
        </w:rPr>
        <w:t>(Sloan et al., 2018)</w:t>
      </w:r>
      <w:r w:rsidRPr="00EE5690">
        <w:rPr>
          <w:rFonts w:cs="Arial"/>
        </w:rPr>
        <w:fldChar w:fldCharType="end"/>
      </w:r>
      <w:r w:rsidRPr="00EE5690">
        <w:rPr>
          <w:rFonts w:cs="Arial"/>
        </w:rPr>
        <w:t xml:space="preserve">. Planting trees in grasslands and savannas may increase the risk of fire, resulting in the loss of carbon from vegetation and soils </w:t>
      </w:r>
      <w:r w:rsidRPr="00EE5690">
        <w:rPr>
          <w:rFonts w:cs="Arial"/>
        </w:rPr>
        <w:fldChar w:fldCharType="begin" w:fldLock="1"/>
      </w:r>
      <w:r w:rsidRPr="00EE5690">
        <w:rPr>
          <w:rFonts w:cs="Arial"/>
        </w:rPr>
        <w:instrText>ADDIN CSL_CITATION {"citationItems":[{"id":"ITEM-1","itemData":{"DOI":"10.1126/science.aaz0111","ISSN":"10959203","PMID":"31780529","abstract":"Bastin et al. (Reports, 5 July 2019, p. 76) claim that 205 gigatonnes of carbon can be globally sequestered by restoring 0.9 billion hectares of forest and woodland canopy cover. Reinterpreting the data from Bastin et al., we show that the global land area actually required to sequester human-emitted CO2 is at least a factor of 3 higher, representing an unrealistically large area.","author":[{"dropping-particle":"","family":"Skidmore","given":"Andrew K.","non-dropping-particle":"","parse-names":false,"suffix":""},{"dropping-particle":"","family":"Wang","given":"Tiejun","non-dropping-particle":"","parse-names":false,"suffix":""},{"dropping-particle":"","family":"Bie","given":"Kees","non-dropping-particle":"de","parse-names":false,"suffix":""},{"dropping-particle":"","family":"Pilesjö","given":"Petter","non-dropping-particle":"","parse-names":false,"suffix":""}],"container-title":"Science","id":"ITEM-1","issue":"6469","issued":{"date-parts":[["2019"]]},"page":"1-5","title":"Comment on “The global tree restoration potential”","type":"article-journal","volume":"366"},"uris":["http://www.mendeley.com/documents/?uuid=3f2edc90-1f92-41ce-b7b3-a4be2e6c8eb9"]}],"mendeley":{"formattedCitation":"(Skidmore et al., 2019)","plainTextFormattedCitation":"(Skidmore et al., 2019)","previouslyFormattedCitation":"(Skidmore et al., 2019)"},"properties":{"noteIndex":0},"schema":"https://github.com/citation-style-language/schema/raw/master/csl-citation.json"}</w:instrText>
      </w:r>
      <w:r w:rsidRPr="00EE5690">
        <w:rPr>
          <w:rFonts w:cs="Arial"/>
        </w:rPr>
        <w:fldChar w:fldCharType="separate"/>
      </w:r>
      <w:r w:rsidRPr="00EE5690">
        <w:rPr>
          <w:rFonts w:cs="Arial"/>
          <w:noProof/>
        </w:rPr>
        <w:t>(Skidmore et al., 2019)</w:t>
      </w:r>
      <w:r w:rsidRPr="00EE5690">
        <w:rPr>
          <w:rFonts w:cs="Arial"/>
        </w:rPr>
        <w:fldChar w:fldCharType="end"/>
      </w:r>
      <w:r w:rsidRPr="00EE5690">
        <w:rPr>
          <w:rFonts w:cs="Arial"/>
        </w:rPr>
        <w:t xml:space="preserve">. Reforestation operations in tropical locations that have traditionally sustained forests, to the contrary, are anticipated to be the most successful in lowering CO2 levels in the atmosphere </w:t>
      </w:r>
      <w:r w:rsidRPr="00EE5690">
        <w:rPr>
          <w:rFonts w:cs="Arial"/>
        </w:rPr>
        <w:fldChar w:fldCharType="begin" w:fldLock="1"/>
      </w:r>
      <w:r w:rsidRPr="00EE5690">
        <w:rPr>
          <w:rFonts w:cs="Arial"/>
        </w:rPr>
        <w:instrText>ADDIN CSL_CITATION {"citationItems":[{"id":"ITEM-1","itemData":{"DOI":"10.1098/rstb.2019.0126","ISBN":"0000000284967","ISSN":"14712970","PMID":"31983330","abstract":"Better land stewardship is needed to achieve the ParisAgreement's temperature goal, particularly in the tropics, where greenhouse gas emissions from the destruction of ecosystems are largest, and where the potential for additional land carbon storage is greatest. As countries enhance their nationally determined contributions (NDCs) to the Paris Agreement, confusion persists about the potential contribution of better land stewardship to meeting the Agreement's goal to hold global warming below 2°C. We assess cost-effective tropical country-level potential of natural climate solutions (NCS)-protection, improved management and restoration of ecosystems-to deliver climate mitigation linked with sustainable development goals (SDGs).We identify groups of countries with distinctive NCS portfolios, and we explore factors (governance, financial capacity) influencing the feasibility of unlocking national NCS potential. Cost-effective tropical NCS offers globally significant climate mitigation in the coming decades (6.56 Pg CO2e yr-1 at less than 100 US$ per Mg CO2e). In half of the tropical countries, cost-effective NCS could mitigate over half of national emissions. In more than a quarter of tropical countries, cost-effective NCS potential is greater than national emissions. We identify countries where, with international financing and political will, NCS can cost-effectively deliver the majority of enhanced NDCs while transforming national economies and contributing to SDGs.","author":[{"dropping-particle":"","family":"Griscom","given":"Bronson W.","non-dropping-particle":"","parse-names":false,"suffix":""},{"dropping-particle":"","family":"Busch","given":"Jonah","non-dropping-particle":"","parse-names":false,"suffix":""},{"dropping-particle":"","family":"Cook-Patton","given":"Susan C.","non-dropping-particle":"","parse-names":false,"suffix":""},{"dropping-particle":"","family":"Ellis","given":"Peter W.","non-dropping-particle":"","parse-names":false,"suffix":""},{"dropping-particle":"","family":"Funk","given":"Jason","non-dropping-particle":"","parse-names":false,"suffix":""},{"dropping-particle":"","family":"Leavitt","given":"Sara M.","non-dropping-particle":"","parse-names":false,"suffix":""},{"dropping-particle":"","family":"Lomax","given":"Guy","non-dropping-particle":"","parse-names":false,"suffix":""},{"dropping-particle":"","family":"Turner","given":"Will R.","non-dropping-particle":"","parse-names":false,"suffix":""},{"dropping-particle":"","family":"Chapman","given":"Melissa","non-dropping-particle":"","parse-names":false,"suffix":""},{"dropping-particle":"","family":"Engelmann","given":"Jens","non-dropping-particle":"","parse-names":false,"suffix":""},{"dropping-particle":"","family":"Gurwick","given":"Noel P.","non-dropping-particle":"","parse-names":false,"suffix":""},{"dropping-particle":"","family":"Landis","given":"Emily","non-dropping-particle":"","parse-names":false,"suffix":""},{"dropping-particle":"","family":"Lawrence","given":"Deborah","non-dropping-particle":"","parse-names":false,"suffix":""},{"dropping-particle":"","family":"Malhi","given":"Yadvinder","non-dropping-particle":"","parse-names":false,"suffix":""},{"dropping-particle":"","family":"Murray","given":"Lisa Schindler","non-dropping-particle":"","parse-names":false,"suffix":""},{"dropping-particle":"","family":"Navarrete","given":"Diego","non-dropping-particle":"","parse-names":false,"suffix":""},{"dropping-particle":"","family":"Roe","given":"Stephanie","non-dropping-particle":"","parse-names":false,"suffix":""},{"dropping-particle":"","family":"Scull","given":"Sabrina","non-dropping-particle":"","parse-names":false,"suffix":""},{"dropping-particle":"","family":"Smith","given":"Pete","non-dropping-particle":"","parse-names":false,"suffix":""},{"dropping-particle":"","family":"Streck","given":"Charlotte","non-dropping-particle":"","parse-names":false,"suffix":""},{"dropping-particle":"","family":"Walker","given":"Wayne S.","non-dropping-particle":"","parse-names":false,"suffix":""},{"dropping-particle":"","family":"Worthington","given":"Thomas","non-dropping-particle":"","parse-names":false,"suffix":""}],"container-title":"Philosophical Transactions of the Royal Society B: Biological Sciences","id":"ITEM-1","issue":"1794","issued":{"date-parts":[["2020"]]},"title":"National mitigation potential from natural climate solutions in the tropics","type":"article-journal","volume":"375"},"uris":["http://www.mendeley.com/documents/?uuid=6bb183e9-7804-4b97-84f4-11d6787cd251"]},{"id":"ITEM-2","itemData":{"DOI":"10.1038/d41586-019-01026-8","ISSN":"14764687","PMID":"30940972","abstract":"Plans to triple the area of plantations will not meet 1.5 °C climate goals. New natural forests can, argue Simon L. Lewis, Charlotte E. Wheeler and colleagues.","author":[{"dropping-particle":"","family":"Lewis","given":"Simon L.","non-dropping-particle":"","parse-names":false,"suffix":""},{"dropping-particle":"","family":"Wheeler","given":"Charlotte E.","non-dropping-particle":"","parse-names":false,"suffix":""},{"dropping-particle":"","family":"Mitchard","given":"Edward T.A.","non-dropping-particle":"","parse-names":false,"suffix":""},{"dropping-particle":"","family":"Koch","given":"Alexander","non-dropping-particle":"","parse-names":false,"suffix":""}],"container-title":"Nature","id":"ITEM-2","issue":"7750","issued":{"date-parts":[["2019"]]},"page":"25-28","title":"Restoring natural forests is the best way to remove atmospheric carbon","type":"article-journal","volume":"568"},"uris":["http://www.mendeley.com/documents/?uuid=8c65535d-7fba-4cf2-b3eb-11db620ad157"]}],"mendeley":{"formattedCitation":"(Griscom et al., 2020; Lewis et al., 2019)","plainTextFormattedCitation":"(Griscom et al., 2020; Lewis et al., 2019)","previouslyFormattedCitation":"(Griscom et al., 2020; Lewis et al., 2019)"},"properties":{"noteIndex":0},"schema":"https://github.com/citation-style-language/schema/raw/master/csl-citation.json"}</w:instrText>
      </w:r>
      <w:r w:rsidRPr="00EE5690">
        <w:rPr>
          <w:rFonts w:cs="Arial"/>
        </w:rPr>
        <w:fldChar w:fldCharType="separate"/>
      </w:r>
      <w:r w:rsidRPr="00EE5690">
        <w:rPr>
          <w:rFonts w:cs="Arial"/>
          <w:noProof/>
        </w:rPr>
        <w:t>(Griscom et al., 2020; Lewis et al., 2019)</w:t>
      </w:r>
      <w:r w:rsidRPr="00EE5690">
        <w:rPr>
          <w:rFonts w:cs="Arial"/>
        </w:rPr>
        <w:fldChar w:fldCharType="end"/>
      </w:r>
      <w:r w:rsidRPr="00EE5690">
        <w:rPr>
          <w:rFonts w:cs="Arial"/>
        </w:rPr>
        <w:t>.</w:t>
      </w:r>
    </w:p>
    <w:p w14:paraId="56D18E39" w14:textId="77777777" w:rsidR="000519D9" w:rsidRPr="00EE5690" w:rsidRDefault="000519D9" w:rsidP="009E12D8">
      <w:pPr>
        <w:pStyle w:val="MAIL111"/>
      </w:pPr>
      <w:bookmarkStart w:id="173" w:name="_Toc91752425"/>
      <w:r w:rsidRPr="00EE5690">
        <w:t>Species Selection and Site Management</w:t>
      </w:r>
      <w:bookmarkEnd w:id="173"/>
    </w:p>
    <w:p w14:paraId="77D39C60" w14:textId="165519F3" w:rsidR="000519D9" w:rsidRPr="00EE5690" w:rsidRDefault="000519D9" w:rsidP="006C7295">
      <w:pPr>
        <w:rPr>
          <w:rFonts w:cs="Arial"/>
        </w:rPr>
      </w:pPr>
      <w:r w:rsidRPr="00EE5690">
        <w:rPr>
          <w:rFonts w:cs="Arial"/>
        </w:rPr>
        <w:t xml:space="preserve">Tree density, the number of trees planted per unit of land or the distance between tree trunks, is critical for estimating the total acreage necessary for the </w:t>
      </w:r>
      <w:r w:rsidR="00C31E05" w:rsidRPr="00EE5690">
        <w:rPr>
          <w:rFonts w:cs="Arial"/>
        </w:rPr>
        <w:t>endeavor</w:t>
      </w:r>
      <w:r w:rsidRPr="00EE5690">
        <w:rPr>
          <w:rFonts w:cs="Arial"/>
        </w:rPr>
        <w:t xml:space="preserve">. The density of trees is determined by the species, local-to-regional geographic and bioclimatic </w:t>
      </w:r>
      <w:r w:rsidRPr="00EE5690">
        <w:rPr>
          <w:rFonts w:cs="Arial"/>
        </w:rPr>
        <w:lastRenderedPageBreak/>
        <w:t xml:space="preserve">conditions, land use, and the age of the trees. Newly planted trees and saplings have a higher density than older trees. Tree density can be reduced artificially by thinning to provide room for new growth, or naturally when trees grow, and various species take over. Hedges are also planted according to </w:t>
      </w:r>
      <w:proofErr w:type="gramStart"/>
      <w:r w:rsidRPr="00EE5690">
        <w:rPr>
          <w:rFonts w:cs="Arial"/>
        </w:rPr>
        <w:t>particular criteria</w:t>
      </w:r>
      <w:proofErr w:type="gramEnd"/>
      <w:r w:rsidRPr="00EE5690">
        <w:rPr>
          <w:rFonts w:cs="Arial"/>
        </w:rPr>
        <w:t xml:space="preserve">, with multiple trees per </w:t>
      </w:r>
      <w:proofErr w:type="spellStart"/>
      <w:r w:rsidRPr="00EE5690">
        <w:rPr>
          <w:rFonts w:cs="Arial"/>
        </w:rPr>
        <w:t>metre</w:t>
      </w:r>
      <w:proofErr w:type="spellEnd"/>
      <w:r w:rsidRPr="00EE5690">
        <w:rPr>
          <w:rFonts w:cs="Arial"/>
        </w:rPr>
        <w:t xml:space="preserve"> and possibly in parallel rows, depending on the purpose. Planting costs are also affected by the number of saplings and the level of land preparation </w:t>
      </w:r>
      <w:r w:rsidRPr="00EE5690">
        <w:rPr>
          <w:rFonts w:cs="Arial"/>
        </w:rPr>
        <w:fldChar w:fldCharType="begin" w:fldLock="1"/>
      </w:r>
      <w:r w:rsidRPr="00EE5690">
        <w:rPr>
          <w:rFonts w:cs="Arial"/>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Pr="00EE5690">
        <w:rPr>
          <w:rFonts w:cs="Arial"/>
        </w:rPr>
        <w:fldChar w:fldCharType="separate"/>
      </w:r>
      <w:r w:rsidRPr="00EE5690">
        <w:rPr>
          <w:rFonts w:cs="Arial"/>
          <w:noProof/>
        </w:rPr>
        <w:t>(European Commission, 2021d)</w:t>
      </w:r>
      <w:r w:rsidRPr="00EE5690">
        <w:rPr>
          <w:rFonts w:cs="Arial"/>
        </w:rPr>
        <w:fldChar w:fldCharType="end"/>
      </w:r>
      <w:r w:rsidRPr="00EE5690">
        <w:rPr>
          <w:rFonts w:cs="Arial"/>
        </w:rPr>
        <w:t>.</w:t>
      </w:r>
    </w:p>
    <w:p w14:paraId="0C230DF6" w14:textId="77777777" w:rsidR="000519D9" w:rsidRPr="00EE5690" w:rsidRDefault="000519D9" w:rsidP="006C7295">
      <w:pPr>
        <w:rPr>
          <w:rFonts w:cs="Arial"/>
        </w:rPr>
      </w:pPr>
      <w:r w:rsidRPr="00EE5690">
        <w:rPr>
          <w:rFonts w:cs="Arial"/>
        </w:rPr>
        <w:t xml:space="preserve">The selection of ecologically sensitive species will aid in the optimization of ecosystem services in planted forests. In the last 50 years, monocultures have made up the great majority (&gt;99%) of new planted forests </w:t>
      </w:r>
      <w:r w:rsidRPr="00EE5690">
        <w:rPr>
          <w:rFonts w:cs="Arial"/>
        </w:rPr>
        <w:fldChar w:fldCharType="begin" w:fldLock="1"/>
      </w:r>
      <w:r w:rsidRPr="00EE5690">
        <w:rPr>
          <w:rFonts w:cs="Arial"/>
        </w:rPr>
        <w:instrText>ADDIN CSL_CITATION {"citationItems":[{"id":"ITEM-1","itemData":{"DOI":"10.1016/j.foreco.2006.07.018","ISSN":"03781127","abstract":"About 2% of English-language literature on plantations deals with mixed-species plantations, but only a tiny proportion (&lt;0.1%) of industrial plantations are polycultures. Small landholders are more innovative, with 12% of Australia's farm forestry plantations under mixed-species plantings, and 80% of Queensland's farm forestry as polycultures. We examine reasons for this discrepancy, and explore the history, silviculture and economics of polycultures. Financial analyses suggest that a yield stimulus of 10%, depending on product and rotation length, may be sufficient to offset increased costs associated with planting and managing a mixed-species plantation, a stimulus that has been demonstrated in many field trials. We conclude that the main obstacle to commercial uptake of polycultures in industrial plantations may be the lack of operational-scale demonstrations coupled with reliable financial analyses. © 2006 Elsevier B.V. All rights reserved.","author":[{"dropping-particle":"","family":"Nichols","given":"J. Doland","non-dropping-particle":"","parse-names":false,"suffix":""},{"dropping-particle":"","family":"Bristow","given":"Mila","non-dropping-particle":"","parse-names":false,"suffix":""},{"dropping-particle":"","family":"Vanclay","given":"Jerome K.","non-dropping-particle":"","parse-names":false,"suffix":""}],"container-title":"Forest Ecology and Management","id":"ITEM-1","issue":"2-3","issued":{"date-parts":[["2006"]]},"page":"383-390","title":"Mixed-species plantations: Prospects and challenges","type":"article-journal","volume":"233"},"uris":["http://www.mendeley.com/documents/?uuid=70325fd7-c343-477c-af4f-4b5f5a49a328"]}],"mendeley":{"formattedCitation":"(Nichols et al., 2006)","plainTextFormattedCitation":"(Nichols et al., 2006)","previouslyFormattedCitation":"(Nichols et al., 2006)"},"properties":{"noteIndex":0},"schema":"https://github.com/citation-style-language/schema/raw/master/csl-citation.json"}</w:instrText>
      </w:r>
      <w:r w:rsidRPr="00EE5690">
        <w:rPr>
          <w:rFonts w:cs="Arial"/>
        </w:rPr>
        <w:fldChar w:fldCharType="separate"/>
      </w:r>
      <w:r w:rsidRPr="00EE5690">
        <w:rPr>
          <w:rFonts w:cs="Arial"/>
          <w:noProof/>
        </w:rPr>
        <w:t>(Nichols et al., 2006)</w:t>
      </w:r>
      <w:r w:rsidRPr="00EE5690">
        <w:rPr>
          <w:rFonts w:cs="Arial"/>
        </w:rPr>
        <w:fldChar w:fldCharType="end"/>
      </w:r>
      <w:r w:rsidRPr="00EE5690">
        <w:rPr>
          <w:rFonts w:cs="Arial"/>
        </w:rPr>
        <w:t xml:space="preserve">. Plantations are dominated by a few fast-growing trees such as eucalypts, pines, and poplars across the world. Despite the prevalence of monocultures, there is considerable evidence that increased diversification would enhance carbon sequestration in the long run. It has been found that tree mixtures had higher survival rates and quicker development rates, which improve stand-scale carbon sequestration </w:t>
      </w:r>
      <w:r w:rsidRPr="00EE5690">
        <w:rPr>
          <w:rFonts w:cs="Arial"/>
        </w:rPr>
        <w:fldChar w:fldCharType="begin" w:fldLock="1"/>
      </w:r>
      <w:r w:rsidRPr="00EE5690">
        <w:rPr>
          <w:rFonts w:cs="Arial"/>
        </w:rPr>
        <w:instrText>ADDIN CSL_CITATION {"citationItems":[{"id":"ITEM-1","itemData":{"DOI":"10.1126/science.aaf8957","ISSN":"0036-8075","author":[{"dropping-particle":"","family":"Liang","given":"Jingjing","non-dropping-particle":"","parse-names":false,"suffix":""},{"dropping-particle":"","family":"Crowther","given":"Thomas W.","non-dropping-particle":"","parse-names":false,"suffix":""},{"dropping-particle":"","family":"Picard","given":"Nicolas","non-dropping-particle":"","parse-names":false,"suffix":""},{"dropping-particle":"","family":"Wiser","given":"Susan","non-dropping-particle":"","parse-names":false,"suffix":""},{"dropping-particle":"","family":"Zhou","given":"Mo","non-dropping-particle":"","parse-names":false,"suffix":""},{"dropping-particle":"","family":"Alberti","given":"Giorgio","non-dropping-particle":"","parse-names":false,"suffix":""},{"dropping-particle":"","family":"Schulze","given":"Ernst-Detlef","non-dropping-particle":"","parse-names":false,"suffix":""},{"dropping-particle":"","family":"McGuire","given":"A. David","non-dropping-particle":"","parse-names":false,"suffix":""},{"dropping-particle":"","family":"Bozzato","given":"Fabio","non-dropping-particle":"","parse-names":false,"suffix":""},{"dropping-particle":"","family":"Pretzsch","given":"Hans","non-dropping-particle":"","parse-names":false,"suffix":""},{"dropping-particle":"","family":"De-Miguel","given":"Sergio","non-dropping-particle":"","parse-names":false,"suffix":""},{"dropping-particle":"","family":"Paquette","given":"Alain","non-dropping-particle":"","parse-names":false,"suffix":""},{"dropping-particle":"","family":"Hérault","given":"Bruno","non-dropping-particle":"","parse-names":false,"suffix":""},{"dropping-particle":"","family":"Scherer-Lorenzen","given":"Michael","non-dropping-particle":"","parse-names":false,"suffix":""},{"dropping-particle":"","family":"Barrett","given":"Christopher B.","non-dropping-particle":"","parse-names":false,"suffix":""},{"dropping-particle":"","family":"Glick","given":"Henry B.","non-dropping-particle":"","parse-names":false,"suffix":""},{"dropping-particle":"","family":"Hengeveld","given":"Geerten M.","non-dropping-particle":"","parse-names":false,"suffix":""},{"dropping-particle":"","family":"Nabuurs","given":"Gert-Jan","non-dropping-particle":"","parse-names":false,"suffix":""},{"dropping-particle":"","family":"Pfautsch","given":"Sebastian","non-dropping-particle":"","parse-names":false,"suffix":""},{"dropping-particle":"","family":"Viana","given":"Helder","non-dropping-particle":"","parse-names":false,"suffix":""},{"dropping-particle":"","family":"Vibrans","given":"Alexander C.","non-dropping-particle":"","parse-names":false,"suffix":""},{"dropping-particle":"","family":"Ammer","given":"Christian","non-dropping-particle":"","parse-names":false,"suffix":""},{"dropping-particle":"","family":"Schall","given":"Peter","non-dropping-particle":"","parse-names":false,"suffix":""},{"dropping-particle":"","family":"Verbyla","given":"David","non-dropping-particle":"","parse-names":false,"suffix":""},{"dropping-particle":"","family":"Tchebakova","given":"Nadja","non-dropping-particle":"","parse-names":false,"suffix":""},{"dropping-particle":"","family":"Fischer","given":"Markus","non-dropping-particle":"","parse-names":false,"suffix":""},{"dropping-particle":"V.","family":"Watson","given":"James","non-dropping-particle":"","parse-names":false,"suffix":""},{"dropping-particle":"","family":"Chen","given":"Han Y. H.","non-dropping-particle":"","parse-names":false,"suffix":""},{"dropping-particle":"","family":"Lei","given":"Xiangdong","non-dropping-particle":"","parse-names":false,"suffix":""},{"dropping-particle":"","family":"Schelhaas","given":"Mart-Jan","non-dropping-particle":"","parse-names":false,"suffix":""},{"dropping-particle":"","family":"Lu","given":"Huicui","non-dropping-particle":"","parse-names":false,"suffix":""},{"dropping-particle":"","family":"Gianelle","given":"Damiano","non-dropping-particle":"","parse-names":false,"suffix":""},{"dropping-particle":"","family":"Parfenova","given":"Elena I.","non-dropping-particle":"","parse-names":false,"suffix":""},{"dropping-particle":"","family":"Salas","given":"Christian","non-dropping-particle":"","parse-names":false,"suffix":""},{"dropping-particle":"","family":"Lee","given":"Eungul","non-dropping-particle":"","parse-names":false,"suffix":""},{"dropping-particle":"","family":"Lee","given":"Boknam","non-dropping-particle":"","parse-names":false,"suffix":""},{"dropping-particle":"","family":"Kim","given":"Hyun Seok","non-dropping-particle":"","parse-names":false,"suffix":""},{"dropping-particle":"","family":"Bruelheide","given":"Helge","non-dropping-particle":"","parse-names":false,"suffix":""},{"dropping-particle":"","family":"Coomes","given":"David A.","non-dropping-particle":"","parse-names":false,"suffix":""},{"dropping-particle":"","family":"Piotto","given":"Daniel","non-dropping-particle":"","parse-names":false,"suffix":""},{"dropping-particle":"","family":"Sunderland","given":"Terry","non-dropping-particle":"","parse-names":false,"suffix":""},{"dropping-particle":"","family":"Schmid","given":"Bernhard","non-dropping-particle":"","parse-names":false,"suffix":""},{"dropping-particle":"","family":"Gourlet-Fleury","given":"Sylvie","non-dropping-particle":"","parse-names":false,"suffix":""},{"dropping-particle":"","family":"Sonké","given":"Bonaventure","non-dropping-particle":"","parse-names":false,"suffix":""},{"dropping-particle":"","family":"Tavani","given":"Rebecca","non-dropping-particle":"","parse-names":false,"suffix":""},{"dropping-particle":"","family":"Zhu","given":"Jun","non-dropping-particle":"","parse-names":false,"suffix":""},{"dropping-particle":"","family":"Brandl","given":"Susanne","non-dropping-particle":"","parse-names":false,"suffix":""},{"dropping-particle":"","family":"Vayreda","given":"Jordi","non-dropping-particle":"","parse-names":false,"suffix":""},{"dropping-particle":"","family":"Kitahara","given":"Fumiaki","non-dropping-particle":"","parse-names":false,"suffix":""},{"dropping-particle":"","family":"Searle","given":"Eric B.","non-dropping-particle":"","parse-names":false,"suffix":""},{"dropping-particle":"","family":"Neldner","given":"Victor J.","non-dropping-particle":"","parse-names":false,"suffix":""},{"dropping-particle":"","family":"Ngugi","given":"Michael R.","non-dropping-particle":"","parse-names":false,"suffix":""},{"dropping-particle":"","family":"Baraloto","given":"Christopher","non-dropping-particle":"","parse-names":false,"suffix":""},{"dropping-particle":"","family":"Frizzera","given":"Lorenzo","non-dropping-particle":"","parse-names":false,"suffix":""},{"dropping-particle":"","family":"Bałazy","given":"Radomir","non-dropping-particle":"","parse-names":false,"suffix":""},{"dropping-particle":"","family":"Oleksyn","given":"Jacek","non-dropping-particle":"","parse-names":false,"suffix":""},{"dropping-particle":"","family":"Zawiła-Niedźwiecki","given":"Tomasz","non-dropping-particle":"","parse-names":false,"suffix":""},{"dropping-particle":"","family":"Bouriaud","given":"Olivier","non-dropping-particle":"","parse-names":false,"suffix":""},{"dropping-particle":"","family":"Bussotti","given":"Filippo","non-dropping-particle":"","parse-names":false,"suffix":""},{"dropping-particle":"","family":"Finér","given":"Leena","non-dropping-particle":"","parse-names":false,"suffix":""},{"dropping-particle":"","family":"Jaroszewicz","given":"Bogdan","non-dropping-particle":"","parse-names":false,"suffix":""},{"dropping-particle":"","family":"Jucker","given":"Tommaso","non-dropping-particle":"","parse-names":false,"suffix":""},{"dropping-particle":"","family":"Valladares","given":"Fernando","non-dropping-particle":"","parse-names":false,"suffix":""},{"dropping-particle":"","family":"Jagodzinski","given":"Andrzej M.","non-dropping-particle":"","parse-names":false,"suffix":""},{"dropping-particle":"","family":"Peri","given":"Pablo L.","non-dropping-particle":"","parse-names":false,"suffix":""},{"dropping-particle":"","family":"Gonmadje","given":"Christelle","non-dropping-particle":"","parse-names":false,"suffix":""},{"dropping-particle":"","family":"Marthy","given":"William","non-dropping-particle":"","parse-names":false,"suffix":""},{"dropping-particle":"","family":"O’Brien","given":"Timothy","non-dropping-particle":"","parse-names":false,"suffix":""},{"dropping-particle":"","family":"Martin","given":"Emanuel H.","non-dropping-particle":"","parse-names":false,"suffix":""},{"dropping-particle":"","family":"Marshall","given":"Andrew R.","non-dropping-particle":"","parse-names":false,"suffix":""},{"dropping-particle":"","family":"Rovero","given":"Francesco","non-dropping-particle":"","parse-names":false,"suffix":""},{"dropping-particle":"","family":"Bitariho","given":"Robert","non-dropping-particle":"","parse-names":false,"suffix":""},{"dropping-particle":"","family":"Niklaus","given":"Pascal A.","non-dropping-particle":"","parse-names":false,"suffix":""},{"dropping-particle":"","family":"Alvarez-Loayza","given":"Patricia","non-dropping-particle":"","parse-names":false,"suffix":""},{"dropping-particle":"","family":"Chamuya","given":"Nurdin","non-dropping-particle":"","parse-names":false,"suffix":""},{"dropping-particle":"","family":"Valencia","given":"Renato","non-dropping-particle":"","parse-names":false,"suffix":""},{"dropping-particle":"","family":"Mortier","given":"Frédéric","non-dropping-particle":"","parse-names":false,"suffix":""},{"dropping-particle":"","family":"Wortel","given":"Verginia","non-dropping-particle":"","parse-names":false,"suffix":""},{"dropping-particle":"","family":"Engone-Obiang","given":"Nestor L.","non-dropping-particle":"","parse-names":false,"suffix":""},{"dropping-particle":"V.","family":"Ferreira","given":"Leandro","non-dropping-particle":"","parse-names":false,"suffix":""},{"dropping-particle":"","family":"Odeke","given":"David E.","non-dropping-particle":"","parse-names":false,"suffix":""},{"dropping-particle":"","family":"Vasquez","given":"Rodolfo M.","non-dropping-particle":"","parse-names":false,"suffix":""},{"dropping-particle":"","family":"Lewis","given":"Simon L.","non-dropping-particle":"","parse-names":false,"suffix":""},{"dropping-particle":"","family":"Reich","given":"Peter B.","non-dropping-particle":"","parse-names":false,"suffix":""}],"container-title":"Science","id":"ITEM-1","issue":"6309","issued":{"date-parts":[["2016","10","14"]]},"title":"Positive biodiversity-productivity relationship predominant in global forests","type":"article-journal","volume":"354"},"uris":["http://www.mendeley.com/documents/?uuid=026b0828-985c-4815-a51d-33e02774e59e"]},{"id":"ITEM-2","itemData":{"DOI":"10.1016/j.envexpbot.2017.12.015","ISSN":"00988472","author":[{"dropping-particle":"","family":"Grossman","given":"Jake J.","non-dropping-particle":"","parse-names":false,"suffix":""},{"dropping-particle":"","family":"Vanhellemont","given":"Margot","non-dropping-particle":"","parse-names":false,"suffix":""},{"dropping-particle":"","family":"Barsoum","given":"Nadia","non-dropping-particle":"","parse-names":false,"suffix":""},{"dropping-particle":"","family":"Bauhus","given":"Jürgen","non-dropping-particle":"","parse-names":false,"suffix":""},{"dropping-particle":"","family":"Bruelheide","given":"Helge","non-dropping-particle":"","parse-names":false,"suffix":""},{"dropping-particle":"","family":"Castagneyrol","given":"Bastien","non-dropping-particle":"","parse-names":false,"suffix":""},{"dropping-particle":"","family":"Cavender-Bares","given":"Jeannine","non-dropping-particle":"","parse-names":false,"suffix":""},{"dropping-particle":"","family":"Eisenhauer","given":"Nico","non-dropping-particle":"","parse-names":false,"suffix":""},{"dropping-particle":"","family":"Ferlian","given":"Olga","non-dropping-particle":"","parse-names":false,"suffix":""},{"dropping-particle":"","family":"Gravel","given":"Dominique","non-dropping-particle":"","parse-names":false,"suffix":""},{"dropping-particle":"","family":"Hector","given":"Andy","non-dropping-particle":"","parse-names":false,"suffix":""},{"dropping-particle":"","family":"Jactel","given":"Hervé","non-dropping-particle":"","parse-names":false,"suffix":""},{"dropping-particle":"","family":"Kreft","given":"Holger","non-dropping-particle":"","parse-names":false,"suffix":""},{"dropping-particle":"","family":"Mereu","given":"Simone","non-dropping-particle":"","parse-names":false,"suffix":""},{"dropping-particle":"","family":"Messier","given":"Christian","non-dropping-particle":"","parse-names":false,"suffix":""},{"dropping-particle":"","family":"Muys","given":"Bart","non-dropping-particle":"","parse-names":false,"suffix":""},{"dropping-particle":"","family":"Nock","given":"Charles","non-dropping-particle":"","parse-names":false,"suffix":""},{"dropping-particle":"","family":"Paquette","given":"Alain","non-dropping-particle":"","parse-names":false,"suffix":""},{"dropping-particle":"","family":"Parker","given":"John","non-dropping-particle":"","parse-names":false,"suffix":""},{"dropping-particle":"","family":"Perring","given":"Michael P.","non-dropping-particle":"","parse-names":false,"suffix":""},{"dropping-particle":"","family":"Ponette","given":"Quentin","non-dropping-particle":"","parse-names":false,"suffix":""},{"dropping-particle":"","family":"Reich","given":"Peter B.","non-dropping-particle":"","parse-names":false,"suffix":""},{"dropping-particle":"","family":"Schuldt","given":"Andreas","non-dropping-particle":"","parse-names":false,"suffix":""},{"dropping-particle":"","family":"Staab","given":"Michael","non-dropping-particle":"","parse-names":false,"suffix":""},{"dropping-particle":"","family":"Weih","given":"Martin","non-dropping-particle":"","parse-names":false,"suffix":""},{"dropping-particle":"","family":"Zemp","given":"Delphine Clara","non-dropping-particle":"","parse-names":false,"suffix":""},{"dropping-particle":"","family":"Scherer-Lorenzen","given":"Michael","non-dropping-particle":"","parse-names":false,"suffix":""},{"dropping-particle":"","family":"Verheyen","given":"Kris","non-dropping-particle":"","parse-names":false,"suffix":""}],"container-title":"Environmental and Experimental Botany","id":"ITEM-2","issued":{"date-parts":[["2018","8"]]},"page":"68-89","title":"Synthesis and future research directions linking tree diversity to growth, survival, and damage in a global network of tree diversity experiments","type":"article-journal","volume":"152"},"uris":["http://www.mendeley.com/documents/?uuid=c102203c-c509-433a-b26f-da7458a5fb22"]},{"id":"ITEM-3","itemData":{"DOI":"10.1098/rspb.2018.2090","ISSN":"0962-8452","author":[{"dropping-particle":"","family":"Liu","given":"Xiaojuan","non-dropping-particle":"","parse-names":false,"suffix":""},{"dropping-particle":"","family":"Trogisch","given":"Stefan","non-dropping-particle":"","parse-names":false,"suffix":""},{"dropping-particle":"","family":"He","given":"Jin-Sheng","non-dropping-particle":"","parse-names":false,"suffix":""},{"dropping-particle":"","family":"Niklaus","given":"Pascal A.","non-dropping-particle":"","parse-names":false,"suffix":""},{"dropping-particle":"","family":"Bruelheide","given":"Helge","non-dropping-particle":"","parse-names":false,"suffix":""},{"dropping-particle":"","family":"Tang","given":"Zhiyao","non-dropping-particle":"","parse-names":false,"suffix":""},{"dropping-particle":"","family":"Erfmeier","given":"Alexandra","non-dropping-particle":"","parse-names":false,"suffix":""},{"dropping-particle":"","family":"Scherer-Lorenzen","given":"Michael","non-dropping-particle":"","parse-names":false,"suffix":""},{"dropping-particle":"","family":"Pietsch","given":"Katherina A.","non-dropping-particle":"","parse-names":false,"suffix":""},{"dropping-particle":"","family":"Yang","given":"Bo","non-dropping-particle":"","parse-names":false,"suffix":""},{"dropping-particle":"","family":"Kühn","given":"Peter","non-dropping-particle":"","parse-names":false,"suffix":""},{"dropping-particle":"","family":"Scholten","given":"Thomas","non-dropping-particle":"","parse-names":false,"suffix":""},{"dropping-particle":"","family":"Huang","given":"Yuanyuan","non-dropping-particle":"","parse-names":false,"suffix":""},{"dropping-particle":"","family":"Wang","given":"Chao","non-dropping-particle":"","parse-names":false,"suffix":""},{"dropping-particle":"","family":"Staab","given":"Michael","non-dropping-particle":"","parse-names":false,"suffix":""},{"dropping-particle":"","family":"Leppert","given":"Katrin N.","non-dropping-particle":"","parse-names":false,"suffix":""},{"dropping-particle":"","family":"Wirth","given":"Christian","non-dropping-particle":"","parse-names":false,"suffix":""},{"dropping-particle":"","family":"Schmid","given":"Bernhard","non-dropping-particle":"","parse-names":false,"suffix":""},{"dropping-particle":"","family":"Ma","given":"Keping","non-dropping-particle":"","parse-names":false,"suffix":""}],"container-title":"Proceedings of the Royal Society B: Biological Sciences","id":"ITEM-3","issue":"1888","issued":{"date-parts":[["2018","10","10"]]},"page":"20182090","title":"Correction to ‘Tree species richness increases ecosystem carbon storage in subtropical forests’","type":"article-journal","volume":"285"},"uris":["http://www.mendeley.com/documents/?uuid=bd7b3155-80ea-4be2-9188-d857d483c375"]}],"mendeley":{"formattedCitation":"(Grossman et al., 2018; Liang et al., 2016; Liu et al., 2018)","plainTextFormattedCitation":"(Grossman et al., 2018; Liang et al., 2016; Liu et al., 2018)","previouslyFormattedCitation":"(Grossman et al., 2018; Liang et al., 2016; Liu et al., 2018)"},"properties":{"noteIndex":0},"schema":"https://github.com/citation-style-language/schema/raw/master/csl-citation.json"}</w:instrText>
      </w:r>
      <w:r w:rsidRPr="00EE5690">
        <w:rPr>
          <w:rFonts w:cs="Arial"/>
        </w:rPr>
        <w:fldChar w:fldCharType="separate"/>
      </w:r>
      <w:r w:rsidRPr="00EE5690">
        <w:rPr>
          <w:rFonts w:cs="Arial"/>
          <w:noProof/>
        </w:rPr>
        <w:t>(Grossman et al., 2018; Liang et al., 2016; Liu et al., 2018)</w:t>
      </w:r>
      <w:r w:rsidRPr="00EE5690">
        <w:rPr>
          <w:rFonts w:cs="Arial"/>
        </w:rPr>
        <w:fldChar w:fldCharType="end"/>
      </w:r>
      <w:r w:rsidRPr="00EE5690">
        <w:rPr>
          <w:rFonts w:cs="Arial"/>
        </w:rPr>
        <w:t xml:space="preserve">. Polycultures may improve other important ecosystem services even when species diversity and productivity are not substantially associated </w:t>
      </w:r>
      <w:r w:rsidRPr="00EE5690">
        <w:rPr>
          <w:rFonts w:cs="Arial"/>
        </w:rPr>
        <w:fldChar w:fldCharType="begin" w:fldLock="1"/>
      </w:r>
      <w:r w:rsidRPr="00EE5690">
        <w:rPr>
          <w:rFonts w:cs="Arial"/>
        </w:rPr>
        <w:instrText>ADDIN CSL_CITATION {"citationItems":[{"id":"ITEM-1","itemData":{"DOI":"10.1111/ele.12849","ISSN":"1461023X","author":[{"dropping-particle":"","family":"Ratcliffe","given":"Sophia","non-dropping-particle":"","parse-names":false,"suffix":""},{"dropping-particle":"","family":"Wirth","given":"Christian","non-dropping-particle":"","parse-names":false,"suffix":""},{"dropping-particle":"","family":"Jucker","given":"Tommaso","non-dropping-particle":"","parse-names":false,"suffix":""},{"dropping-particle":"","family":"Plas","given":"Fons","non-dropping-particle":"van der","parse-names":false,"suffix":""},{"dropping-particle":"","family":"Scherer-Lorenzen","given":"Michael","non-dropping-particle":"","parse-names":false,"suffix":""},{"dropping-particle":"","family":"Verheyen","given":"Kris","non-dropping-particle":"","parse-names":false,"suffix":""},{"dropping-particle":"","family":"Allan","given":"Eric","non-dropping-particle":"","parse-names":false,"suffix":""},{"dropping-particle":"","family":"Benavides","given":"Raquel","non-dropping-particle":"","parse-names":false,"suffix":""},{"dropping-particle":"","family":"Bruelheide","given":"Helge","non-dropping-particle":"","parse-names":false,"suffix":""},{"dropping-particle":"","family":"Ohse","given":"Bettina","non-dropping-particle":"","parse-names":false,"suffix":""},{"dropping-particle":"","family":"Paquette","given":"Alain","non-dropping-particle":"","parse-names":false,"suffix":""},{"dropping-particle":"","family":"Ampoorter","given":"Evy","non-dropping-particle":"","parse-names":false,"suffix":""},{"dropping-particle":"","family":"Bastias","given":"Cristina C.","non-dropping-particle":"","parse-names":false,"suffix":""},{"dropping-particle":"","family":"Bauhus","given":"Jürgen","non-dropping-particle":"","parse-names":false,"suffix":""},{"dropping-particle":"","family":"Bonal","given":"Damien","non-dropping-particle":"","parse-names":false,"suffix":""},{"dropping-particle":"","family":"Bouriaud","given":"Olivier","non-dropping-particle":"","parse-names":false,"suffix":""},{"dropping-particle":"","family":"Bussotti","given":"Filippo","non-dropping-particle":"","parse-names":false,"suffix":""},{"dropping-particle":"","family":"Carnol","given":"Monique","non-dropping-particle":"","parse-names":false,"suffix":""},{"dropping-particle":"","family":"Castagneyrol","given":"Bastien","non-dropping-particle":"","parse-names":false,"suffix":""},{"dropping-particle":"","family":"Chećko","given":"Ewa","non-dropping-particle":"","parse-names":false,"suffix":""},{"dropping-particle":"","family":"Dawud","given":"Seid Muhie","non-dropping-particle":"","parse-names":false,"suffix":""},{"dropping-particle":"De","family":"Wandeler","given":"Hans","non-dropping-particle":"","parse-names":false,"suffix":""},{"dropping-particle":"","family":"Domisch","given":"Timo","non-dropping-particle":"","parse-names":false,"suffix":""},{"dropping-particle":"","family":"Finér","given":"Leena","non-dropping-particle":"","parse-names":false,"suffix":""},{"dropping-particle":"","family":"Fischer","given":"Markus","non-dropping-particle":"","parse-names":false,"suffix":""},{"dropping-particle":"","family":"Fotelli","given":"Mariangela","non-dropping-particle":"","parse-names":false,"suffix":""},{"dropping-particle":"","family":"Gessler","given":"Arthur","non-dropping-particle":"","parse-names":false,"suffix":""},{"dropping-particle":"","family":"Granier","given":"André","non-dropping-particle":"","parse-names":false,"suffix":""},{"dropping-particle":"","family":"Grossiord","given":"Charlotte","non-dropping-particle":"","parse-names":false,"suffix":""},{"dropping-particle":"","family":"Guyot","given":"Virginie","non-dropping-particle":"","parse-names":false,"suffix":""},{"dropping-particle":"","family":"Haase","given":"Josephine","non-dropping-particle":"","parse-names":false,"suffix":""},{"dropping-particle":"","family":"Hättenschwiler","given":"Stephan","non-dropping-particle":"","parse-names":false,"suffix":""},{"dropping-particle":"","family":"Jactel","given":"Hervé","non-dropping-particle":"","parse-names":false,"suffix":""},{"dropping-particle":"","family":"Jaroszewicz","given":"Bogdan","non-dropping-particle":"","parse-names":false,"suffix":""},{"dropping-particle":"","family":"Joly","given":"François-Xavier","non-dropping-particle":"","parse-names":false,"suffix":""},{"dropping-particle":"","family":"Kambach","given":"Stephan","non-dropping-particle":"","parse-names":false,"suffix":""},{"dropping-particle":"","family":"Kolb","given":"Simon","non-dropping-particle":"","parse-names":false,"suffix":""},{"dropping-particle":"","family":"Koricheva","given":"Julia","non-dropping-particle":"","parse-names":false,"suffix":""},{"dropping-particle":"","family":"Liebersgesell","given":"Mario","non-dropping-particle":"","parse-names":false,"suffix":""},{"dropping-particle":"","family":"Milligan","given":"Harriet","non-dropping-particle":"","parse-names":false,"suffix":""},{"dropping-particle":"","family":"Müller","given":"Sandra","non-dropping-particle":"","parse-names":false,"suffix":""},{"dropping-particle":"","family":"Muys","given":"Bart","non-dropping-particle":"","parse-names":false,"suffix":""},{"dropping-particle":"","family":"Nguyen","given":"Diem","non-dropping-particle":"","parse-names":false,"suffix":""},{"dropping-particle":"","family":"Nock","given":"Charles","non-dropping-particle":"","parse-names":false,"suffix":""},{"dropping-particle":"","family":"Pollastrini","given":"Martina","non-dropping-particle":"","parse-names":false,"suffix":""},{"dropping-particle":"","family":"Purschke","given":"Oliver","non-dropping-particle":"","parse-names":false,"suffix":""},{"dropping-particle":"","family":"Radoglou","given":"Kalliopi","non-dropping-particle":"","parse-names":false,"suffix":""},{"dropping-particle":"","family":"Raulund-Rasmussen","given":"Karsten","non-dropping-particle":"","parse-names":false,"suffix":""},{"dropping-particle":"","family":"Roger","given":"Fabian","non-dropping-particle":"","parse-names":false,"suffix":""},{"dropping-particle":"","family":"Ruiz-Benito","given":"Paloma","non-dropping-particle":"","parse-names":false,"suffix":""},{"dropping-particle":"","family":"Seidl","given":"Rupert","non-dropping-particle":"","parse-names":false,"suffix":""},{"dropping-particle":"","family":"Selvi","given":"Federico","non-dropping-particle":"","parse-names":false,"suffix":""},{"dropping-particle":"","family":"Seiferling","given":"Ian","non-dropping-particle":"","parse-names":false,"suffix":""},{"dropping-particle":"","family":"Stenlid","given":"Jan","non-dropping-particle":"","parse-names":false,"suffix":""},{"dropping-particle":"","family":"Valladares","given":"Fernando","non-dropping-particle":"","parse-names":false,"suffix":""},{"dropping-particle":"","family":"Vesterdal","given":"Lars","non-dropping-particle":"","parse-names":false,"suffix":""},{"dropping-particle":"","family":"Baeten","given":"Lander","non-dropping-particle":"","parse-names":false,"suffix":""}],"container-title":"Ecology Letters","editor":[{"dropping-particle":"","family":"Bardgett","given":"Richard","non-dropping-particle":"","parse-names":false,"suffix":""}],"id":"ITEM-1","issue":"11","issued":{"date-parts":[["2017","11"]]},"page":"1414-1426","title":"Biodiversity and ecosystem functioning relations in European forests depend on environmental context","type":"article-journal","volume":"20"},"uris":["http://www.mendeley.com/documents/?uuid=a6a056b7-7099-4b97-8103-b15639a76f93"]}],"mendeley":{"formattedCitation":"(Ratcliffe et al., 2017)","plainTextFormattedCitation":"(Ratcliffe et al., 2017)","previouslyFormattedCitation":"(Ratcliffe et al., 2017)"},"properties":{"noteIndex":0},"schema":"https://github.com/citation-style-language/schema/raw/master/csl-citation.json"}</w:instrText>
      </w:r>
      <w:r w:rsidRPr="00EE5690">
        <w:rPr>
          <w:rFonts w:cs="Arial"/>
        </w:rPr>
        <w:fldChar w:fldCharType="separate"/>
      </w:r>
      <w:r w:rsidRPr="00EE5690">
        <w:rPr>
          <w:rFonts w:cs="Arial"/>
          <w:noProof/>
        </w:rPr>
        <w:t>(Ratcliffe et al., 2017)</w:t>
      </w:r>
      <w:r w:rsidRPr="00EE5690">
        <w:rPr>
          <w:rFonts w:cs="Arial"/>
        </w:rPr>
        <w:fldChar w:fldCharType="end"/>
      </w:r>
      <w:r w:rsidRPr="00EE5690">
        <w:rPr>
          <w:rFonts w:cs="Arial"/>
        </w:rPr>
        <w:t xml:space="preserve">. Greater species richness, for example, commonly buffers carbon capture from inter-annual climatic variability, enhancing landscape-scale resilience to disturbance </w:t>
      </w:r>
      <w:r w:rsidRPr="00EE5690">
        <w:rPr>
          <w:rFonts w:cs="Arial"/>
        </w:rPr>
        <w:fldChar w:fldCharType="begin" w:fldLock="1"/>
      </w:r>
      <w:r w:rsidRPr="00EE5690">
        <w:rPr>
          <w:rFonts w:cs="Arial"/>
        </w:rPr>
        <w:instrText>ADDIN CSL_CITATION {"citationItems":[{"id":"ITEM-1","itemData":{"DOI":"10.1038/s41559-018-0544-0","ISSN":"2397-334X","author":[{"dropping-particle":"","family":"Paquette","given":"Alain","non-dropping-particle":"","parse-names":false,"suffix":""},{"dropping-particle":"","family":"Hector","given":"Andy","non-dropping-particle":"","parse-names":false,"suffix":""},{"dropping-particle":"","family":"Castagneyrol","given":"Bastien","non-dropping-particle":"","parse-names":false,"suffix":""},{"dropping-particle":"","family":"Vanhellemont","given":"Margot","non-dropping-particle":"","parse-names":false,"suffix":""},{"dropping-particle":"","family":"Koricheva","given":"Julia","non-dropping-particle":"","parse-names":false,"suffix":""},{"dropping-particle":"","family":"Scherer-Lorenzen","given":"Michael","non-dropping-particle":"","parse-names":false,"suffix":""},{"dropping-particle":"","family":"Verheyen","given":"Kris","non-dropping-particle":"","parse-names":false,"suffix":""}],"container-title":"Nature Ecology &amp; Evolution","id":"ITEM-1","issue":"5","issued":{"date-parts":[["2018","5","16"]]},"page":"763-766","title":"A million and more trees for science","type":"article-journal","volume":"2"},"uris":["http://www.mendeley.com/documents/?uuid=8557a742-806f-4fa2-ab41-f25f00642569"]},{"id":"ITEM-2","itemData":{"DOI":"10.1088/1748-9326/ab5f75","ISSN":"17489326","abstract":"Tree plantations and forest restoration are leading strategies for enhancing terrestrial carbon (C) sequestration and mitigating climate change. While it is well established that species-rich natural forests offer superior C sequestering benefits relative to short-rotation commercial monoculture plantations, differences in rates of C capture and storage between longer-lived plantations (commercial or non-commercial) and natural forests remain unclear. Using a natural experiment in the Western Ghats of India, where late-20th century conservation laws prohibited timber extraction from monodominant plantations and natural forests within nature reserves, we assessed forests and plantations for aboveground C storage and the magnitude and temporal stability of rates of photosynthetic C capture (gross primary production). Specifically, we tested the hypothesis that species-rich forests show greater temporal stability of C capture, and are more resistant to drought, than monodominant plantations. Carbon stocks in monodominant teak (Tectona grandis) and Eucalyptus (Eucalyptus spp.) plantations were 30%-50% lower than in natural evergreen forests, but differed little from moist-deciduous forests. Plantations had 4%-9% higher average C capture rates (estimated using the Enhanced Vegetation Index-EVI) than natural forests during wet seasons, but up to 29% lower C capture during dry seasons across the 2000-18 period. In both seasons, the rate of C capture by plantations was less stable across years, and decreased more during drought years (i.e. lower resistance to drought), compared to forests. Thus, even as certain monodominant plantations could match natural forests for C capture and storage potential, plantations are unlikely to match the stability-and hence reliability-of C capture exhibited by forests, particularly in the face of increasing droughts and other climatic perturbations. Promoting natural forest regeneration and/or multi-species native tree plantations instead of plantation monocultures could therefore benefit climate change mitigation efforts, while offering valuable co-benefits for biodiversity conservation and other ecosystem services.","author":[{"dropping-particle":"","family":"Osuri","given":"Anand M.","non-dropping-particle":"","parse-names":false,"suffix":""},{"dropping-particle":"","family":"Gopal","given":"Abhishek","non-dropping-particle":"","parse-names":false,"suffix":""},{"dropping-particle":"","family":"Raman","given":"T. R.Shankar","non-dropping-particle":"","parse-names":false,"suffix":""},{"dropping-particle":"","family":"Defries","given":"Ruth","non-dropping-particle":"","parse-names":false,"suffix":""},{"dropping-particle":"","family":"Cook-Patton","given":"Susan C.","non-dropping-particle":"","parse-names":false,"suffix":""},{"dropping-particle":"","family":"Naeem","given":"Shahid","non-dropping-particle":"","parse-names":false,"suffix":""}],"container-title":"Environmental Research Letters","id":"ITEM-2","issue":"3","issued":{"date-parts":[["2020"]]},"title":"Greater stability of carbon capture in species-rich natural forests compared to species-poor plantations","type":"article-journal","volume":"15"},"uris":["http://www.mendeley.com/documents/?uuid=30085d89-990e-442a-ab85-bb946816614a"]}],"mendeley":{"formattedCitation":"(Osuri et al., 2020; Paquette et al., 2018)","plainTextFormattedCitation":"(Osuri et al., 2020; Paquette et al., 2018)","previouslyFormattedCitation":"(Osuri et al., 2020; Paquette et al., 2018)"},"properties":{"noteIndex":0},"schema":"https://github.com/citation-style-language/schema/raw/master/csl-citation.json"}</w:instrText>
      </w:r>
      <w:r w:rsidRPr="00EE5690">
        <w:rPr>
          <w:rFonts w:cs="Arial"/>
        </w:rPr>
        <w:fldChar w:fldCharType="separate"/>
      </w:r>
      <w:r w:rsidRPr="00EE5690">
        <w:rPr>
          <w:rFonts w:cs="Arial"/>
          <w:noProof/>
        </w:rPr>
        <w:t>(Osuri et al., 2020; Paquette et al., 2018)</w:t>
      </w:r>
      <w:r w:rsidRPr="00EE5690">
        <w:rPr>
          <w:rFonts w:cs="Arial"/>
        </w:rPr>
        <w:fldChar w:fldCharType="end"/>
      </w:r>
      <w:r w:rsidRPr="00EE5690">
        <w:rPr>
          <w:rFonts w:cs="Arial"/>
        </w:rPr>
        <w:t xml:space="preserve">. This is important because disturbance events, particularly in new plantations, can cancel out the carbon stored over time. Polycultures in plantations can help maintain biodiversity: in the world's biggest reforestation initiative, China's "Grain-for-Green" program, mixed species plantings increase avian variety over monocultures </w:t>
      </w:r>
      <w:r w:rsidRPr="00EE5690">
        <w:rPr>
          <w:rFonts w:cs="Arial"/>
        </w:rPr>
        <w:fldChar w:fldCharType="begin" w:fldLock="1"/>
      </w:r>
      <w:r w:rsidRPr="00EE5690">
        <w:rPr>
          <w:rFonts w:cs="Arial"/>
        </w:rPr>
        <w:instrText>ADDIN CSL_CITATION {"citationItems":[{"id":"ITEM-1","itemData":{"DOI":"10.1038/ncomms12717","ISSN":"2041-1723","author":[{"dropping-particle":"","family":"Hua","given":"Fangyuan","non-dropping-particle":"","parse-names":false,"suffix":""},{"dropping-particle":"","family":"Wang","given":"Xiaoyang","non-dropping-particle":"","parse-names":false,"suffix":""},{"dropping-particle":"","family":"Zheng","given":"Xinlei","non-dropping-particle":"","parse-names":false,"suffix":""},{"dropping-particle":"","family":"Fisher","given":"Brendan","non-dropping-particle":"","parse-names":false,"suffix":""},{"dropping-particle":"","family":"Wang","given":"Lin","non-dropping-particle":"","parse-names":false,"suffix":""},{"dropping-particle":"","family":"Zhu","given":"Jianguo","non-dropping-particle":"","parse-names":false,"suffix":""},{"dropping-particle":"","family":"Tang","given":"Ya","non-dropping-particle":"","parse-names":false,"suffix":""},{"dropping-particle":"","family":"Yu","given":"Douglas W.","non-dropping-particle":"","parse-names":false,"suffix":""},{"dropping-particle":"","family":"Wilcove","given":"David S.","non-dropping-particle":"","parse-names":false,"suffix":""}],"container-title":"Nature Communications","id":"ITEM-1","issue":"1","issued":{"date-parts":[["2016","11","6"]]},"page":"12717","title":"Opportunities for biodiversity gains under the world’s largest reforestation programme","type":"article-journal","volume":"7"},"uris":["http://www.mendeley.com/documents/?uuid=6ee33898-f795-49cb-b2ce-3fbc5778538d"]}],"mendeley":{"formattedCitation":"(Hua et al., 2016)","plainTextFormattedCitation":"(Hua et al., 2016)","previouslyFormattedCitation":"(Hua et al., 2016)"},"properties":{"noteIndex":0},"schema":"https://github.com/citation-style-language/schema/raw/master/csl-citation.json"}</w:instrText>
      </w:r>
      <w:r w:rsidRPr="00EE5690">
        <w:rPr>
          <w:rFonts w:cs="Arial"/>
        </w:rPr>
        <w:fldChar w:fldCharType="separate"/>
      </w:r>
      <w:r w:rsidRPr="00EE5690">
        <w:rPr>
          <w:rFonts w:cs="Arial"/>
          <w:noProof/>
        </w:rPr>
        <w:t>(Hua et al., 2016)</w:t>
      </w:r>
      <w:r w:rsidRPr="00EE5690">
        <w:rPr>
          <w:rFonts w:cs="Arial"/>
        </w:rPr>
        <w:fldChar w:fldCharType="end"/>
      </w:r>
      <w:r w:rsidRPr="00EE5690">
        <w:rPr>
          <w:rFonts w:cs="Arial"/>
        </w:rPr>
        <w:t>.</w:t>
      </w:r>
    </w:p>
    <w:p w14:paraId="37DB3CF5" w14:textId="77777777" w:rsidR="000519D9" w:rsidRPr="00EE5690" w:rsidRDefault="000519D9" w:rsidP="006C7295">
      <w:pPr>
        <w:rPr>
          <w:rFonts w:cs="Arial"/>
        </w:rPr>
      </w:pPr>
      <w:r w:rsidRPr="00EE5690">
        <w:rPr>
          <w:rFonts w:cs="Arial"/>
        </w:rPr>
        <w:t xml:space="preserve">The effect of species identity in mediating environmental services offered by plantations is also important. For decades, provenance experiments have been used to discover tree kinds that are best suited to the specific environmental constraints of a given location </w:t>
      </w:r>
      <w:r w:rsidRPr="00EE5690">
        <w:rPr>
          <w:rFonts w:cs="Arial"/>
        </w:rPr>
        <w:fldChar w:fldCharType="begin" w:fldLock="1"/>
      </w:r>
      <w:r w:rsidRPr="00EE5690">
        <w:rPr>
          <w:rFonts w:cs="Arial"/>
        </w:rPr>
        <w:instrText>ADDIN CSL_CITATION {"citationItems":[{"id":"ITEM-1","itemData":{"DOI":"10.1016/j.foreco.2014.07.017","ISSN":"03781127","abstract":"Over the last 200. years, genetic resources of forest trees have been increasingly transferred, within and outside of species' native distribution ranges, for forestry and for research and development (R&amp;D). Transferred germplasm has been deployed to grow trees for numerous purposes, ranging from the production of wood and non-wood products to the provision of ecosystem services such as the restoration of forests for biodiversity conservation. The oldest form of R&amp;D, provenance trials, revealed early on that seed origin has a major influence on the performance of planted trees. International provenance trials have been essential for selecting seed sources for reforestation and for improving tree germplasm through breeding. Many tree breeding programmes were initiated in the 1950s, but as one round of testing and selection typically takes decades, the most advanced of them are only in their third cycle. Recent advances in forest genomics have increased the understanding of the genetic basis of different traits, but it is unlikely that molecular marker-assisted approaches will quickly replace traditional tree breeding methods. Furthermore, provenance trials and progeny tests are still needed to complement new research approaches. Currently, seed of boreal and temperate trees for reforestation purposes are largely obtained from improved sources. The situation is similar for fast growing tropical and subtropical trees grown in plantations, but in the case of tropical hardwoods and many agroforestry trees, only limited tested or improved seed sources are available. Transfers of tree germplasm involve some risks of spreading pests and diseases, of introducing invasive tree species and of polluting the genetic make-up of already present tree populations. Many of these risks have been underestimated in the past, but they are now better understood and managed. Relatively few tree species used for forestry have become invasive, and the risk of spreading pests and diseases while transferring seed is considerably lower than when moving live plants. The implementation of the Nagoya Protocol on access to genetic resources and benefit sharing (ABS) may significantly change current transfer practices in the forestry sector by increasing transaction costs and the time needed to lawfully obtain forest genetic resources for R&amp;D purposes. Many countries are likely to struggle to establish a well-functioning ABS regulatory system, slowing down the process of obtaining the n…","author":[{"dropping-particle":"","family":"Koskela","given":"Jarkko","non-dropping-particle":"","parse-names":false,"suffix":""},{"dropping-particle":"","family":"Vinceti","given":"Barbara","non-dropping-particle":"","parse-names":false,"suffix":""},{"dropping-particle":"","family":"Dvorak","given":"William","non-dropping-particle":"","parse-names":false,"suffix":""},{"dropping-particle":"","family":"Bush","given":"David","non-dropping-particle":"","parse-names":false,"suffix":""},{"dropping-particle":"","family":"Dawson","given":"Ian K.","non-dropping-particle":"","parse-names":false,"suffix":""},{"dropping-particle":"","family":"Loo","given":"Judy","non-dropping-particle":"","parse-names":false,"suffix":""},{"dropping-particle":"","family":"Kjaer","given":"Erik Dahl","non-dropping-particle":"","parse-names":false,"suffix":""},{"dropping-particle":"","family":"Navarro","given":"Carlos","non-dropping-particle":"","parse-names":false,"suffix":""},{"dropping-particle":"","family":"Padolina","given":"Cenon","non-dropping-particle":"","parse-names":false,"suffix":""},{"dropping-particle":"","family":"Bordács","given":"Sándor","non-dropping-particle":"","parse-names":false,"suffix":""},{"dropping-particle":"","family":"Jamnadass","given":"Ramni","non-dropping-particle":"","parse-names":false,"suffix":""},{"dropping-particle":"","family":"Graudal","given":"Lars","non-dropping-particle":"","parse-names":false,"suffix":""},{"dropping-particle":"","family":"Ramamonjisoa","given":"Lolona","non-dropping-particle":"","parse-names":false,"suffix":""}],"container-title":"Forest Ecology and Management","id":"ITEM-1","issued":{"date-parts":[["2014"]]},"page":"22-34","publisher":"Elsevier B.V.","title":"Utilization and transfer of forest genetic resources: A global review","type":"article-journal","volume":"333"},"uris":["http://www.mendeley.com/documents/?uuid=6f53769a-a900-4a02-9ba0-dc6dd5c360a3"]}],"mendeley":{"formattedCitation":"(Koskela et al., 2014)","plainTextFormattedCitation":"(Koskela et al., 2014)","previouslyFormattedCitation":"(Koskela et al., 2014)"},"properties":{"noteIndex":0},"schema":"https://github.com/citation-style-language/schema/raw/master/csl-citation.json"}</w:instrText>
      </w:r>
      <w:r w:rsidRPr="00EE5690">
        <w:rPr>
          <w:rFonts w:cs="Arial"/>
        </w:rPr>
        <w:fldChar w:fldCharType="separate"/>
      </w:r>
      <w:r w:rsidRPr="00EE5690">
        <w:rPr>
          <w:rFonts w:cs="Arial"/>
          <w:noProof/>
        </w:rPr>
        <w:t>(Koskela et al., 2014)</w:t>
      </w:r>
      <w:r w:rsidRPr="00EE5690">
        <w:rPr>
          <w:rFonts w:cs="Arial"/>
        </w:rPr>
        <w:fldChar w:fldCharType="end"/>
      </w:r>
      <w:r w:rsidRPr="00EE5690">
        <w:rPr>
          <w:rFonts w:cs="Arial"/>
        </w:rPr>
        <w:t xml:space="preserve">. Recognizing that most established forests will confront increased climate variability, a growing corpus of research uses genetic approaches to investigate the adaptation capability of tree species and genotypes in agroforestry plantations </w:t>
      </w:r>
      <w:r w:rsidRPr="00EE5690">
        <w:rPr>
          <w:rFonts w:cs="Arial"/>
        </w:rPr>
        <w:fldChar w:fldCharType="begin" w:fldLock="1"/>
      </w:r>
      <w:r w:rsidRPr="00EE5690">
        <w:rPr>
          <w:rFonts w:cs="Arial"/>
        </w:rPr>
        <w:instrText>ADDIN CSL_CITATION {"citationItems":[{"id":"ITEM-1","itemData":{"DOI":"10.1016/j.foreco.2014.04.006","ISSN":"03781127","abstract":"The current distribution of forest genetic resources on Earth is the result of a combination of natural processes and human actions. Over time, tree populations have become adapted to their habitats including the local ecological disturbances they face. As the planet enters a phase of human-induced climate change of unprecedented speed and magnitude, however, previously locally-adapted populations are rendered less suitable for new conditions, and 'natural' biotic and abiotic disturbances are taken outside their historic distribution, frequency and intensity ranges. Tree populations rely on phenotypic plasticity to survive in extant locations, on genetic adaptation to modify their local phenotypic optimum or on migration to new suitable environmental conditions. The rate of required change, however, may outpace the ability to respond, and tree species and populations may become locally extinct after specific, but as yet unknown and unquantified, tipping points are reached. Here, we review the importance of forest genetic resources as a source of evolutionary potential for adaptation to changes in climate and other ecological factors. We particularly consider climate-related responses in the context of linkages to disturbances such as pests, diseases and fire, and associated feedback loops. The importance of management strategies to conserve evolutionary potential is emphasised and recommendations for policy-makers are provided.","author":[{"dropping-particle":"","family":"Alfaro","given":"René I.","non-dropping-particle":"","parse-names":false,"suffix":""},{"dropping-particle":"","family":"Fady","given":"Bruno","non-dropping-particle":"","parse-names":false,"suffix":""},{"dropping-particle":"","family":"Vendramin","given":"Giovanni Giuseppe","non-dropping-particle":"","parse-names":false,"suffix":""},{"dropping-particle":"","family":"Dawson","given":"Ian K.","non-dropping-particle":"","parse-names":false,"suffix":""},{"dropping-particle":"","family":"Fleming","given":"Richard A.","non-dropping-particle":"","parse-names":false,"suffix":""},{"dropping-particle":"","family":"Sáenz-Romero","given":"Cuauhtémoc","non-dropping-particle":"","parse-names":false,"suffix":""},{"dropping-particle":"","family":"Lindig-Cisneros","given":"Roberto A.","non-dropping-particle":"","parse-names":false,"suffix":""},{"dropping-particle":"","family":"Murdock","given":"Trevor","non-dropping-particle":"","parse-names":false,"suffix":""},{"dropping-particle":"","family":"Vinceti","given":"Barbara","non-dropping-particle":"","parse-names":false,"suffix":""},{"dropping-particle":"","family":"Navarro","given":"Carlos Manuel","non-dropping-particle":"","parse-names":false,"suffix":""},{"dropping-particle":"","family":"Skrøppa","given":"Tore","non-dropping-particle":"","parse-names":false,"suffix":""},{"dropping-particle":"","family":"Baldinelli","given":"Giulia","non-dropping-particle":"","parse-names":false,"suffix":""},{"dropping-particle":"","family":"El-Kassaby","given":"Yousry A.","non-dropping-particle":"","parse-names":false,"suffix":""},{"dropping-particle":"","family":"Loo","given":"Judy","non-dropping-particle":"","parse-names":false,"suffix":""}],"container-title":"Forest Ecology and Management","id":"ITEM-1","issued":{"date-parts":[["2014"]]},"page":"76-87","title":"The role of forest genetic resources in responding to biotic and abiotic factors in the context of anthropogenic climate change","type":"article-journal","volume":"333"},"uris":["http://www.mendeley.com/documents/?uuid=794fe829-15ad-43a0-a741-2a7932e4879d"]}],"mendeley":{"formattedCitation":"(Alfaro et al., 2014)","plainTextFormattedCitation":"(Alfaro et al., 2014)","previouslyFormattedCitation":"(Alfaro et al., 2014)"},"properties":{"noteIndex":0},"schema":"https://github.com/citation-style-language/schema/raw/master/csl-citation.json"}</w:instrText>
      </w:r>
      <w:r w:rsidRPr="00EE5690">
        <w:rPr>
          <w:rFonts w:cs="Arial"/>
        </w:rPr>
        <w:fldChar w:fldCharType="separate"/>
      </w:r>
      <w:r w:rsidRPr="00EE5690">
        <w:rPr>
          <w:rFonts w:cs="Arial"/>
          <w:noProof/>
        </w:rPr>
        <w:t>(Alfaro et al., 2014)</w:t>
      </w:r>
      <w:r w:rsidRPr="00EE5690">
        <w:rPr>
          <w:rFonts w:cs="Arial"/>
        </w:rPr>
        <w:fldChar w:fldCharType="end"/>
      </w:r>
      <w:r w:rsidRPr="00EE5690">
        <w:rPr>
          <w:rFonts w:cs="Arial"/>
        </w:rPr>
        <w:t xml:space="preserve">. The trajectory of forest recovery is determined by the interaction between prior land use and the identity of planted species </w:t>
      </w:r>
      <w:r w:rsidRPr="00EE5690">
        <w:rPr>
          <w:rFonts w:cs="Arial"/>
        </w:rPr>
        <w:fldChar w:fldCharType="begin" w:fldLock="1"/>
      </w:r>
      <w:r w:rsidRPr="00EE5690">
        <w:rPr>
          <w:rFonts w:cs="Arial"/>
        </w:rPr>
        <w:instrText>ADDIN CSL_CITATION {"citationItems":[{"id":"ITEM-1","itemData":{"DOI":"10.1002/eap.1653","ISSN":"10510761","author":[{"dropping-particle":"","family":"César","given":"Ricardo G.","non-dropping-particle":"","parse-names":false,"suffix":""},{"dropping-particle":"","family":"Moreno","given":"Vanessa S.","non-dropping-particle":"","parse-names":false,"suffix":""},{"dropping-particle":"","family":"Coletta","given":"Gabriel D.","non-dropping-particle":"","parse-names":false,"suffix":""},{"dropping-particle":"","family":"Chazdon","given":"Robin L.","non-dropping-particle":"","parse-names":false,"suffix":""},{"dropping-particle":"","family":"Ferraz","given":"Silvio F. B.","non-dropping-particle":"","parse-names":false,"suffix":""},{"dropping-particle":"","family":"Almeida","given":"Danilo R. A.","non-dropping-particle":"de","parse-names":false,"suffix":""},{"dropping-particle":"","family":"Brancalion","given":"Pedro H. S.","non-dropping-particle":"","parse-names":false,"suffix":""}],"container-title":"Ecological Applications","id":"ITEM-1","issue":"2","issued":{"date-parts":[["2018","3"]]},"page":"373-384","title":"Early ecological outcomes of natural regeneration and tree plantations for restoring agricultural landscapes","type":"article-journal","volume":"28"},"uris":["http://www.mendeley.com/documents/?uuid=ffc6a97e-d3ee-4aed-b0c0-760c87afbc44"]}],"mendeley":{"formattedCitation":"(César et al., 2018)","plainTextFormattedCitation":"(César et al., 2018)","previouslyFormattedCitation":"(César et al., 2018)"},"properties":{"noteIndex":0},"schema":"https://github.com/citation-style-language/schema/raw/master/csl-citation.json"}</w:instrText>
      </w:r>
      <w:r w:rsidRPr="00EE5690">
        <w:rPr>
          <w:rFonts w:cs="Arial"/>
        </w:rPr>
        <w:fldChar w:fldCharType="separate"/>
      </w:r>
      <w:r w:rsidRPr="00EE5690">
        <w:rPr>
          <w:rFonts w:cs="Arial"/>
          <w:noProof/>
        </w:rPr>
        <w:t>(César et al., 2018)</w:t>
      </w:r>
      <w:r w:rsidRPr="00EE5690">
        <w:rPr>
          <w:rFonts w:cs="Arial"/>
        </w:rPr>
        <w:fldChar w:fldCharType="end"/>
      </w:r>
      <w:r w:rsidRPr="00EE5690">
        <w:rPr>
          <w:rFonts w:cs="Arial"/>
        </w:rPr>
        <w:t xml:space="preserve">. Species selection is especially important in the context of ecological restoration. Furthermore, native tree </w:t>
      </w:r>
      <w:r w:rsidRPr="00EE5690">
        <w:rPr>
          <w:rFonts w:cs="Arial"/>
        </w:rPr>
        <w:lastRenderedPageBreak/>
        <w:t xml:space="preserve">species are linked to better biodiversity in plantations than exotic species </w:t>
      </w:r>
      <w:r w:rsidRPr="00EE5690">
        <w:rPr>
          <w:rFonts w:cs="Arial"/>
        </w:rPr>
        <w:fldChar w:fldCharType="begin" w:fldLock="1"/>
      </w:r>
      <w:r w:rsidRPr="00EE5690">
        <w:rPr>
          <w:rFonts w:cs="Arial"/>
        </w:rPr>
        <w:instrText>ADDIN CSL_CITATION {"citationItems":[{"id":"ITEM-1","itemData":{"DOI":"10.1007/s10531-010-9936-4","ISSN":"09603115","abstract":"Plantations are established for a variety of reasons including wood production, soil and water conservation, and more recently, carbon sequestration. The effect of this growing land-use change on biodiversity, however, is poorly understood and considerable debate exists as to whether plantations are 'green deserts' or valuable habitat for indigenous flora and fauna. This paper synthesizes peer-reviewed articles that provide quantitative data on plant species richness in plantations and paired land uses, most often representative of pre-plantation land cover. The results of this synthesis suggest that the value of plantations for biodiversity varies considerably depending on whether the original land cover is grassland, shrubland, primary forest, secondary forest, or degraded or exotic pasture, and whether native or exotic tree species are planted. The results of this study suggest that plantations are most likely to contribute to biodiversity when established on degraded lands rather than replacing natural ecosystems, such as forests, grasslands, and shrublands, and when indigenous tree species are used rather than exotic species. These findings can help guide afforestation and reforestation programs, including those aimed at increasing terrestrial carbon sequestration. © 2010 The Author(s).","author":[{"dropping-particle":"","family":"Bremer","given":"Leah L.","non-dropping-particle":"","parse-names":false,"suffix":""},{"dropping-particle":"","family":"Farley","given":"Kathleen A.","non-dropping-particle":"","parse-names":false,"suffix":""}],"container-title":"Biodiversity and Conservation","id":"ITEM-1","issue":"14","issued":{"date-parts":[["2010"]]},"page":"3893-3915","title":"Does plantation forestry restore biodiversity or create green deserts? A synthesis of the effects of land-use transitions on plant species richness","type":"article-journal","volume":"19"},"uris":["http://www.mendeley.com/documents/?uuid=230655ea-b1d8-4357-8530-b746a04a3f98"]}],"mendeley":{"formattedCitation":"(Bremer &amp; Farley, 2010)","plainTextFormattedCitation":"(Bremer &amp; Farley, 2010)","previouslyFormattedCitation":"(Bremer &amp; Farley, 2010)"},"properties":{"noteIndex":0},"schema":"https://github.com/citation-style-language/schema/raw/master/csl-citation.json"}</w:instrText>
      </w:r>
      <w:r w:rsidRPr="00EE5690">
        <w:rPr>
          <w:rFonts w:cs="Arial"/>
        </w:rPr>
        <w:fldChar w:fldCharType="separate"/>
      </w:r>
      <w:r w:rsidRPr="00EE5690">
        <w:rPr>
          <w:rFonts w:cs="Arial"/>
          <w:noProof/>
        </w:rPr>
        <w:t>(Bremer &amp; Farley, 2010)</w:t>
      </w:r>
      <w:r w:rsidRPr="00EE5690">
        <w:rPr>
          <w:rFonts w:cs="Arial"/>
        </w:rPr>
        <w:fldChar w:fldCharType="end"/>
      </w:r>
      <w:r w:rsidRPr="00EE5690">
        <w:rPr>
          <w:rFonts w:cs="Arial"/>
        </w:rPr>
        <w:t>.</w:t>
      </w:r>
    </w:p>
    <w:p w14:paraId="70BE4B62" w14:textId="77777777" w:rsidR="000519D9" w:rsidRPr="00EE5690" w:rsidRDefault="000519D9" w:rsidP="006C7295">
      <w:pPr>
        <w:rPr>
          <w:rFonts w:cs="Arial"/>
        </w:rPr>
      </w:pPr>
      <w:r w:rsidRPr="00EE5690">
        <w:rPr>
          <w:rFonts w:cs="Arial"/>
        </w:rPr>
        <w:t xml:space="preserve">The soil and the tree are inextricably linked: they feed off one another, adapt to one another, and in some cases, suffer together. A healthy soil is necessary for a tree to grow old and healthy. As a result, soil properties must be thoroughly examined </w:t>
      </w:r>
      <w:proofErr w:type="gramStart"/>
      <w:r w:rsidRPr="00EE5690">
        <w:rPr>
          <w:rFonts w:cs="Arial"/>
        </w:rPr>
        <w:t>in order to</w:t>
      </w:r>
      <w:proofErr w:type="gramEnd"/>
      <w:r w:rsidRPr="00EE5690">
        <w:rPr>
          <w:rFonts w:cs="Arial"/>
        </w:rPr>
        <w:t xml:space="preserve"> select tree species with the best chances of survival and/or to create the best soil conditions for the target species. The following soil parameters must be checked and/or improved according to each species' requirements to guarantee seeds germinate and/or seedlings survive soil oxygen, nutrients, organic matter, pH, moisture capacity, root-able soil volume, and compactness are all factors to consider. Nitrogen, Phosphorus, Potassium, and Calcium are some of the most vital nutrients for tree growth. Organic carbon in the soil is used as a measure of biological activity. The diversity and composition of earthworm species are also indicators of soil quality. Non-compacted, well-aerated, moist soil with good drainage is ideal for trees. Root-associated fungus inoculation is indicated to help tree roots get </w:t>
      </w:r>
      <w:proofErr w:type="gramStart"/>
      <w:r w:rsidRPr="00EE5690">
        <w:rPr>
          <w:rFonts w:cs="Arial"/>
        </w:rPr>
        <w:t>all of</w:t>
      </w:r>
      <w:proofErr w:type="gramEnd"/>
      <w:r w:rsidRPr="00EE5690">
        <w:rPr>
          <w:rFonts w:cs="Arial"/>
        </w:rPr>
        <w:t xml:space="preserve"> the critical nutrients they need from the soil for healthy development and nutrient uptake and resilience.</w:t>
      </w:r>
    </w:p>
    <w:p w14:paraId="7D5249BB" w14:textId="718A7263" w:rsidR="000519D9" w:rsidRPr="00EE5690" w:rsidRDefault="000519D9" w:rsidP="006C7295">
      <w:pPr>
        <w:rPr>
          <w:rFonts w:cs="Arial"/>
        </w:rPr>
      </w:pPr>
      <w:r w:rsidRPr="00EE5690">
        <w:rPr>
          <w:rFonts w:cs="Arial"/>
        </w:rPr>
        <w:t xml:space="preserve">Each tree species has specific needs in terms of soil type, pH, climate, and water. As a result, in the decision-making process, it is critical to understand and deal with the environmental peculiarities of each tree species. The tree species, location, and purpose/functionality must all be carefully examined. A suitable tree species necessitates a suitable seed source. It is critical to ensure that high-quality seeds are available in sufficient quantities, which is why forest genetic resources must be conserved in key forest areas. Planting and cultivating a wide variety of trees with diverse genetic elements allows for natural selection of the most suitable individual, which is critical for resilient ecosystems in the context of climate change. Mixed-species forest plantings are far more adapted to this than single-species plantations for achieving this </w:t>
      </w:r>
      <w:r w:rsidRPr="00EE5690">
        <w:rPr>
          <w:rFonts w:cs="Arial"/>
        </w:rPr>
        <w:fldChar w:fldCharType="begin" w:fldLock="1"/>
      </w:r>
      <w:r w:rsidR="00EA04B8" w:rsidRPr="00EE5690">
        <w:rPr>
          <w:rFonts w:cs="Arial"/>
        </w:rPr>
        <w:instrText>ADDIN CSL_CITATION {"citationItems":[{"id":"ITEM-1","itemData":{"abstract":"Modern Evolutionary Economics Evolutionary economics sees the economy as always in motion with change being driven largely by continuing innovation. This approach to economics, heavily infl uenced by the work of Joseph Schumpeter, saw a revival as an alternative way of thinking about economic advancement as a result of Richard Nelson and Sidney Winter’s seminal book, An Evolutionary Theory of Economic Change , fi rst published in 1982. In this long- awaited follow- up, Nelson is joined by leading fi gures in the fi eld of evolutionary economics, reviewing in detail how this perspective has been manifest in various areas of economic inquiry where evolutionary economists have been active. Providing the perfect overview for interested economists and social scientists, readers will learn how in each of the diverse fi elds featured, evolutionary economics has enabled an improved understanding of how and why economic progress occurs. Richard","author":[{"dropping-particle":"","family":"European Commission","given":"","non-dropping-particle":"","parse-names":false,"suffix":""}],"container-title":"Brussels","id":"ITEM-1","issued":{"date-parts":[["2021"]]},"number-of-pages":"50","title":"The 3 Billion Tree Planting Pledge For 2030","type":"report"},"uris":["http://www.mendeley.com/documents/?uuid=f8107ec8-db3c-4696-add9-5c2d9c2ba6b6"]}],"mendeley":{"formattedCitation":"(European Commission, 2021d)","plainTextFormattedCitation":"(European Commission, 2021d)","previouslyFormattedCitation":"(European Commission, 2021d)"},"properties":{"noteIndex":0},"schema":"https://github.com/citation-style-language/schema/raw/master/csl-citation.json"}</w:instrText>
      </w:r>
      <w:r w:rsidRPr="00EE5690">
        <w:rPr>
          <w:rFonts w:cs="Arial"/>
        </w:rPr>
        <w:fldChar w:fldCharType="separate"/>
      </w:r>
      <w:r w:rsidRPr="00EE5690">
        <w:rPr>
          <w:rFonts w:cs="Arial"/>
          <w:noProof/>
        </w:rPr>
        <w:t>(European Commission, 2021d)</w:t>
      </w:r>
      <w:r w:rsidRPr="00EE5690">
        <w:rPr>
          <w:rFonts w:cs="Arial"/>
        </w:rPr>
        <w:fldChar w:fldCharType="end"/>
      </w:r>
      <w:r w:rsidRPr="00EE5690">
        <w:rPr>
          <w:rFonts w:cs="Arial"/>
        </w:rPr>
        <w:t>.</w:t>
      </w:r>
    </w:p>
    <w:p w14:paraId="2A218920" w14:textId="77777777" w:rsidR="000519D9" w:rsidRPr="00EE5690" w:rsidRDefault="000519D9" w:rsidP="009E12D8">
      <w:pPr>
        <w:pStyle w:val="MAIL111"/>
      </w:pPr>
      <w:bookmarkStart w:id="174" w:name="_Toc91752426"/>
      <w:bookmarkStart w:id="175" w:name="_Hlk90035579"/>
      <w:r w:rsidRPr="00EE5690">
        <w:t>Long-Term Management of Carbon in Trees</w:t>
      </w:r>
      <w:bookmarkEnd w:id="174"/>
    </w:p>
    <w:bookmarkEnd w:id="175"/>
    <w:p w14:paraId="7E84EB68" w14:textId="77777777" w:rsidR="000519D9" w:rsidRPr="00EE5690" w:rsidRDefault="000519D9" w:rsidP="00B302A3">
      <w:pPr>
        <w:rPr>
          <w:rFonts w:cs="Arial"/>
        </w:rPr>
      </w:pPr>
      <w:r w:rsidRPr="00EE5690">
        <w:rPr>
          <w:rFonts w:cs="Arial"/>
        </w:rPr>
        <w:t xml:space="preserve">The destiny of carbon collected in growing trees has a significant impact on both natural and planted forest carbon capture. Some of the carbon stored in tree biomass will eventually be absorbed into the soil via litterfall and rhizodeposition, where it might stay for centuries or millennia </w:t>
      </w:r>
      <w:r w:rsidRPr="00EE5690">
        <w:rPr>
          <w:rFonts w:cs="Arial"/>
        </w:rPr>
        <w:fldChar w:fldCharType="begin" w:fldLock="1"/>
      </w:r>
      <w:r w:rsidRPr="00EE5690">
        <w:rPr>
          <w:rFonts w:cs="Arial"/>
        </w:rPr>
        <w:instrText>ADDIN CSL_CITATION {"citationItems":[{"id":"ITEM-1","itemData":{"DOI":"10.1038/s41586-019-1280-6","ISSN":"0028-0836","author":[{"dropping-particle":"","family":"Hemingway","given":"Jordon D.","non-dropping-particle":"","parse-names":false,"suffix":""},{"dropping-particle":"","family":"Rothman","given":"Daniel H.","non-dropping-particle":"","parse-names":false,"suffix":""},{"dropping-particle":"","family":"Grant","given":"Katherine E.","non-dropping-particle":"","parse-names":false,"suffix":""},{"dropping-particle":"","family":"Rosengard","given":"Sarah Z.","non-dropping-particle":"","parse-names":false,"suffix":""},{"dropping-particle":"","family":"Eglinton","given":"Timothy I.","non-dropping-particle":"","parse-names":false,"suffix":""},{"dropping-particle":"","family":"Derry","given":"Louis A.","non-dropping-particle":"","parse-names":false,"suffix":""},{"dropping-particle":"V.","family":"Galy","given":"Valier","non-dropping-particle":"","parse-names":false,"suffix":""}],"container-title":"Nature","id":"ITEM-1","issue":"7760","issued":{"date-parts":[["2019","6","12"]]},"page":"228-231","title":"Mineral protection regulates long-term global preservation of natural organic carbon","type":"article-journal","volume":"570"},"uris":["http://www.mendeley.com/documents/?uuid=5fe06cc6-3bc6-43e8-b16c-97b4508729aa"]}],"mendeley":{"formattedCitation":"(Hemingway et al., 2019)","plainTextFormattedCitation":"(Hemingway et al., 2019)","previouslyFormattedCitation":"(Hemingway et al., 2019)"},"properties":{"noteIndex":0},"schema":"https://github.com/citation-style-language/schema/raw/master/csl-citation.json"}</w:instrText>
      </w:r>
      <w:r w:rsidRPr="00EE5690">
        <w:rPr>
          <w:rFonts w:cs="Arial"/>
        </w:rPr>
        <w:fldChar w:fldCharType="separate"/>
      </w:r>
      <w:r w:rsidRPr="00EE5690">
        <w:rPr>
          <w:rFonts w:cs="Arial"/>
          <w:noProof/>
        </w:rPr>
        <w:t>(Hemingway et al., 2019)</w:t>
      </w:r>
      <w:r w:rsidRPr="00EE5690">
        <w:rPr>
          <w:rFonts w:cs="Arial"/>
        </w:rPr>
        <w:fldChar w:fldCharType="end"/>
      </w:r>
      <w:r w:rsidRPr="00EE5690">
        <w:rPr>
          <w:rFonts w:cs="Arial"/>
        </w:rPr>
        <w:t xml:space="preserve">. Because soils hold more carbon than terrestrial plants and the atmosphere combined, even minor changes in the amount of </w:t>
      </w:r>
      <w:r w:rsidRPr="00EE5690">
        <w:rPr>
          <w:rFonts w:cs="Arial"/>
        </w:rPr>
        <w:lastRenderedPageBreak/>
        <w:t xml:space="preserve">this pool will have a significant influence on the forest carbon sink's strength. Although reforestation and afforestation typically have beneficial impacts on soil carbon accumulation over decadal timescales </w:t>
      </w:r>
      <w:r w:rsidRPr="00EE5690">
        <w:rPr>
          <w:rFonts w:cs="Arial"/>
        </w:rPr>
        <w:fldChar w:fldCharType="begin" w:fldLock="1"/>
      </w:r>
      <w:r w:rsidRPr="00EE5690">
        <w:rPr>
          <w:rFonts w:cs="Arial"/>
        </w:rPr>
        <w:instrText>ADDIN CSL_CITATION {"citationItems":[{"id":"ITEM-1","itemData":{"DOI":"10.1073/pnas.1719685115","ISSN":"0027-8424","abstract":"Soils are Earth’s largest terrestrial carbon (C) pool, and their responsiveness to land use and management make them appealing targets for strategies to enhance C sequestration. Numerous studies have identified practices that increase soil C, but their inferences are often based on limited data extrapolated over large areas. Here, we combine 15,000 observations from two national-level databases with remote sensing information to address the impacts of reforestation on the sequestration of C in topsoils (uppermost mineral soil horizons). We quantify C stocks in cultivated, reforesting, and natural forest topsoils; rates of C accumulation in reforesting topsoils; and their contribution to the US forest C sink. Our results indicate that reforestation increases topsoil C storage, and that reforesting lands, currently occupying &gt;500,000 km 2 in the United States, will sequester a cumulative 1.3–2.1 Pg C within a century (13–21 Tg C·y −1 ). Annually, these C gains constitute 10% of the US forest sector C sink and offset 1% of all US greenhouse gas emissions.","author":[{"dropping-particle":"","family":"Nave","given":"Lucas E.","non-dropping-particle":"","parse-names":false,"suffix":""},{"dropping-particle":"","family":"Domke","given":"Grant M.","non-dropping-particle":"","parse-names":false,"suffix":""},{"dropping-particle":"","family":"Hofmeister","given":"Kathryn L.","non-dropping-particle":"","parse-names":false,"suffix":""},{"dropping-particle":"","family":"Mishra","given":"Umakant","non-dropping-particle":"","parse-names":false,"suffix":""},{"dropping-particle":"","family":"Perry","given":"Charles H.","non-dropping-particle":"","parse-names":false,"suffix":""},{"dropping-particle":"","family":"Walters","given":"Brian F.","non-dropping-particle":"","parse-names":false,"suffix":""},{"dropping-particle":"","family":"Swanston","given":"Christopher W.","non-dropping-particle":"","parse-names":false,"suffix":""}],"container-title":"Proceedings of the National Academy of Sciences","id":"ITEM-1","issue":"11","issued":{"date-parts":[["2018","3","13"]]},"page":"2776-2781","title":"Reforestation can sequester two petagrams of carbon in US topsoils in a century","type":"article-journal","volume":"115"},"uris":["http://www.mendeley.com/documents/?uuid=a79ee70a-66ab-40b0-b8c7-9b9cf8203f93"]},{"id":"ITEM-2","itemData":{"DOI":"10.3390/ijerph14080948","ISSN":"1660-4601","author":[{"dropping-particle":"","family":"Xiang","given":"Yun","non-dropping-particle":"","parse-names":false,"suffix":""},{"dropping-particle":"","family":"Cheng","given":"Man","non-dropping-particle":"","parse-names":false,"suffix":""},{"dropping-particle":"","family":"Huang","given":"Yimei","non-dropping-particle":"","parse-names":false,"suffix":""},{"dropping-particle":"","family":"An","given":"Shaoshan","non-dropping-particle":"","parse-names":false,"suffix":""},{"dropping-particle":"","family":"Darboux","given":"Frédéric","non-dropping-particle":"","parse-names":false,"suffix":""}],"container-title":"International Journal of Environmental Research and Public Health","id":"ITEM-2","issue":"8","issued":{"date-parts":[["2017","8","22"]]},"page":"948","title":"Changes in Soil Microbial Community and Its Effect on Carbon Sequestration Following Afforestation on the Loess Plateau, China","type":"article-journal","volume":"14"},"uris":["http://www.mendeley.com/documents/?uuid=f09caa7a-b3ef-4dd4-825e-dcede466bd76"]}],"mendeley":{"formattedCitation":"(Nave et al., 2018; Xiang et al., 2017)","plainTextFormattedCitation":"(Nave et al., 2018; Xiang et al., 2017)","previouslyFormattedCitation":"(Nave et al., 2018; Xiang et al., 2017)"},"properties":{"noteIndex":0},"schema":"https://github.com/citation-style-language/schema/raw/master/csl-citation.json"}</w:instrText>
      </w:r>
      <w:r w:rsidRPr="00EE5690">
        <w:rPr>
          <w:rFonts w:cs="Arial"/>
        </w:rPr>
        <w:fldChar w:fldCharType="separate"/>
      </w:r>
      <w:r w:rsidRPr="00EE5690">
        <w:rPr>
          <w:rFonts w:cs="Arial"/>
          <w:noProof/>
        </w:rPr>
        <w:t>(Nave et al., 2018; Xiang et al., 2017)</w:t>
      </w:r>
      <w:r w:rsidRPr="00EE5690">
        <w:rPr>
          <w:rFonts w:cs="Arial"/>
        </w:rPr>
        <w:fldChar w:fldCharType="end"/>
      </w:r>
      <w:r w:rsidRPr="00EE5690">
        <w:rPr>
          <w:rFonts w:cs="Arial"/>
        </w:rPr>
        <w:t xml:space="preserve">, tree planting can sometimes result in carbon loss, particularly in high carbon soils like peatlands and many grasslands </w:t>
      </w:r>
      <w:r w:rsidRPr="00EE5690">
        <w:rPr>
          <w:rFonts w:cs="Arial"/>
        </w:rPr>
        <w:fldChar w:fldCharType="begin" w:fldLock="1"/>
      </w:r>
      <w:r w:rsidRPr="00EE5690">
        <w:rPr>
          <w:rFonts w:cs="Arial"/>
        </w:rPr>
        <w:instrText>ADDIN CSL_CITATION {"citationItems":[{"id":"ITEM-1","itemData":{"DOI":"10.1016/j.envsoft.2016.07.011","ISSN":"13648152","abstract":"The ELUM Software Package spatially predicts the net soil greenhouse gas balance of land-use change to grow energy crops in the UK up to 2050. It is able to support a range of analyses of bioenergy, and was developed in consultation with anticipated users. Results can be obtained according to specific interests, viewed in the graphical interface and exported for a variety of purposes. The functionality of the software is demonstrated through different case studies, which show an array of applications.","author":[{"dropping-particle":"","family":"Pogson","given":"Mark","non-dropping-particle":"","parse-names":false,"suffix":""},{"dropping-particle":"","family":"Richards","given":"Mark","non-dropping-particle":"","parse-names":false,"suffix":""},{"dropping-particle":"","family":"Dondini","given":"Marta","non-dropping-particle":"","parse-names":false,"suffix":""},{"dropping-particle":"","family":"Jones","given":"Edward O.","non-dropping-particle":"","parse-names":false,"suffix":""},{"dropping-particle":"","family":"Hastings","given":"Astley","non-dropping-particle":"","parse-names":false,"suffix":""},{"dropping-particle":"","family":"Smith","given":"Pete","non-dropping-particle":"","parse-names":false,"suffix":""}],"container-title":"Environmental Modelling and Software","id":"ITEM-1","issue":"October","issued":{"date-parts":[["2016"]]},"page":"458-466","title":"ELUM: A spatial modelling tool to predict soil greenhouse gas changes from land conversion to bioenergy in the UK","type":"article-journal","volume":"84"},"uris":["http://www.mendeley.com/documents/?uuid=eb2282f8-5672-49a9-9567-1342b8fdc716"]},{"id":"ITEM-2","itemData":{"DOI":"10.1038/srep19693","ISSN":"2045-2322","author":[{"dropping-particle":"","family":"Chen","given":"Guangshui","non-dropping-particle":"","parse-names":false,"suffix":""},{"dropping-particle":"","family":"Yang","given":"Yusheng","non-dropping-particle":"","parse-names":false,"suffix":""},{"dropping-particle":"","family":"Yang","given":"Zhijie","non-dropping-particle":"","parse-names":false,"suffix":""},{"dropping-particle":"","family":"Xie","given":"Jinsheng","non-dropping-particle":"","parse-names":false,"suffix":""},{"dropping-particle":"","family":"Guo","given":"Jianfen","non-dropping-particle":"","parse-names":false,"suffix":""},{"dropping-particle":"","family":"Gao","given":"Ren","non-dropping-particle":"","parse-names":false,"suffix":""},{"dropping-particle":"","family":"Yin","given":"Yunfeng","non-dropping-particle":"","parse-names":false,"suffix":""},{"dropping-particle":"","family":"Robinson","given":"David","non-dropping-particle":"","parse-names":false,"suffix":""}],"container-title":"Scientific Reports","id":"ITEM-2","issue":"1","issued":{"date-parts":[["2016","4","25"]]},"page":"19693","title":"Accelerated soil carbon turnover under tree plantations limits soil carbon storage","type":"article-journal","volume":"6"},"uris":["http://www.mendeley.com/documents/?uuid=f25cf88d-eb28-428a-b98d-0972aa997b7a"]},{"id":"ITEM-3","itemData":{"DOI":"10.1890/08-1730.1","ISSN":"1051-0761","author":[{"dropping-particle":"","family":"Berthrong","given":"Sean T.","non-dropping-particle":"","parse-names":false,"suffix":""},{"dropping-particle":"","family":"Jobbágy","given":"Esteban G.","non-dropping-particle":"","parse-names":false,"suffix":""},{"dropping-particle":"","family":"Jackson","given":"Robert B.","non-dropping-particle":"","parse-names":false,"suffix":""}],"container-title":"Ecological Applications","id":"ITEM-3","issue":"8","issued":{"date-parts":[["2009","12"]]},"page":"2228-2241","title":"A global meta-analysis of soil exchangeable cations, pH, carbon, and nitrogen with afforestation","type":"article-journal","volume":"19"},"uris":["http://www.mendeley.com/documents/?uuid=7bb4d6df-8c84-4e4c-b646-c185ac56d36c"]}],"mendeley":{"formattedCitation":"(Berthrong et al., 2009; Chen et al., 2016; Pogson et al., 2016)","plainTextFormattedCitation":"(Berthrong et al., 2009; Chen et al., 2016; Pogson et al., 2016)","previouslyFormattedCitation":"(Berthrong et al., 2009; Chen et al., 2016; Pogson et al., 2016)"},"properties":{"noteIndex":0},"schema":"https://github.com/citation-style-language/schema/raw/master/csl-citation.json"}</w:instrText>
      </w:r>
      <w:r w:rsidRPr="00EE5690">
        <w:rPr>
          <w:rFonts w:cs="Arial"/>
        </w:rPr>
        <w:fldChar w:fldCharType="separate"/>
      </w:r>
      <w:r w:rsidRPr="00EE5690">
        <w:rPr>
          <w:rFonts w:cs="Arial"/>
          <w:noProof/>
        </w:rPr>
        <w:t>(Berthrong et al., 2009; Chen et al., 2016; Pogson et al., 2016)</w:t>
      </w:r>
      <w:r w:rsidRPr="00EE5690">
        <w:rPr>
          <w:rFonts w:cs="Arial"/>
        </w:rPr>
        <w:fldChar w:fldCharType="end"/>
      </w:r>
      <w:r w:rsidRPr="00EE5690">
        <w:rPr>
          <w:rFonts w:cs="Arial"/>
        </w:rPr>
        <w:t>.</w:t>
      </w:r>
    </w:p>
    <w:p w14:paraId="4C47EDF1" w14:textId="214CAD0B" w:rsidR="000519D9" w:rsidRPr="00EE5690" w:rsidRDefault="007E4FDC" w:rsidP="006C7295">
      <w:pPr>
        <w:rPr>
          <w:rFonts w:cs="Arial"/>
        </w:rPr>
      </w:pPr>
      <w:r>
        <w:rPr>
          <w:rFonts w:cs="Arial"/>
        </w:rPr>
        <w:t xml:space="preserve">A </w:t>
      </w:r>
      <w:r w:rsidR="000519D9" w:rsidRPr="00EE5690">
        <w:rPr>
          <w:rFonts w:cs="Arial"/>
        </w:rPr>
        <w:t xml:space="preserve">Recent study is altering perceptions about forest long-term carbon storage. It was originally widely believed, for example, that the chemical composition of substrates added to soils determined their lifetime. Specific biomolecules, including lignin, are known to be lost during the production of soil organic matter </w:t>
      </w:r>
      <w:r w:rsidR="000519D9" w:rsidRPr="00EE5690">
        <w:rPr>
          <w:rFonts w:cs="Arial"/>
        </w:rPr>
        <w:fldChar w:fldCharType="begin" w:fldLock="1"/>
      </w:r>
      <w:r w:rsidR="000519D9" w:rsidRPr="00EE5690">
        <w:rPr>
          <w:rFonts w:cs="Arial"/>
        </w:rPr>
        <w:instrText>ADDIN CSL_CITATION {"citationItems":[{"id":"ITEM-1","itemData":{"DOI":"10.1038/nature10386","ISSN":"0028-0836","author":[{"dropping-particle":"","family":"Schmidt","given":"Michael W. I.","non-dropping-particle":"","parse-names":false,"suffix":""},{"dropping-particle":"","family":"Torn","given":"Margaret S.","non-dropping-particle":"","parse-names":false,"suffix":""},{"dropping-particle":"","family":"Abiven","given":"Samuel","non-dropping-particle":"","parse-names":false,"suffix":""},{"dropping-particle":"","family":"Dittmar","given":"Thorsten","non-dropping-particle":"","parse-names":false,"suffix":""},{"dropping-particle":"","family":"Guggenberger","given":"Georg","non-dropping-particle":"","parse-names":false,"suffix":""},{"dropping-particle":"","family":"Janssens","given":"Ivan A.","non-dropping-particle":"","parse-names":false,"suffix":""},{"dropping-particle":"","family":"Kleber","given":"Markus","non-dropping-particle":"","parse-names":false,"suffix":""},{"dropping-particle":"","family":"Kögel-Knabner","given":"Ingrid","non-dropping-particle":"","parse-names":false,"suffix":""},{"dropping-particle":"","family":"Lehmann","given":"Johannes","non-dropping-particle":"","parse-names":false,"suffix":""},{"dropping-particle":"","family":"Manning","given":"David A. C.","non-dropping-particle":"","parse-names":false,"suffix":""},{"dropping-particle":"","family":"Nannipieri","given":"Paolo","non-dropping-particle":"","parse-names":false,"suffix":""},{"dropping-particle":"","family":"Rasse","given":"Daniel P.","non-dropping-particle":"","parse-names":false,"suffix":""},{"dropping-particle":"","family":"Weiner","given":"Steve","non-dropping-particle":"","parse-names":false,"suffix":""},{"dropping-particle":"","family":"Trumbore","given":"Susan E.","non-dropping-particle":"","parse-names":false,"suffix":""}],"container-title":"Nature","id":"ITEM-1","issue":"7367","issued":{"date-parts":[["2011","10","5"]]},"page":"49-56","title":"Persistence of soil organic matter as an ecosystem property","type":"article-journal","volume":"478"},"uris":["http://www.mendeley.com/documents/?uuid=b00ebf76-90e0-428d-bfba-d19a186902c9"]}],"mendeley":{"formattedCitation":"(Schmidt et al., 2011)","plainTextFormattedCitation":"(Schmidt et al., 2011)","previouslyFormattedCitation":"(Schmidt et al., 2011)"},"properties":{"noteIndex":0},"schema":"https://github.com/citation-style-language/schema/raw/master/csl-citation.json"}</w:instrText>
      </w:r>
      <w:r w:rsidR="000519D9" w:rsidRPr="00EE5690">
        <w:rPr>
          <w:rFonts w:cs="Arial"/>
        </w:rPr>
        <w:fldChar w:fldCharType="separate"/>
      </w:r>
      <w:r w:rsidR="000519D9" w:rsidRPr="00EE5690">
        <w:rPr>
          <w:rFonts w:cs="Arial"/>
          <w:noProof/>
        </w:rPr>
        <w:t>(Schmidt et al., 2011)</w:t>
      </w:r>
      <w:r w:rsidR="000519D9" w:rsidRPr="00EE5690">
        <w:rPr>
          <w:rFonts w:cs="Arial"/>
        </w:rPr>
        <w:fldChar w:fldCharType="end"/>
      </w:r>
      <w:r w:rsidR="000519D9" w:rsidRPr="00EE5690">
        <w:rPr>
          <w:rFonts w:cs="Arial"/>
        </w:rPr>
        <w:t xml:space="preserve">. Instead, the physiology of decomposer microorganisms and their interactions with soil minerals determine the fate of plant-derived carbon in soils. This new information emphasizes the importance of better understanding soil qualities if carbon storage is to be maximized </w:t>
      </w:r>
      <w:r w:rsidR="000519D9" w:rsidRPr="00EE5690">
        <w:rPr>
          <w:rFonts w:cs="Arial"/>
        </w:rPr>
        <w:fldChar w:fldCharType="begin" w:fldLock="1"/>
      </w:r>
      <w:r w:rsidR="000519D9" w:rsidRPr="00EE5690">
        <w:rPr>
          <w:rFonts w:cs="Arial"/>
        </w:rPr>
        <w:instrText>ADDIN CSL_CITATION {"citationItems":[{"id":"ITEM-1","itemData":{"DOI":"10.1038/s41586-019-1280-6","ISSN":"0028-0836","author":[{"dropping-particle":"","family":"Hemingway","given":"Jordon D.","non-dropping-particle":"","parse-names":false,"suffix":""},{"dropping-particle":"","family":"Rothman","given":"Daniel H.","non-dropping-particle":"","parse-names":false,"suffix":""},{"dropping-particle":"","family":"Grant","given":"Katherine E.","non-dropping-particle":"","parse-names":false,"suffix":""},{"dropping-particle":"","family":"Rosengard","given":"Sarah Z.","non-dropping-particle":"","parse-names":false,"suffix":""},{"dropping-particle":"","family":"Eglinton","given":"Timothy I.","non-dropping-particle":"","parse-names":false,"suffix":""},{"dropping-particle":"","family":"Derry","given":"Louis A.","non-dropping-particle":"","parse-names":false,"suffix":""},{"dropping-particle":"V.","family":"Galy","given":"Valier","non-dropping-particle":"","parse-names":false,"suffix":""}],"container-title":"Nature","id":"ITEM-1","issue":"7760","issued":{"date-parts":[["2019","6","12"]]},"page":"228-231","title":"Mineral protection regulates long-term global preservation of natural organic carbon","type":"article-journal","volume":"570"},"uris":["http://www.mendeley.com/documents/?uuid=5fe06cc6-3bc6-43e8-b16c-97b4508729aa"]}],"mendeley":{"formattedCitation":"(Hemingway et al., 2019)","plainTextFormattedCitation":"(Hemingway et al., 2019)","previouslyFormattedCitation":"(Hemingway et al., 2019)"},"properties":{"noteIndex":0},"schema":"https://github.com/citation-style-language/schema/raw/master/csl-citation.json"}</w:instrText>
      </w:r>
      <w:r w:rsidR="000519D9" w:rsidRPr="00EE5690">
        <w:rPr>
          <w:rFonts w:cs="Arial"/>
        </w:rPr>
        <w:fldChar w:fldCharType="separate"/>
      </w:r>
      <w:r w:rsidR="000519D9" w:rsidRPr="00EE5690">
        <w:rPr>
          <w:rFonts w:cs="Arial"/>
          <w:noProof/>
        </w:rPr>
        <w:t>(Hemingway et al., 2019)</w:t>
      </w:r>
      <w:r w:rsidR="000519D9" w:rsidRPr="00EE5690">
        <w:rPr>
          <w:rFonts w:cs="Arial"/>
        </w:rPr>
        <w:fldChar w:fldCharType="end"/>
      </w:r>
      <w:r w:rsidR="000519D9" w:rsidRPr="00EE5690">
        <w:rPr>
          <w:rFonts w:cs="Arial"/>
        </w:rPr>
        <w:t xml:space="preserve">. Forest management can also have a significant influence on soil carbon turnover. To maximize production, ancient and light-textured sandy soils, for example, frequently require large nitrogen inputs </w:t>
      </w:r>
      <w:r w:rsidR="000519D9" w:rsidRPr="00EE5690">
        <w:rPr>
          <w:rFonts w:cs="Arial"/>
        </w:rPr>
        <w:fldChar w:fldCharType="begin" w:fldLock="1"/>
      </w:r>
      <w:r w:rsidR="000519D9" w:rsidRPr="00EE5690">
        <w:rPr>
          <w:rFonts w:cs="Arial"/>
        </w:rPr>
        <w:instrText>ADDIN CSL_CITATION {"citationItems":[{"id":"ITEM-1","itemData":{"DOI":"10.3389/ffgc.2018.00001","ISSN":"2624-893X","author":[{"dropping-particle":"","family":"Adams","given":"Mark A.","non-dropping-particle":"","parse-names":false,"suffix":""},{"dropping-particle":"","family":"Pfautsch","given":"Sebastian","non-dropping-particle":"","parse-names":false,"suffix":""}],"container-title":"Frontiers in Forests and Global Change","id":"ITEM-1","issued":{"date-parts":[["2018","7","10"]]},"title":"Grand Challenges: Forests and Global Change","type":"article-journal","volume":"1"},"uris":["http://www.mendeley.com/documents/?uuid=642ad5eb-64d5-4aed-82cf-6bcd742d2644"]}],"mendeley":{"formattedCitation":"(Adams &amp; Pfautsch, 2018)","plainTextFormattedCitation":"(Adams &amp; Pfautsch, 2018)","previouslyFormattedCitation":"(Adams &amp; Pfautsch, 2018)"},"properties":{"noteIndex":0},"schema":"https://github.com/citation-style-language/schema/raw/master/csl-citation.json"}</w:instrText>
      </w:r>
      <w:r w:rsidR="000519D9" w:rsidRPr="00EE5690">
        <w:rPr>
          <w:rFonts w:cs="Arial"/>
        </w:rPr>
        <w:fldChar w:fldCharType="separate"/>
      </w:r>
      <w:r w:rsidR="000519D9" w:rsidRPr="00EE5690">
        <w:rPr>
          <w:rFonts w:cs="Arial"/>
          <w:noProof/>
        </w:rPr>
        <w:t>(Adams &amp; Pfautsch, 2018)</w:t>
      </w:r>
      <w:r w:rsidR="000519D9" w:rsidRPr="00EE5690">
        <w:rPr>
          <w:rFonts w:cs="Arial"/>
        </w:rPr>
        <w:fldChar w:fldCharType="end"/>
      </w:r>
      <w:r w:rsidR="000519D9" w:rsidRPr="00EE5690">
        <w:rPr>
          <w:rFonts w:cs="Arial"/>
        </w:rPr>
        <w:t xml:space="preserve">. Fertilizers, in turn, can have an impact on the cycling and stability of soil organic matter </w:t>
      </w:r>
      <w:r w:rsidR="000519D9" w:rsidRPr="00EE5690">
        <w:rPr>
          <w:rFonts w:cs="Arial"/>
        </w:rPr>
        <w:fldChar w:fldCharType="begin" w:fldLock="1"/>
      </w:r>
      <w:r w:rsidR="000519D9" w:rsidRPr="00EE5690">
        <w:rPr>
          <w:rFonts w:cs="Arial"/>
        </w:rPr>
        <w:instrText>ADDIN CSL_CITATION {"citationItems":[{"id":"ITEM-1","itemData":{"DOI":"10.1111/gcb.13980","ISSN":"13652486","PMID":"29121419","abstract":"The availability of nitrogen (N) is a critical control on the cycling and storage of soil carbon (C). Yet, there are conflicting conceptual models to explain how N availability influences the decomposition of organic matter by soil microbial communities. Several lines of evidence suggest that N availability limits decomposition; the earliest stages of leaf litter decay are associated with a net import of N from the soil environment, and both observations and models show that high N organic matter decomposes more rapidly. In direct contrast to these findings, experimental additions of inorganic N to soils broadly show a suppression of microbial activity, which is inconsistent with N limitation of decomposition. Resolving this apparent contradiction is critical to representing nutrient dynamics in predictive ecosystem models under a multitude of global change factors that alter soil N availability. Here, we propose a new conceptual framework, the Carbon, Acidity, and Mineral Protection hypothesis, to understand the effects of N availability on soil C cycling and storage and explore the predictions of this framework with a mathematical model. Our model simulations demonstrate that N addition can have opposing effects on separate soil C pools (particulate and mineral-protected carbon) because they are differentially affected by microbial biomass growth. Moreover, changes in N availability are frequently linked to shifts in soil pH or osmotic stress, which can independently affect microbial biomass dynamics and mask N stimulation of microbial activity. Thus, the net effect of N addition on soil C is dependent upon interactions among microbial physiology, soil mineralogy, and soil acidity. We believe that our synthesis provides a broadly applicable conceptual framework to understand and predict the effect of changes in soil N availability on ecosystem C cycling under global change.","author":[{"dropping-particle":"","family":"Averill","given":"Colin","non-dropping-particle":"","parse-names":false,"suffix":""},{"dropping-particle":"","family":"Waring","given":"Bonnie","non-dropping-particle":"","parse-names":false,"suffix":""}],"container-title":"Global Change Biology","id":"ITEM-1","issue":"4","issued":{"date-parts":[["2018"]]},"page":"1417-1427","title":"Nitrogen limitation of decomposition and decay: How can it occur?","type":"article-journal","volume":"24"},"uris":["http://www.mendeley.com/documents/?uuid=9852658b-5745-4eed-9931-37e53b873121"]}],"mendeley":{"formattedCitation":"(Averill &amp; Waring, 2018)","plainTextFormattedCitation":"(Averill &amp; Waring, 2018)","previouslyFormattedCitation":"(Averill &amp; Waring, 2018)"},"properties":{"noteIndex":0},"schema":"https://github.com/citation-style-language/schema/raw/master/csl-citation.json"}</w:instrText>
      </w:r>
      <w:r w:rsidR="000519D9" w:rsidRPr="00EE5690">
        <w:rPr>
          <w:rFonts w:cs="Arial"/>
        </w:rPr>
        <w:fldChar w:fldCharType="separate"/>
      </w:r>
      <w:r w:rsidR="000519D9" w:rsidRPr="00EE5690">
        <w:rPr>
          <w:rFonts w:cs="Arial"/>
          <w:noProof/>
        </w:rPr>
        <w:t>(Averill &amp; Waring, 2018)</w:t>
      </w:r>
      <w:r w:rsidR="000519D9" w:rsidRPr="00EE5690">
        <w:rPr>
          <w:rFonts w:cs="Arial"/>
        </w:rPr>
        <w:fldChar w:fldCharType="end"/>
      </w:r>
      <w:r w:rsidR="000519D9" w:rsidRPr="00EE5690">
        <w:rPr>
          <w:rFonts w:cs="Arial"/>
        </w:rPr>
        <w:t xml:space="preserve">. It is </w:t>
      </w:r>
      <w:proofErr w:type="gramStart"/>
      <w:r w:rsidR="000519D9" w:rsidRPr="00EE5690">
        <w:rPr>
          <w:rFonts w:cs="Arial"/>
        </w:rPr>
        <w:t>really crucial</w:t>
      </w:r>
      <w:proofErr w:type="gramEnd"/>
      <w:r w:rsidR="000519D9" w:rsidRPr="00EE5690">
        <w:rPr>
          <w:rFonts w:cs="Arial"/>
        </w:rPr>
        <w:t xml:space="preserve"> to consider what happens to the wood harvested from plantations. Wherever possible, substituting wood products for fossil-fuel intensive steel and cement can reduce the construction sector's climate impacts, which accounts for roughly one-fifth of global greenhouse gas emissions </w:t>
      </w:r>
      <w:r w:rsidR="000519D9" w:rsidRPr="00EE5690">
        <w:rPr>
          <w:rFonts w:cs="Arial"/>
        </w:rPr>
        <w:fldChar w:fldCharType="begin" w:fldLock="1"/>
      </w:r>
      <w:r w:rsidR="000519D9" w:rsidRPr="00EE5690">
        <w:rPr>
          <w:rFonts w:cs="Arial"/>
        </w:rPr>
        <w:instrText>ADDIN CSL_CITATION {"citationItems":[{"id":"ITEM-1","itemData":{"ISBN":"9789525980691","author":[{"dropping-particle":"","family":"Leskinen","given":"Pekka","non-dropping-particle":"","parse-names":false,"suffix":""},{"dropping-particle":"","family":"Cardellini","given":"Giuseppe","non-dropping-particle":"","parse-names":false,"suffix":""},{"dropping-particle":"","family":"González-García","given":"Sara","non-dropping-particle":"","parse-names":false,"suffix":""},{"dropping-particle":"","family":"Hurmekoski","given":"Elias","non-dropping-particle":"","parse-names":false,"suffix":""},{"dropping-particle":"","family":"Sathre","given":"Roger","non-dropping-particle":"","parse-names":false,"suffix":""},{"dropping-particle":"","family":"Seppälä","given":"Jyri","non-dropping-particle":"","parse-names":false,"suffix":""},{"dropping-particle":"","family":"Smyth","given":"Carolyn","non-dropping-particle":"","parse-names":false,"suffix":""},{"dropping-particle":"","family":"Stern","given":"Tobias","non-dropping-particle":"","parse-names":false,"suffix":""},{"dropping-particle":"","family":"Verkerk","given":"Pieter Johannes","non-dropping-particle":"","parse-names":false,"suffix":""}],"id":"ITEM-1","issued":{"date-parts":[["2018"]]},"page":"27","title":"Substitution effects of wood-based products in climate change mitigation. From Science to Policy 7, European Forest Institute","type":"article-journal"},"uris":["http://www.mendeley.com/documents/?uuid=d3e3dfad-95ae-46dd-a5aa-3877065d75e1"]},{"id":"ITEM-2","itemData":{"DOI":"10.4155/cmt.11.24","ISSN":"17583004","abstract":"This review on research on life cycle carbon accounting examines the complexities in accounting for carbon emissions given the many different ways that wood is used. Recent objectives to increase the use of renewable fuels have raised policy questions, with respect to the sustainability of managing our forests as well as the impacts of how best to use wood from our forests. There has been general support for the benefits of sustainably managing forests for carbon mitigation as expressed by the Intergovernmental Panel on Climate Change in 2007. However, there are many integrated carbon pools involved, which have led to conflicting implications for best practices and policy. In particular, sustainable management of forests for products produces substantially different impacts than a focus on a single stand or on specific carbon pools with each contributing to different policy implications. In this article, we review many recent research findings on carbon impacts across all stages of processing from cradle-to-grave, based on life cycle accounting, which is necessary to understand the carbon interactions across many different carbon pools. The focus is on where findings are robust and where uncertainties may be large enough to question key assumptions that impact carbon in the forest and its many uses. Many opportunities for reducing carbon emissions are identified along with unintended consequences of proposed policies. © 2011 Future Science Ltd.","author":[{"dropping-particle":"","family":"Lippke","given":"Bruce","non-dropping-particle":"","parse-names":false,"suffix":""},{"dropping-particle":"","family":"Oneil","given":"Elaine","non-dropping-particle":"","parse-names":false,"suffix":""},{"dropping-particle":"","family":"Harrison","given":"Rob","non-dropping-particle":"","parse-names":false,"suffix":""},{"dropping-particle":"","family":"Skog","given":"Kenneth","non-dropping-particle":"","parse-names":false,"suffix":""},{"dropping-particle":"","family":"Gustavsson","given":"Leif","non-dropping-particle":"","parse-names":false,"suffix":""},{"dropping-particle":"","family":"Sathre","given":"Roger","non-dropping-particle":"","parse-names":false,"suffix":""}],"container-title":"Carbon Management","id":"ITEM-2","issue":"3","issued":{"date-parts":[["2011"]]},"page":"303-333","title":"Life cycle impacts of forest management and wood utilization on carbon mitigation: Knowns and unknowns","type":"article-journal","volume":"2"},"uris":["http://www.mendeley.com/documents/?uuid=d3785fd7-3aae-4b34-979d-bc96499b4464"]}],"mendeley":{"formattedCitation":"(Leskinen et al., 2018; Lippke et al., 2011)","plainTextFormattedCitation":"(Leskinen et al., 2018; Lippke et al., 2011)","previouslyFormattedCitation":"(Leskinen et al., 2018; Lippke et al., 2011)"},"properties":{"noteIndex":0},"schema":"https://github.com/citation-style-language/schema/raw/master/csl-citation.json"}</w:instrText>
      </w:r>
      <w:r w:rsidR="000519D9" w:rsidRPr="00EE5690">
        <w:rPr>
          <w:rFonts w:cs="Arial"/>
        </w:rPr>
        <w:fldChar w:fldCharType="separate"/>
      </w:r>
      <w:r w:rsidR="000519D9" w:rsidRPr="00EE5690">
        <w:rPr>
          <w:rFonts w:cs="Arial"/>
          <w:noProof/>
        </w:rPr>
        <w:t>(Leskinen et al., 2018; Lippke et al., 2011)</w:t>
      </w:r>
      <w:r w:rsidR="000519D9" w:rsidRPr="00EE5690">
        <w:rPr>
          <w:rFonts w:cs="Arial"/>
        </w:rPr>
        <w:fldChar w:fldCharType="end"/>
      </w:r>
      <w:r w:rsidR="000519D9" w:rsidRPr="00EE5690">
        <w:rPr>
          <w:rFonts w:cs="Arial"/>
        </w:rPr>
        <w:t xml:space="preserve">. In general, using wood instead of steel, stone, or concrete reduces carbon emissions by 1 to 3 tons per ton of wood carbon, and contributes to an urban carbon sink in buildings and other infrastructure </w:t>
      </w:r>
      <w:r w:rsidR="000519D9" w:rsidRPr="00EE5690">
        <w:rPr>
          <w:rFonts w:cs="Arial"/>
        </w:rPr>
        <w:fldChar w:fldCharType="begin" w:fldLock="1"/>
      </w:r>
      <w:r w:rsidR="000519D9" w:rsidRPr="00EE5690">
        <w:rPr>
          <w:rFonts w:cs="Arial"/>
        </w:rPr>
        <w:instrText>ADDIN CSL_CITATION {"citationItems":[{"id":"ITEM-1","itemData":{"DOI":"10.1016/j.oneear.2020.07.018","ISSN":"25903322","abstract":"The built environment is hard to decarbonize but has a pivotal role in climate-change mitigation amid rapid urbanization. Substituting conventional building materials with bio-based materials that store carbon offers one possible solution. Here, we reflect on the capacity of global forests to deliver the floor area required by mid-century.","author":[{"dropping-particle":"","family":"Pomponi","given":"Francesco","non-dropping-particle":"","parse-names":false,"suffix":""},{"dropping-particle":"","family":"Hart","given":"Jim","non-dropping-particle":"","parse-names":false,"suffix":""},{"dropping-particle":"","family":"Arehart","given":"Jay H.","non-dropping-particle":"","parse-names":false,"suffix":""},{"dropping-particle":"","family":"D'Amico","given":"Bernardino","non-dropping-particle":"","parse-names":false,"suffix":""}],"container-title":"One Earth","id":"ITEM-1","issue":"2","issued":{"date-parts":[["2020"]]},"page":"157-161","publisher":"Elsevier Inc.","title":"Buildings as a Global Carbon Sink? A Reality Check on Feasibility Limits","type":"article-journal","volume":"3"},"uris":["http://www.mendeley.com/documents/?uuid=3759f210-afa9-40fd-bc33-358d79add8ae"]},{"id":"ITEM-2","itemData":{"DOI":"10.1016/j.envsci.2009.12.005","ISSN":"14629011","abstract":"A displacement factor can express the efficiency of using biomass to reduce net greenhouse gas (GHG) emission, by quantifying the amount of emission reduction achieved per unit of wood use. Here we integrate data from 21 different international studies in a meta-analysis of the displacement factors of wood products substituted in place of non-wood materials. We calculate the displacement factors in consistent units of tons of carbon (tC) of emission reduction per tC in wood product. The displacement factors range from a low of -2.3 to a high of 15, with most lying in the range of 1.0 to 3.0. The average displacement factor value is 2.1, meaning that for each tC in wood products substituted in place of non-wood products, there occurs an average GHG emission reduction of approximately 2.1 tC. Expressed in other units, this value corresponds to roughly 3.9 t CO2 eq emission reduction per ton of dry wood used. The few cases of negative displacement factors are the result of worst-case scenarios that are unrealistic in current practice. This meta-analysis quantifies the range of GHG benefits of wood substitution, and provides a clear climate rationale for increasing wood substitution in place of other products, provided that forests are sustainably managed and that wood residues are used responsibly. © 2009 Elsevier Ltd. All rights reserved.","author":[{"dropping-particle":"","family":"Sathre","given":"Roger","non-dropping-particle":"","parse-names":false,"suffix":""},{"dropping-particle":"","family":"O'Connor","given":"Jennifer","non-dropping-particle":"","parse-names":false,"suffix":""}],"container-title":"Environmental Science and Policy","id":"ITEM-2","issue":"2","issued":{"date-parts":[["2010"]]},"page":"104-114","publisher":"Elsevier Ltd","title":"Meta-analysis of greenhouse gas displacement factors of wood product substitution","type":"article-journal","volume":"13"},"uris":["http://www.mendeley.com/documents/?uuid=494417cf-4589-4d1c-9f89-de4ebc0f376e"]}],"mendeley":{"formattedCitation":"(Pomponi et al., 2020; Sathre &amp; O’Connor, 2010)","plainTextFormattedCitation":"(Pomponi et al., 2020; Sathre &amp; O’Connor, 2010)","previouslyFormattedCitation":"(Pomponi et al., 2020; Sathre &amp; O’Connor, 2010)"},"properties":{"noteIndex":0},"schema":"https://github.com/citation-style-language/schema/raw/master/csl-citation.json"}</w:instrText>
      </w:r>
      <w:r w:rsidR="000519D9" w:rsidRPr="00EE5690">
        <w:rPr>
          <w:rFonts w:cs="Arial"/>
        </w:rPr>
        <w:fldChar w:fldCharType="separate"/>
      </w:r>
      <w:r w:rsidR="000519D9" w:rsidRPr="00EE5690">
        <w:rPr>
          <w:rFonts w:cs="Arial"/>
          <w:noProof/>
        </w:rPr>
        <w:t>(Pomponi et al., 2020; Sathre &amp; O’Connor, 2010)</w:t>
      </w:r>
      <w:r w:rsidR="000519D9" w:rsidRPr="00EE5690">
        <w:rPr>
          <w:rFonts w:cs="Arial"/>
        </w:rPr>
        <w:fldChar w:fldCharType="end"/>
      </w:r>
      <w:r w:rsidR="000519D9" w:rsidRPr="00EE5690">
        <w:rPr>
          <w:rFonts w:cs="Arial"/>
        </w:rPr>
        <w:t xml:space="preserve">. The potential for climate mitigation can be further enhanced by replacing fossil fuels with wood biomass energy. However, some caution is recommended because there are several cases where poor land use decisions or insufficient attention to long-term management can easily outweigh the benefits. Tree plantations for bioenergy are land-intensive and frequently managed in ways that are incompatible with biodiversity protection; bioenergy production from wood scraps may be a more environmentally friendly option </w:t>
      </w:r>
      <w:r w:rsidR="000519D9" w:rsidRPr="00EE5690">
        <w:rPr>
          <w:rFonts w:cs="Arial"/>
        </w:rPr>
        <w:fldChar w:fldCharType="begin" w:fldLock="1"/>
      </w:r>
      <w:r w:rsidR="000519D9" w:rsidRPr="00EE5690">
        <w:rPr>
          <w:rFonts w:cs="Arial"/>
        </w:rPr>
        <w:instrText>ADDIN CSL_CITATION {"citationItems":[{"id":"ITEM-1","itemData":{"DOI":"10.1111/j.1523-1739.2007.00879.x","ISSN":"0888-8892","author":[{"dropping-particle":"","family":"Martha J Groom","given":"","non-dropping-particle":"","parse-names":false,"suffix":""},{"dropping-particle":"","family":"Elizabeth M Gray","given":"","non-dropping-particle":"","parse-names":false,"suffix":""},{"dropping-particle":"","family":"Townsend","given":"Patricia A","non-dropping-particle":"","parse-names":false,"suffix":""}],"container-title":"Conservation Biology","id":"ITEM-1","issue":"3","issued":{"date-parts":[["2008","6"]]},"page":"602-609","title":"Biofuels and Biodiversity: Principles for Creating Better Policies for Biofuel Production","type":"article-journal","volume":"22"},"uris":["http://www.mendeley.com/documents/?uuid=dbc2bdbb-1040-4d4d-a855-4fcf5d09c5c0"]}],"mendeley":{"formattedCitation":"(Martha J Groom et al., 2008)","plainTextFormattedCitation":"(Martha J Groom et al., 2008)","previouslyFormattedCitation":"(Martha J Groom et al., 2008)"},"properties":{"noteIndex":0},"schema":"https://github.com/citation-style-language/schema/raw/master/csl-citation.json"}</w:instrText>
      </w:r>
      <w:r w:rsidR="000519D9" w:rsidRPr="00EE5690">
        <w:rPr>
          <w:rFonts w:cs="Arial"/>
        </w:rPr>
        <w:fldChar w:fldCharType="separate"/>
      </w:r>
      <w:r w:rsidR="000519D9" w:rsidRPr="00EE5690">
        <w:rPr>
          <w:rFonts w:cs="Arial"/>
          <w:noProof/>
        </w:rPr>
        <w:t>(Martha J Groom et al., 2008)</w:t>
      </w:r>
      <w:r w:rsidR="000519D9" w:rsidRPr="00EE5690">
        <w:rPr>
          <w:rFonts w:cs="Arial"/>
        </w:rPr>
        <w:fldChar w:fldCharType="end"/>
      </w:r>
      <w:r w:rsidR="000519D9" w:rsidRPr="00EE5690">
        <w:rPr>
          <w:rFonts w:cs="Arial"/>
        </w:rPr>
        <w:t xml:space="preserve">. Finally, more rigorous application of long-known understanding of forest growth and structure will aid efforts to extend the lifecycle of wood products. Thinning, for example, allows for the distribution of net primary production across fewer but larger trees. Larger portfolios of wood products, particularly longer-life products, are among the side effects </w:t>
      </w:r>
      <w:r w:rsidR="000519D9" w:rsidRPr="00EE5690">
        <w:rPr>
          <w:rFonts w:cs="Arial"/>
        </w:rPr>
        <w:fldChar w:fldCharType="begin" w:fldLock="1"/>
      </w:r>
      <w:r w:rsidR="000519D9" w:rsidRPr="00EE5690">
        <w:rPr>
          <w:rFonts w:cs="Arial"/>
        </w:rPr>
        <w:instrText>ADDIN CSL_CITATION {"citationItems":[{"id":"ITEM-1","itemData":{"DOI":"10.1016/j.forpol.2015.11.008","ISSN":"13899341","abstract":"Harvested Wood Products (HWPs) are considered as means of carbon sequestration in the second commitment period of the Kyoto Protocol. The Intergovernmental Panel on Climate Change (IPCC) has introduced the average (service) life multiplied by ln(2) as so-called \"Half-Life\" (HL) to define the period for accounting carbon sequestration in wood products.This work investigates the dynamics of apparent HL and carbon content within three important categories of wood utilization (construction, furniture and packaging) considering sales on the wood product level in Austria for the period 2002 to 2011. Static HL for finished products derived from a literature study is used for upscaling information about carbon flows and associated HL to semi-finished HWP. From HL on the product level three category-HLs are derived. Averaged over 10. years, we find the following HLs: 33.0. years for construction, 8.5. years for furniture, and 1.4. years for packaging. For each category the shares of semi-finished HWP (sawnwood and wood-based panels) are determined. With this information, the average Kyoto-relevant HL for semi-finished HWP can be deducted. For the period 2002-2011, it is 9.5 to 16.6. years for sawnwood and 9.0 to 11.0. years for wood-based panels.","author":[{"dropping-particle":"","family":"Braun","given":"Martin","non-dropping-particle":"","parse-names":false,"suffix":""},{"dropping-particle":"","family":"Winner","given":"Georg","non-dropping-particle":"","parse-names":false,"suffix":""},{"dropping-particle":"","family":"Schwarzbauer","given":"Peter","non-dropping-particle":"","parse-names":false,"suffix":""},{"dropping-particle":"","family":"Stern","given":"Tobias","non-dropping-particle":"","parse-names":false,"suffix":""}],"container-title":"Forest Policy and Economics","id":"ITEM-1","issued":{"date-parts":[["2016"]]},"page":"28-34","publisher":"Elsevier B.V.","title":"Apparent Half-Life-Dynamics of Harvested Wood Products (HWPs) in Austria: Development and analysis of weighted time-series for 2002 to 2011","type":"article-journal","volume":"63"},"uris":["http://www.mendeley.com/documents/?uuid=1a47be95-9fe6-4dc0-b7e2-ad738e93dd8a"]}],"mendeley":{"formattedCitation":"(Braun et al., 2016)","plainTextFormattedCitation":"(Braun et al., 2016)","previouslyFormattedCitation":"(Braun et al., 2016)"},"properties":{"noteIndex":0},"schema":"https://github.com/citation-style-language/schema/raw/master/csl-citation.json"}</w:instrText>
      </w:r>
      <w:r w:rsidR="000519D9" w:rsidRPr="00EE5690">
        <w:rPr>
          <w:rFonts w:cs="Arial"/>
        </w:rPr>
        <w:fldChar w:fldCharType="separate"/>
      </w:r>
      <w:r w:rsidR="000519D9" w:rsidRPr="00EE5690">
        <w:rPr>
          <w:rFonts w:cs="Arial"/>
          <w:noProof/>
        </w:rPr>
        <w:t xml:space="preserve">(Braun et al., </w:t>
      </w:r>
      <w:r w:rsidR="000519D9" w:rsidRPr="00EE5690">
        <w:rPr>
          <w:rFonts w:cs="Arial"/>
          <w:noProof/>
        </w:rPr>
        <w:lastRenderedPageBreak/>
        <w:t>2016)</w:t>
      </w:r>
      <w:r w:rsidR="000519D9" w:rsidRPr="00EE5690">
        <w:rPr>
          <w:rFonts w:cs="Arial"/>
        </w:rPr>
        <w:fldChar w:fldCharType="end"/>
      </w:r>
      <w:r w:rsidR="000519D9" w:rsidRPr="00EE5690">
        <w:rPr>
          <w:rFonts w:cs="Arial"/>
        </w:rPr>
        <w:t>. A steady supply of wood products will bring in money for the local, generally rural people, which can then be used to develop the forest.</w:t>
      </w:r>
    </w:p>
    <w:p w14:paraId="2C61EFF3" w14:textId="77777777" w:rsidR="000519D9" w:rsidRPr="00EE5690" w:rsidRDefault="000519D9" w:rsidP="005D4B20">
      <w:pPr>
        <w:pStyle w:val="MAIL11"/>
      </w:pPr>
      <w:bookmarkStart w:id="176" w:name="_Toc91752427"/>
      <w:r w:rsidRPr="00EE5690">
        <w:t>Forest management</w:t>
      </w:r>
      <w:bookmarkEnd w:id="176"/>
    </w:p>
    <w:p w14:paraId="0A799F16" w14:textId="7CBD2AA6" w:rsidR="00C31E05" w:rsidRPr="00EE5690" w:rsidRDefault="00C31E05" w:rsidP="006C7295">
      <w:pPr>
        <w:rPr>
          <w:rFonts w:cs="Arial"/>
        </w:rPr>
      </w:pPr>
      <w:r w:rsidRPr="00EE5690">
        <w:rPr>
          <w:rFonts w:cs="Arial"/>
        </w:rPr>
        <w:t xml:space="preserve">Forest management as a climate mitigation technique necessitates weighing many trade-offs. Policymakers and land managers must choose between conserving current forests and growing new ones. In plantations, management approaches must balance timber harvest optimization vs. carbon sequestration </w:t>
      </w:r>
      <w:r w:rsidRPr="00EE5690">
        <w:rPr>
          <w:rFonts w:cs="Arial"/>
        </w:rPr>
        <w:fldChar w:fldCharType="begin" w:fldLock="1"/>
      </w:r>
      <w:r w:rsidRPr="00EE5690">
        <w:rPr>
          <w:rFonts w:cs="Arial"/>
        </w:rPr>
        <w:instrText>ADDIN CSL_CITATION {"citationItems":[{"id":"ITEM-1","itemData":{"DOI":"10.3389/ffgc.2020.00058","ISSN":"2624893X","abstract":"The severe consequences of human disruptions to the global carbon cycle have prompted intense interest in strategies to reduce atmospheric CO2 concentrations. Because growing forests capture CO2 in their biomass and soils, large-scale tree planting efforts have been advertised as a viable way to counteract anthropogenic emissions as part of net-zero emission strategies. Here, we assess the potential impact of reforestation and afforestation on the global climate system, and identify ecological, economic, and societal implications of such efforts.","author":[{"dropping-particle":"","family":"Waring","given":"Bonnie","non-dropping-particle":"","parse-names":false,"suffix":""},{"dropping-particle":"","family":"Neumann","given":"Mathias","non-dropping-particle":"","parse-names":false,"suffix":""},{"dropping-particle":"","family":"Prentice","given":"Iain Colin","non-dropping-particle":"","parse-names":false,"suffix":""},{"dropping-particle":"","family":"Adams","given":"Mark","non-dropping-particle":"","parse-names":false,"suffix":""},{"dropping-particle":"","family":"Smith","given":"Pete","non-dropping-particle":"","parse-names":false,"suffix":""},{"dropping-particle":"","family":"Siegert","given":"Martin","non-dropping-particle":"","parse-names":false,"suffix":""}],"container-title":"Frontiers in Forests and Global Change","id":"ITEM-1","issue":"May","issued":{"date-parts":[["2020"]]},"page":"1-6","title":"Forests and Decarbonization – Roles of Natural and Planted Forests","type":"article-journal","volume":"3"},"uris":["http://www.mendeley.com/documents/?uuid=f0374f6c-946d-4845-afda-508d38ddbd8f"]}],"mendeley":{"formattedCitation":"(Waring et al., 2020)","plainTextFormattedCitation":"(Waring et al., 2020)","previouslyFormattedCitation":"(Waring et al., 2020)"},"properties":{"noteIndex":0},"schema":"https://github.com/citation-style-language/schema/raw/master/csl-citation.json"}</w:instrText>
      </w:r>
      <w:r w:rsidRPr="00EE5690">
        <w:rPr>
          <w:rFonts w:cs="Arial"/>
        </w:rPr>
        <w:fldChar w:fldCharType="separate"/>
      </w:r>
      <w:r w:rsidRPr="00EE5690">
        <w:rPr>
          <w:rFonts w:cs="Arial"/>
          <w:noProof/>
        </w:rPr>
        <w:t>(Waring et al., 2020)</w:t>
      </w:r>
      <w:r w:rsidRPr="00EE5690">
        <w:rPr>
          <w:rFonts w:cs="Arial"/>
        </w:rPr>
        <w:fldChar w:fldCharType="end"/>
      </w:r>
      <w:r w:rsidRPr="00EE5690">
        <w:rPr>
          <w:rFonts w:cs="Arial"/>
        </w:rPr>
        <w:t>. Forest plantation</w:t>
      </w:r>
      <w:r w:rsidR="00903750">
        <w:rPr>
          <w:rFonts w:cs="Arial"/>
        </w:rPr>
        <w:t>s</w:t>
      </w:r>
      <w:r w:rsidRPr="00EE5690">
        <w:rPr>
          <w:rFonts w:cs="Arial"/>
        </w:rPr>
        <w:t xml:space="preserve"> require attention and a well-trained workforce to manage for timber and carbon. The physical qualities of wood products that can be substituted for steel, concrete, and </w:t>
      </w:r>
      <w:r w:rsidR="00903750" w:rsidRPr="00EE5690">
        <w:rPr>
          <w:rFonts w:cs="Arial"/>
        </w:rPr>
        <w:t>aluminum</w:t>
      </w:r>
      <w:r w:rsidRPr="00EE5690">
        <w:rPr>
          <w:rFonts w:cs="Arial"/>
        </w:rPr>
        <w:t xml:space="preserve"> are often related to log size and species </w:t>
      </w:r>
      <w:r w:rsidRPr="00EE5690">
        <w:rPr>
          <w:rFonts w:cs="Arial"/>
        </w:rPr>
        <w:fldChar w:fldCharType="begin" w:fldLock="1"/>
      </w:r>
      <w:r w:rsidRPr="00EE5690">
        <w:rPr>
          <w:rFonts w:cs="Arial"/>
        </w:rPr>
        <w:instrText>ADDIN CSL_CITATION {"citationItems":[{"id":"ITEM-1","itemData":{"DOI":"10.1080/10549811.2013.839386","ISSN":"1054-9811","author":[{"dropping-particle":"","family":"Oliver","given":"Chadwick Dearing","non-dropping-particle":"","parse-names":false,"suffix":""},{"dropping-particle":"","family":"Nassar","given":"Nedal T.","non-dropping-particle":"","parse-names":false,"suffix":""},{"dropping-particle":"","family":"Lippke","given":"Bruce R.","non-dropping-particle":"","parse-names":false,"suffix":""},{"dropping-particle":"","family":"McCarter","given":"James B.","non-dropping-particle":"","parse-names":false,"suffix":""}],"container-title":"Journal of Sustainable Forestry","id":"ITEM-1","issue":"3","issued":{"date-parts":[["2014","4","3"]]},"page":"248-275","title":"Carbon, Fossil Fuel, and Biodiversity Mitigation With Wood and Forests","type":"article-journal","volume":"33"},"uris":["http://www.mendeley.com/documents/?uuid=82406dde-51b1-471e-bd94-8b0cdf7d3e07"]}],"mendeley":{"formattedCitation":"(Oliver et al., 2014)","plainTextFormattedCitation":"(Oliver et al., 2014)","previouslyFormattedCitation":"(Oliver et al., 2014)"},"properties":{"noteIndex":0},"schema":"https://github.com/citation-style-language/schema/raw/master/csl-citation.json"}</w:instrText>
      </w:r>
      <w:r w:rsidRPr="00EE5690">
        <w:rPr>
          <w:rFonts w:cs="Arial"/>
        </w:rPr>
        <w:fldChar w:fldCharType="separate"/>
      </w:r>
      <w:r w:rsidRPr="00EE5690">
        <w:rPr>
          <w:rFonts w:cs="Arial"/>
          <w:noProof/>
        </w:rPr>
        <w:t>(Oliver et al., 2014)</w:t>
      </w:r>
      <w:r w:rsidRPr="00EE5690">
        <w:rPr>
          <w:rFonts w:cs="Arial"/>
        </w:rPr>
        <w:fldChar w:fldCharType="end"/>
      </w:r>
      <w:r w:rsidRPr="00EE5690">
        <w:rPr>
          <w:rFonts w:cs="Arial"/>
        </w:rPr>
        <w:t xml:space="preserve">. The trade-off between forest age and wood yield is well-known, and it must be carefully considered when determining rotational efficiency. Furthermore, good management can lessen the vulnerability of young forests to disturbances like wildfires and storm damage, which are expected to become more common and severe in many parts of the world </w:t>
      </w:r>
      <w:r w:rsidRPr="00EE5690">
        <w:rPr>
          <w:rFonts w:cs="Arial"/>
        </w:rPr>
        <w:fldChar w:fldCharType="begin" w:fldLock="1"/>
      </w:r>
      <w:r w:rsidRPr="00EE5690">
        <w:rPr>
          <w:rFonts w:cs="Arial"/>
        </w:rPr>
        <w:instrText>ADDIN CSL_CITATION {"citationItems":[{"id":"ITEM-1","itemData":{"DOI":"10.1038/nclimate3303","ISSN":"1758-678X","author":[{"dropping-particle":"","family":"Seidl","given":"Rupert","non-dropping-particle":"","parse-names":false,"suffix":""},{"dropping-particle":"","family":"Thom","given":"Dominik","non-dropping-particle":"","parse-names":false,"suffix":""},{"dropping-particle":"","family":"Kautz","given":"Markus","non-dropping-particle":"","parse-names":false,"suffix":""},{"dropping-particle":"","family":"Martin-Benito","given":"Dario","non-dropping-particle":"","parse-names":false,"suffix":""},{"dropping-particle":"","family":"Peltoniemi","given":"Mikko","non-dropping-particle":"","parse-names":false,"suffix":""},{"dropping-particle":"","family":"Vacchiano","given":"Giorgio","non-dropping-particle":"","parse-names":false,"suffix":""},{"dropping-particle":"","family":"Wild","given":"Jan","non-dropping-particle":"","parse-names":false,"suffix":""},{"dropping-particle":"","family":"Ascoli","given":"Davide","non-dropping-particle":"","parse-names":false,"suffix":""},{"dropping-particle":"","family":"Petr","given":"Michal","non-dropping-particle":"","parse-names":false,"suffix":""},{"dropping-particle":"","family":"Honkaniemi","given":"Juha","non-dropping-particle":"","parse-names":false,"suffix":""},{"dropping-particle":"","family":"Lexer","given":"Manfred J.","non-dropping-particle":"","parse-names":false,"suffix":""},{"dropping-particle":"","family":"Trotsiuk","given":"Volodymyr","non-dropping-particle":"","parse-names":false,"suffix":""},{"dropping-particle":"","family":"Mairota","given":"Paola","non-dropping-particle":"","parse-names":false,"suffix":""},{"dropping-particle":"","family":"Svoboda","given":"Miroslav","non-dropping-particle":"","parse-names":false,"suffix":""},{"dropping-particle":"","family":"Fabrika","given":"Marek","non-dropping-particle":"","parse-names":false,"suffix":""},{"dropping-particle":"","family":"Nagel","given":"Thomas A.","non-dropping-particle":"","parse-names":false,"suffix":""},{"dropping-particle":"","family":"Reyer","given":"Christopher P. O.","non-dropping-particle":"","parse-names":false,"suffix":""}],"container-title":"Nature Climate Change","id":"ITEM-1","issue":"6","issued":{"date-parts":[["2017","6"]]},"page":"395-402","title":"Forest disturbances under climate change","type":"article-journal","volume":"7"},"uris":["http://www.mendeley.com/documents/?uuid=277a13f9-f9e0-40fa-9a4e-0a541bebcc61"]},{"id":"ITEM-2","itemData":{"DOI":"10.1073/pnas.1003669107","ISSN":"0027-8424","author":[{"dropping-particle":"","family":"Pechony","given":"O.","non-dropping-particle":"","parse-names":false,"suffix":""},{"dropping-particle":"","family":"Shindell","given":"D. T.","non-dropping-particle":"","parse-names":false,"suffix":""}],"container-title":"Proceedings of the National Academy of Sciences","id":"ITEM-2","issue":"45","issued":{"date-parts":[["2010","11","9"]]},"page":"19167-19170","title":"Driving forces of global wildfires over the past millennium and the forthcoming century","type":"article-journal","volume":"107"},"uris":["http://www.mendeley.com/documents/?uuid=0af4c718-a79b-4cd7-aa99-53e81a7aac93"]}],"mendeley":{"formattedCitation":"(Pechony &amp; Shindell, 2010; Seidl et al., 2017)","plainTextFormattedCitation":"(Pechony &amp; Shindell, 2010; Seidl et al., 2017)","previouslyFormattedCitation":"(Pechony &amp; Shindell, 2010; Seidl et al., 2017)"},"properties":{"noteIndex":0},"schema":"https://github.com/citation-style-language/schema/raw/master/csl-citation.json"}</w:instrText>
      </w:r>
      <w:r w:rsidRPr="00EE5690">
        <w:rPr>
          <w:rFonts w:cs="Arial"/>
        </w:rPr>
        <w:fldChar w:fldCharType="separate"/>
      </w:r>
      <w:r w:rsidRPr="00EE5690">
        <w:rPr>
          <w:rFonts w:cs="Arial"/>
          <w:noProof/>
        </w:rPr>
        <w:t>(Pechony &amp; Shindell, 2010; Seidl et al., 2017)</w:t>
      </w:r>
      <w:r w:rsidRPr="00EE5690">
        <w:rPr>
          <w:rFonts w:cs="Arial"/>
        </w:rPr>
        <w:fldChar w:fldCharType="end"/>
      </w:r>
      <w:r w:rsidRPr="00EE5690">
        <w:rPr>
          <w:rFonts w:cs="Arial"/>
        </w:rPr>
        <w:t xml:space="preserve">. Establishment of homogeneous, even-aged forests throughout broad areas of the terrain, for example, might raise fire hazards, which can be minimized by fuel reduction treatments and switching to uneven-aged woods </w:t>
      </w:r>
      <w:r w:rsidRPr="00EE5690">
        <w:rPr>
          <w:rFonts w:cs="Arial"/>
        </w:rPr>
        <w:fldChar w:fldCharType="begin" w:fldLock="1"/>
      </w:r>
      <w:r w:rsidRPr="00EE5690">
        <w:rPr>
          <w:rFonts w:cs="Arial"/>
        </w:rPr>
        <w:instrText>ADDIN CSL_CITATION {"citationItems":[{"id":"ITEM-1","itemData":{"DOI":"10.1071/WF13184","ISSN":"1049-8001","abstract":"Climate change effects on forested ecosystems worldwide include increases in drought-related mortality, changes to disturbance regimes and shifts in species distributions. Such climate-induced changes will alter the outcomes of current management strategies, complicating the selection of appropriate strategies to promote forest resilience. We modelled forest growth in ponderosa pine forests that burned in Arizona’s 2002 Rodeo–Chediski Fire using the Forest Vegetation Simulator Climate Extension, where initial stand structures were defined by pre-fire treatment and fire severity. Under extreme climate change, existing forests persisted for several decades, but shifted towards pinyon–juniper woodlands by 2104. Under milder scenarios, pine persisted with reduced growth. Prescribed burning at 10- and 20-year intervals resulted in basal areas within the historical range of variability (HRV) in low-severity sites that were initially dominated by smaller diameter trees; but in sites initially dominated by larger trees, the range was consistently exceeded. For high-severity sites, prescribed fire was too frequent to reach the HRV’s minimum basal area. Alternatively, for all stands under milder scenarios, uneven-aged management resulted in basal areas within the HRV because of its inherent flexibility to manipulate forest structures. These results emphasise the importance of flexible approaches to management in a changing climate.","author":[{"dropping-particle":"","family":"Shive","given":"K. L.","non-dropping-particle":"","parse-names":false,"suffix":""},{"dropping-particle":"","family":"Fulé","given":"P. Z.","non-dropping-particle":"","parse-names":false,"suffix":""},{"dropping-particle":"","family":"Sieg","given":"C. H.","non-dropping-particle":"","parse-names":false,"suffix":""},{"dropping-particle":"","family":"Strom","given":"B. A.","non-dropping-particle":"","parse-names":false,"suffix":""},{"dropping-particle":"","family":"Hunter","given":"M. E.","non-dropping-particle":"","parse-names":false,"suffix":""}],"container-title":"International Journal of Wildland Fire","id":"ITEM-1","issue":"7","issued":{"date-parts":[["2014"]]},"page":"915","title":"Managing burned landscapes: evaluating future management strategies for resilient forests under a warming climate","type":"article-journal","volume":"23"},"uris":["http://www.mendeley.com/documents/?uuid=797e385c-81ec-4ca8-879d-7dc51769099d"]}],"mendeley":{"formattedCitation":"(Shive et al., 2014)","plainTextFormattedCitation":"(Shive et al., 2014)","previouslyFormattedCitation":"(Shive et al., 2014)"},"properties":{"noteIndex":0},"schema":"https://github.com/citation-style-language/schema/raw/master/csl-citation.json"}</w:instrText>
      </w:r>
      <w:r w:rsidRPr="00EE5690">
        <w:rPr>
          <w:rFonts w:cs="Arial"/>
        </w:rPr>
        <w:fldChar w:fldCharType="separate"/>
      </w:r>
      <w:r w:rsidRPr="00EE5690">
        <w:rPr>
          <w:rFonts w:cs="Arial"/>
          <w:noProof/>
        </w:rPr>
        <w:t>(Shive et al., 2014)</w:t>
      </w:r>
      <w:r w:rsidRPr="00EE5690">
        <w:rPr>
          <w:rFonts w:cs="Arial"/>
        </w:rPr>
        <w:fldChar w:fldCharType="end"/>
      </w:r>
      <w:r w:rsidRPr="00EE5690">
        <w:rPr>
          <w:rFonts w:cs="Arial"/>
        </w:rPr>
        <w:t xml:space="preserve">. Predicted changes in ecosystem fire regimes, as well as species tolerance to fires of variable severity, should be considered in reforestation effort </w:t>
      </w:r>
      <w:r w:rsidRPr="00EE5690">
        <w:rPr>
          <w:rFonts w:cs="Arial"/>
        </w:rPr>
        <w:fldChar w:fldCharType="begin" w:fldLock="1"/>
      </w:r>
      <w:r w:rsidRPr="00EE5690">
        <w:rPr>
          <w:rFonts w:cs="Arial"/>
        </w:rPr>
        <w:instrText>ADDIN CSL_CITATION {"citationItems":[{"id":"ITEM-1","itemData":{"DOI":"10.1126/science.1240294","ISSN":"0036-8075","author":[{"dropping-particle":"","family":"Stephens","given":"S. L.","non-dropping-particle":"","parse-names":false,"suffix":""},{"dropping-particle":"","family":"Agee","given":"J. K.","non-dropping-particle":"","parse-names":false,"suffix":""},{"dropping-particle":"","family":"Fulé","given":"P. Z.","non-dropping-particle":"","parse-names":false,"suffix":""},{"dropping-particle":"","family":"North","given":"M. P.","non-dropping-particle":"","parse-names":false,"suffix":""},{"dropping-particle":"","family":"Romme","given":"W. H.","non-dropping-particle":"","parse-names":false,"suffix":""},{"dropping-particle":"","family":"Swetnam","given":"T. W.","non-dropping-particle":"","parse-names":false,"suffix":""},{"dropping-particle":"","family":"Turner","given":"M. G.","non-dropping-particle":"","parse-names":false,"suffix":""}],"container-title":"Science","id":"ITEM-1","issue":"6154","issued":{"date-parts":[["2013","10","4"]]},"page":"41-42","title":"Managing Forests and Fire in Changing Climates","type":"article-journal","volume":"342"},"uris":["http://www.mendeley.com/documents/?uuid=fd5546aa-1738-4871-8955-6ba27f1f20d9"]}],"mendeley":{"formattedCitation":"(Stephens et al., 2013)","plainTextFormattedCitation":"(Stephens et al., 2013)","previouslyFormattedCitation":"(Stephens et al., 2013)"},"properties":{"noteIndex":0},"schema":"https://github.com/citation-style-language/schema/raw/master/csl-citation.json"}</w:instrText>
      </w:r>
      <w:r w:rsidRPr="00EE5690">
        <w:rPr>
          <w:rFonts w:cs="Arial"/>
        </w:rPr>
        <w:fldChar w:fldCharType="separate"/>
      </w:r>
      <w:r w:rsidRPr="00EE5690">
        <w:rPr>
          <w:rFonts w:cs="Arial"/>
          <w:noProof/>
        </w:rPr>
        <w:t>(Stephens et al., 2013)</w:t>
      </w:r>
      <w:r w:rsidRPr="00EE5690">
        <w:rPr>
          <w:rFonts w:cs="Arial"/>
        </w:rPr>
        <w:fldChar w:fldCharType="end"/>
      </w:r>
      <w:r w:rsidRPr="00EE5690">
        <w:rPr>
          <w:rFonts w:cs="Arial"/>
        </w:rPr>
        <w:t>.</w:t>
      </w:r>
    </w:p>
    <w:p w14:paraId="15FF8262" w14:textId="77777777" w:rsidR="00C31E05" w:rsidRPr="00EE5690" w:rsidRDefault="00C31E05" w:rsidP="005D4B20">
      <w:pPr>
        <w:pStyle w:val="MAIL11"/>
      </w:pPr>
      <w:bookmarkStart w:id="177" w:name="_Toc91752428"/>
      <w:r w:rsidRPr="00EE5690">
        <w:t>Forest monitoring, reporting and data collection</w:t>
      </w:r>
      <w:bookmarkEnd w:id="177"/>
    </w:p>
    <w:p w14:paraId="7E4EF6AA" w14:textId="62B73576" w:rsidR="00C31E05" w:rsidRPr="00EE5690" w:rsidRDefault="00C31E05" w:rsidP="006C7295">
      <w:pPr>
        <w:rPr>
          <w:rFonts w:cs="Arial"/>
        </w:rPr>
      </w:pPr>
      <w:r w:rsidRPr="00EE5690">
        <w:rPr>
          <w:rFonts w:cs="Arial"/>
        </w:rPr>
        <w:t xml:space="preserve">The condition of forests in the EU, their social and economic importance, the pressures they face, and the ecosystem services they provide are all patchy </w:t>
      </w:r>
      <w:proofErr w:type="gramStart"/>
      <w:r w:rsidRPr="00EE5690">
        <w:rPr>
          <w:rFonts w:cs="Arial"/>
        </w:rPr>
        <w:t>at the moment</w:t>
      </w:r>
      <w:proofErr w:type="gramEnd"/>
      <w:r w:rsidRPr="00EE5690">
        <w:rPr>
          <w:rFonts w:cs="Arial"/>
        </w:rPr>
        <w:t xml:space="preserve">. There have been no extensive reporting requirements since 2007, when the Forest </w:t>
      </w:r>
      <w:hyperlink r:id="rId65" w:history="1">
        <w:r w:rsidRPr="00EE5690">
          <w:rPr>
            <w:rStyle w:val="Hyperlink"/>
            <w:rFonts w:cs="Arial"/>
          </w:rPr>
          <w:t>Focus Regulation (2152/2003)</w:t>
        </w:r>
      </w:hyperlink>
      <w:r w:rsidRPr="00EE5690">
        <w:rPr>
          <w:rFonts w:cs="Arial"/>
        </w:rPr>
        <w:t xml:space="preserve"> expired. Furthermore, there are difficulties in using remote sensing data together with ground-based data. In addition, there is a lack of forest planning that would address the multifunctionality of forests in the EU in a coordinated manner and provide a comprehensive picture, particularly in terms of climate mitigation and adaptation, forest ecological condition, forest damage prevention and control, and forest biomass demand and supply for various socio-economic purposes. When combined with the requirement for more specific sustainable forest management indicators and thresholds on particular climate and biodiversity elements, Member States </w:t>
      </w:r>
      <w:r w:rsidRPr="00EE5690">
        <w:rPr>
          <w:rFonts w:cs="Arial"/>
        </w:rPr>
        <w:lastRenderedPageBreak/>
        <w:t xml:space="preserve">have agreed at EU level to rely heavily on forests and forest-based bioeconomy in the EU's transition to a climate-neutral economy </w:t>
      </w:r>
      <w:r w:rsidRPr="00EE5690">
        <w:rPr>
          <w:rFonts w:cs="Arial"/>
        </w:rPr>
        <w:fldChar w:fldCharType="begin" w:fldLock="1"/>
      </w:r>
      <w:r w:rsidRPr="00EE5690">
        <w:rPr>
          <w:rFonts w:cs="Arial"/>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approach.","author":[{"dropping-particle":"","family":"European Commission","given":"","non-dropping-particle":"","parse-names":false,"suffix":""}],"container-title":"European Commission","id":"ITEM-1","issued":{"date-parts":[["2021"]]},"page":"5-24","title":"New EU Forest Strategy for 2030","type":"article-journal"},"uris":["http://www.mendeley.com/documents/?uuid=32b8ba3f-26d2-4138-8ede-792b744d4507"]}],"mendeley":{"formattedCitation":"(European Commission, 2021a)","plainTextFormattedCitation":"(European Commission, 2021a)","previouslyFormattedCitation":"(European Commission, 2021a)"},"properties":{"noteIndex":0},"schema":"https://github.com/citation-style-language/schema/raw/master/csl-citation.json"}</w:instrText>
      </w:r>
      <w:r w:rsidRPr="00EE5690">
        <w:rPr>
          <w:rFonts w:cs="Arial"/>
        </w:rPr>
        <w:fldChar w:fldCharType="separate"/>
      </w:r>
      <w:r w:rsidRPr="00EE5690">
        <w:rPr>
          <w:rFonts w:cs="Arial"/>
          <w:noProof/>
        </w:rPr>
        <w:t>(European Commission, 2021a)</w:t>
      </w:r>
      <w:r w:rsidRPr="00EE5690">
        <w:rPr>
          <w:rFonts w:cs="Arial"/>
        </w:rPr>
        <w:fldChar w:fldCharType="end"/>
      </w:r>
      <w:r w:rsidRPr="00EE5690">
        <w:rPr>
          <w:rFonts w:cs="Arial"/>
        </w:rPr>
        <w:t>.</w:t>
      </w:r>
    </w:p>
    <w:p w14:paraId="3659E4A0" w14:textId="77777777" w:rsidR="00C31E05" w:rsidRPr="00EE5690" w:rsidRDefault="00C31E05" w:rsidP="006C7295">
      <w:pPr>
        <w:rPr>
          <w:rFonts w:cs="Arial"/>
        </w:rPr>
      </w:pPr>
      <w:r w:rsidRPr="00EE5690">
        <w:rPr>
          <w:rFonts w:cs="Arial"/>
        </w:rPr>
        <w:t>However, there is </w:t>
      </w:r>
      <w:proofErr w:type="gramStart"/>
      <w:r w:rsidRPr="00EE5690">
        <w:rPr>
          <w:rFonts w:cs="Arial"/>
        </w:rPr>
        <w:t>a number of</w:t>
      </w:r>
      <w:proofErr w:type="gramEnd"/>
      <w:r w:rsidRPr="00EE5690">
        <w:rPr>
          <w:rFonts w:cs="Arial"/>
        </w:rPr>
        <w:t xml:space="preserve"> disparate monitoring and reporting mechanisms, but no strategic framework that would bring them all together and allow the EU to demonstrate, comprehensively and in collaboration with Member States, that the EU is on the right track and that forests can actually meet their multiple demands and functions. Strategic forest planning at the national and regional levels in all EU Member States, based on accurate monitoring and data, open governance, and coordinated sharing at the EU level, is required to enable the fulfilment of the common EU objectives. This is especially true in terms of the transition to a climate-neutral economy and the accomplishment of biodiversity and circular economy goals, as well as the removal objectives outlined in the proposal for a revised LULUCF Regulation </w:t>
      </w:r>
      <w:r w:rsidRPr="00EE5690">
        <w:rPr>
          <w:rFonts w:cs="Arial"/>
        </w:rPr>
        <w:fldChar w:fldCharType="begin" w:fldLock="1"/>
      </w:r>
      <w:r w:rsidRPr="00EE5690">
        <w:rPr>
          <w:rFonts w:cs="Arial"/>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approach.","author":[{"dropping-particle":"","family":"European Commission","given":"","non-dropping-particle":"","parse-names":false,"suffix":""}],"container-title":"European Commission","id":"ITEM-1","issued":{"date-parts":[["2021"]]},"page":"5-24","title":"New EU Forest Strategy for 2030","type":"article-journal"},"uris":["http://www.mendeley.com/documents/?uuid=32b8ba3f-26d2-4138-8ede-792b744d4507"]}],"mendeley":{"formattedCitation":"(European Commission, 2021a)","plainTextFormattedCitation":"(European Commission, 2021a)","previouslyFormattedCitation":"(European Commission, 2021a)"},"properties":{"noteIndex":0},"schema":"https://github.com/citation-style-language/schema/raw/master/csl-citation.json"}</w:instrText>
      </w:r>
      <w:r w:rsidRPr="00EE5690">
        <w:rPr>
          <w:rFonts w:cs="Arial"/>
        </w:rPr>
        <w:fldChar w:fldCharType="separate"/>
      </w:r>
      <w:r w:rsidRPr="00EE5690">
        <w:rPr>
          <w:rFonts w:cs="Arial"/>
          <w:noProof/>
        </w:rPr>
        <w:t>(European Commission, 2021a)</w:t>
      </w:r>
      <w:r w:rsidRPr="00EE5690">
        <w:rPr>
          <w:rFonts w:cs="Arial"/>
        </w:rPr>
        <w:fldChar w:fldCharType="end"/>
      </w:r>
      <w:r w:rsidRPr="00EE5690">
        <w:rPr>
          <w:rFonts w:cs="Arial"/>
        </w:rPr>
        <w:t>.</w:t>
      </w:r>
    </w:p>
    <w:p w14:paraId="31A4942F" w14:textId="77777777" w:rsidR="00C31E05" w:rsidRPr="00EE5690" w:rsidRDefault="00C31E05" w:rsidP="006C7295">
      <w:pPr>
        <w:rPr>
          <w:rFonts w:cs="Arial"/>
        </w:rPr>
      </w:pPr>
      <w:r w:rsidRPr="00EE5690">
        <w:rPr>
          <w:rFonts w:cs="Arial"/>
        </w:rPr>
        <w:t>To this purpose, the Commission will propose a legal framework for forest observation, reporting, and data collection, which will be subject to an impact assessment. This will develop an EU-wide integrated forest monitoring framework, which will increase monitoring accuracy by combining remote sensing technology and geospatial data with ground-based monitoring. This would include Strategic Plans for Forests to be created by competent national or, where relevant, regional authorities, subject to an impact assessment and consultation and in full observance of the subsidiarity principle. This proposal will build a framework for more efficient action coordination while fully respecting Member States' competencies in this sector.</w:t>
      </w:r>
    </w:p>
    <w:p w14:paraId="11D5A28C" w14:textId="5DE3D899" w:rsidR="00C31E05" w:rsidRPr="00EE5690" w:rsidRDefault="00C31E05" w:rsidP="006C7295">
      <w:pPr>
        <w:rPr>
          <w:rFonts w:cs="Arial"/>
        </w:rPr>
      </w:pPr>
      <w:r w:rsidRPr="00EE5690">
        <w:rPr>
          <w:rFonts w:cs="Arial"/>
        </w:rPr>
        <w:t xml:space="preserve">Building on existing indicators and monitoring schemes at national and EU levels, for example the </w:t>
      </w:r>
      <w:hyperlink r:id="rId66" w:history="1">
        <w:r w:rsidRPr="00EE5690">
          <w:rPr>
            <w:rStyle w:val="Hyperlink"/>
            <w:rFonts w:cs="Arial"/>
          </w:rPr>
          <w:t>European Forest Fire Information System (EFFIS)</w:t>
        </w:r>
      </w:hyperlink>
      <w:r w:rsidRPr="00EE5690">
        <w:rPr>
          <w:rFonts w:cs="Arial"/>
        </w:rPr>
        <w:t xml:space="preserve">, and respecting the </w:t>
      </w:r>
      <w:hyperlink r:id="rId67" w:history="1">
        <w:r w:rsidRPr="00EE5690">
          <w:rPr>
            <w:rStyle w:val="Hyperlink"/>
            <w:rFonts w:cs="Arial"/>
          </w:rPr>
          <w:t>Once-Only Principle</w:t>
        </w:r>
      </w:hyperlink>
      <w:r w:rsidRPr="00EE5690">
        <w:rPr>
          <w:rFonts w:cs="Arial"/>
        </w:rPr>
        <w:t xml:space="preserve"> as set out in the Single Digital Gateway regulation, a list of parameters relevant for </w:t>
      </w:r>
      <w:proofErr w:type="spellStart"/>
      <w:r w:rsidRPr="00EE5690">
        <w:rPr>
          <w:rFonts w:cs="Arial"/>
        </w:rPr>
        <w:t>harmonised</w:t>
      </w:r>
      <w:proofErr w:type="spellEnd"/>
      <w:r w:rsidRPr="00EE5690">
        <w:rPr>
          <w:rFonts w:cs="Arial"/>
        </w:rPr>
        <w:t xml:space="preserve"> EU monitoring would be defined, and data would be collected and reported. Options for new monitoring parameters and indicators would be evaluated and examined through consultations with Member States, expert support, research, and other methods, and would then be implemented into the monitoring system when they were available. The EU </w:t>
      </w:r>
      <w:hyperlink r:id="rId68" w:history="1">
        <w:r w:rsidRPr="00EE5690">
          <w:rPr>
            <w:rStyle w:val="Hyperlink"/>
            <w:rFonts w:cs="Arial"/>
          </w:rPr>
          <w:t>Destination Earth (</w:t>
        </w:r>
        <w:proofErr w:type="spellStart"/>
        <w:r w:rsidRPr="00EE5690">
          <w:rPr>
            <w:rStyle w:val="Hyperlink"/>
            <w:rFonts w:cs="Arial"/>
          </w:rPr>
          <w:t>DestinE</w:t>
        </w:r>
        <w:proofErr w:type="spellEnd"/>
        <w:r w:rsidRPr="00EE5690">
          <w:rPr>
            <w:rStyle w:val="Hyperlink"/>
            <w:rFonts w:cs="Arial"/>
          </w:rPr>
          <w:t>)</w:t>
        </w:r>
      </w:hyperlink>
      <w:r w:rsidRPr="00EE5690">
        <w:rPr>
          <w:rFonts w:cs="Arial"/>
        </w:rPr>
        <w:t xml:space="preserve"> initiative, which can be considered a significant step-change for Earth system modeling and data assimilation across diverse but interconnected thematic areas, could also benefit the new monitoring framework in the form of a specific digital twin </w:t>
      </w:r>
      <w:r w:rsidRPr="00EE5690">
        <w:rPr>
          <w:rFonts w:cs="Arial"/>
        </w:rPr>
        <w:fldChar w:fldCharType="begin" w:fldLock="1"/>
      </w:r>
      <w:r w:rsidRPr="00EE5690">
        <w:rPr>
          <w:rFonts w:cs="Arial"/>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approach.","author":[{"dropping-particle":"","family":"European Commission","given":"","non-dropping-particle":"","parse-names":false,"suffix":""}],"container-title":"European Commission","id":"ITEM-1","issued":{"date-parts":[["2021"]]},"page":"5-24","title":"New EU Forest Strategy for 2030","type":"article-journal"},"uris":["http://www.mendeley.com/documents/?uuid=32b8ba3f-26d2-4138-8ede-792b744d4507"]}],"mendeley":{"formattedCitation":"(European Commission, 2021a)","plainTextFormattedCitation":"(European Commission, 2021a)","previouslyFormattedCitation":"(European Commission, 2021a)"},"properties":{"noteIndex":0},"schema":"https://github.com/citation-style-language/schema/raw/master/csl-citation.json"}</w:instrText>
      </w:r>
      <w:r w:rsidRPr="00EE5690">
        <w:rPr>
          <w:rFonts w:cs="Arial"/>
        </w:rPr>
        <w:fldChar w:fldCharType="separate"/>
      </w:r>
      <w:r w:rsidRPr="00EE5690">
        <w:rPr>
          <w:rFonts w:cs="Arial"/>
          <w:noProof/>
        </w:rPr>
        <w:t>(European Commission, 2021a)</w:t>
      </w:r>
      <w:r w:rsidRPr="00EE5690">
        <w:rPr>
          <w:rFonts w:cs="Arial"/>
        </w:rPr>
        <w:fldChar w:fldCharType="end"/>
      </w:r>
      <w:r w:rsidRPr="00EE5690">
        <w:rPr>
          <w:rFonts w:cs="Arial"/>
        </w:rPr>
        <w:t>.</w:t>
      </w:r>
    </w:p>
    <w:p w14:paraId="4BC995AC" w14:textId="08F95767" w:rsidR="00C31E05" w:rsidRPr="00EE5690" w:rsidRDefault="00C31E05" w:rsidP="006C7295">
      <w:pPr>
        <w:rPr>
          <w:rFonts w:cs="Arial"/>
        </w:rPr>
      </w:pPr>
      <w:r w:rsidRPr="00EE5690">
        <w:rPr>
          <w:rFonts w:cs="Arial"/>
        </w:rPr>
        <w:t xml:space="preserve">The </w:t>
      </w:r>
      <w:hyperlink r:id="rId69" w:history="1">
        <w:r w:rsidRPr="00EE5690">
          <w:rPr>
            <w:rStyle w:val="Hyperlink"/>
            <w:rFonts w:cs="Arial"/>
          </w:rPr>
          <w:t>Forest Information System for Europe (FISE)</w:t>
        </w:r>
      </w:hyperlink>
      <w:r w:rsidRPr="00EE5690">
        <w:rPr>
          <w:rFonts w:cs="Arial"/>
        </w:rPr>
        <w:t xml:space="preserve"> will be improved so that it can serve as the foundation for </w:t>
      </w:r>
      <w:proofErr w:type="spellStart"/>
      <w:r w:rsidRPr="00EE5690">
        <w:rPr>
          <w:rFonts w:cs="Arial"/>
        </w:rPr>
        <w:t>harmonised</w:t>
      </w:r>
      <w:proofErr w:type="spellEnd"/>
      <w:r w:rsidRPr="00EE5690">
        <w:rPr>
          <w:rFonts w:cs="Arial"/>
        </w:rPr>
        <w:t xml:space="preserve"> forest data across Europe. As a result, the integrated </w:t>
      </w:r>
      <w:r w:rsidRPr="00EE5690">
        <w:rPr>
          <w:rFonts w:cs="Arial"/>
        </w:rPr>
        <w:lastRenderedPageBreak/>
        <w:t xml:space="preserve">forest monitoring system will be defined under this information system, and its results will be made available through it. The EU Observatory on Deforestation, Forest Degradation, Changes in Global Forest Cover, and Related Drivers </w:t>
      </w:r>
      <w:r w:rsidRPr="00EE5690">
        <w:rPr>
          <w:rFonts w:cs="Arial"/>
        </w:rPr>
        <w:fldChar w:fldCharType="begin" w:fldLock="1"/>
      </w:r>
      <w:r w:rsidRPr="00EE5690">
        <w:rPr>
          <w:rFonts w:cs="Arial"/>
        </w:rPr>
        <w:instrText>ADDIN CSL_CITATION {"citationItems":[{"id":"ITEM-1","itemData":{"ISBN":"9788578110796","ISSN":"1098-6596","PMID":"25246403","author":[{"dropping-particle":"","family":"European Comission","given":"","non-dropping-particle":"","parse-names":false,"suffix":""}],"id":"ITEM-1","issued":{"date-parts":[["2019"]]},"title":"ANNEX I Actions to be implemented by the European Comission","type":"article-journal"},"uris":["http://www.mendeley.com/documents/?uuid=0c0c3271-5466-4ddb-897a-71ca226c3cc7"]}],"mendeley":{"formattedCitation":"(European Comission, 2019)","plainTextFormattedCitation":"(European Comission, 2019)","previouslyFormattedCitation":"(European Comission, 2019)"},"properties":{"noteIndex":0},"schema":"https://github.com/citation-style-language/schema/raw/master/csl-citation.json"}</w:instrText>
      </w:r>
      <w:r w:rsidRPr="00EE5690">
        <w:rPr>
          <w:rFonts w:cs="Arial"/>
        </w:rPr>
        <w:fldChar w:fldCharType="separate"/>
      </w:r>
      <w:r w:rsidRPr="00EE5690">
        <w:rPr>
          <w:rFonts w:cs="Arial"/>
          <w:noProof/>
        </w:rPr>
        <w:t>(European Comission, 2019)</w:t>
      </w:r>
      <w:r w:rsidRPr="00EE5690">
        <w:rPr>
          <w:rFonts w:cs="Arial"/>
        </w:rPr>
        <w:fldChar w:fldCharType="end"/>
      </w:r>
      <w:r w:rsidRPr="00EE5690">
        <w:rPr>
          <w:rFonts w:cs="Arial"/>
        </w:rPr>
        <w:t xml:space="preserve"> of the European Commission will develop Earth-Observation-based forest monitoring tools that could be operationalized by Copernicus and adopted by FISE as part of the integrated forest monitoring system. For indicators that are readily available, such as those from remote sensing data, a dashboard on key indicators will be created and updated annually. Forest disturbances and updated risk assessments will be included in the annual reports, </w:t>
      </w:r>
      <w:proofErr w:type="gramStart"/>
      <w:r w:rsidRPr="00EE5690">
        <w:rPr>
          <w:rFonts w:cs="Arial"/>
        </w:rPr>
        <w:t>taking into account</w:t>
      </w:r>
      <w:proofErr w:type="gramEnd"/>
      <w:r w:rsidRPr="00EE5690">
        <w:rPr>
          <w:rFonts w:cs="Arial"/>
        </w:rPr>
        <w:t xml:space="preserve"> the hazards and quickly changing situation in EU forests. For those metrics that require longer time to consolidate, a dashboard will be created every six years. This will also help with regular monitoring processes like the United Nations Sustainable Development Goals, the 8th Environment Action Program, and the European Semester. These reports will be prepared with the help of the future European forest scientific partnership. </w:t>
      </w:r>
      <w:proofErr w:type="gramStart"/>
      <w:r w:rsidRPr="00EE5690">
        <w:rPr>
          <w:rFonts w:cs="Arial"/>
        </w:rPr>
        <w:t>All of</w:t>
      </w:r>
      <w:proofErr w:type="gramEnd"/>
      <w:r w:rsidRPr="00EE5690">
        <w:rPr>
          <w:rFonts w:cs="Arial"/>
        </w:rPr>
        <w:t xml:space="preserve"> the FISE reports mentioned above will have lay summaries available. It is critical to ensure that all people have access to science-based knowledge and information</w:t>
      </w:r>
      <w:r w:rsidRPr="00EE5690">
        <w:rPr>
          <w:rFonts w:cs="Arial"/>
        </w:rPr>
        <w:fldChar w:fldCharType="begin" w:fldLock="1"/>
      </w:r>
      <w:r w:rsidRPr="00EE5690">
        <w:rPr>
          <w:rFonts w:cs="Arial"/>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approach.","author":[{"dropping-particle":"","family":"European Commission","given":"","non-dropping-particle":"","parse-names":false,"suffix":""}],"container-title":"European Commission","id":"ITEM-1","issued":{"date-parts":[["2021"]]},"page":"5-24","title":"New EU Forest Strategy for 2030","type":"article-journal"},"uris":["http://www.mendeley.com/documents/?uuid=32b8ba3f-26d2-4138-8ede-792b744d4507"]}],"mendeley":{"formattedCitation":"(European Commission, 2021a)","plainTextFormattedCitation":"(European Commission, 2021a)","previouslyFormattedCitation":"(European Commission, 2021a)"},"properties":{"noteIndex":0},"schema":"https://github.com/citation-style-language/schema/raw/master/csl-citation.json"}</w:instrText>
      </w:r>
      <w:r w:rsidRPr="00EE5690">
        <w:rPr>
          <w:rFonts w:cs="Arial"/>
        </w:rPr>
        <w:fldChar w:fldCharType="separate"/>
      </w:r>
      <w:r w:rsidRPr="00EE5690">
        <w:rPr>
          <w:rFonts w:cs="Arial"/>
          <w:noProof/>
        </w:rPr>
        <w:t>(European Commission, 2021a)</w:t>
      </w:r>
      <w:r w:rsidRPr="00EE5690">
        <w:rPr>
          <w:rFonts w:cs="Arial"/>
        </w:rPr>
        <w:fldChar w:fldCharType="end"/>
      </w:r>
      <w:r w:rsidRPr="00EE5690">
        <w:rPr>
          <w:rFonts w:cs="Arial"/>
        </w:rPr>
        <w:t>.</w:t>
      </w:r>
    </w:p>
    <w:p w14:paraId="0F7FC5E6" w14:textId="77777777" w:rsidR="00C31E05" w:rsidRPr="00EE5690" w:rsidRDefault="00C31E05" w:rsidP="006C7295">
      <w:pPr>
        <w:rPr>
          <w:rFonts w:cs="Arial"/>
        </w:rPr>
      </w:pPr>
      <w:r w:rsidRPr="00EE5690">
        <w:rPr>
          <w:rFonts w:cs="Arial"/>
        </w:rPr>
        <w:t xml:space="preserve">Forest owners and managers, society organizations, and local action groups are encouraged to use these publications and hold public education sessions in their nations or towns to promote awareness about European forests. Through the website </w:t>
      </w:r>
      <w:proofErr w:type="spellStart"/>
      <w:r w:rsidRPr="00EE5690">
        <w:rPr>
          <w:rFonts w:cs="Arial"/>
        </w:rPr>
        <w:t>MapMyTree</w:t>
      </w:r>
      <w:proofErr w:type="spellEnd"/>
      <w:r w:rsidRPr="00EE5690">
        <w:rPr>
          <w:rFonts w:cs="Arial"/>
        </w:rPr>
        <w:t xml:space="preserve">, citizens and communities will be able to track the trees planted as part of the vow to plant at least 3 billion more trees by 2030. On a dedicated platform, practical information on tree planting and care will be offered. The Strategic Plans would be created by national or regional administrations in Member States, in accordance with the principle of subsidiarity. These would set out Member States' strategic visions for their forests and forest-based industries over the next 50 years </w:t>
      </w:r>
      <w:r w:rsidRPr="00EE5690">
        <w:rPr>
          <w:rFonts w:cs="Arial"/>
        </w:rPr>
        <w:fldChar w:fldCharType="begin" w:fldLock="1"/>
      </w:r>
      <w:r w:rsidRPr="00EE5690">
        <w:rPr>
          <w:rFonts w:cs="Arial"/>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approach.","author":[{"dropping-particle":"","family":"European Commission","given":"","non-dropping-particle":"","parse-names":false,"suffix":""}],"container-title":"European Commission","id":"ITEM-1","issued":{"date-parts":[["2021"]]},"page":"5-24","title":"New EU Forest Strategy for 2030","type":"article-journal"},"uris":["http://www.mendeley.com/documents/?uuid=32b8ba3f-26d2-4138-8ede-792b744d4507"]}],"mendeley":{"formattedCitation":"(European Commission, 2021a)","plainTextFormattedCitation":"(European Commission, 2021a)","previouslyFormattedCitation":"(European Commission, 2021a)"},"properties":{"noteIndex":0},"schema":"https://github.com/citation-style-language/schema/raw/master/csl-citation.json"}</w:instrText>
      </w:r>
      <w:r w:rsidRPr="00EE5690">
        <w:rPr>
          <w:rFonts w:cs="Arial"/>
        </w:rPr>
        <w:fldChar w:fldCharType="separate"/>
      </w:r>
      <w:r w:rsidRPr="00EE5690">
        <w:rPr>
          <w:rFonts w:cs="Arial"/>
          <w:noProof/>
        </w:rPr>
        <w:t>(European Commission, 2021a)</w:t>
      </w:r>
      <w:r w:rsidRPr="00EE5690">
        <w:rPr>
          <w:rFonts w:cs="Arial"/>
        </w:rPr>
        <w:fldChar w:fldCharType="end"/>
      </w:r>
      <w:r w:rsidRPr="00EE5690">
        <w:rPr>
          <w:rFonts w:cs="Arial"/>
        </w:rPr>
        <w:t>.</w:t>
      </w:r>
    </w:p>
    <w:p w14:paraId="33D7B6F0" w14:textId="01557EDB" w:rsidR="00C31E05" w:rsidRDefault="00C31E05" w:rsidP="006C7295">
      <w:pPr>
        <w:rPr>
          <w:rFonts w:cs="Arial"/>
        </w:rPr>
      </w:pPr>
      <w:r w:rsidRPr="00EE5690">
        <w:rPr>
          <w:rFonts w:cs="Arial"/>
        </w:rPr>
        <w:t xml:space="preserve">The plans would not require Commission approval but would include common elements and a general structure that would be developed in collaboration with Member States and subject to an impact assessment and stakeholder engagement </w:t>
      </w:r>
      <w:proofErr w:type="gramStart"/>
      <w:r w:rsidRPr="00EE5690">
        <w:rPr>
          <w:rFonts w:cs="Arial"/>
        </w:rPr>
        <w:t>in order to</w:t>
      </w:r>
      <w:proofErr w:type="gramEnd"/>
      <w:r w:rsidRPr="00EE5690">
        <w:rPr>
          <w:rFonts w:cs="Arial"/>
        </w:rPr>
        <w:t xml:space="preserve"> allow for comparability and provide a comprehensive picture of the state, evolution, and future developments of forests in the EU as envisioned by Member States. Furthermore, in accordance with the EU 2030 Biodiversity Strategy, forest management plans (FMPs) should cover all managed public forests as well as an expanding amount of private forests </w:t>
      </w:r>
      <w:r w:rsidRPr="00EE5690">
        <w:rPr>
          <w:rFonts w:cs="Arial"/>
        </w:rPr>
        <w:fldChar w:fldCharType="begin" w:fldLock="1"/>
      </w:r>
      <w:r w:rsidRPr="00EE5690">
        <w:rPr>
          <w:rFonts w:cs="Arial"/>
        </w:rPr>
        <w:instrText>ADDIN CSL_CITATION {"citationItems":[{"id":"ITEM-1","itemData":{"abstract":"of Member States' replies to the DG ENV questionnaire At the occasion of the 129 th meeting of the SFC on 28 June 2013, DG ENV announced to compile Member State's input, subsequently developed into a questionnaire sent on 8 October 2013. The table below summarizes the replies of most of the Member States. At the 130 th , 131 st and 132 nd meetings, the subject was again at the agenda. Those from which replies were missing were invited to contribute to this exercise or to complement replies already given by sending the requested information to DG ENV. To date (end of July 2014), 26 of the 28 Member States replied. The table below summarises their input 1 . The content does not reflect the volume of the individual replies: Where little information was provided, the replies were taken up in their totality. In contrast, in case a Member State with very complex structures replied extensively, a drastic cut of the reply took place. This compilation of replies from Member States aims at giving a brief overview of planning tools for forest management in the EU Member States. Together with the original replies from the Member States, the present working document generally forms a shared knowledge base, supplementary to the FRA2015. Specifically it could support Member States in their implementation of their rural development programmes, relevant to those articles which lay down requirements for forest operators over a certain, nationally defined size to have a FMP or equivalent tool in order to become eligible (Art. 21, 24, 34, 35 and 45 of Rural Development Regulation 1305/2013). 1. With regard to PUBLICLY OWNED forests:","author":[{"dropping-particle":"","family":"European Commission","given":"","non-dropping-particle":"","parse-names":false,"suffix":""}],"container-title":"Agriculture, Forests and Soil Forest","id":"ITEM-1","issue":"June","issued":{"date-parts":[["2013"]]},"title":"Forest Management Plans or equivalent instruments","type":"article-journal","volume":"1"},"uris":["http://www.mendeley.com/documents/?uuid=f3eeecb1-c757-4d04-9723-3963f1c39c8c"]}],"mendeley":{"formattedCitation":"(European Commission, 2013b)","plainTextFormattedCitation":"(European Commission, 2013b)","previouslyFormattedCitation":"(European Commission, 2013b)"},"properties":{"noteIndex":0},"schema":"https://github.com/citation-style-language/schema/raw/master/csl-citation.json"}</w:instrText>
      </w:r>
      <w:r w:rsidRPr="00EE5690">
        <w:rPr>
          <w:rFonts w:cs="Arial"/>
        </w:rPr>
        <w:fldChar w:fldCharType="separate"/>
      </w:r>
      <w:r w:rsidRPr="00EE5690">
        <w:rPr>
          <w:rFonts w:cs="Arial"/>
          <w:noProof/>
        </w:rPr>
        <w:t>(European Commission, 2013b)</w:t>
      </w:r>
      <w:r w:rsidRPr="00EE5690">
        <w:rPr>
          <w:rFonts w:cs="Arial"/>
        </w:rPr>
        <w:fldChar w:fldCharType="end"/>
      </w:r>
      <w:r w:rsidRPr="00EE5690">
        <w:rPr>
          <w:rFonts w:cs="Arial"/>
        </w:rPr>
        <w:t xml:space="preserve">. This would aid forest owners and managers in </w:t>
      </w:r>
      <w:r w:rsidRPr="00EE5690">
        <w:rPr>
          <w:rFonts w:cs="Arial"/>
        </w:rPr>
        <w:lastRenderedPageBreak/>
        <w:t xml:space="preserve">effectively translating EU, national, and regional policy aims and strategic priorities into reality on the ground. Forest-related risk assessment and management should be included in FMPs, as well as better integration of biodiversity-related data. In preparation for the new legislative instrument on EU forest monitoring, the Commission will conduct a comparative assessment of requirements and criteria included in FMPs, building on the experience of the previous EU forest strategy </w:t>
      </w:r>
      <w:r w:rsidRPr="00EE5690">
        <w:rPr>
          <w:rFonts w:cs="Arial"/>
        </w:rPr>
        <w:fldChar w:fldCharType="begin" w:fldLock="1"/>
      </w:r>
      <w:r w:rsidRPr="00EE5690">
        <w:rPr>
          <w:rFonts w:cs="Arial"/>
        </w:rPr>
        <w:instrText>ADDIN CSL_CITATION {"citationItems":[{"id":"ITEM-1","itemData":{"ISBN":"SWD(2013) 342 final, COM(2013) 659 final, SWD(2013) 343 final","ISSN":"1098-6596","PMID":"25246403","abstract":"A new EU Forest Strategy: for forests and the forest-based sector {SWD(2013) 342 final} {SWD(2013) 343 final} 2 COMMUNICATION FROM THE COMMISSION TO THE EUROPEAN PARLIAMENT, THE COUNCIL, THE EUROPEAN ECONOMIC AND SOCIAL COMMITTEE AND THE COMMITTEE OF THE REGIONS A new EU Forest Strategy: for forests and the forest-based sector 1 EUROPE NEEDS ITS FORESTS Forests and other wooded land cover over 40 % of the EU's land area, with a great diversity of character across regions. Afforestation and natural succession have increased the EU's forest area by around 0.4 % per year over recent decades. Globally, however, forest area continues to decrease. Currently in the EU, only 60-70 % of the annual increment is being cut, therefore the growing stock of wood is rising. However, according to Member States' projections under Land Use, Land-Use Change and Forestry (LULUCF), harvest rates are expected to increase by around 30% by 2020 as compared to 2010. 1 Some 60 % of forests are owned by several millions of private owners, 2 with numbers set to rise as restitution of forest ownership in some Member States continues. The remainder belongs to the state and other public owners. Forests are multifunctional, serving economic, social and environmental purposes. They offer habitats for animals and plants and play a major role in mitigating climate change and other environmental services. Nearly a quarter of the EU's forest area is protected under Natura 2000, and much of the rest is home to species protected under EU nature legislation. Forests also offer wide societal benefits, including for human health, recreation and tourism. 3","author":[{"dropping-particle":"","family":"European Commission","given":"","non-dropping-particle":"","parse-names":false,"suffix":""}],"container-title":"Communication from the Commission to the Council, the European Parliament, the European Economic and Social Committee and the Committee of the Regions","id":"ITEM-1","issue":"SWD(2013) 342 final","issued":{"date-parts":[["2013"]]},"page":"17","title":"A new EU Forest Strategy: for forests and the forest-based sector","type":"article-journal"},"uris":["http://www.mendeley.com/documents/?uuid=ee91b7df-53ad-4c14-8daf-0c80e985c8bc"]}],"mendeley":{"formattedCitation":"(European Commission, 2013a)","plainTextFormattedCitation":"(European Commission, 2013a)","previouslyFormattedCitation":"(European Commission, 2013a)"},"properties":{"noteIndex":0},"schema":"https://github.com/citation-style-language/schema/raw/master/csl-citation.json"}</w:instrText>
      </w:r>
      <w:r w:rsidRPr="00EE5690">
        <w:rPr>
          <w:rFonts w:cs="Arial"/>
        </w:rPr>
        <w:fldChar w:fldCharType="separate"/>
      </w:r>
      <w:r w:rsidRPr="00EE5690">
        <w:rPr>
          <w:rFonts w:cs="Arial"/>
          <w:noProof/>
        </w:rPr>
        <w:t>(European Commission, 2013a)</w:t>
      </w:r>
      <w:r w:rsidRPr="00EE5690">
        <w:rPr>
          <w:rFonts w:cs="Arial"/>
        </w:rPr>
        <w:fldChar w:fldCharType="end"/>
      </w:r>
      <w:r w:rsidRPr="00EE5690">
        <w:rPr>
          <w:rFonts w:cs="Arial"/>
        </w:rPr>
        <w:t xml:space="preserve">, and consider setting additional criteria in close collaboration with Member States to ensure that FMPs meet the strategy's climate, biodiversity, bio-economy, social, and rural development objectives. In addition, the assessment will evaluate how to assist and advise foresters in developing these strategies. The new legislative framework will be accompanied by a comprehensive governance system as part of an updated, more inclusive, and coherent EU forest governance framework. A dedicated group involving key experts and networks on forest monitoring and planning will be established as part of the latter to help with identifying and defining the common list of monitoring methods and indicators, defining work programs, and identifying research needs and progress </w:t>
      </w:r>
      <w:r w:rsidRPr="00EE5690">
        <w:rPr>
          <w:rFonts w:cs="Arial"/>
        </w:rPr>
        <w:fldChar w:fldCharType="begin" w:fldLock="1"/>
      </w:r>
      <w:r w:rsidRPr="00EE5690">
        <w:rPr>
          <w:rFonts w:cs="Arial"/>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approach.","author":[{"dropping-particle":"","family":"European Commission","given":"","non-dropping-particle":"","parse-names":false,"suffix":""}],"container-title":"European Commission","id":"ITEM-1","issued":{"date-parts":[["2021"]]},"page":"5-24","title":"New EU Forest Strategy for 2030","type":"article-journal"},"uris":["http://www.mendeley.com/documents/?uuid=32b8ba3f-26d2-4138-8ede-792b744d4507"]}],"mendeley":{"formattedCitation":"(European Commission, 2021a)","plainTextFormattedCitation":"(European Commission, 2021a)","previouslyFormattedCitation":"(European Commission, 2021a)"},"properties":{"noteIndex":0},"schema":"https://github.com/citation-style-language/schema/raw/master/csl-citation.json"}</w:instrText>
      </w:r>
      <w:r w:rsidRPr="00EE5690">
        <w:rPr>
          <w:rFonts w:cs="Arial"/>
        </w:rPr>
        <w:fldChar w:fldCharType="separate"/>
      </w:r>
      <w:r w:rsidRPr="00EE5690">
        <w:rPr>
          <w:rFonts w:cs="Arial"/>
          <w:noProof/>
        </w:rPr>
        <w:t>(European Commission, 2021a)</w:t>
      </w:r>
      <w:r w:rsidRPr="00EE5690">
        <w:rPr>
          <w:rFonts w:cs="Arial"/>
        </w:rPr>
        <w:fldChar w:fldCharType="end"/>
      </w:r>
      <w:r w:rsidRPr="00EE5690">
        <w:rPr>
          <w:rFonts w:cs="Arial"/>
        </w:rPr>
        <w:t>.</w:t>
      </w:r>
    </w:p>
    <w:p w14:paraId="325189F6" w14:textId="77777777" w:rsidR="005664B6" w:rsidRPr="00DB35D4" w:rsidRDefault="005664B6" w:rsidP="005664B6">
      <w:pPr>
        <w:pStyle w:val="MAIL1"/>
      </w:pPr>
      <w:bookmarkStart w:id="178" w:name="_Toc18677140"/>
      <w:bookmarkStart w:id="179" w:name="_Toc90892975"/>
      <w:bookmarkStart w:id="180" w:name="_Toc91752429"/>
      <w:bookmarkStart w:id="181" w:name="_Hlk86315347"/>
      <w:r w:rsidRPr="00DB35D4">
        <w:t>Carbon Trade Markets</w:t>
      </w:r>
      <w:bookmarkEnd w:id="178"/>
      <w:bookmarkEnd w:id="179"/>
      <w:bookmarkEnd w:id="180"/>
    </w:p>
    <w:p w14:paraId="7D2672C3" w14:textId="77777777" w:rsidR="005664B6" w:rsidRPr="00DB35D4" w:rsidRDefault="005664B6" w:rsidP="005664B6">
      <w:pPr>
        <w:rPr>
          <w:rStyle w:val="tlid-translation"/>
          <w:rFonts w:cs="Arial"/>
        </w:rPr>
      </w:pPr>
      <w:bookmarkStart w:id="182" w:name="_Hlk86315387"/>
      <w:bookmarkEnd w:id="181"/>
      <w:r w:rsidRPr="00DB35D4">
        <w:rPr>
          <w:rStyle w:val="tlid-translation"/>
          <w:rFonts w:cs="Arial"/>
        </w:rPr>
        <w:t>CO</w:t>
      </w:r>
      <w:r w:rsidRPr="00DB35D4">
        <w:rPr>
          <w:rStyle w:val="tlid-translation"/>
          <w:rFonts w:cs="Arial"/>
          <w:vertAlign w:val="subscript"/>
        </w:rPr>
        <w:t>2</w:t>
      </w:r>
      <w:r w:rsidRPr="00DB35D4">
        <w:rPr>
          <w:rStyle w:val="tlid-translation"/>
          <w:rFonts w:cs="Arial"/>
        </w:rPr>
        <w:t xml:space="preserve"> trading has emerged as a necessity mainly following pressure from the United States not to impose an "environmental pollution" tax on major polluters. So, both the CO</w:t>
      </w:r>
      <w:r w:rsidRPr="00DB35D4">
        <w:rPr>
          <w:rStyle w:val="tlid-translation"/>
          <w:rFonts w:cs="Arial"/>
          <w:vertAlign w:val="subscript"/>
        </w:rPr>
        <w:t>2</w:t>
      </w:r>
      <w:r w:rsidRPr="00DB35D4">
        <w:rPr>
          <w:rStyle w:val="tlid-translation"/>
          <w:rFonts w:cs="Arial"/>
        </w:rPr>
        <w:t xml:space="preserve"> tax and the carbon markets coexist worldwide </w:t>
      </w:r>
      <w:proofErr w:type="gramStart"/>
      <w:r w:rsidRPr="00DB35D4">
        <w:rPr>
          <w:rStyle w:val="tlid-translation"/>
          <w:rFonts w:cs="Arial"/>
        </w:rPr>
        <w:t>at the moment</w:t>
      </w:r>
      <w:proofErr w:type="gramEnd"/>
      <w:r w:rsidRPr="00DB35D4">
        <w:rPr>
          <w:rStyle w:val="tlid-translation"/>
          <w:rFonts w:cs="Arial"/>
        </w:rPr>
        <w:t>, with the aim of reducing CO</w:t>
      </w:r>
      <w:r w:rsidRPr="00DB35D4">
        <w:rPr>
          <w:rStyle w:val="tlid-translation"/>
          <w:rFonts w:cs="Arial"/>
          <w:vertAlign w:val="subscript"/>
        </w:rPr>
        <w:t>2</w:t>
      </w:r>
      <w:r w:rsidRPr="00DB35D4">
        <w:rPr>
          <w:rStyle w:val="tlid-translation"/>
          <w:rFonts w:cs="Arial"/>
        </w:rPr>
        <w:t xml:space="preserve"> emissions and other greenhouse gases on the one hand and not burdening the cost of acquiring goods in consuming based societies such as energy, and products directly related to its production (i.e., all industrial goods in the world market). Any increase in the cost of purchasing basic commodities (food, water, etc.) and consumer products will inevitably lead to a decrease of demand and thus to negative growth indices. Growth indices are more susceptible to changes in developing countries than in developed countries, and the negative effect of imposing a tax system on coal production would have a greater impact on developing countries.</w:t>
      </w:r>
    </w:p>
    <w:p w14:paraId="470D9F38" w14:textId="77777777" w:rsidR="005664B6" w:rsidRPr="00DB35D4" w:rsidRDefault="005664B6" w:rsidP="005664B6">
      <w:pPr>
        <w:rPr>
          <w:rStyle w:val="tlid-translation"/>
          <w:rFonts w:cs="Arial"/>
        </w:rPr>
      </w:pPr>
      <w:r w:rsidRPr="00DB35D4">
        <w:rPr>
          <w:rStyle w:val="tlid-translation"/>
          <w:rFonts w:cs="Arial"/>
        </w:rPr>
        <w:t xml:space="preserve">As also mentioned earlier, there exists two types of carbon markets: </w:t>
      </w:r>
      <w:r w:rsidRPr="00DB35D4">
        <w:rPr>
          <w:rStyle w:val="tlid-translation"/>
          <w:rFonts w:cs="Arial"/>
          <w:b/>
        </w:rPr>
        <w:t>compliance</w:t>
      </w:r>
      <w:r w:rsidRPr="00DB35D4">
        <w:rPr>
          <w:rStyle w:val="tlid-translation"/>
          <w:rFonts w:cs="Arial"/>
        </w:rPr>
        <w:t xml:space="preserve"> (or obligatory) and </w:t>
      </w:r>
      <w:r w:rsidRPr="00DB35D4">
        <w:rPr>
          <w:rStyle w:val="tlid-translation"/>
          <w:rFonts w:cs="Arial"/>
          <w:b/>
        </w:rPr>
        <w:t>voluntary</w:t>
      </w:r>
      <w:r w:rsidRPr="00DB35D4">
        <w:rPr>
          <w:rStyle w:val="tlid-translation"/>
          <w:rFonts w:cs="Arial"/>
        </w:rPr>
        <w:t xml:space="preserve"> markets. The compliance market is used by companies and governments that by law </w:t>
      </w:r>
      <w:proofErr w:type="gramStart"/>
      <w:r w:rsidRPr="00DB35D4">
        <w:rPr>
          <w:rStyle w:val="tlid-translation"/>
          <w:rFonts w:cs="Arial"/>
        </w:rPr>
        <w:t>have to</w:t>
      </w:r>
      <w:proofErr w:type="gramEnd"/>
      <w:r w:rsidRPr="00DB35D4">
        <w:rPr>
          <w:rStyle w:val="tlid-translation"/>
          <w:rFonts w:cs="Arial"/>
        </w:rPr>
        <w:t xml:space="preserve"> account for their GHG emissions. It is regulated by mandatory national, regional, or international carbon reduction regimes. On the voluntary market the trade of carbon credits is on a voluntarily basis. The size of the two markets </w:t>
      </w:r>
      <w:r w:rsidRPr="00DB35D4">
        <w:rPr>
          <w:rStyle w:val="tlid-translation"/>
          <w:rFonts w:cs="Arial"/>
        </w:rPr>
        <w:lastRenderedPageBreak/>
        <w:t>differs considerably. In 2008, on the regulated market US$119 billion were traded, and on the voluntary market US$704 million (Hamilton et al., 2009).</w:t>
      </w:r>
    </w:p>
    <w:p w14:paraId="70A21543" w14:textId="77777777" w:rsidR="005664B6" w:rsidRDefault="005664B6" w:rsidP="005664B6">
      <w:pPr>
        <w:pStyle w:val="MAIL11"/>
      </w:pPr>
      <w:bookmarkStart w:id="183" w:name="_Toc18677141"/>
      <w:bookmarkStart w:id="184" w:name="_Toc90892976"/>
      <w:bookmarkStart w:id="185" w:name="_Toc91752430"/>
      <w:bookmarkStart w:id="186" w:name="_Hlk86315478"/>
      <w:bookmarkEnd w:id="182"/>
      <w:r w:rsidRPr="00DB35D4">
        <w:t>Compliance Carbon Markets</w:t>
      </w:r>
      <w:bookmarkEnd w:id="183"/>
      <w:bookmarkEnd w:id="184"/>
      <w:bookmarkEnd w:id="185"/>
    </w:p>
    <w:bookmarkEnd w:id="186"/>
    <w:p w14:paraId="15169717" w14:textId="2242795A" w:rsidR="005664B6" w:rsidRPr="00DB35D4" w:rsidRDefault="005664B6" w:rsidP="005664B6">
      <w:pPr>
        <w:rPr>
          <w:rStyle w:val="tlid-translation"/>
          <w:rFonts w:cs="Arial"/>
        </w:rPr>
      </w:pPr>
      <w:r w:rsidRPr="00DB35D4">
        <w:rPr>
          <w:rStyle w:val="tlid-translation"/>
          <w:rFonts w:cs="Arial"/>
        </w:rPr>
        <w:t xml:space="preserve">Prior to the introduction of carbon trading systems, the world economic model used other measures to reduce environmental pollution. That was the Command and Control (CAC or C2) </w:t>
      </w:r>
      <w:proofErr w:type="gramStart"/>
      <w:r w:rsidRPr="00DB35D4">
        <w:rPr>
          <w:rStyle w:val="tlid-translation"/>
          <w:rFonts w:cs="Arial"/>
        </w:rPr>
        <w:t>model</w:t>
      </w:r>
      <w:proofErr w:type="gramEnd"/>
      <w:r w:rsidRPr="00DB35D4">
        <w:rPr>
          <w:rStyle w:val="tlid-translation"/>
          <w:rFonts w:cs="Arial"/>
        </w:rPr>
        <w:t xml:space="preserve"> which was characterized as regulatory, interventionist, and top-down approach that is opposite to both the </w:t>
      </w:r>
      <w:r w:rsidRPr="00DB35D4">
        <w:rPr>
          <w:rStyle w:val="tlid-translation"/>
          <w:rFonts w:cs="Arial"/>
          <w:b/>
        </w:rPr>
        <w:t>carbon trading system</w:t>
      </w:r>
      <w:r w:rsidRPr="00DB35D4">
        <w:rPr>
          <w:rStyle w:val="tlid-translation"/>
          <w:rFonts w:cs="Arial"/>
        </w:rPr>
        <w:t xml:space="preserve"> and the </w:t>
      </w:r>
      <w:r w:rsidRPr="00DB35D4">
        <w:rPr>
          <w:rStyle w:val="tlid-translation"/>
          <w:rFonts w:cs="Arial"/>
          <w:b/>
        </w:rPr>
        <w:t>carbon tax</w:t>
      </w:r>
      <w:r w:rsidRPr="00DB35D4">
        <w:rPr>
          <w:rStyle w:val="tlid-translation"/>
          <w:rFonts w:cs="Arial"/>
        </w:rPr>
        <w:t xml:space="preserve"> levied on industries of the world market. Carbon tax and carbon trading system are characterized as market based or environmental incentive</w:t>
      </w:r>
      <w:sdt>
        <w:sdtPr>
          <w:rPr>
            <w:rStyle w:val="tlid-translation"/>
            <w:rFonts w:cs="Arial"/>
          </w:rPr>
          <w:id w:val="716242720"/>
          <w:citation/>
        </w:sdtPr>
        <w:sdtEndPr>
          <w:rPr>
            <w:rStyle w:val="tlid-translation"/>
          </w:rPr>
        </w:sdtEndPr>
        <w:sdtContent>
          <w:r w:rsidRPr="00DB35D4">
            <w:rPr>
              <w:rStyle w:val="tlid-translation"/>
              <w:rFonts w:cs="Arial"/>
            </w:rPr>
            <w:fldChar w:fldCharType="begin"/>
          </w:r>
          <w:r w:rsidRPr="00DB35D4">
            <w:rPr>
              <w:rStyle w:val="tlid-translation"/>
              <w:rFonts w:cs="Arial"/>
            </w:rPr>
            <w:instrText xml:space="preserve"> CITATION Sin18 \l 1033 </w:instrText>
          </w:r>
          <w:r w:rsidRPr="00DB35D4">
            <w:rPr>
              <w:rStyle w:val="tlid-translation"/>
              <w:rFonts w:cs="Arial"/>
            </w:rPr>
            <w:fldChar w:fldCharType="separate"/>
          </w:r>
          <w:r w:rsidR="00487700">
            <w:rPr>
              <w:rStyle w:val="tlid-translation"/>
              <w:rFonts w:cs="Arial"/>
              <w:noProof/>
            </w:rPr>
            <w:t xml:space="preserve"> </w:t>
          </w:r>
          <w:r w:rsidR="00487700" w:rsidRPr="00487700">
            <w:rPr>
              <w:rFonts w:cs="Arial"/>
              <w:noProof/>
            </w:rPr>
            <w:t>(Singhal, 2018)</w:t>
          </w:r>
          <w:r w:rsidRPr="00DB35D4">
            <w:rPr>
              <w:rStyle w:val="tlid-translation"/>
              <w:rFonts w:cs="Arial"/>
            </w:rPr>
            <w:fldChar w:fldCharType="end"/>
          </w:r>
        </w:sdtContent>
      </w:sdt>
      <w:r w:rsidRPr="00DB35D4">
        <w:rPr>
          <w:rStyle w:val="tlid-translation"/>
          <w:rFonts w:cs="Arial"/>
        </w:rPr>
        <w:t xml:space="preserve">. Market based measures enable polluter to decide the means to reduce GHG and in many cases the actions to be taken are of an investment nature (e.g., introduction of new technology to reduce pollutants or energy production through Renewable Energy technology etc.) </w:t>
      </w:r>
      <w:r w:rsidRPr="001428D9">
        <w:rPr>
          <w:rStyle w:val="tlid-translation"/>
          <w:rFonts w:cs="Arial"/>
          <w:lang w:val="en-GB"/>
        </w:rPr>
        <w:t xml:space="preserve">In the case of command and control there is a (public) body that defines maximum </w:t>
      </w:r>
      <w:r w:rsidRPr="00DB35D4">
        <w:rPr>
          <w:rStyle w:val="tlid-translation"/>
          <w:rFonts w:cs="Arial"/>
        </w:rPr>
        <w:t xml:space="preserve">limit for polluters' emissions to reach and a penalty for non-compliance. </w:t>
      </w:r>
    </w:p>
    <w:p w14:paraId="1EAF08A0" w14:textId="5C867230" w:rsidR="005664B6" w:rsidRPr="00DB35D4" w:rsidRDefault="005664B6" w:rsidP="005664B6">
      <w:pPr>
        <w:rPr>
          <w:rStyle w:val="tlid-translation"/>
          <w:rFonts w:cs="Arial"/>
        </w:rPr>
      </w:pPr>
      <w:r w:rsidRPr="00DB35D4">
        <w:rPr>
          <w:rStyle w:val="tlid-translation"/>
          <w:rFonts w:cs="Arial"/>
        </w:rPr>
        <w:t xml:space="preserve">Unlike ETS are using two approaches: </w:t>
      </w:r>
      <w:r w:rsidRPr="00DB35D4">
        <w:rPr>
          <w:rStyle w:val="tlid-translation"/>
          <w:rFonts w:cs="Arial"/>
          <w:b/>
        </w:rPr>
        <w:t>Cap and trade</w:t>
      </w:r>
      <w:r w:rsidRPr="00DB35D4">
        <w:rPr>
          <w:rStyle w:val="tlid-translation"/>
          <w:rFonts w:cs="Arial"/>
        </w:rPr>
        <w:t xml:space="preserve"> and </w:t>
      </w:r>
      <w:r w:rsidRPr="00DB35D4">
        <w:rPr>
          <w:rStyle w:val="tlid-translation"/>
          <w:rFonts w:cs="Arial"/>
          <w:b/>
        </w:rPr>
        <w:t xml:space="preserve">baseline and credit </w:t>
      </w:r>
      <w:r w:rsidRPr="00DB35D4">
        <w:rPr>
          <w:rStyle w:val="tlid-translation"/>
          <w:rFonts w:cs="Arial"/>
        </w:rPr>
        <w:t>financial</w:t>
      </w:r>
      <w:r w:rsidRPr="00DB35D4">
        <w:rPr>
          <w:rStyle w:val="tlid-translation"/>
          <w:rFonts w:cs="Arial"/>
          <w:b/>
        </w:rPr>
        <w:t xml:space="preserve"> </w:t>
      </w:r>
      <w:r w:rsidRPr="00DB35D4">
        <w:rPr>
          <w:rStyle w:val="tlid-translation"/>
          <w:rFonts w:cs="Arial"/>
        </w:rPr>
        <w:t>models</w:t>
      </w:r>
      <w:r w:rsidRPr="00DB35D4">
        <w:rPr>
          <w:rStyle w:val="tlid-translation"/>
          <w:rFonts w:cs="Arial"/>
          <w:b/>
        </w:rPr>
        <w:t xml:space="preserve">. </w:t>
      </w:r>
      <w:r w:rsidRPr="00DB35D4">
        <w:rPr>
          <w:rStyle w:val="tlid-translation"/>
          <w:rFonts w:cs="Arial"/>
        </w:rPr>
        <w:t xml:space="preserve">In the </w:t>
      </w:r>
      <w:r w:rsidRPr="00DB35D4">
        <w:rPr>
          <w:rStyle w:val="tlid-translation"/>
          <w:rFonts w:cs="Arial"/>
          <w:b/>
        </w:rPr>
        <w:t>Cap-and-Trade</w:t>
      </w:r>
      <w:r w:rsidRPr="00DB35D4">
        <w:rPr>
          <w:rStyle w:val="tlid-translation"/>
          <w:rFonts w:cs="Arial"/>
        </w:rPr>
        <w:t xml:space="preserve"> approach the maximum emission limit is set, and polluters can choose to limit their pollutants in the most economically advantageous way or buy emissions from others who have enough allowances. In general emissions’ permits are auctioned or provided (in some cases for free) to participants based on an emissions reduction target. For example, in the European ETS a big number of emission allowances were given for free (“grandfathered”) in the first phases of the ETS operation, but later state countries sold or auctioned their permits. Polluters were free to offer their bids and obtain Assigned Amount Units (AAUs)</w:t>
      </w:r>
      <w:sdt>
        <w:sdtPr>
          <w:rPr>
            <w:rStyle w:val="tlid-translation"/>
            <w:rFonts w:cs="Arial"/>
          </w:rPr>
          <w:id w:val="-141050412"/>
          <w:citation/>
        </w:sdtPr>
        <w:sdtEndPr>
          <w:rPr>
            <w:rStyle w:val="tlid-translation"/>
          </w:rPr>
        </w:sdtEndPr>
        <w:sdtContent>
          <w:r w:rsidRPr="00DB35D4">
            <w:rPr>
              <w:rStyle w:val="tlid-translation"/>
              <w:rFonts w:cs="Arial"/>
            </w:rPr>
            <w:fldChar w:fldCharType="begin"/>
          </w:r>
          <w:r w:rsidRPr="00DB35D4">
            <w:rPr>
              <w:rStyle w:val="tlid-translation"/>
              <w:rFonts w:cs="Arial"/>
            </w:rPr>
            <w:instrText xml:space="preserve"> CITATION OEC19 \l 1033 </w:instrText>
          </w:r>
          <w:r w:rsidRPr="00DB35D4">
            <w:rPr>
              <w:rStyle w:val="tlid-translation"/>
              <w:rFonts w:cs="Arial"/>
            </w:rPr>
            <w:fldChar w:fldCharType="separate"/>
          </w:r>
          <w:r w:rsidR="00487700">
            <w:rPr>
              <w:rStyle w:val="tlid-translation"/>
              <w:rFonts w:cs="Arial"/>
              <w:noProof/>
            </w:rPr>
            <w:t xml:space="preserve"> </w:t>
          </w:r>
          <w:r w:rsidR="00487700" w:rsidRPr="00487700">
            <w:rPr>
              <w:rFonts w:cs="Arial"/>
              <w:noProof/>
            </w:rPr>
            <w:t>(OECD, 2019)</w:t>
          </w:r>
          <w:r w:rsidRPr="00DB35D4">
            <w:rPr>
              <w:rStyle w:val="tlid-translation"/>
              <w:rFonts w:cs="Arial"/>
            </w:rPr>
            <w:fldChar w:fldCharType="end"/>
          </w:r>
        </w:sdtContent>
      </w:sdt>
      <w:r w:rsidRPr="00DB35D4">
        <w:rPr>
          <w:rStyle w:val="tlid-translation"/>
          <w:rFonts w:cs="Arial"/>
        </w:rPr>
        <w:t>.</w:t>
      </w:r>
    </w:p>
    <w:p w14:paraId="3BEAAF9A" w14:textId="77777777" w:rsidR="005664B6" w:rsidRPr="00DB35D4" w:rsidRDefault="005664B6" w:rsidP="005664B6">
      <w:pPr>
        <w:rPr>
          <w:rStyle w:val="tlid-translation"/>
          <w:rFonts w:cs="Arial"/>
        </w:rPr>
      </w:pPr>
      <w:r w:rsidRPr="00DB35D4">
        <w:rPr>
          <w:rStyle w:val="tlid-translation"/>
          <w:rFonts w:cs="Arial"/>
        </w:rPr>
        <w:t>In the</w:t>
      </w:r>
      <w:r w:rsidRPr="00DB35D4">
        <w:rPr>
          <w:rStyle w:val="tlid-translation"/>
          <w:rFonts w:cs="Arial"/>
          <w:b/>
        </w:rPr>
        <w:t xml:space="preserve"> baseline and credit</w:t>
      </w:r>
      <w:r w:rsidRPr="00DB35D4">
        <w:rPr>
          <w:rStyle w:val="tlid-translation"/>
          <w:rFonts w:cs="Arial"/>
        </w:rPr>
        <w:t xml:space="preserve"> ETSs, on the other hand, governments (or any other regulator) are setting a baseline for maximum emissions for certain categories of pollutants and their overall productions. Credits are created for activities that achieve emissions intensities below the baseline and activities that have emissions intensities above the baseline must buy such credits. The ability to generate credits from emissions reductions relative to baseline and the pressure to avoid having to buy permits for emissions </w:t>
      </w:r>
      <w:proofErr w:type="gramStart"/>
      <w:r w:rsidRPr="00DB35D4">
        <w:rPr>
          <w:rStyle w:val="tlid-translation"/>
          <w:rFonts w:cs="Arial"/>
        </w:rPr>
        <w:t>in excess of</w:t>
      </w:r>
      <w:proofErr w:type="gramEnd"/>
      <w:r w:rsidRPr="00DB35D4">
        <w:rPr>
          <w:rStyle w:val="tlid-translation"/>
          <w:rFonts w:cs="Arial"/>
        </w:rPr>
        <w:t xml:space="preserve"> the baseline provide incentives for participants. They </w:t>
      </w:r>
      <w:proofErr w:type="gramStart"/>
      <w:r w:rsidRPr="00DB35D4">
        <w:rPr>
          <w:rStyle w:val="tlid-translation"/>
          <w:rFonts w:cs="Arial"/>
        </w:rPr>
        <w:t>have to</w:t>
      </w:r>
      <w:proofErr w:type="gramEnd"/>
      <w:r w:rsidRPr="00DB35D4">
        <w:rPr>
          <w:rStyle w:val="tlid-translation"/>
          <w:rFonts w:cs="Arial"/>
        </w:rPr>
        <w:t xml:space="preserve"> find lower emission production processes to minimize their permit liabilities and thereby reduce emissions. </w:t>
      </w:r>
    </w:p>
    <w:p w14:paraId="355F79BE" w14:textId="44F08206" w:rsidR="005664B6" w:rsidRPr="00DB35D4" w:rsidRDefault="005664B6" w:rsidP="005664B6">
      <w:pPr>
        <w:rPr>
          <w:rFonts w:cs="Arial"/>
        </w:rPr>
      </w:pPr>
      <w:r w:rsidRPr="00DB35D4">
        <w:rPr>
          <w:rStyle w:val="tlid-translation"/>
          <w:rFonts w:cs="Arial"/>
        </w:rPr>
        <w:lastRenderedPageBreak/>
        <w:t>There are certain differences among the two models but most of the compliance ETSs are using the cap-and-trade approach. There are certain advantages and disadvantages using either one of the systems</w:t>
      </w:r>
      <w:r w:rsidRPr="00DB35D4">
        <w:rPr>
          <w:rStyle w:val="tlid-translation"/>
          <w:rFonts w:cs="Arial"/>
          <w:b/>
        </w:rPr>
        <w:t xml:space="preserve"> </w:t>
      </w:r>
      <w:sdt>
        <w:sdtPr>
          <w:rPr>
            <w:rStyle w:val="tlid-translation"/>
            <w:rFonts w:cs="Arial"/>
            <w:b/>
          </w:rPr>
          <w:id w:val="-1962640641"/>
          <w:citation/>
        </w:sdtPr>
        <w:sdtEndPr>
          <w:rPr>
            <w:rStyle w:val="tlid-translation"/>
          </w:rPr>
        </w:sdtEndPr>
        <w:sdtContent>
          <w:r w:rsidRPr="00DB35D4">
            <w:rPr>
              <w:rStyle w:val="tlid-translation"/>
              <w:rFonts w:cs="Arial"/>
              <w:b/>
            </w:rPr>
            <w:fldChar w:fldCharType="begin"/>
          </w:r>
          <w:r w:rsidRPr="00DB35D4">
            <w:rPr>
              <w:rStyle w:val="tlid-translation"/>
              <w:rFonts w:cs="Arial"/>
              <w:b/>
            </w:rPr>
            <w:instrText xml:space="preserve"> CITATION McL19 \l 1033 </w:instrText>
          </w:r>
          <w:r w:rsidRPr="00DB35D4">
            <w:rPr>
              <w:rStyle w:val="tlid-translation"/>
              <w:rFonts w:cs="Arial"/>
              <w:b/>
            </w:rPr>
            <w:fldChar w:fldCharType="separate"/>
          </w:r>
          <w:r w:rsidR="00487700" w:rsidRPr="00487700">
            <w:rPr>
              <w:rFonts w:cs="Arial"/>
              <w:noProof/>
            </w:rPr>
            <w:t>(McLennan Magasanik Associates, 2019)</w:t>
          </w:r>
          <w:r w:rsidRPr="00DB35D4">
            <w:rPr>
              <w:rStyle w:val="tlid-translation"/>
              <w:rFonts w:cs="Arial"/>
              <w:b/>
            </w:rPr>
            <w:fldChar w:fldCharType="end"/>
          </w:r>
        </w:sdtContent>
      </w:sdt>
      <w:r w:rsidRPr="00DB35D4">
        <w:rPr>
          <w:rStyle w:val="tlid-translation"/>
          <w:rFonts w:cs="Arial"/>
        </w:rPr>
        <w:t xml:space="preserve">. However, both systems are market based and help mitigate climate change effects in the most effective way leading to green growth. </w:t>
      </w:r>
      <w:r w:rsidRPr="00DB35D4">
        <w:rPr>
          <w:rFonts w:cs="Arial"/>
        </w:rPr>
        <w:t xml:space="preserve">The Organization for Economic Co-operation and Development (OECD) has been analyzing and promoting the use of marked-based instruments for many years. Most of the work was carried out under the auspices of the </w:t>
      </w:r>
      <w:r w:rsidRPr="00DB35D4">
        <w:rPr>
          <w:rStyle w:val="Emphasis"/>
          <w:rFonts w:cs="Arial"/>
        </w:rPr>
        <w:t>Working Party on Integration of Environment and Economic Policies</w:t>
      </w:r>
      <w:r w:rsidRPr="00DB35D4">
        <w:rPr>
          <w:rFonts w:cs="Arial"/>
          <w:i/>
          <w:iCs/>
        </w:rPr>
        <w:t>.</w:t>
      </w:r>
      <w:r w:rsidRPr="00DB35D4">
        <w:rPr>
          <w:rFonts w:cs="Arial"/>
        </w:rPr>
        <w:t xml:space="preserve"> Part of the work has also been done under the auspices of the </w:t>
      </w:r>
      <w:r w:rsidRPr="00DB35D4">
        <w:rPr>
          <w:rStyle w:val="Emphasis"/>
          <w:rFonts w:cs="Arial"/>
        </w:rPr>
        <w:t>Joint Meetings of Tax and Environment Experts</w:t>
      </w:r>
      <w:r w:rsidRPr="00DB35D4">
        <w:rPr>
          <w:rFonts w:cs="Arial"/>
        </w:rPr>
        <w:t>, where experts primarily from ministries of finance and of environment come together twice a year. These meetings are being served by OECD’s Centre for Tax Policy and Analysis and Environment Directorate, with contributions also from other parts of the organization.</w:t>
      </w:r>
    </w:p>
    <w:p w14:paraId="2ACE3CDA" w14:textId="77777777" w:rsidR="005664B6" w:rsidRPr="00DB35D4" w:rsidRDefault="005664B6" w:rsidP="005664B6">
      <w:pPr>
        <w:rPr>
          <w:rStyle w:val="tlid-translation"/>
          <w:rFonts w:cs="Arial"/>
        </w:rPr>
      </w:pPr>
      <w:r w:rsidRPr="00DB35D4">
        <w:rPr>
          <w:rFonts w:cs="Arial"/>
        </w:rPr>
        <w:t>Emission trading systems contributes to economic efficiency by facilitating emission reductions where it is cheapest to achieve them. Polluters who would find it costly to reduce their emission can buy emission allowances from polluters that can abate at lower costs. In a ‘perfectly’ working market, the costs of reducing an additional unit of emissions would be equalized, and total costs of reaching a given environmental target would be minimized.</w:t>
      </w:r>
      <w:r w:rsidRPr="00DB35D4">
        <w:rPr>
          <w:rStyle w:val="tlid-translation"/>
          <w:rFonts w:cs="Arial"/>
        </w:rPr>
        <w:t xml:space="preserve"> </w:t>
      </w:r>
    </w:p>
    <w:p w14:paraId="45012DF8" w14:textId="2DC57802" w:rsidR="005664B6" w:rsidRPr="00DB35D4" w:rsidRDefault="005664B6" w:rsidP="005664B6">
      <w:pPr>
        <w:rPr>
          <w:rFonts w:cs="Arial"/>
        </w:rPr>
      </w:pPr>
      <w:r w:rsidRPr="00DB35D4">
        <w:rPr>
          <w:rFonts w:cs="Arial"/>
        </w:rPr>
        <w:t>In general, the OECD recommends that the permits or emission allowances in cap-and-trade systems be auctioned rather than handed out for free (“grandfathered”). Auctioning makes sure that the rents linked to environmental policies goes to public authorities, instead of being captured by the existing polluters. However, in practice, most permits have so far been distributed for free</w:t>
      </w:r>
      <w:sdt>
        <w:sdtPr>
          <w:rPr>
            <w:rFonts w:cs="Arial"/>
          </w:rPr>
          <w:id w:val="1758174171"/>
          <w:citation/>
        </w:sdtPr>
        <w:sdtEndPr/>
        <w:sdtContent>
          <w:r w:rsidRPr="00DB35D4">
            <w:rPr>
              <w:rFonts w:cs="Arial"/>
            </w:rPr>
            <w:fldChar w:fldCharType="begin"/>
          </w:r>
          <w:r w:rsidRPr="00DB35D4">
            <w:rPr>
              <w:rFonts w:cs="Arial"/>
            </w:rPr>
            <w:instrText xml:space="preserve"> CITATION OEC19 \l 1033 </w:instrText>
          </w:r>
          <w:r w:rsidRPr="00DB35D4">
            <w:rPr>
              <w:rFonts w:cs="Arial"/>
            </w:rPr>
            <w:fldChar w:fldCharType="separate"/>
          </w:r>
          <w:r w:rsidR="00487700">
            <w:rPr>
              <w:rFonts w:cs="Arial"/>
              <w:noProof/>
            </w:rPr>
            <w:t xml:space="preserve"> </w:t>
          </w:r>
          <w:r w:rsidR="00487700" w:rsidRPr="00487700">
            <w:rPr>
              <w:rFonts w:cs="Arial"/>
              <w:noProof/>
            </w:rPr>
            <w:t>(OECD, 2019)</w:t>
          </w:r>
          <w:r w:rsidRPr="00DB35D4">
            <w:rPr>
              <w:rFonts w:cs="Arial"/>
            </w:rPr>
            <w:fldChar w:fldCharType="end"/>
          </w:r>
        </w:sdtContent>
      </w:sdt>
      <w:r w:rsidRPr="00DB35D4">
        <w:rPr>
          <w:rFonts w:cs="Arial"/>
        </w:rPr>
        <w:t xml:space="preserve">. </w:t>
      </w:r>
      <w:bookmarkStart w:id="187" w:name="_Toc18677142"/>
    </w:p>
    <w:p w14:paraId="594D5477" w14:textId="77777777" w:rsidR="005664B6" w:rsidRPr="00641FC9" w:rsidRDefault="005664B6" w:rsidP="009E12D8">
      <w:pPr>
        <w:pStyle w:val="MAIL111"/>
      </w:pPr>
      <w:bookmarkStart w:id="188" w:name="_Toc90892977"/>
      <w:bookmarkStart w:id="189" w:name="_Toc91752431"/>
      <w:bookmarkEnd w:id="187"/>
      <w:r w:rsidRPr="00641FC9">
        <w:t>History of Emission Trade Markets</w:t>
      </w:r>
      <w:bookmarkEnd w:id="188"/>
      <w:bookmarkEnd w:id="189"/>
    </w:p>
    <w:p w14:paraId="06AE3D1D" w14:textId="0B3265C0" w:rsidR="005664B6" w:rsidRPr="00DB35D4" w:rsidRDefault="005664B6" w:rsidP="005664B6">
      <w:pPr>
        <w:rPr>
          <w:rStyle w:val="tlid-translation"/>
          <w:rFonts w:cs="Arial"/>
        </w:rPr>
      </w:pPr>
      <w:r w:rsidRPr="00DB35D4">
        <w:rPr>
          <w:rStyle w:val="tlid-translation"/>
          <w:rFonts w:cs="Arial"/>
        </w:rPr>
        <w:t>But the idea of CO</w:t>
      </w:r>
      <w:r w:rsidRPr="00DB35D4">
        <w:rPr>
          <w:rStyle w:val="tlid-translation"/>
          <w:rFonts w:cs="Arial"/>
          <w:vertAlign w:val="subscript"/>
        </w:rPr>
        <w:t>2</w:t>
      </w:r>
      <w:r w:rsidRPr="00DB35D4">
        <w:rPr>
          <w:rStyle w:val="tlid-translation"/>
          <w:rFonts w:cs="Arial"/>
        </w:rPr>
        <w:t xml:space="preserve"> trading did not start with the Kyoto Treaty but had been used in the US and most particularly since 1977, when polluters had to act and prove in practice that their emissions were lower than the top limit, or lower than those of previous years. However, the application of the first emission trade market was not successful as expected and did not produce the desired results in terms of environmental protection.</w:t>
      </w:r>
    </w:p>
    <w:p w14:paraId="656B39E1" w14:textId="77777777" w:rsidR="005664B6" w:rsidRPr="00DB35D4" w:rsidRDefault="005664B6" w:rsidP="005664B6">
      <w:pPr>
        <w:rPr>
          <w:rStyle w:val="tlid-translation"/>
          <w:rFonts w:cs="Arial"/>
        </w:rPr>
      </w:pPr>
      <w:r w:rsidRPr="00DB35D4">
        <w:rPr>
          <w:rStyle w:val="tlid-translation"/>
          <w:rFonts w:cs="Arial"/>
        </w:rPr>
        <w:t>After that there was the ACID program (1995) which used an emission ceiling on stationary SO</w:t>
      </w:r>
      <w:r w:rsidRPr="00DB35D4">
        <w:rPr>
          <w:rStyle w:val="tlid-translation"/>
          <w:rFonts w:cs="Arial"/>
          <w:vertAlign w:val="subscript"/>
        </w:rPr>
        <w:t xml:space="preserve">2 </w:t>
      </w:r>
      <w:r w:rsidRPr="00DB35D4">
        <w:rPr>
          <w:rStyle w:val="tlid-translation"/>
          <w:rFonts w:cs="Arial"/>
        </w:rPr>
        <w:t xml:space="preserve">polluters to save on acid rain, and the RECLAIM program (1985-2003) for </w:t>
      </w:r>
      <w:r w:rsidRPr="00DB35D4">
        <w:rPr>
          <w:rStyle w:val="tlid-translation"/>
          <w:rFonts w:cs="Arial"/>
        </w:rPr>
        <w:lastRenderedPageBreak/>
        <w:t>the reduction of SO</w:t>
      </w:r>
      <w:r w:rsidRPr="00DB35D4">
        <w:rPr>
          <w:rStyle w:val="tlid-translation"/>
          <w:rFonts w:cs="Arial"/>
          <w:vertAlign w:val="subscript"/>
        </w:rPr>
        <w:t>2</w:t>
      </w:r>
      <w:r w:rsidRPr="00DB35D4">
        <w:rPr>
          <w:rStyle w:val="tlid-translation"/>
          <w:rFonts w:cs="Arial"/>
        </w:rPr>
        <w:t xml:space="preserve"> and NO</w:t>
      </w:r>
      <w:r w:rsidRPr="00DB35D4">
        <w:rPr>
          <w:rStyle w:val="tlid-translation"/>
          <w:rFonts w:cs="Arial"/>
          <w:vertAlign w:val="subscript"/>
        </w:rPr>
        <w:t>2</w:t>
      </w:r>
      <w:r w:rsidRPr="00DB35D4">
        <w:rPr>
          <w:rStyle w:val="tlid-translation"/>
          <w:rFonts w:cs="Arial"/>
        </w:rPr>
        <w:t xml:space="preserve"> emissions. The later managed to reduce mitigation costs up to 42%.</w:t>
      </w:r>
    </w:p>
    <w:p w14:paraId="5D985D5B" w14:textId="5623AA83" w:rsidR="005664B6" w:rsidRPr="00DB35D4" w:rsidRDefault="005664B6" w:rsidP="005664B6">
      <w:pPr>
        <w:rPr>
          <w:rStyle w:val="tlid-translation"/>
          <w:rFonts w:cs="Arial"/>
        </w:rPr>
      </w:pPr>
      <w:r w:rsidRPr="00DB35D4">
        <w:rPr>
          <w:rStyle w:val="tlid-translation"/>
          <w:rFonts w:cs="Arial"/>
        </w:rPr>
        <w:t xml:space="preserve">Another effort that had begun before the Kyoto agreement was signed was the </w:t>
      </w:r>
      <w:r w:rsidRPr="00DB35D4">
        <w:rPr>
          <w:rStyle w:val="tlid-translation"/>
          <w:rFonts w:cs="Arial"/>
          <w:b/>
        </w:rPr>
        <w:t>lead phasedown program</w:t>
      </w:r>
      <w:r w:rsidRPr="00DB35D4">
        <w:rPr>
          <w:rStyle w:val="tlid-translation"/>
          <w:rFonts w:cs="Arial"/>
        </w:rPr>
        <w:t xml:space="preserve"> and was set up by the EPA (Environmental Protection Agency) of US in 1985 to reduce lead levels in gasoline. It was the first of its free trading systems and was therefore successful in achieving its creation goals </w:t>
      </w:r>
      <w:sdt>
        <w:sdtPr>
          <w:rPr>
            <w:rStyle w:val="tlid-translation"/>
            <w:rFonts w:cs="Arial"/>
          </w:rPr>
          <w:id w:val="-1064944936"/>
          <w:citation/>
        </w:sdtPr>
        <w:sdtEndPr>
          <w:rPr>
            <w:rStyle w:val="tlid-translation"/>
          </w:rPr>
        </w:sdtEndPr>
        <w:sdtContent>
          <w:r w:rsidRPr="00DB35D4">
            <w:rPr>
              <w:rStyle w:val="tlid-translation"/>
              <w:rFonts w:cs="Arial"/>
            </w:rPr>
            <w:fldChar w:fldCharType="begin"/>
          </w:r>
          <w:r w:rsidRPr="00DB35D4">
            <w:rPr>
              <w:rStyle w:val="tlid-translation"/>
              <w:rFonts w:cs="Arial"/>
            </w:rPr>
            <w:instrText xml:space="preserve"> CITATION Tie99 \l 1033 </w:instrText>
          </w:r>
          <w:r w:rsidRPr="00DB35D4">
            <w:rPr>
              <w:rStyle w:val="tlid-translation"/>
              <w:rFonts w:cs="Arial"/>
            </w:rPr>
            <w:fldChar w:fldCharType="separate"/>
          </w:r>
          <w:r w:rsidR="00487700" w:rsidRPr="00487700">
            <w:rPr>
              <w:rFonts w:cs="Arial"/>
              <w:noProof/>
            </w:rPr>
            <w:t>(Tietenberg, Grubb, Michaelowa, Swift, &amp; Zhang, 1999)</w:t>
          </w:r>
          <w:r w:rsidRPr="00DB35D4">
            <w:rPr>
              <w:rStyle w:val="tlid-translation"/>
              <w:rFonts w:cs="Arial"/>
            </w:rPr>
            <w:fldChar w:fldCharType="end"/>
          </w:r>
        </w:sdtContent>
      </w:sdt>
      <w:r w:rsidRPr="00DB35D4">
        <w:rPr>
          <w:rStyle w:val="tlid-translation"/>
          <w:rFonts w:cs="Arial"/>
        </w:rPr>
        <w:t xml:space="preserve">. </w:t>
      </w:r>
    </w:p>
    <w:p w14:paraId="39424620" w14:textId="4F544F4B" w:rsidR="005664B6" w:rsidRPr="00DB35D4" w:rsidRDefault="005664B6" w:rsidP="005664B6">
      <w:pPr>
        <w:rPr>
          <w:rStyle w:val="tlid-translation"/>
          <w:rFonts w:cs="Arial"/>
        </w:rPr>
      </w:pPr>
      <w:r w:rsidRPr="00DB35D4">
        <w:rPr>
          <w:rStyle w:val="tlid-translation"/>
          <w:rFonts w:cs="Arial"/>
        </w:rPr>
        <w:t>A pilot program for activities implemented jointly that reduce or sequester greenhouse gases was established under article 4.2(a) of the Framework Convention on Climate Change at the first Conference of the Parties (COP) of UN in 1995. While not strictly comparable to other credit trading programs as investors gained no formal crediting for the tons purchased, experience with this program was useful in indicating procedures for determining the "additionality" of emissions reductions, which is also required for trades under articles 6 and 12 of the Convention. Results from this program indicate that a greenhouse gas credit trading program which requires a showing of additionality can involve even higher transaction costs and uncertainty than has been the case with other credit trading programs</w:t>
      </w:r>
      <w:sdt>
        <w:sdtPr>
          <w:rPr>
            <w:rStyle w:val="tlid-translation"/>
            <w:rFonts w:cs="Arial"/>
          </w:rPr>
          <w:id w:val="-1990701700"/>
          <w:citation/>
        </w:sdtPr>
        <w:sdtEndPr>
          <w:rPr>
            <w:rStyle w:val="tlid-translation"/>
          </w:rPr>
        </w:sdtEndPr>
        <w:sdtContent>
          <w:r w:rsidRPr="00DB35D4">
            <w:rPr>
              <w:rStyle w:val="tlid-translation"/>
              <w:rFonts w:cs="Arial"/>
            </w:rPr>
            <w:fldChar w:fldCharType="begin"/>
          </w:r>
          <w:r w:rsidRPr="00DB35D4">
            <w:rPr>
              <w:rStyle w:val="tlid-translation"/>
              <w:rFonts w:cs="Arial"/>
            </w:rPr>
            <w:instrText xml:space="preserve"> CITATION Tie99 \l 1033 </w:instrText>
          </w:r>
          <w:r w:rsidRPr="00DB35D4">
            <w:rPr>
              <w:rStyle w:val="tlid-translation"/>
              <w:rFonts w:cs="Arial"/>
            </w:rPr>
            <w:fldChar w:fldCharType="separate"/>
          </w:r>
          <w:r w:rsidR="00487700">
            <w:rPr>
              <w:rStyle w:val="tlid-translation"/>
              <w:rFonts w:cs="Arial"/>
              <w:noProof/>
            </w:rPr>
            <w:t xml:space="preserve"> </w:t>
          </w:r>
          <w:r w:rsidR="00487700" w:rsidRPr="00487700">
            <w:rPr>
              <w:rFonts w:cs="Arial"/>
              <w:noProof/>
            </w:rPr>
            <w:t>(Tietenberg, Grubb, Michaelowa, Swift, &amp; Zhang, 1999)</w:t>
          </w:r>
          <w:r w:rsidRPr="00DB35D4">
            <w:rPr>
              <w:rStyle w:val="tlid-translation"/>
              <w:rFonts w:cs="Arial"/>
            </w:rPr>
            <w:fldChar w:fldCharType="end"/>
          </w:r>
        </w:sdtContent>
      </w:sdt>
      <w:r w:rsidRPr="00DB35D4">
        <w:rPr>
          <w:rStyle w:val="tlid-translation"/>
          <w:rFonts w:cs="Arial"/>
        </w:rPr>
        <w:t>.</w:t>
      </w:r>
    </w:p>
    <w:p w14:paraId="3E88F9D7" w14:textId="77777777" w:rsidR="005664B6" w:rsidRPr="00DB35D4" w:rsidRDefault="005664B6" w:rsidP="009E12D8">
      <w:pPr>
        <w:pStyle w:val="MAIL111"/>
      </w:pPr>
      <w:bookmarkStart w:id="190" w:name="_Toc18677143"/>
      <w:bookmarkStart w:id="191" w:name="_Toc90892978"/>
      <w:bookmarkStart w:id="192" w:name="_Toc91752432"/>
      <w:r w:rsidRPr="00DB35D4">
        <w:t>Current compliance Emission’s Trade systems</w:t>
      </w:r>
      <w:bookmarkEnd w:id="190"/>
      <w:bookmarkEnd w:id="191"/>
      <w:bookmarkEnd w:id="192"/>
    </w:p>
    <w:p w14:paraId="27E57A22" w14:textId="2486F3E5" w:rsidR="005664B6" w:rsidRPr="00DB35D4" w:rsidRDefault="005664B6" w:rsidP="005664B6">
      <w:pPr>
        <w:rPr>
          <w:rStyle w:val="tlid-translation"/>
          <w:rFonts w:cs="Arial"/>
        </w:rPr>
      </w:pPr>
      <w:r w:rsidRPr="00DB35D4">
        <w:rPr>
          <w:rStyle w:val="tlid-translation"/>
          <w:rFonts w:cs="Arial"/>
        </w:rPr>
        <w:t>In 2005 the European ETS was implemented under the Kyoto Treaty. Several others, both of National and Regional type, have been established and are operating worldwide.</w:t>
      </w:r>
      <w:r w:rsidR="009E12D8">
        <w:rPr>
          <w:rStyle w:val="tlid-translation"/>
          <w:rFonts w:cs="Arial"/>
        </w:rPr>
        <w:t xml:space="preserve"> </w:t>
      </w:r>
      <w:r w:rsidR="009E12D8" w:rsidRPr="00DB35D4">
        <w:rPr>
          <w:rStyle w:val="tlid-translation"/>
          <w:rFonts w:cs="Arial"/>
        </w:rPr>
        <w:t xml:space="preserve">The reader can find a detailed report of the existing, scheduled and under consideration ETSs </w:t>
      </w:r>
      <w:sdt>
        <w:sdtPr>
          <w:rPr>
            <w:rStyle w:val="tlid-translation"/>
            <w:rFonts w:cs="Arial"/>
          </w:rPr>
          <w:id w:val="-2051598741"/>
          <w:citation/>
        </w:sdtPr>
        <w:sdtEndPr>
          <w:rPr>
            <w:rStyle w:val="tlid-translation"/>
          </w:rPr>
        </w:sdtEndPr>
        <w:sdtContent>
          <w:r w:rsidR="009E12D8" w:rsidRPr="00DB35D4">
            <w:rPr>
              <w:rStyle w:val="tlid-translation"/>
              <w:rFonts w:cs="Arial"/>
            </w:rPr>
            <w:fldChar w:fldCharType="begin"/>
          </w:r>
          <w:r w:rsidR="009E12D8" w:rsidRPr="00DB35D4">
            <w:rPr>
              <w:rStyle w:val="tlid-translation"/>
              <w:rFonts w:cs="Arial"/>
            </w:rPr>
            <w:instrText xml:space="preserve"> CITATION Int19 \l 1033 </w:instrText>
          </w:r>
          <w:r w:rsidR="009E12D8" w:rsidRPr="00DB35D4">
            <w:rPr>
              <w:rStyle w:val="tlid-translation"/>
              <w:rFonts w:cs="Arial"/>
            </w:rPr>
            <w:fldChar w:fldCharType="separate"/>
          </w:r>
          <w:r w:rsidR="009E12D8" w:rsidRPr="00487700">
            <w:rPr>
              <w:rFonts w:cs="Arial"/>
              <w:noProof/>
            </w:rPr>
            <w:t>(Partnership, 2019)</w:t>
          </w:r>
          <w:r w:rsidR="009E12D8" w:rsidRPr="00DB35D4">
            <w:rPr>
              <w:rStyle w:val="tlid-translation"/>
              <w:rFonts w:cs="Arial"/>
            </w:rPr>
            <w:fldChar w:fldCharType="end"/>
          </w:r>
        </w:sdtContent>
      </w:sdt>
      <w:r w:rsidR="009E12D8" w:rsidRPr="00DB35D4">
        <w:rPr>
          <w:rStyle w:val="tlid-translation"/>
          <w:rFonts w:cs="Arial"/>
        </w:rPr>
        <w:t xml:space="preserve"> </w:t>
      </w:r>
      <w:sdt>
        <w:sdtPr>
          <w:rPr>
            <w:rStyle w:val="tlid-translation"/>
            <w:rFonts w:cs="Arial"/>
          </w:rPr>
          <w:id w:val="1957837632"/>
          <w:citation/>
        </w:sdtPr>
        <w:sdtEndPr>
          <w:rPr>
            <w:rStyle w:val="tlid-translation"/>
          </w:rPr>
        </w:sdtEndPr>
        <w:sdtContent>
          <w:r w:rsidR="009E12D8" w:rsidRPr="00DB35D4">
            <w:rPr>
              <w:rStyle w:val="tlid-translation"/>
              <w:rFonts w:cs="Arial"/>
            </w:rPr>
            <w:fldChar w:fldCharType="begin"/>
          </w:r>
          <w:r w:rsidR="009E12D8" w:rsidRPr="00DB35D4">
            <w:rPr>
              <w:rStyle w:val="tlid-translation"/>
              <w:rFonts w:cs="Arial"/>
            </w:rPr>
            <w:instrText xml:space="preserve"> CITATION Cél19 \l 1033 </w:instrText>
          </w:r>
          <w:r w:rsidR="009E12D8" w:rsidRPr="00DB35D4">
            <w:rPr>
              <w:rStyle w:val="tlid-translation"/>
              <w:rFonts w:cs="Arial"/>
            </w:rPr>
            <w:fldChar w:fldCharType="separate"/>
          </w:r>
          <w:r w:rsidR="009E12D8" w:rsidRPr="00487700">
            <w:rPr>
              <w:rFonts w:cs="Arial"/>
              <w:noProof/>
            </w:rPr>
            <w:t>(Ramstein , Dominioni, &amp; Ettehad, 2019)</w:t>
          </w:r>
          <w:r w:rsidR="009E12D8" w:rsidRPr="00DB35D4">
            <w:rPr>
              <w:rStyle w:val="tlid-translation"/>
              <w:rFonts w:cs="Arial"/>
            </w:rPr>
            <w:fldChar w:fldCharType="end"/>
          </w:r>
        </w:sdtContent>
      </w:sdt>
      <w:r w:rsidR="009E12D8" w:rsidRPr="00DB35D4">
        <w:rPr>
          <w:rStyle w:val="tlid-translation"/>
          <w:rFonts w:cs="Arial"/>
        </w:rPr>
        <w:t xml:space="preserve"> as well as a map of showing the global distribution of them (</w:t>
      </w:r>
      <w:r w:rsidR="009E12D8" w:rsidRPr="00DB35D4">
        <w:rPr>
          <w:rStyle w:val="tlid-translation"/>
          <w:rFonts w:cs="Arial"/>
        </w:rPr>
        <w:fldChar w:fldCharType="begin"/>
      </w:r>
      <w:r w:rsidR="009E12D8" w:rsidRPr="00DB35D4">
        <w:rPr>
          <w:rStyle w:val="tlid-translation"/>
          <w:rFonts w:cs="Arial"/>
        </w:rPr>
        <w:instrText xml:space="preserve"> REF _Ref86401787 \h  \* MERGEFORMAT </w:instrText>
      </w:r>
      <w:r w:rsidR="009E12D8" w:rsidRPr="00DB35D4">
        <w:rPr>
          <w:rStyle w:val="tlid-translation"/>
          <w:rFonts w:cs="Arial"/>
        </w:rPr>
      </w:r>
      <w:r w:rsidR="009E12D8" w:rsidRPr="00DB35D4">
        <w:rPr>
          <w:rStyle w:val="tlid-translation"/>
          <w:rFonts w:cs="Arial"/>
        </w:rPr>
        <w:fldChar w:fldCharType="separate"/>
      </w:r>
      <w:r w:rsidR="0073710A" w:rsidRPr="0073710A">
        <w:rPr>
          <w:rFonts w:eastAsia="Calibri" w:cs="Arial"/>
          <w:lang w:val="en-GB"/>
        </w:rPr>
        <w:t xml:space="preserve">Figure </w:t>
      </w:r>
      <w:r w:rsidR="0073710A" w:rsidRPr="0073710A">
        <w:rPr>
          <w:rFonts w:eastAsia="Calibri" w:cs="Arial"/>
          <w:noProof/>
          <w:lang w:val="en-GB"/>
        </w:rPr>
        <w:t>37</w:t>
      </w:r>
      <w:r w:rsidR="009E12D8" w:rsidRPr="00DB35D4">
        <w:rPr>
          <w:rStyle w:val="tlid-translation"/>
          <w:rFonts w:cs="Arial"/>
        </w:rPr>
        <w:fldChar w:fldCharType="end"/>
      </w:r>
      <w:r w:rsidR="009E12D8" w:rsidRPr="00DB35D4">
        <w:rPr>
          <w:rStyle w:val="tlid-translation"/>
          <w:rFonts w:cs="Arial"/>
        </w:rPr>
        <w:t>).</w:t>
      </w:r>
    </w:p>
    <w:p w14:paraId="5D316F94" w14:textId="01EDEC57" w:rsidR="005664B6" w:rsidRPr="00DB35D4" w:rsidRDefault="009E12D8" w:rsidP="005664B6">
      <w:pPr>
        <w:rPr>
          <w:rStyle w:val="tlid-translation"/>
          <w:rFonts w:cs="Arial"/>
        </w:rPr>
      </w:pPr>
      <w:r w:rsidRPr="00DB35D4">
        <w:rPr>
          <w:rStyle w:val="tlid-translation"/>
          <w:rFonts w:cs="Arial"/>
          <w:noProof/>
          <w:lang w:val="es-ES" w:eastAsia="es-ES"/>
        </w:rPr>
        <w:lastRenderedPageBreak/>
        <mc:AlternateContent>
          <mc:Choice Requires="wps">
            <w:drawing>
              <wp:anchor distT="45720" distB="45720" distL="114300" distR="114300" simplePos="0" relativeHeight="251666432" behindDoc="0" locked="0" layoutInCell="1" allowOverlap="1" wp14:anchorId="23BEFE2C" wp14:editId="4859B7A7">
                <wp:simplePos x="0" y="0"/>
                <wp:positionH relativeFrom="margin">
                  <wp:posOffset>48895</wp:posOffset>
                </wp:positionH>
                <wp:positionV relativeFrom="paragraph">
                  <wp:posOffset>12700</wp:posOffset>
                </wp:positionV>
                <wp:extent cx="5255260" cy="4329430"/>
                <wp:effectExtent l="0" t="0" r="2540" b="0"/>
                <wp:wrapSquare wrapText="bothSides"/>
                <wp:docPr id="26"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260" cy="4329430"/>
                        </a:xfrm>
                        <a:prstGeom prst="rect">
                          <a:avLst/>
                        </a:prstGeom>
                        <a:solidFill>
                          <a:srgbClr val="FFFFFF"/>
                        </a:solidFill>
                        <a:ln w="9525">
                          <a:noFill/>
                          <a:miter lim="800000"/>
                          <a:headEnd/>
                          <a:tailEnd/>
                        </a:ln>
                      </wps:spPr>
                      <wps:txbx>
                        <w:txbxContent>
                          <w:p w14:paraId="428AC08C" w14:textId="77777777" w:rsidR="00E636F7" w:rsidRDefault="00E636F7" w:rsidP="005664B6">
                            <w:pPr>
                              <w:keepNext/>
                            </w:pPr>
                            <w:bookmarkStart w:id="193" w:name="_Hlk86313305"/>
                            <w:bookmarkEnd w:id="193"/>
                            <w:r w:rsidRPr="00CE2F04">
                              <w:rPr>
                                <w:noProof/>
                                <w:lang w:val="es-ES" w:eastAsia="es-ES"/>
                              </w:rPr>
                              <w:drawing>
                                <wp:inline distT="0" distB="0" distL="0" distR="0" wp14:anchorId="1CF87B10" wp14:editId="0395CD8A">
                                  <wp:extent cx="5137964" cy="3463801"/>
                                  <wp:effectExtent l="0" t="0" r="5715" b="3810"/>
                                  <wp:docPr id="89" name="Εικόνα 9" descr="https://icapcarbonaction.com/en/?option=com_attach&amp;task=download&amp;id=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apcarbonaction.com/en/?option=com_attach&amp;task=download&amp;id=637"/>
                                          <pic:cNvPicPr>
                                            <a:picLocks noChangeAspect="1" noChangeArrowheads="1"/>
                                          </pic:cNvPicPr>
                                        </pic:nvPicPr>
                                        <pic:blipFill rotWithShape="1">
                                          <a:blip r:embed="rId70">
                                            <a:extLst>
                                              <a:ext uri="{28A0092B-C50C-407E-A947-70E740481C1C}">
                                                <a14:useLocalDpi xmlns:a14="http://schemas.microsoft.com/office/drawing/2010/main" val="0"/>
                                              </a:ext>
                                            </a:extLst>
                                          </a:blip>
                                          <a:srcRect b="4620"/>
                                          <a:stretch/>
                                        </pic:blipFill>
                                        <pic:spPr bwMode="auto">
                                          <a:xfrm>
                                            <a:off x="0" y="0"/>
                                            <a:ext cx="5138543" cy="3464191"/>
                                          </a:xfrm>
                                          <a:prstGeom prst="rect">
                                            <a:avLst/>
                                          </a:prstGeom>
                                          <a:noFill/>
                                          <a:ln>
                                            <a:noFill/>
                                          </a:ln>
                                          <a:extLst>
                                            <a:ext uri="{53640926-AAD7-44D8-BBD7-CCE9431645EC}">
                                              <a14:shadowObscured xmlns:a14="http://schemas.microsoft.com/office/drawing/2010/main"/>
                                            </a:ext>
                                          </a:extLst>
                                        </pic:spPr>
                                      </pic:pic>
                                    </a:graphicData>
                                  </a:graphic>
                                </wp:inline>
                              </w:drawing>
                            </w:r>
                          </w:p>
                          <w:p w14:paraId="600988DC" w14:textId="04D51934" w:rsidR="00E636F7" w:rsidRPr="00033816" w:rsidRDefault="00E636F7" w:rsidP="009E12D8">
                            <w:pPr>
                              <w:pStyle w:val="Caption"/>
                              <w:rPr>
                                <w:b w:val="0"/>
                                <w:bCs w:val="0"/>
                                <w:i/>
                                <w:iCs/>
                                <w:lang w:val="en-US"/>
                              </w:rPr>
                            </w:pPr>
                            <w:bookmarkStart w:id="194" w:name="_Ref86401787"/>
                            <w:bookmarkStart w:id="195" w:name="_Toc90888742"/>
                            <w:bookmarkStart w:id="196" w:name="_Toc90893516"/>
                            <w:bookmarkStart w:id="197" w:name="_Toc91752521"/>
                            <w:r w:rsidRPr="00033816">
                              <w:rPr>
                                <w:lang w:val="en-US"/>
                              </w:rPr>
                              <w:t xml:space="preserve">Figure </w:t>
                            </w:r>
                            <w:r w:rsidRPr="00033816">
                              <w:rPr>
                                <w:b w:val="0"/>
                                <w:bCs w:val="0"/>
                                <w:i/>
                                <w:iCs/>
                              </w:rPr>
                              <w:fldChar w:fldCharType="begin"/>
                            </w:r>
                            <w:r w:rsidRPr="00033816">
                              <w:rPr>
                                <w:lang w:val="en-US"/>
                              </w:rPr>
                              <w:instrText xml:space="preserve"> SEQ Figure \* ARABIC </w:instrText>
                            </w:r>
                            <w:r w:rsidRPr="00033816">
                              <w:rPr>
                                <w:b w:val="0"/>
                                <w:bCs w:val="0"/>
                                <w:i/>
                                <w:iCs/>
                              </w:rPr>
                              <w:fldChar w:fldCharType="separate"/>
                            </w:r>
                            <w:r w:rsidR="0073710A">
                              <w:rPr>
                                <w:noProof/>
                                <w:lang w:val="en-US"/>
                              </w:rPr>
                              <w:t>37</w:t>
                            </w:r>
                            <w:r w:rsidRPr="00033816">
                              <w:rPr>
                                <w:b w:val="0"/>
                                <w:bCs w:val="0"/>
                                <w:i/>
                                <w:iCs/>
                              </w:rPr>
                              <w:fldChar w:fldCharType="end"/>
                            </w:r>
                            <w:bookmarkEnd w:id="194"/>
                            <w:r w:rsidRPr="00033816">
                              <w:t xml:space="preserve"> </w:t>
                            </w:r>
                            <w:r w:rsidRPr="00033816">
                              <w:rPr>
                                <w:lang w:val="en-US"/>
                              </w:rPr>
                              <w:t>Emission Trade worldwide. The map. Source: https://icapcarbonaction.com/en/?option=com_attach&amp;task=download&amp;id=637</w:t>
                            </w:r>
                            <w:bookmarkEnd w:id="195"/>
                            <w:bookmarkEnd w:id="196"/>
                            <w:bookmarkEnd w:id="197"/>
                          </w:p>
                          <w:p w14:paraId="68D43D21" w14:textId="35296E75" w:rsidR="00E636F7" w:rsidRPr="00D159D5" w:rsidRDefault="00E636F7" w:rsidP="005664B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EFE2C" id="Πλαίσιο κειμένου 2" o:spid="_x0000_s1029" type="#_x0000_t202" style="position:absolute;left:0;text-align:left;margin-left:3.85pt;margin-top:1pt;width:413.8pt;height:340.9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" stroked="f">
                <v:textbox>
                  <w:txbxContent>
                    <w:p w14:paraId="428AC08C" w14:textId="77777777" w:rsidR="00E636F7" w:rsidRDefault="00E636F7" w:rsidP="005664B6">
                      <w:pPr>
                        <w:keepNext/>
                      </w:pPr>
                      <w:bookmarkStart w:id="198" w:name="_Hlk86313305"/>
                      <w:bookmarkEnd w:id="198"/>
                      <w:r w:rsidRPr="00CE2F04">
                        <w:rPr>
                          <w:noProof/>
                          <w:lang w:val="es-ES" w:eastAsia="es-ES"/>
                        </w:rPr>
                        <w:drawing>
                          <wp:inline distT="0" distB="0" distL="0" distR="0" wp14:anchorId="1CF87B10" wp14:editId="0395CD8A">
                            <wp:extent cx="5137964" cy="3463801"/>
                            <wp:effectExtent l="0" t="0" r="5715" b="3810"/>
                            <wp:docPr id="89" name="Εικόνα 9" descr="https://icapcarbonaction.com/en/?option=com_attach&amp;task=download&amp;id=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apcarbonaction.com/en/?option=com_attach&amp;task=download&amp;id=637"/>
                                    <pic:cNvPicPr>
                                      <a:picLocks noChangeAspect="1" noChangeArrowheads="1"/>
                                    </pic:cNvPicPr>
                                  </pic:nvPicPr>
                                  <pic:blipFill rotWithShape="1">
                                    <a:blip r:embed="rId70">
                                      <a:extLst>
                                        <a:ext uri="{28A0092B-C50C-407E-A947-70E740481C1C}">
                                          <a14:useLocalDpi xmlns:a14="http://schemas.microsoft.com/office/drawing/2010/main" val="0"/>
                                        </a:ext>
                                      </a:extLst>
                                    </a:blip>
                                    <a:srcRect b="4620"/>
                                    <a:stretch/>
                                  </pic:blipFill>
                                  <pic:spPr bwMode="auto">
                                    <a:xfrm>
                                      <a:off x="0" y="0"/>
                                      <a:ext cx="5138543" cy="3464191"/>
                                    </a:xfrm>
                                    <a:prstGeom prst="rect">
                                      <a:avLst/>
                                    </a:prstGeom>
                                    <a:noFill/>
                                    <a:ln>
                                      <a:noFill/>
                                    </a:ln>
                                    <a:extLst>
                                      <a:ext uri="{53640926-AAD7-44D8-BBD7-CCE9431645EC}">
                                        <a14:shadowObscured xmlns:a14="http://schemas.microsoft.com/office/drawing/2010/main"/>
                                      </a:ext>
                                    </a:extLst>
                                  </pic:spPr>
                                </pic:pic>
                              </a:graphicData>
                            </a:graphic>
                          </wp:inline>
                        </w:drawing>
                      </w:r>
                    </w:p>
                    <w:p w14:paraId="600988DC" w14:textId="04D51934" w:rsidR="00E636F7" w:rsidRPr="00033816" w:rsidRDefault="00E636F7" w:rsidP="009E12D8">
                      <w:pPr>
                        <w:pStyle w:val="Caption"/>
                        <w:rPr>
                          <w:b w:val="0"/>
                          <w:bCs w:val="0"/>
                          <w:i/>
                          <w:iCs/>
                          <w:lang w:val="en-US"/>
                        </w:rPr>
                      </w:pPr>
                      <w:bookmarkStart w:id="199" w:name="_Ref86401787"/>
                      <w:bookmarkStart w:id="200" w:name="_Toc90888742"/>
                      <w:bookmarkStart w:id="201" w:name="_Toc90893516"/>
                      <w:bookmarkStart w:id="202" w:name="_Toc91752521"/>
                      <w:r w:rsidRPr="00033816">
                        <w:rPr>
                          <w:lang w:val="en-US"/>
                        </w:rPr>
                        <w:t xml:space="preserve">Figure </w:t>
                      </w:r>
                      <w:r w:rsidRPr="00033816">
                        <w:rPr>
                          <w:b w:val="0"/>
                          <w:bCs w:val="0"/>
                          <w:i/>
                          <w:iCs/>
                        </w:rPr>
                        <w:fldChar w:fldCharType="begin"/>
                      </w:r>
                      <w:r w:rsidRPr="00033816">
                        <w:rPr>
                          <w:lang w:val="en-US"/>
                        </w:rPr>
                        <w:instrText xml:space="preserve"> SEQ Figure \* ARABIC </w:instrText>
                      </w:r>
                      <w:r w:rsidRPr="00033816">
                        <w:rPr>
                          <w:b w:val="0"/>
                          <w:bCs w:val="0"/>
                          <w:i/>
                          <w:iCs/>
                        </w:rPr>
                        <w:fldChar w:fldCharType="separate"/>
                      </w:r>
                      <w:r w:rsidR="0073710A">
                        <w:rPr>
                          <w:noProof/>
                          <w:lang w:val="en-US"/>
                        </w:rPr>
                        <w:t>37</w:t>
                      </w:r>
                      <w:r w:rsidRPr="00033816">
                        <w:rPr>
                          <w:b w:val="0"/>
                          <w:bCs w:val="0"/>
                          <w:i/>
                          <w:iCs/>
                        </w:rPr>
                        <w:fldChar w:fldCharType="end"/>
                      </w:r>
                      <w:bookmarkEnd w:id="199"/>
                      <w:r w:rsidRPr="00033816">
                        <w:t xml:space="preserve"> </w:t>
                      </w:r>
                      <w:r w:rsidRPr="00033816">
                        <w:rPr>
                          <w:lang w:val="en-US"/>
                        </w:rPr>
                        <w:t>Emission Trade worldwide. The map. Source: https://icapcarbonaction.com/en/?option=com_attach&amp;task=download&amp;id=637</w:t>
                      </w:r>
                      <w:bookmarkEnd w:id="200"/>
                      <w:bookmarkEnd w:id="201"/>
                      <w:bookmarkEnd w:id="202"/>
                    </w:p>
                    <w:p w14:paraId="68D43D21" w14:textId="35296E75" w:rsidR="00E636F7" w:rsidRPr="00D159D5" w:rsidRDefault="00E636F7" w:rsidP="005664B6"/>
                  </w:txbxContent>
                </v:textbox>
                <w10:wrap type="square" anchorx="margin"/>
              </v:shape>
            </w:pict>
          </mc:Fallback>
        </mc:AlternateContent>
      </w:r>
      <w:r w:rsidR="005664B6" w:rsidRPr="00DB35D4">
        <w:rPr>
          <w:rStyle w:val="tlid-translation"/>
          <w:rFonts w:cs="Arial"/>
        </w:rPr>
        <w:t xml:space="preserve"> </w:t>
      </w:r>
      <w:r w:rsidR="005664B6" w:rsidRPr="00DB35D4">
        <w:rPr>
          <w:rFonts w:cs="Arial"/>
          <w:b/>
          <w:bCs/>
        </w:rPr>
        <w:t>International Carbon Action Partnership</w:t>
      </w:r>
      <w:r w:rsidR="005664B6" w:rsidRPr="00DB35D4">
        <w:rPr>
          <w:rFonts w:cs="Arial"/>
        </w:rPr>
        <w:t xml:space="preserve"> </w:t>
      </w:r>
      <w:r w:rsidR="005664B6" w:rsidRPr="00DB35D4">
        <w:rPr>
          <w:rStyle w:val="tlid-translation"/>
          <w:rFonts w:cs="Arial"/>
        </w:rPr>
        <w:t>(</w:t>
      </w:r>
      <w:r w:rsidR="005664B6" w:rsidRPr="00DB35D4">
        <w:rPr>
          <w:rStyle w:val="tlid-translation"/>
          <w:rFonts w:cs="Arial"/>
          <w:b/>
        </w:rPr>
        <w:t>ICAP</w:t>
      </w:r>
      <w:r w:rsidR="005664B6" w:rsidRPr="00DB35D4">
        <w:rPr>
          <w:rStyle w:val="tlid-translation"/>
          <w:rFonts w:cs="Arial"/>
        </w:rPr>
        <w:t>) is running a website providing all relevant information about compliance ETS. There is also the possibility to compare several ETSs in terms of sectors covered (heavy industry, transportation, heating, etc.), GHG covered, carbon price, trading period, allocation procedure, participants, linking to other ETSs, and so on.</w:t>
      </w:r>
    </w:p>
    <w:p w14:paraId="4C925BA7" w14:textId="77777777" w:rsidR="005664B6" w:rsidRDefault="005664B6" w:rsidP="005664B6">
      <w:pPr>
        <w:pStyle w:val="MAIL11"/>
        <w:rPr>
          <w:lang w:eastAsia="el-GR"/>
        </w:rPr>
      </w:pPr>
      <w:bookmarkStart w:id="203" w:name="_Toc90892979"/>
      <w:bookmarkStart w:id="204" w:name="_Toc91752433"/>
      <w:r>
        <w:rPr>
          <w:lang w:eastAsia="el-GR"/>
        </w:rPr>
        <w:t>Carbon Offsets</w:t>
      </w:r>
      <w:bookmarkEnd w:id="203"/>
      <w:bookmarkEnd w:id="204"/>
    </w:p>
    <w:p w14:paraId="25D2FC2C" w14:textId="77777777" w:rsidR="005664B6" w:rsidRPr="00DB35D4" w:rsidRDefault="005664B6" w:rsidP="005664B6">
      <w:pPr>
        <w:rPr>
          <w:rFonts w:cs="Arial"/>
          <w:lang w:eastAsia="el-GR"/>
        </w:rPr>
      </w:pPr>
      <w:r w:rsidRPr="00DB35D4">
        <w:rPr>
          <w:rFonts w:cs="Arial"/>
          <w:lang w:eastAsia="el-GR"/>
        </w:rPr>
        <w:t xml:space="preserve">Before describing the current state of the art in the Voluntary we must define </w:t>
      </w:r>
      <w:r w:rsidRPr="00DB35D4">
        <w:rPr>
          <w:rFonts w:cs="Arial"/>
          <w:b/>
          <w:lang w:eastAsia="el-GR"/>
        </w:rPr>
        <w:t>Carbon Offsets</w:t>
      </w:r>
      <w:r w:rsidRPr="00DB35D4">
        <w:rPr>
          <w:rFonts w:cs="Arial"/>
          <w:lang w:eastAsia="el-GR"/>
        </w:rPr>
        <w:t xml:space="preserve"> and their use in the Clean Development Mechanism (CDM) and Joint Implementation (JI) that were introduced by the Kyoto Treaty for the emissions’ trade by parties (countries and industries) that could not participate in the newly established EU ETS, or other compliance markets. </w:t>
      </w:r>
    </w:p>
    <w:p w14:paraId="2A20EA0B" w14:textId="77777777" w:rsidR="005664B6" w:rsidRPr="00DB35D4" w:rsidRDefault="005664B6" w:rsidP="005664B6">
      <w:pPr>
        <w:rPr>
          <w:rFonts w:cs="Arial"/>
          <w:lang w:eastAsia="el-GR"/>
        </w:rPr>
      </w:pPr>
      <w:r w:rsidRPr="00DB35D4">
        <w:rPr>
          <w:rStyle w:val="tlid-translation"/>
          <w:rFonts w:cs="Arial"/>
          <w:b/>
        </w:rPr>
        <w:t>Carbon Offsets</w:t>
      </w:r>
      <w:r w:rsidRPr="00DB35D4">
        <w:rPr>
          <w:rStyle w:val="tlid-translation"/>
          <w:rFonts w:cs="Arial"/>
        </w:rPr>
        <w:t xml:space="preserve"> refer to absorbance of CO</w:t>
      </w:r>
      <w:r w:rsidRPr="00DB35D4">
        <w:rPr>
          <w:rStyle w:val="tlid-translation"/>
          <w:rFonts w:cs="Arial"/>
          <w:vertAlign w:val="subscript"/>
        </w:rPr>
        <w:t>2</w:t>
      </w:r>
      <w:r w:rsidRPr="00DB35D4">
        <w:rPr>
          <w:rStyle w:val="tlid-translation"/>
          <w:rFonts w:cs="Arial"/>
        </w:rPr>
        <w:t xml:space="preserve"> that prevent either further emissions of GHGs or sequestrate GHGs in the soil or in vegetation. Such projects can be using new technologies i.e., to filter better the emissions of GHGs (from big polluters) in the atmosphere or generating power through renewable energy sources or even protecting forests in the Amazon and planting trees in developing countries.</w:t>
      </w:r>
    </w:p>
    <w:p w14:paraId="4BBF7B77" w14:textId="77777777" w:rsidR="005664B6" w:rsidRPr="00DB35D4" w:rsidRDefault="005664B6" w:rsidP="005664B6">
      <w:pPr>
        <w:rPr>
          <w:rStyle w:val="tlid-translation"/>
          <w:rFonts w:cs="Arial"/>
        </w:rPr>
      </w:pPr>
      <w:r w:rsidRPr="00DB35D4">
        <w:rPr>
          <w:rStyle w:val="tlid-translation"/>
          <w:rFonts w:cs="Arial"/>
        </w:rPr>
        <w:lastRenderedPageBreak/>
        <w:t>Carbon Offsets are produced by projects that carry out on-the-ground emissions reduction activities and are typically measured in metric tons of carbon dioxide equivalents, or tCO</w:t>
      </w:r>
      <w:r w:rsidRPr="00DB35D4">
        <w:rPr>
          <w:rStyle w:val="tlid-translation"/>
          <w:rFonts w:cs="Arial"/>
          <w:vertAlign w:val="subscript"/>
        </w:rPr>
        <w:t>2</w:t>
      </w:r>
      <w:r w:rsidRPr="00DB35D4">
        <w:rPr>
          <w:rStyle w:val="tlid-translation"/>
          <w:rFonts w:cs="Arial"/>
        </w:rPr>
        <w:t xml:space="preserve">e. They can either be traded on the </w:t>
      </w:r>
      <w:r w:rsidRPr="00DB35D4">
        <w:rPr>
          <w:rStyle w:val="tlid-translation"/>
          <w:rFonts w:cs="Arial"/>
          <w:b/>
        </w:rPr>
        <w:t>voluntary markets</w:t>
      </w:r>
      <w:r w:rsidRPr="00DB35D4">
        <w:rPr>
          <w:rStyle w:val="tlid-translation"/>
          <w:rFonts w:cs="Arial"/>
        </w:rPr>
        <w:t xml:space="preserve">, where buyers and sellers trade on their own volition, or as part of a </w:t>
      </w:r>
      <w:r w:rsidRPr="00DB35D4">
        <w:rPr>
          <w:rStyle w:val="tlid-translation"/>
          <w:rFonts w:cs="Arial"/>
          <w:b/>
        </w:rPr>
        <w:t xml:space="preserve">compliance market </w:t>
      </w:r>
      <w:r w:rsidRPr="00DB35D4">
        <w:rPr>
          <w:rStyle w:val="tlid-translation"/>
          <w:rFonts w:cs="Arial"/>
          <w:bCs/>
        </w:rPr>
        <w:t>(e.g.,</w:t>
      </w:r>
      <w:r w:rsidRPr="00DB35D4">
        <w:rPr>
          <w:rStyle w:val="tlid-translation"/>
          <w:rFonts w:cs="Arial"/>
          <w:b/>
        </w:rPr>
        <w:t xml:space="preserve"> </w:t>
      </w:r>
      <w:r w:rsidRPr="00DB35D4">
        <w:rPr>
          <w:rStyle w:val="tlid-translation"/>
          <w:rFonts w:cs="Arial"/>
        </w:rPr>
        <w:t>CDM</w:t>
      </w:r>
      <w:r w:rsidRPr="00DB35D4">
        <w:rPr>
          <w:rStyle w:val="tlid-translation"/>
          <w:rFonts w:cs="Arial"/>
          <w:b/>
        </w:rPr>
        <w:t>)</w:t>
      </w:r>
      <w:r w:rsidRPr="00DB35D4">
        <w:rPr>
          <w:rStyle w:val="tlid-translation"/>
          <w:rFonts w:cs="Arial"/>
        </w:rPr>
        <w:t>, where government regulations require emitters to either reduce their emissions or purchase offsets.</w:t>
      </w:r>
    </w:p>
    <w:p w14:paraId="0BF06B69" w14:textId="77777777" w:rsidR="005664B6" w:rsidRDefault="005664B6" w:rsidP="009E12D8">
      <w:pPr>
        <w:pStyle w:val="MAIL111"/>
      </w:pPr>
      <w:bookmarkStart w:id="205" w:name="_Toc90892980"/>
      <w:bookmarkStart w:id="206" w:name="_Toc91752434"/>
      <w:r w:rsidRPr="00DB35D4">
        <w:t xml:space="preserve">Clean </w:t>
      </w:r>
      <w:r w:rsidRPr="00641FC9">
        <w:t>Development</w:t>
      </w:r>
      <w:r w:rsidRPr="00DB35D4">
        <w:t xml:space="preserve"> Mechanism (CDM)</w:t>
      </w:r>
      <w:bookmarkEnd w:id="205"/>
      <w:bookmarkEnd w:id="206"/>
    </w:p>
    <w:p w14:paraId="21555331" w14:textId="77777777" w:rsidR="005664B6" w:rsidRPr="00DB35D4" w:rsidRDefault="005664B6" w:rsidP="005664B6">
      <w:pPr>
        <w:rPr>
          <w:rStyle w:val="tlid-translation"/>
          <w:rFonts w:cs="Arial"/>
        </w:rPr>
      </w:pPr>
      <w:r w:rsidRPr="00DB35D4">
        <w:rPr>
          <w:rStyle w:val="tlid-translation"/>
          <w:rFonts w:cs="Arial"/>
        </w:rPr>
        <w:t>The Clean Development Mechanism (CDM) and the Joint Implementation (JI) that were introducing by the Kyoto Protocol as alternatives to ETS tools. Both mechanisms use Carbon Offset Projects to mitigate negative climate change effects.</w:t>
      </w:r>
    </w:p>
    <w:p w14:paraId="6165538B" w14:textId="102A9306" w:rsidR="005664B6" w:rsidRPr="00DB35D4" w:rsidRDefault="005664B6" w:rsidP="005664B6">
      <w:pPr>
        <w:rPr>
          <w:rStyle w:val="tlid-translation"/>
          <w:rFonts w:cs="Arial"/>
        </w:rPr>
      </w:pPr>
      <w:r w:rsidRPr="00DB35D4">
        <w:rPr>
          <w:rStyle w:val="tlid-translation"/>
          <w:rFonts w:cs="Arial"/>
        </w:rPr>
        <w:t xml:space="preserve">The CDM allows </w:t>
      </w:r>
      <w:r w:rsidR="00E048D7">
        <w:rPr>
          <w:rStyle w:val="tlid-translation"/>
          <w:rFonts w:cs="Arial"/>
        </w:rPr>
        <w:t xml:space="preserve">Annex III </w:t>
      </w:r>
      <w:r w:rsidRPr="00DB35D4">
        <w:rPr>
          <w:rStyle w:val="tlid-translation"/>
          <w:rFonts w:cs="Arial"/>
        </w:rPr>
        <w:t xml:space="preserve">(developed) countries to partly meet their Kyoto targets by financing carbon emission reductions through carbon offsets that are produced within projects in developing countries. Such projects are arguably more cost effective than projects implemented in richer nations because developing countries have on average lower energy efficiencies, lower labor costs, weaker regulatory requirements, and less advanced technologies. The CDM is also meant to deliver </w:t>
      </w:r>
      <w:hyperlink r:id="rId71" w:history="1">
        <w:r w:rsidRPr="00DB35D4">
          <w:rPr>
            <w:rStyle w:val="tlid-translation"/>
            <w:rFonts w:cs="Arial"/>
          </w:rPr>
          <w:t>sustainable development benefits</w:t>
        </w:r>
      </w:hyperlink>
      <w:r w:rsidRPr="00DB35D4">
        <w:rPr>
          <w:rStyle w:val="tlid-translation"/>
          <w:rFonts w:cs="Arial"/>
        </w:rPr>
        <w:t xml:space="preserve"> to the host country that they are also named co-benefits. CDM projects generate emissions credits called Certified Emissions Reductions or CERs – one CER is equal to one ton of carbon dioxide equivalent – which are then bought and traded</w:t>
      </w:r>
      <w:sdt>
        <w:sdtPr>
          <w:rPr>
            <w:rStyle w:val="tlid-translation"/>
            <w:rFonts w:cs="Arial"/>
          </w:rPr>
          <w:id w:val="1329319655"/>
          <w:citation/>
        </w:sdtPr>
        <w:sdtEndPr>
          <w:rPr>
            <w:rStyle w:val="tlid-translation"/>
          </w:rPr>
        </w:sdtEndPr>
        <w:sdtContent>
          <w:r w:rsidRPr="00DB35D4">
            <w:rPr>
              <w:rStyle w:val="tlid-translation"/>
              <w:rFonts w:cs="Arial"/>
            </w:rPr>
            <w:fldChar w:fldCharType="begin"/>
          </w:r>
          <w:r w:rsidRPr="00DB35D4">
            <w:rPr>
              <w:rStyle w:val="tlid-translation"/>
              <w:rFonts w:cs="Arial"/>
            </w:rPr>
            <w:instrText xml:space="preserve"> CITATION htt \l 1033 </w:instrText>
          </w:r>
          <w:r w:rsidRPr="00DB35D4">
            <w:rPr>
              <w:rStyle w:val="tlid-translation"/>
              <w:rFonts w:cs="Arial"/>
            </w:rPr>
            <w:fldChar w:fldCharType="separate"/>
          </w:r>
          <w:r w:rsidR="00487700">
            <w:rPr>
              <w:rStyle w:val="tlid-translation"/>
              <w:rFonts w:cs="Arial"/>
              <w:noProof/>
            </w:rPr>
            <w:t xml:space="preserve"> </w:t>
          </w:r>
          <w:r w:rsidR="00487700" w:rsidRPr="00487700">
            <w:rPr>
              <w:rFonts w:cs="Arial"/>
              <w:noProof/>
            </w:rPr>
            <w:t>(Carbon Offset Research and Education, 2019)</w:t>
          </w:r>
          <w:r w:rsidRPr="00DB35D4">
            <w:rPr>
              <w:rStyle w:val="tlid-translation"/>
              <w:rFonts w:cs="Arial"/>
            </w:rPr>
            <w:fldChar w:fldCharType="end"/>
          </w:r>
        </w:sdtContent>
      </w:sdt>
      <w:r w:rsidRPr="00DB35D4">
        <w:rPr>
          <w:rStyle w:val="tlid-translation"/>
          <w:rFonts w:cs="Arial"/>
        </w:rPr>
        <w:t>.</w:t>
      </w:r>
    </w:p>
    <w:p w14:paraId="0742E60C" w14:textId="77777777" w:rsidR="005664B6" w:rsidRPr="0071057A" w:rsidRDefault="005664B6" w:rsidP="009E12D8">
      <w:pPr>
        <w:pStyle w:val="MAIL111"/>
        <w:rPr>
          <w:rStyle w:val="tlid-translation"/>
          <w:lang w:val="en-US"/>
        </w:rPr>
      </w:pPr>
      <w:bookmarkStart w:id="207" w:name="JI"/>
      <w:bookmarkStart w:id="208" w:name="_Toc90892981"/>
      <w:bookmarkStart w:id="209" w:name="_Toc91752435"/>
      <w:bookmarkEnd w:id="207"/>
      <w:r w:rsidRPr="00690CD7">
        <w:t>Joint Implementation (JI)</w:t>
      </w:r>
      <w:bookmarkEnd w:id="208"/>
      <w:bookmarkEnd w:id="209"/>
    </w:p>
    <w:p w14:paraId="2C801913" w14:textId="523B8A91" w:rsidR="005664B6" w:rsidRPr="00DB35D4" w:rsidRDefault="005664B6" w:rsidP="005664B6">
      <w:pPr>
        <w:rPr>
          <w:rStyle w:val="tlid-translation"/>
          <w:rFonts w:cs="Arial"/>
        </w:rPr>
      </w:pPr>
      <w:r w:rsidRPr="00DB35D4">
        <w:rPr>
          <w:rStyle w:val="tlid-translation"/>
          <w:rFonts w:cs="Arial"/>
        </w:rPr>
        <w:t xml:space="preserve">Joint Implementation works similarly to CDM, with the exception that the host country is not a developing nation but another </w:t>
      </w:r>
      <w:r w:rsidR="000C71CA">
        <w:rPr>
          <w:rFonts w:cs="Arial"/>
        </w:rPr>
        <w:t>Annex III</w:t>
      </w:r>
      <w:r w:rsidRPr="00DB35D4">
        <w:rPr>
          <w:rStyle w:val="tlid-translation"/>
          <w:rFonts w:cs="Arial"/>
        </w:rPr>
        <w:t xml:space="preserve"> country. The tradable units from JI projects are called Emissions Reductions Units (ERUs). It is not strictly a baseline-and-credit system since it also has aspects of a cap-and-trade system, and, notably, both participants have an overall reduction target</w:t>
      </w:r>
      <w:sdt>
        <w:sdtPr>
          <w:rPr>
            <w:rStyle w:val="tlid-translation"/>
            <w:rFonts w:cs="Arial"/>
            <w:b/>
            <w:bCs/>
          </w:rPr>
          <w:id w:val="-647822094"/>
          <w:citation/>
        </w:sdtPr>
        <w:sdtEndPr>
          <w:rPr>
            <w:rStyle w:val="tlid-translation"/>
          </w:rPr>
        </w:sdtEndPr>
        <w:sdtContent>
          <w:r w:rsidRPr="00DB35D4">
            <w:rPr>
              <w:rStyle w:val="tlid-translation"/>
              <w:rFonts w:cs="Arial"/>
              <w:b/>
              <w:bCs/>
            </w:rPr>
            <w:fldChar w:fldCharType="begin"/>
          </w:r>
          <w:r w:rsidRPr="00DB35D4">
            <w:rPr>
              <w:rStyle w:val="tlid-translation"/>
              <w:rFonts w:cs="Arial"/>
              <w:b/>
              <w:bCs/>
            </w:rPr>
            <w:instrText xml:space="preserve"> CITATION htt \l 1033 </w:instrText>
          </w:r>
          <w:r w:rsidRPr="00DB35D4">
            <w:rPr>
              <w:rStyle w:val="tlid-translation"/>
              <w:rFonts w:cs="Arial"/>
              <w:b/>
              <w:bCs/>
            </w:rPr>
            <w:fldChar w:fldCharType="separate"/>
          </w:r>
          <w:r w:rsidR="00487700">
            <w:rPr>
              <w:rStyle w:val="tlid-translation"/>
              <w:rFonts w:cs="Arial"/>
              <w:b/>
              <w:bCs/>
              <w:noProof/>
            </w:rPr>
            <w:t xml:space="preserve"> </w:t>
          </w:r>
          <w:r w:rsidR="00487700" w:rsidRPr="00487700">
            <w:rPr>
              <w:rFonts w:cs="Arial"/>
              <w:noProof/>
            </w:rPr>
            <w:t>(Carbon Offset Research and Education, 2019)</w:t>
          </w:r>
          <w:r w:rsidRPr="00DB35D4">
            <w:rPr>
              <w:rStyle w:val="tlid-translation"/>
              <w:rFonts w:cs="Arial"/>
              <w:b/>
              <w:bCs/>
            </w:rPr>
            <w:fldChar w:fldCharType="end"/>
          </w:r>
        </w:sdtContent>
      </w:sdt>
      <w:r w:rsidRPr="00DB35D4">
        <w:rPr>
          <w:rStyle w:val="tlid-translation"/>
          <w:rFonts w:cs="Arial"/>
        </w:rPr>
        <w:t>.</w:t>
      </w:r>
    </w:p>
    <w:p w14:paraId="494EC904" w14:textId="77777777" w:rsidR="005664B6" w:rsidRPr="00DB35D4" w:rsidRDefault="005664B6" w:rsidP="005664B6">
      <w:pPr>
        <w:rPr>
          <w:rStyle w:val="tlid-translation"/>
          <w:rFonts w:cs="Arial"/>
        </w:rPr>
      </w:pPr>
    </w:p>
    <w:p w14:paraId="6E82737F" w14:textId="77777777" w:rsidR="005664B6" w:rsidRPr="00DB35D4" w:rsidRDefault="005664B6" w:rsidP="005664B6">
      <w:pPr>
        <w:keepNext/>
        <w:rPr>
          <w:rFonts w:cs="Arial"/>
        </w:rPr>
      </w:pPr>
      <w:r w:rsidRPr="00DB35D4">
        <w:rPr>
          <w:rFonts w:cs="Arial"/>
          <w:noProof/>
          <w:lang w:val="es-ES" w:eastAsia="es-ES"/>
        </w:rPr>
        <w:lastRenderedPageBreak/>
        <w:drawing>
          <wp:inline distT="0" distB="0" distL="0" distR="0" wp14:anchorId="62C10D68" wp14:editId="232C4A7D">
            <wp:extent cx="5274310" cy="3729990"/>
            <wp:effectExtent l="0" t="0" r="0" b="0"/>
            <wp:docPr id="4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74310" cy="3729990"/>
                    </a:xfrm>
                    <a:prstGeom prst="rect">
                      <a:avLst/>
                    </a:prstGeom>
                  </pic:spPr>
                </pic:pic>
              </a:graphicData>
            </a:graphic>
          </wp:inline>
        </w:drawing>
      </w:r>
    </w:p>
    <w:p w14:paraId="1D95AF32" w14:textId="52008C03" w:rsidR="005664B6" w:rsidRPr="000C71CA" w:rsidRDefault="005664B6" w:rsidP="009E12D8">
      <w:pPr>
        <w:pStyle w:val="Caption"/>
        <w:rPr>
          <w:rStyle w:val="tlid-translation"/>
          <w:rFonts w:cs="Arial"/>
        </w:rPr>
      </w:pPr>
      <w:bookmarkStart w:id="210" w:name="_Ref91750986"/>
      <w:bookmarkStart w:id="211" w:name="_Toc90888743"/>
      <w:bookmarkStart w:id="212" w:name="_Toc90893517"/>
      <w:bookmarkStart w:id="213" w:name="_Toc91752522"/>
      <w:r w:rsidRPr="000C71CA">
        <w:rPr>
          <w:rFonts w:cs="Arial"/>
        </w:rPr>
        <w:t xml:space="preserve">Figure </w:t>
      </w:r>
      <w:r w:rsidRPr="000C71CA">
        <w:rPr>
          <w:rFonts w:cs="Arial"/>
          <w:b w:val="0"/>
          <w:bCs w:val="0"/>
          <w:i/>
          <w:iCs/>
        </w:rPr>
        <w:fldChar w:fldCharType="begin"/>
      </w:r>
      <w:r w:rsidRPr="000C71CA">
        <w:rPr>
          <w:rFonts w:cs="Arial"/>
        </w:rPr>
        <w:instrText xml:space="preserve"> SEQ Figure \* ARABIC </w:instrText>
      </w:r>
      <w:r w:rsidRPr="000C71CA">
        <w:rPr>
          <w:rFonts w:cs="Arial"/>
          <w:b w:val="0"/>
          <w:bCs w:val="0"/>
          <w:i/>
          <w:iCs/>
        </w:rPr>
        <w:fldChar w:fldCharType="separate"/>
      </w:r>
      <w:r w:rsidR="0073710A">
        <w:rPr>
          <w:rFonts w:cs="Arial"/>
          <w:noProof/>
        </w:rPr>
        <w:t>38</w:t>
      </w:r>
      <w:r w:rsidRPr="000C71CA">
        <w:rPr>
          <w:rFonts w:cs="Arial"/>
          <w:b w:val="0"/>
          <w:bCs w:val="0"/>
          <w:i/>
          <w:iCs/>
        </w:rPr>
        <w:fldChar w:fldCharType="end"/>
      </w:r>
      <w:bookmarkEnd w:id="210"/>
      <w:r w:rsidRPr="000C71CA">
        <w:rPr>
          <w:rFonts w:cs="Arial"/>
        </w:rPr>
        <w:t xml:space="preserve"> Shares of several ETSs in world carbon markets. Source: World Bank, 2021: State and Trends of Carbon Pricing. Online available at: https://openknowledge.worldbank.org/handle/10986/35620</w:t>
      </w:r>
      <w:bookmarkEnd w:id="211"/>
      <w:bookmarkEnd w:id="212"/>
      <w:bookmarkEnd w:id="213"/>
    </w:p>
    <w:p w14:paraId="126EE5E9" w14:textId="66392E80" w:rsidR="005664B6" w:rsidRPr="00DB35D4" w:rsidRDefault="005664B6" w:rsidP="005664B6">
      <w:pPr>
        <w:rPr>
          <w:rStyle w:val="tlid-translation"/>
          <w:rFonts w:cs="Arial"/>
        </w:rPr>
      </w:pPr>
      <w:r w:rsidRPr="00DB35D4">
        <w:rPr>
          <w:rStyle w:val="tlid-translation"/>
          <w:rFonts w:cs="Arial"/>
        </w:rPr>
        <w:t xml:space="preserve">Both mechanisms have been operating for a long time until now and they have managed to sequestrate mostly though renewable energy technologies </w:t>
      </w:r>
      <w:proofErr w:type="gramStart"/>
      <w:r w:rsidRPr="00DB35D4">
        <w:rPr>
          <w:rStyle w:val="tlid-translation"/>
          <w:rFonts w:cs="Arial"/>
        </w:rPr>
        <w:t>and also</w:t>
      </w:r>
      <w:proofErr w:type="gramEnd"/>
      <w:r w:rsidRPr="00DB35D4">
        <w:rPr>
          <w:rStyle w:val="tlid-translation"/>
          <w:rFonts w:cs="Arial"/>
        </w:rPr>
        <w:t xml:space="preserve"> many reforestation projects. Additionally, CDM Projects </w:t>
      </w:r>
      <w:r w:rsidRPr="00DB35D4">
        <w:rPr>
          <w:rFonts w:cs="Arial"/>
        </w:rPr>
        <w:t xml:space="preserve">assist developing countries in achieving sustainable development </w:t>
      </w:r>
      <w:sdt>
        <w:sdtPr>
          <w:rPr>
            <w:rFonts w:cs="Arial"/>
          </w:rPr>
          <w:id w:val="301741466"/>
          <w:citation/>
        </w:sdtPr>
        <w:sdtEndPr/>
        <w:sdtContent>
          <w:r w:rsidRPr="00DB35D4">
            <w:rPr>
              <w:rFonts w:cs="Arial"/>
            </w:rPr>
            <w:fldChar w:fldCharType="begin"/>
          </w:r>
          <w:r w:rsidRPr="00DB35D4">
            <w:rPr>
              <w:rFonts w:cs="Arial"/>
            </w:rPr>
            <w:instrText xml:space="preserve"> CITATION Cle19 \l 1033 </w:instrText>
          </w:r>
          <w:r w:rsidRPr="00DB35D4">
            <w:rPr>
              <w:rFonts w:cs="Arial"/>
            </w:rPr>
            <w:fldChar w:fldCharType="separate"/>
          </w:r>
          <w:r w:rsidR="00487700" w:rsidRPr="00487700">
            <w:rPr>
              <w:rFonts w:cs="Arial"/>
              <w:noProof/>
            </w:rPr>
            <w:t>(Clean Development Mechanism, 2019)</w:t>
          </w:r>
          <w:r w:rsidRPr="00DB35D4">
            <w:rPr>
              <w:rFonts w:cs="Arial"/>
            </w:rPr>
            <w:fldChar w:fldCharType="end"/>
          </w:r>
        </w:sdtContent>
      </w:sdt>
      <w:r w:rsidRPr="00DB35D4">
        <w:rPr>
          <w:rFonts w:cs="Arial"/>
        </w:rPr>
        <w:t xml:space="preserve">. Additionally, projects in developing countries earn a saleable credit for each ton of greenhouse gas they reduce or avoid. The incentive has led to the registration of more than 8,100 projects and programs in 111 countries and the issuance of more than 1.9 billion CERs. </w:t>
      </w:r>
      <w:sdt>
        <w:sdtPr>
          <w:rPr>
            <w:rFonts w:cs="Arial"/>
          </w:rPr>
          <w:id w:val="-1664926039"/>
          <w:citation/>
        </w:sdtPr>
        <w:sdtEndPr/>
        <w:sdtContent>
          <w:r w:rsidRPr="00DB35D4">
            <w:rPr>
              <w:rFonts w:cs="Arial"/>
            </w:rPr>
            <w:fldChar w:fldCharType="begin"/>
          </w:r>
          <w:r w:rsidRPr="00DB35D4">
            <w:rPr>
              <w:rFonts w:cs="Arial"/>
            </w:rPr>
            <w:instrText xml:space="preserve"> CITATION CDM18 \l 1033 </w:instrText>
          </w:r>
          <w:r w:rsidRPr="00DB35D4">
            <w:rPr>
              <w:rFonts w:cs="Arial"/>
            </w:rPr>
            <w:fldChar w:fldCharType="separate"/>
          </w:r>
          <w:r w:rsidR="00487700" w:rsidRPr="00487700">
            <w:rPr>
              <w:rFonts w:cs="Arial"/>
              <w:noProof/>
            </w:rPr>
            <w:t>(CDM Can Inspire, Inform, Outfit Any New Mechanism under Paris Agreement, 2018)</w:t>
          </w:r>
          <w:r w:rsidRPr="00DB35D4">
            <w:rPr>
              <w:rFonts w:cs="Arial"/>
            </w:rPr>
            <w:fldChar w:fldCharType="end"/>
          </w:r>
        </w:sdtContent>
      </w:sdt>
      <w:r w:rsidRPr="00DB35D4">
        <w:rPr>
          <w:rFonts w:cs="Arial"/>
        </w:rPr>
        <w:t>.</w:t>
      </w:r>
    </w:p>
    <w:p w14:paraId="4376DFD4" w14:textId="23E60A79" w:rsidR="005664B6" w:rsidRPr="00DB35D4" w:rsidRDefault="005664B6" w:rsidP="005664B6">
      <w:pPr>
        <w:rPr>
          <w:rStyle w:val="tlid-translation"/>
          <w:rFonts w:cs="Arial"/>
        </w:rPr>
      </w:pPr>
      <w:r w:rsidRPr="00DB35D4">
        <w:rPr>
          <w:rStyle w:val="tlid-translation"/>
          <w:rFonts w:cs="Arial"/>
        </w:rPr>
        <w:t>During the Paris conference of parties and within its agreement there has been no decision about the future of CDM (and JI)  but since it has been a success story the UNFCCC has decided to take advantage of the experience that was gained from CDM implementation</w:t>
      </w:r>
      <w:sdt>
        <w:sdtPr>
          <w:rPr>
            <w:rStyle w:val="tlid-translation"/>
            <w:rFonts w:cs="Arial"/>
          </w:rPr>
          <w:id w:val="-937744138"/>
          <w:citation/>
        </w:sdtPr>
        <w:sdtEndPr>
          <w:rPr>
            <w:rStyle w:val="tlid-translation"/>
          </w:rPr>
        </w:sdtEndPr>
        <w:sdtContent>
          <w:r w:rsidRPr="00DB35D4">
            <w:rPr>
              <w:rStyle w:val="tlid-translation"/>
              <w:rFonts w:cs="Arial"/>
            </w:rPr>
            <w:fldChar w:fldCharType="begin"/>
          </w:r>
          <w:r w:rsidRPr="00DB35D4">
            <w:rPr>
              <w:rStyle w:val="tlid-translation"/>
              <w:rFonts w:cs="Arial"/>
            </w:rPr>
            <w:instrText xml:space="preserve"> CITATION CDM18 \l 1033 </w:instrText>
          </w:r>
          <w:r w:rsidRPr="00DB35D4">
            <w:rPr>
              <w:rStyle w:val="tlid-translation"/>
              <w:rFonts w:cs="Arial"/>
            </w:rPr>
            <w:fldChar w:fldCharType="separate"/>
          </w:r>
          <w:r w:rsidR="00487700">
            <w:rPr>
              <w:rStyle w:val="tlid-translation"/>
              <w:rFonts w:cs="Arial"/>
              <w:noProof/>
            </w:rPr>
            <w:t xml:space="preserve"> </w:t>
          </w:r>
          <w:r w:rsidR="00487700" w:rsidRPr="00487700">
            <w:rPr>
              <w:rFonts w:cs="Arial"/>
              <w:noProof/>
            </w:rPr>
            <w:t>(CDM Can Inspire, Inform, Outfit Any New Mechanism under Paris Agreement, 2018)</w:t>
          </w:r>
          <w:r w:rsidRPr="00DB35D4">
            <w:rPr>
              <w:rStyle w:val="tlid-translation"/>
              <w:rFonts w:cs="Arial"/>
            </w:rPr>
            <w:fldChar w:fldCharType="end"/>
          </w:r>
        </w:sdtContent>
      </w:sdt>
      <w:r w:rsidRPr="00DB35D4">
        <w:rPr>
          <w:rStyle w:val="tlid-translation"/>
          <w:rFonts w:cs="Arial"/>
        </w:rPr>
        <w:t>. As it was reported in the relevant news article:</w:t>
      </w:r>
    </w:p>
    <w:p w14:paraId="4275AD18" w14:textId="77777777" w:rsidR="005664B6" w:rsidRDefault="005664B6" w:rsidP="005664B6">
      <w:pPr>
        <w:rPr>
          <w:rFonts w:cs="Arial"/>
          <w:i/>
        </w:rPr>
      </w:pPr>
      <w:r w:rsidRPr="00DB35D4">
        <w:rPr>
          <w:rFonts w:cs="Arial"/>
          <w:i/>
        </w:rPr>
        <w:lastRenderedPageBreak/>
        <w:t xml:space="preserve">The CDM is a “credible tool” whose rules, modalities and procedures have been “built over decades,” said El Hadji </w:t>
      </w:r>
      <w:proofErr w:type="spellStart"/>
      <w:r w:rsidRPr="00DB35D4">
        <w:rPr>
          <w:rFonts w:cs="Arial"/>
          <w:i/>
        </w:rPr>
        <w:t>Mbaye</w:t>
      </w:r>
      <w:proofErr w:type="spellEnd"/>
      <w:r w:rsidRPr="00DB35D4">
        <w:rPr>
          <w:rFonts w:cs="Arial"/>
          <w:i/>
        </w:rPr>
        <w:t xml:space="preserve"> </w:t>
      </w:r>
      <w:proofErr w:type="spellStart"/>
      <w:r w:rsidRPr="00DB35D4">
        <w:rPr>
          <w:rFonts w:cs="Arial"/>
          <w:i/>
        </w:rPr>
        <w:t>Diagne</w:t>
      </w:r>
      <w:proofErr w:type="spellEnd"/>
      <w:r w:rsidRPr="00DB35D4">
        <w:rPr>
          <w:rFonts w:cs="Arial"/>
          <w:i/>
        </w:rPr>
        <w:t>, a climate negotiator from Senegal and a member of the CDM Executive Board. “The CDM has a track record of managing pace and scale of mitigation action.”</w:t>
      </w:r>
      <w:bookmarkStart w:id="214" w:name="_Toc18677146"/>
    </w:p>
    <w:p w14:paraId="377E4CD5" w14:textId="77777777" w:rsidR="005664B6" w:rsidRPr="00DB35D4" w:rsidRDefault="005664B6" w:rsidP="005664B6">
      <w:pPr>
        <w:pStyle w:val="MAIL11"/>
      </w:pPr>
      <w:bookmarkStart w:id="215" w:name="_Toc90892982"/>
      <w:bookmarkStart w:id="216" w:name="_Toc91752436"/>
      <w:r>
        <w:t>Voluntary Carbon Markets</w:t>
      </w:r>
      <w:bookmarkEnd w:id="215"/>
      <w:bookmarkEnd w:id="216"/>
    </w:p>
    <w:p w14:paraId="03565C6D" w14:textId="77777777" w:rsidR="005664B6" w:rsidRPr="00DB35D4" w:rsidRDefault="005664B6" w:rsidP="009E12D8">
      <w:pPr>
        <w:pStyle w:val="MAIL111"/>
      </w:pPr>
      <w:bookmarkStart w:id="217" w:name="_Toc90892983"/>
      <w:bookmarkStart w:id="218" w:name="_Toc91752437"/>
      <w:bookmarkEnd w:id="214"/>
      <w:r w:rsidRPr="00DB35D4">
        <w:t>What is a Carbon Voluntary Market?</w:t>
      </w:r>
      <w:bookmarkEnd w:id="217"/>
      <w:bookmarkEnd w:id="218"/>
    </w:p>
    <w:p w14:paraId="23247B4B" w14:textId="26F7CB14" w:rsidR="005664B6" w:rsidRPr="00DB35D4" w:rsidRDefault="005664B6" w:rsidP="005664B6">
      <w:pPr>
        <w:rPr>
          <w:rStyle w:val="tlid-translation"/>
          <w:rFonts w:cs="Arial"/>
        </w:rPr>
      </w:pPr>
      <w:r w:rsidRPr="00DB35D4">
        <w:rPr>
          <w:rFonts w:cs="Arial"/>
          <w:b/>
          <w:noProof/>
          <w:lang w:val="es-ES" w:eastAsia="es-ES"/>
        </w:rPr>
        <mc:AlternateContent>
          <mc:Choice Requires="wps">
            <w:drawing>
              <wp:anchor distT="45720" distB="45720" distL="114300" distR="114300" simplePos="0" relativeHeight="251665408" behindDoc="0" locked="0" layoutInCell="1" allowOverlap="1" wp14:anchorId="753272FA" wp14:editId="79FB82A7">
                <wp:simplePos x="0" y="0"/>
                <wp:positionH relativeFrom="margin">
                  <wp:align>left</wp:align>
                </wp:positionH>
                <wp:positionV relativeFrom="paragraph">
                  <wp:posOffset>62230</wp:posOffset>
                </wp:positionV>
                <wp:extent cx="3307715" cy="1946275"/>
                <wp:effectExtent l="0" t="0" r="26035" b="15875"/>
                <wp:wrapSquare wrapText="bothSides"/>
                <wp:docPr id="35"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715" cy="1946563"/>
                        </a:xfrm>
                        <a:prstGeom prst="rect">
                          <a:avLst/>
                        </a:prstGeom>
                        <a:solidFill>
                          <a:srgbClr val="FFFFFF"/>
                        </a:solidFill>
                        <a:ln w="9525">
                          <a:solidFill>
                            <a:srgbClr val="000000"/>
                          </a:solidFill>
                          <a:miter lim="800000"/>
                          <a:headEnd/>
                          <a:tailEnd/>
                        </a:ln>
                      </wps:spPr>
                      <wps:txbx>
                        <w:txbxContent>
                          <w:p w14:paraId="24FAC781" w14:textId="77777777" w:rsidR="00E636F7" w:rsidRPr="00D75E0B" w:rsidRDefault="00E636F7" w:rsidP="000C71CA">
                            <w:pPr>
                              <w:spacing w:line="240" w:lineRule="auto"/>
                              <w:rPr>
                                <w:rFonts w:cs="Arial"/>
                                <w:b/>
                              </w:rPr>
                            </w:pPr>
                            <w:r w:rsidRPr="00D75E0B">
                              <w:rPr>
                                <w:rFonts w:cs="Arial"/>
                                <w:b/>
                              </w:rPr>
                              <w:t>BOX 1</w:t>
                            </w:r>
                          </w:p>
                          <w:p w14:paraId="43C46552" w14:textId="77777777" w:rsidR="00E636F7" w:rsidRPr="00D75E0B" w:rsidRDefault="00E636F7" w:rsidP="000C71CA">
                            <w:pPr>
                              <w:spacing w:line="240" w:lineRule="auto"/>
                              <w:rPr>
                                <w:rFonts w:cs="Arial"/>
                                <w:b/>
                              </w:rPr>
                            </w:pPr>
                            <w:r w:rsidRPr="00D75E0B">
                              <w:rPr>
                                <w:rFonts w:cs="Arial"/>
                                <w:b/>
                              </w:rPr>
                              <w:t>Advantages of linking of all ETS (compliance and voluntary)</w:t>
                            </w:r>
                          </w:p>
                          <w:p w14:paraId="606FE33D" w14:textId="77777777" w:rsidR="00E636F7" w:rsidRPr="00B6752A" w:rsidRDefault="00E636F7" w:rsidP="000C71CA">
                            <w:pPr>
                              <w:spacing w:line="240" w:lineRule="auto"/>
                            </w:pPr>
                            <w:r w:rsidRPr="00D75E0B">
                              <w:rPr>
                                <w:rFonts w:cs="Arial"/>
                                <w:color w:val="000000"/>
                              </w:rPr>
                              <w:t>A bigger (linked) market opens up more reduction options, which in turn decreases the overall mitigation costs for the linked market. It also creates a level playing field for com</w:t>
                            </w:r>
                            <w:r w:rsidRPr="00D75E0B">
                              <w:rPr>
                                <w:rFonts w:cs="Arial"/>
                                <w:color w:val="000000"/>
                              </w:rPr>
                              <w:softHyphen/>
                              <w:t>panies across the linked market and signals climate change leadership</w:t>
                            </w:r>
                            <w:sdt>
                              <w:sdtPr>
                                <w:rPr>
                                  <w:rFonts w:cs="Arial"/>
                                  <w:color w:val="000000"/>
                                </w:rPr>
                                <w:id w:val="355085831"/>
                                <w:citation/>
                              </w:sdtPr>
                              <w:sdtEndPr/>
                              <w:sdtContent>
                                <w:r w:rsidRPr="00D75E0B">
                                  <w:rPr>
                                    <w:rFonts w:cs="Arial"/>
                                    <w:color w:val="000000"/>
                                  </w:rPr>
                                  <w:fldChar w:fldCharType="begin"/>
                                </w:r>
                                <w:r w:rsidRPr="00D75E0B">
                                  <w:rPr>
                                    <w:rFonts w:cs="Arial"/>
                                    <w:color w:val="000000"/>
                                  </w:rPr>
                                  <w:instrText xml:space="preserve"> CITATION San18 \l 1033 </w:instrText>
                                </w:r>
                                <w:r w:rsidRPr="00D75E0B">
                                  <w:rPr>
                                    <w:rFonts w:cs="Arial"/>
                                    <w:color w:val="000000"/>
                                  </w:rPr>
                                  <w:fldChar w:fldCharType="separate"/>
                                </w:r>
                                <w:r w:rsidRPr="00D75E0B">
                                  <w:rPr>
                                    <w:rFonts w:cs="Arial"/>
                                    <w:noProof/>
                                    <w:color w:val="000000"/>
                                  </w:rPr>
                                  <w:t xml:space="preserve"> (Santikarn, Li, La Hoz Theuer, &amp; Haug, 2018)</w:t>
                                </w:r>
                                <w:r w:rsidRPr="00D75E0B">
                                  <w:rPr>
                                    <w:rFonts w:cs="Arial"/>
                                    <w:color w:val="000000"/>
                                  </w:rPr>
                                  <w:fldChar w:fldCharType="end"/>
                                </w:r>
                              </w:sdtContent>
                            </w:sdt>
                            <w:r w:rsidRPr="00D75E0B">
                              <w:rPr>
                                <w:rFonts w:cs="Arial"/>
                                <w:color w:val="000000"/>
                              </w:rPr>
                              <w:t xml:space="preserve">. </w:t>
                            </w:r>
                          </w:p>
                          <w:p w14:paraId="3F6D7CF1" w14:textId="77777777" w:rsidR="00E636F7" w:rsidRPr="00AD4923" w:rsidRDefault="00E636F7" w:rsidP="005664B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272FA" id="_x0000_s1030" type="#_x0000_t202" style="position:absolute;left:0;text-align:left;margin-left:0;margin-top:4.9pt;width:260.45pt;height:153.2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">
                <v:textbox>
                  <w:txbxContent>
                    <w:p w14:paraId="24FAC781" w14:textId="77777777" w:rsidR="00E636F7" w:rsidRPr="00D75E0B" w:rsidRDefault="00E636F7" w:rsidP="000C71CA">
                      <w:pPr>
                        <w:spacing w:line="240" w:lineRule="auto"/>
                        <w:rPr>
                          <w:rFonts w:cs="Arial"/>
                          <w:b/>
                        </w:rPr>
                      </w:pPr>
                      <w:r w:rsidRPr="00D75E0B">
                        <w:rPr>
                          <w:rFonts w:cs="Arial"/>
                          <w:b/>
                        </w:rPr>
                        <w:t>BOX 1</w:t>
                      </w:r>
                    </w:p>
                    <w:p w14:paraId="43C46552" w14:textId="77777777" w:rsidR="00E636F7" w:rsidRPr="00D75E0B" w:rsidRDefault="00E636F7" w:rsidP="000C71CA">
                      <w:pPr>
                        <w:spacing w:line="240" w:lineRule="auto"/>
                        <w:rPr>
                          <w:rFonts w:cs="Arial"/>
                          <w:b/>
                        </w:rPr>
                      </w:pPr>
                      <w:r w:rsidRPr="00D75E0B">
                        <w:rPr>
                          <w:rFonts w:cs="Arial"/>
                          <w:b/>
                        </w:rPr>
                        <w:t>Advantages of linking of all ETS (compliance and voluntary)</w:t>
                      </w:r>
                    </w:p>
                    <w:p w14:paraId="606FE33D" w14:textId="77777777" w:rsidR="00E636F7" w:rsidRPr="00B6752A" w:rsidRDefault="00E636F7" w:rsidP="000C71CA">
                      <w:pPr>
                        <w:spacing w:line="240" w:lineRule="auto"/>
                      </w:pPr>
                      <w:r w:rsidRPr="00D75E0B">
                        <w:rPr>
                          <w:rFonts w:cs="Arial"/>
                          <w:color w:val="000000"/>
                        </w:rPr>
                        <w:t>A bigger (linked) market opens up more reduction options, which in turn decreases the overall mitigation costs for the linked market. It also creates a level playing field for com</w:t>
                      </w:r>
                      <w:r w:rsidRPr="00D75E0B">
                        <w:rPr>
                          <w:rFonts w:cs="Arial"/>
                          <w:color w:val="000000"/>
                        </w:rPr>
                        <w:softHyphen/>
                        <w:t>panies across the linked market and signals climate change leadership</w:t>
                      </w:r>
                      <w:sdt>
                        <w:sdtPr>
                          <w:rPr>
                            <w:rFonts w:cs="Arial"/>
                            <w:color w:val="000000"/>
                          </w:rPr>
                          <w:id w:val="355085831"/>
                          <w:citation/>
                        </w:sdtPr>
                        <w:sdtEndPr/>
                        <w:sdtContent>
                          <w:r w:rsidRPr="00D75E0B">
                            <w:rPr>
                              <w:rFonts w:cs="Arial"/>
                              <w:color w:val="000000"/>
                            </w:rPr>
                            <w:fldChar w:fldCharType="begin"/>
                          </w:r>
                          <w:r w:rsidRPr="00D75E0B">
                            <w:rPr>
                              <w:rFonts w:cs="Arial"/>
                              <w:color w:val="000000"/>
                            </w:rPr>
                            <w:instrText xml:space="preserve"> CITATION San18 \l 1033 </w:instrText>
                          </w:r>
                          <w:r w:rsidRPr="00D75E0B">
                            <w:rPr>
                              <w:rFonts w:cs="Arial"/>
                              <w:color w:val="000000"/>
                            </w:rPr>
                            <w:fldChar w:fldCharType="separate"/>
                          </w:r>
                          <w:r w:rsidRPr="00D75E0B">
                            <w:rPr>
                              <w:rFonts w:cs="Arial"/>
                              <w:noProof/>
                              <w:color w:val="000000"/>
                            </w:rPr>
                            <w:t xml:space="preserve"> (Santikarn, Li, La Hoz Theuer, &amp; Haug, 2018)</w:t>
                          </w:r>
                          <w:r w:rsidRPr="00D75E0B">
                            <w:rPr>
                              <w:rFonts w:cs="Arial"/>
                              <w:color w:val="000000"/>
                            </w:rPr>
                            <w:fldChar w:fldCharType="end"/>
                          </w:r>
                        </w:sdtContent>
                      </w:sdt>
                      <w:r w:rsidRPr="00D75E0B">
                        <w:rPr>
                          <w:rFonts w:cs="Arial"/>
                          <w:color w:val="000000"/>
                        </w:rPr>
                        <w:t xml:space="preserve">. </w:t>
                      </w:r>
                    </w:p>
                    <w:p w14:paraId="3F6D7CF1" w14:textId="77777777" w:rsidR="00E636F7" w:rsidRPr="00AD4923" w:rsidRDefault="00E636F7" w:rsidP="005664B6"/>
                  </w:txbxContent>
                </v:textbox>
                <w10:wrap type="square" anchorx="margin"/>
              </v:shape>
            </w:pict>
          </mc:Fallback>
        </mc:AlternateContent>
      </w:r>
      <w:r w:rsidRPr="00DB35D4">
        <w:rPr>
          <w:rStyle w:val="tlid-translation"/>
          <w:rFonts w:cs="Arial"/>
        </w:rPr>
        <w:t>The voluntary carbon markets function outside of the compliance market, and they enable big polluters (energy companies, big industries, as well as governments) to offset their emissions by purchasing permits through the voluntary market. The emission allowances are defined as Verified or Voluntary Emissions Reductions (VERs). Compared to the compliance market, trading volumes in the voluntary market are much smaller because demand is created only by voluntary buyers to buy offsets whereas in a compliance market, demand is created by a regulatory instrument. Because there is lower demand and because VERs cannot be used in compliance markets, VERs tend to be cheaper than those credits sold in the compliance market</w:t>
      </w:r>
      <w:sdt>
        <w:sdtPr>
          <w:rPr>
            <w:rStyle w:val="tlid-translation"/>
            <w:rFonts w:cs="Arial"/>
          </w:rPr>
          <w:id w:val="1498142305"/>
          <w:citation/>
        </w:sdtPr>
        <w:sdtEndPr>
          <w:rPr>
            <w:rStyle w:val="tlid-translation"/>
          </w:rPr>
        </w:sdtEndPr>
        <w:sdtContent>
          <w:r w:rsidRPr="00DB35D4">
            <w:rPr>
              <w:rStyle w:val="tlid-translation"/>
              <w:rFonts w:cs="Arial"/>
            </w:rPr>
            <w:fldChar w:fldCharType="begin"/>
          </w:r>
          <w:r w:rsidRPr="00DB35D4">
            <w:rPr>
              <w:rStyle w:val="tlid-translation"/>
              <w:rFonts w:cs="Arial"/>
            </w:rPr>
            <w:instrText xml:space="preserve">CITATION htt \l 1033 </w:instrText>
          </w:r>
          <w:r w:rsidRPr="00DB35D4">
            <w:rPr>
              <w:rStyle w:val="tlid-translation"/>
              <w:rFonts w:cs="Arial"/>
            </w:rPr>
            <w:fldChar w:fldCharType="separate"/>
          </w:r>
          <w:r w:rsidR="00487700">
            <w:rPr>
              <w:rStyle w:val="tlid-translation"/>
              <w:rFonts w:cs="Arial"/>
              <w:noProof/>
            </w:rPr>
            <w:t xml:space="preserve"> </w:t>
          </w:r>
          <w:r w:rsidR="00487700" w:rsidRPr="00487700">
            <w:rPr>
              <w:rFonts w:cs="Arial"/>
              <w:noProof/>
            </w:rPr>
            <w:t>(Carbon Offset Research and Education, 2019)</w:t>
          </w:r>
          <w:r w:rsidRPr="00DB35D4">
            <w:rPr>
              <w:rStyle w:val="tlid-translation"/>
              <w:rFonts w:cs="Arial"/>
            </w:rPr>
            <w:fldChar w:fldCharType="end"/>
          </w:r>
        </w:sdtContent>
      </w:sdt>
      <w:r w:rsidRPr="00DB35D4">
        <w:rPr>
          <w:rStyle w:val="tlid-translation"/>
          <w:rFonts w:cs="Arial"/>
        </w:rPr>
        <w:t>.</w:t>
      </w:r>
    </w:p>
    <w:p w14:paraId="499AC0D7" w14:textId="0E46E50C" w:rsidR="005664B6" w:rsidRPr="00DB35D4" w:rsidRDefault="005664B6" w:rsidP="005664B6">
      <w:pPr>
        <w:rPr>
          <w:rFonts w:cs="Arial"/>
        </w:rPr>
      </w:pPr>
      <w:r w:rsidRPr="00DB35D4">
        <w:rPr>
          <w:rFonts w:cs="Arial"/>
        </w:rPr>
        <w:t>Unlike under the Clean Development Mechanism (CDM), there are no established rules and regulations for the voluntary carbon market. On the positive side, voluntary markets can serve as a testing field for new procedures, methodologies and technologies that may later be included in regulatory schemes. After all, the final goal of all stakeholders working in Emission Trade markets is to link all markets together under a regulatory scheme (BOX 1).  So far, some regulatory markets have already been linked. Since 2019, there is an agreement to link the EU ETS with the Switzerland’s ETS that will take force from 2010. Additionally, the future development of CORSIA will use offset from voluntary markets to reduce emissions from international aviation</w:t>
      </w:r>
      <w:sdt>
        <w:sdtPr>
          <w:rPr>
            <w:rFonts w:cs="Arial"/>
          </w:rPr>
          <w:id w:val="-1709946443"/>
          <w:citation/>
        </w:sdtPr>
        <w:sdtEndPr/>
        <w:sdtContent>
          <w:r w:rsidRPr="00DB35D4">
            <w:rPr>
              <w:rFonts w:cs="Arial"/>
            </w:rPr>
            <w:fldChar w:fldCharType="begin"/>
          </w:r>
          <w:r w:rsidRPr="00DB35D4">
            <w:rPr>
              <w:rFonts w:cs="Arial"/>
            </w:rPr>
            <w:instrText xml:space="preserve"> CITATION Eco19 \l 1033 </w:instrText>
          </w:r>
          <w:r w:rsidRPr="00DB35D4">
            <w:rPr>
              <w:rFonts w:cs="Arial"/>
            </w:rPr>
            <w:fldChar w:fldCharType="separate"/>
          </w:r>
          <w:r w:rsidR="00487700">
            <w:rPr>
              <w:rFonts w:cs="Arial"/>
              <w:noProof/>
            </w:rPr>
            <w:t xml:space="preserve"> </w:t>
          </w:r>
          <w:r w:rsidR="00487700" w:rsidRPr="00487700">
            <w:rPr>
              <w:rFonts w:cs="Arial"/>
              <w:noProof/>
            </w:rPr>
            <w:t>(Ecosystem Marketplace)</w:t>
          </w:r>
          <w:r w:rsidRPr="00DB35D4">
            <w:rPr>
              <w:rFonts w:cs="Arial"/>
            </w:rPr>
            <w:fldChar w:fldCharType="end"/>
          </w:r>
        </w:sdtContent>
      </w:sdt>
      <w:r w:rsidRPr="00DB35D4">
        <w:rPr>
          <w:rFonts w:cs="Arial"/>
        </w:rPr>
        <w:t xml:space="preserve">. </w:t>
      </w:r>
    </w:p>
    <w:p w14:paraId="50E4D4B7" w14:textId="75C75768" w:rsidR="005664B6" w:rsidRPr="00DB35D4" w:rsidRDefault="005664B6" w:rsidP="005664B6">
      <w:pPr>
        <w:rPr>
          <w:rFonts w:cs="Arial"/>
        </w:rPr>
      </w:pPr>
      <w:r w:rsidRPr="00DB35D4">
        <w:rPr>
          <w:rFonts w:cs="Arial"/>
          <w:b/>
        </w:rPr>
        <w:lastRenderedPageBreak/>
        <w:t>Voluntary markets allow for experimentation and innovation because projects can be implemented with fewer transaction costs than CDM or other compliance market projects. Voluntary markets also serve a niche for micro projects that are too small to warrant the administrative burden of CDM or for projects currently not covered under compliance schemes</w:t>
      </w:r>
      <w:r w:rsidRPr="00DB35D4">
        <w:rPr>
          <w:rFonts w:cs="Arial"/>
        </w:rPr>
        <w:t xml:space="preserve">. On the negative side, the lack of quality control has led to the production of some low quality VERs, such as those generated from projects that </w:t>
      </w:r>
      <w:hyperlink r:id="rId73" w:history="1">
        <w:r w:rsidRPr="00DB35D4">
          <w:rPr>
            <w:rFonts w:cs="Arial"/>
          </w:rPr>
          <w:t>appear likely to have happened anyway</w:t>
        </w:r>
      </w:hyperlink>
      <w:r w:rsidRPr="00DB35D4">
        <w:rPr>
          <w:rFonts w:cs="Arial"/>
        </w:rPr>
        <w:t>. Therefore, several standards have been introduced to certify quality assurance/quality control the VERs.</w:t>
      </w:r>
    </w:p>
    <w:p w14:paraId="75C15DCC" w14:textId="31788A39" w:rsidR="005664B6" w:rsidRPr="00DB35D4" w:rsidRDefault="005664B6" w:rsidP="005664B6">
      <w:pPr>
        <w:rPr>
          <w:rFonts w:cs="Arial"/>
        </w:rPr>
      </w:pPr>
      <w:r w:rsidRPr="00DB35D4">
        <w:rPr>
          <w:rFonts w:cs="Arial"/>
        </w:rPr>
        <w:t>Most projects adhere to methodologies set out by one of several voluntary standards. These standards require projects to submit to third-party validation and verification to ensure projects have achieved their stated emissions reductions (see chapter 8). Standards can differ by which project activities and types are allowed, where projects may be located, and what regulations projects must adhere to</w:t>
      </w:r>
      <w:sdt>
        <w:sdtPr>
          <w:rPr>
            <w:rFonts w:cs="Arial"/>
          </w:rPr>
          <w:id w:val="1193729935"/>
          <w:citation/>
        </w:sdtPr>
        <w:sdtEndPr/>
        <w:sdtContent>
          <w:r w:rsidRPr="00DB35D4">
            <w:rPr>
              <w:rFonts w:cs="Arial"/>
            </w:rPr>
            <w:fldChar w:fldCharType="begin"/>
          </w:r>
          <w:r w:rsidRPr="00DB35D4">
            <w:rPr>
              <w:rFonts w:cs="Arial"/>
            </w:rPr>
            <w:instrText xml:space="preserve"> CITATION Ham18 \l 1033 </w:instrText>
          </w:r>
          <w:r w:rsidRPr="00DB35D4">
            <w:rPr>
              <w:rFonts w:cs="Arial"/>
            </w:rPr>
            <w:fldChar w:fldCharType="separate"/>
          </w:r>
          <w:r w:rsidR="00487700">
            <w:rPr>
              <w:rFonts w:cs="Arial"/>
              <w:noProof/>
            </w:rPr>
            <w:t xml:space="preserve"> </w:t>
          </w:r>
          <w:r w:rsidR="00487700" w:rsidRPr="00487700">
            <w:rPr>
              <w:rFonts w:cs="Arial"/>
              <w:noProof/>
            </w:rPr>
            <w:t>(Hamrick &amp; Gallant, Voluntary Carbon Markets Insights: 2018 Outlook and First-Quarter Trends, 2018)</w:t>
          </w:r>
          <w:r w:rsidRPr="00DB35D4">
            <w:rPr>
              <w:rFonts w:cs="Arial"/>
            </w:rPr>
            <w:fldChar w:fldCharType="end"/>
          </w:r>
        </w:sdtContent>
      </w:sdt>
      <w:r w:rsidRPr="00DB35D4">
        <w:rPr>
          <w:rFonts w:cs="Arial"/>
        </w:rPr>
        <w:t>.</w:t>
      </w:r>
    </w:p>
    <w:p w14:paraId="16385BD7" w14:textId="77777777" w:rsidR="005664B6" w:rsidRPr="00DB35D4" w:rsidRDefault="005664B6" w:rsidP="005664B6">
      <w:pPr>
        <w:autoSpaceDE w:val="0"/>
        <w:autoSpaceDN w:val="0"/>
        <w:adjustRightInd w:val="0"/>
        <w:spacing w:after="0"/>
        <w:rPr>
          <w:rFonts w:cs="Arial"/>
        </w:rPr>
      </w:pPr>
      <w:r w:rsidRPr="00DB35D4">
        <w:rPr>
          <w:rFonts w:cs="Arial"/>
        </w:rPr>
        <w:t>However, all voluntary standards require that offsets be:</w:t>
      </w:r>
    </w:p>
    <w:p w14:paraId="0B27FCFC" w14:textId="77777777" w:rsidR="005664B6" w:rsidRPr="00DB35D4" w:rsidRDefault="005664B6" w:rsidP="000C71CA">
      <w:pPr>
        <w:keepNext/>
        <w:autoSpaceDE w:val="0"/>
        <w:autoSpaceDN w:val="0"/>
        <w:adjustRightInd w:val="0"/>
        <w:spacing w:after="0"/>
        <w:jc w:val="center"/>
        <w:rPr>
          <w:rFonts w:cs="Arial"/>
        </w:rPr>
      </w:pPr>
      <w:r w:rsidRPr="00DB35D4">
        <w:rPr>
          <w:rFonts w:cs="Arial"/>
          <w:noProof/>
          <w:lang w:val="es-ES" w:eastAsia="es-ES"/>
        </w:rPr>
        <w:drawing>
          <wp:inline distT="0" distB="0" distL="0" distR="0" wp14:anchorId="4790DA6E" wp14:editId="1B18942A">
            <wp:extent cx="5076623" cy="2650992"/>
            <wp:effectExtent l="0" t="0" r="0" b="0"/>
            <wp:docPr id="43" name="Εικόνα 33" descr="Εικόνα που περιέχει κείμενο, υπολογιστής, εσωτερικό, οθό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Εικόνα 324" descr="Εικόνα που περιέχει κείμενο, υπολογιστής, εσωτερικό, οθόνη&#10;&#10;Περιγραφή που δημιουργήθηκε αυτόματα"/>
                    <pic:cNvPicPr/>
                  </pic:nvPicPr>
                  <pic:blipFill rotWithShape="1">
                    <a:blip r:embed="rId74"/>
                    <a:srcRect l="12032" t="51966" r="24636" b="11281"/>
                    <a:stretch/>
                  </pic:blipFill>
                  <pic:spPr bwMode="auto">
                    <a:xfrm>
                      <a:off x="0" y="0"/>
                      <a:ext cx="5084173" cy="2654935"/>
                    </a:xfrm>
                    <a:prstGeom prst="rect">
                      <a:avLst/>
                    </a:prstGeom>
                    <a:ln>
                      <a:noFill/>
                    </a:ln>
                    <a:extLst>
                      <a:ext uri="{53640926-AAD7-44D8-BBD7-CCE9431645EC}">
                        <a14:shadowObscured xmlns:a14="http://schemas.microsoft.com/office/drawing/2010/main"/>
                      </a:ext>
                    </a:extLst>
                  </pic:spPr>
                </pic:pic>
              </a:graphicData>
            </a:graphic>
          </wp:inline>
        </w:drawing>
      </w:r>
    </w:p>
    <w:p w14:paraId="1820F3AA" w14:textId="3CD95B29" w:rsidR="005664B6" w:rsidRPr="000C71CA" w:rsidRDefault="003B564D" w:rsidP="009E12D8">
      <w:pPr>
        <w:pStyle w:val="Caption"/>
        <w:rPr>
          <w:rFonts w:cs="Arial"/>
          <w:b w:val="0"/>
          <w:bCs w:val="0"/>
        </w:rPr>
      </w:pPr>
      <w:bookmarkStart w:id="219" w:name="_Ref91750637"/>
      <w:bookmarkStart w:id="220" w:name="_Toc91752523"/>
      <w:r w:rsidRPr="000C71CA">
        <w:t xml:space="preserve">Figure </w:t>
      </w:r>
      <w:r w:rsidRPr="000C71CA">
        <w:fldChar w:fldCharType="begin"/>
      </w:r>
      <w:r w:rsidRPr="000C71CA">
        <w:instrText xml:space="preserve"> SEQ Figure \* ARABIC </w:instrText>
      </w:r>
      <w:r w:rsidRPr="000C71CA">
        <w:fldChar w:fldCharType="separate"/>
      </w:r>
      <w:r w:rsidR="0073710A">
        <w:rPr>
          <w:noProof/>
        </w:rPr>
        <w:t>39</w:t>
      </w:r>
      <w:r w:rsidRPr="000C71CA">
        <w:fldChar w:fldCharType="end"/>
      </w:r>
      <w:bookmarkEnd w:id="219"/>
      <w:r w:rsidR="005664B6" w:rsidRPr="000C71CA">
        <w:rPr>
          <w:rFonts w:cs="Arial"/>
        </w:rPr>
        <w:t xml:space="preserve"> Historical Market-Wide Voluntary Offset Transaction Volumes. Source: (Hamrick &amp; Goldstein, Raising Ambition - State of the Voluntary Carbon Markets 2016, 2016)</w:t>
      </w:r>
      <w:bookmarkEnd w:id="220"/>
    </w:p>
    <w:p w14:paraId="4330895D" w14:textId="3EA5CC55" w:rsidR="005664B6" w:rsidRPr="00DB35D4" w:rsidRDefault="005664B6" w:rsidP="005664B6">
      <w:pPr>
        <w:autoSpaceDE w:val="0"/>
        <w:autoSpaceDN w:val="0"/>
        <w:adjustRightInd w:val="0"/>
        <w:spacing w:after="0"/>
        <w:rPr>
          <w:rFonts w:cs="Arial"/>
        </w:rPr>
      </w:pPr>
      <w:r w:rsidRPr="00DB35D4">
        <w:rPr>
          <w:rFonts w:cs="Arial"/>
        </w:rPr>
        <w:t xml:space="preserve">Overall, the size of the voluntary market is much smaller than the compliance market; as of the first quarter of 2018, more than 2,000 projects have issued over 430 MtCO2e of voluntary credits since 2005 </w:t>
      </w:r>
      <w:r w:rsidRPr="000C71CA">
        <w:rPr>
          <w:rFonts w:cs="Arial"/>
        </w:rPr>
        <w:t>(</w:t>
      </w:r>
      <w:r w:rsidR="000C71CA" w:rsidRPr="000C71CA">
        <w:rPr>
          <w:rFonts w:cs="Arial"/>
        </w:rPr>
        <w:fldChar w:fldCharType="begin"/>
      </w:r>
      <w:r w:rsidR="000C71CA" w:rsidRPr="000C71CA">
        <w:rPr>
          <w:rFonts w:cs="Arial"/>
        </w:rPr>
        <w:instrText xml:space="preserve"> REF _Ref91750637 \h </w:instrText>
      </w:r>
      <w:r w:rsidR="000C71CA">
        <w:rPr>
          <w:rFonts w:cs="Arial"/>
        </w:rPr>
        <w:instrText xml:space="preserve"> \* MERGEFORMAT </w:instrText>
      </w:r>
      <w:r w:rsidR="000C71CA" w:rsidRPr="000C71CA">
        <w:rPr>
          <w:rFonts w:cs="Arial"/>
        </w:rPr>
      </w:r>
      <w:r w:rsidR="000C71CA" w:rsidRPr="000C71CA">
        <w:rPr>
          <w:rFonts w:cs="Arial"/>
        </w:rPr>
        <w:fldChar w:fldCharType="separate"/>
      </w:r>
      <w:r w:rsidR="0073710A" w:rsidRPr="000C71CA">
        <w:t xml:space="preserve">Figure </w:t>
      </w:r>
      <w:r w:rsidR="0073710A">
        <w:rPr>
          <w:noProof/>
        </w:rPr>
        <w:t>39</w:t>
      </w:r>
      <w:r w:rsidR="000C71CA" w:rsidRPr="000C71CA">
        <w:rPr>
          <w:rFonts w:cs="Arial"/>
        </w:rPr>
        <w:fldChar w:fldCharType="end"/>
      </w:r>
      <w:r w:rsidRPr="00DB35D4">
        <w:rPr>
          <w:rFonts w:cs="Arial"/>
        </w:rPr>
        <w:t>). More than 75 percent of the issuances came from the two largest voluntary standards—</w:t>
      </w:r>
      <w:proofErr w:type="spellStart"/>
      <w:r w:rsidRPr="00DB35D4">
        <w:rPr>
          <w:rFonts w:cs="Arial"/>
        </w:rPr>
        <w:t>Verra’s</w:t>
      </w:r>
      <w:proofErr w:type="spellEnd"/>
      <w:r w:rsidRPr="00DB35D4">
        <w:rPr>
          <w:rFonts w:cs="Arial"/>
        </w:rPr>
        <w:t xml:space="preserve"> Voluntary Carbon Standard (VCS) and </w:t>
      </w:r>
      <w:r w:rsidRPr="00DB35D4">
        <w:rPr>
          <w:rFonts w:cs="Arial"/>
        </w:rPr>
        <w:lastRenderedPageBreak/>
        <w:t>the Gold Standard. In terms of pricing, voluntary credit prices can change dramatically due to the various preferences of voluntary credit buyers. The transacted prices of voluntary credits during the first quarter of 2018 ranged from under US</w:t>
      </w:r>
      <w:r w:rsidR="000C71CA">
        <w:rPr>
          <w:rFonts w:cs="Arial"/>
        </w:rPr>
        <w:t xml:space="preserve"> </w:t>
      </w:r>
      <w:r w:rsidRPr="00DB35D4">
        <w:rPr>
          <w:rFonts w:cs="Arial"/>
        </w:rPr>
        <w:t>$0.1/tCO2e to just over US</w:t>
      </w:r>
      <w:r w:rsidR="000C71CA">
        <w:rPr>
          <w:rFonts w:cs="Arial"/>
        </w:rPr>
        <w:t xml:space="preserve"> </w:t>
      </w:r>
      <w:r w:rsidRPr="00DB35D4">
        <w:rPr>
          <w:rFonts w:cs="Arial"/>
        </w:rPr>
        <w:t>$70/tCO2e, but roughly half of the voluntary credits were transacted at under 1 US$/tCO2e</w:t>
      </w:r>
      <w:sdt>
        <w:sdtPr>
          <w:rPr>
            <w:rFonts w:cs="Arial"/>
          </w:rPr>
          <w:id w:val="-1573417992"/>
          <w:citation/>
        </w:sdtPr>
        <w:sdtEndPr/>
        <w:sdtContent>
          <w:r w:rsidRPr="00DB35D4">
            <w:rPr>
              <w:rFonts w:cs="Arial"/>
            </w:rPr>
            <w:fldChar w:fldCharType="begin"/>
          </w:r>
          <w:r w:rsidRPr="00DB35D4">
            <w:rPr>
              <w:rFonts w:cs="Arial"/>
            </w:rPr>
            <w:instrText xml:space="preserve"> CITATION Wor19 \l 1033 </w:instrText>
          </w:r>
          <w:r w:rsidRPr="00DB35D4">
            <w:rPr>
              <w:rFonts w:cs="Arial"/>
            </w:rPr>
            <w:fldChar w:fldCharType="separate"/>
          </w:r>
          <w:r w:rsidR="00487700">
            <w:rPr>
              <w:rFonts w:cs="Arial"/>
              <w:noProof/>
            </w:rPr>
            <w:t xml:space="preserve"> </w:t>
          </w:r>
          <w:r w:rsidR="00487700" w:rsidRPr="00487700">
            <w:rPr>
              <w:rFonts w:cs="Arial"/>
              <w:noProof/>
            </w:rPr>
            <w:t>(World Bank Group, 2019)</w:t>
          </w:r>
          <w:r w:rsidRPr="00DB35D4">
            <w:rPr>
              <w:rFonts w:cs="Arial"/>
            </w:rPr>
            <w:fldChar w:fldCharType="end"/>
          </w:r>
        </w:sdtContent>
      </w:sdt>
      <w:r w:rsidRPr="00DB35D4">
        <w:rPr>
          <w:rFonts w:cs="Arial"/>
        </w:rPr>
        <w:t>.</w:t>
      </w:r>
    </w:p>
    <w:p w14:paraId="3B04C127" w14:textId="77777777" w:rsidR="005664B6" w:rsidRPr="00DB35D4" w:rsidRDefault="005664B6" w:rsidP="009E12D8">
      <w:pPr>
        <w:pStyle w:val="MAIL111"/>
      </w:pPr>
      <w:bookmarkStart w:id="221" w:name="_Toc90892984"/>
      <w:bookmarkStart w:id="222" w:name="_Toc91752438"/>
      <w:r w:rsidRPr="00DB35D4">
        <w:t>Project developers, wholesalers, brokers, and retailers in voluntary markets</w:t>
      </w:r>
      <w:bookmarkEnd w:id="221"/>
      <w:bookmarkEnd w:id="222"/>
    </w:p>
    <w:p w14:paraId="4072B9F4" w14:textId="77777777" w:rsidR="005664B6" w:rsidRPr="00DB35D4" w:rsidRDefault="005664B6" w:rsidP="005664B6">
      <w:pPr>
        <w:keepNext/>
        <w:jc w:val="center"/>
        <w:rPr>
          <w:rFonts w:cs="Arial"/>
        </w:rPr>
      </w:pPr>
      <w:r w:rsidRPr="00DB35D4">
        <w:rPr>
          <w:rFonts w:cs="Arial"/>
          <w:noProof/>
          <w:lang w:val="es-ES" w:eastAsia="es-ES"/>
        </w:rPr>
        <w:drawing>
          <wp:inline distT="0" distB="0" distL="0" distR="0" wp14:anchorId="18F8DFCF" wp14:editId="1EAEC5CB">
            <wp:extent cx="2727832" cy="2856282"/>
            <wp:effectExtent l="0" t="0" r="0" b="1270"/>
            <wp:docPr id="4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4145" t="24474" r="19610" b="8066"/>
                    <a:stretch/>
                  </pic:blipFill>
                  <pic:spPr bwMode="auto">
                    <a:xfrm>
                      <a:off x="0" y="0"/>
                      <a:ext cx="2733711" cy="2862438"/>
                    </a:xfrm>
                    <a:prstGeom prst="rect">
                      <a:avLst/>
                    </a:prstGeom>
                    <a:ln>
                      <a:noFill/>
                    </a:ln>
                    <a:extLst>
                      <a:ext uri="{53640926-AAD7-44D8-BBD7-CCE9431645EC}">
                        <a14:shadowObscured xmlns:a14="http://schemas.microsoft.com/office/drawing/2010/main"/>
                      </a:ext>
                    </a:extLst>
                  </pic:spPr>
                </pic:pic>
              </a:graphicData>
            </a:graphic>
          </wp:inline>
        </w:drawing>
      </w:r>
    </w:p>
    <w:p w14:paraId="0C5495BE" w14:textId="3FBF9C4A" w:rsidR="005664B6" w:rsidRPr="000C71CA" w:rsidRDefault="005664B6" w:rsidP="009E12D8">
      <w:pPr>
        <w:pStyle w:val="Caption"/>
        <w:rPr>
          <w:rFonts w:cs="Arial"/>
          <w:b w:val="0"/>
          <w:bCs w:val="0"/>
        </w:rPr>
      </w:pPr>
      <w:bookmarkStart w:id="223" w:name="_Ref86336142"/>
      <w:bookmarkStart w:id="224" w:name="_Toc90888744"/>
      <w:bookmarkStart w:id="225" w:name="_Toc90893518"/>
      <w:bookmarkStart w:id="226" w:name="_Toc91752524"/>
      <w:r w:rsidRPr="000C71CA">
        <w:rPr>
          <w:rFonts w:cs="Arial"/>
        </w:rPr>
        <w:t xml:space="preserve">Figure </w:t>
      </w:r>
      <w:r w:rsidRPr="000C71CA">
        <w:rPr>
          <w:rFonts w:cs="Arial"/>
          <w:b w:val="0"/>
          <w:bCs w:val="0"/>
          <w:i/>
          <w:iCs/>
        </w:rPr>
        <w:fldChar w:fldCharType="begin"/>
      </w:r>
      <w:r w:rsidRPr="000C71CA">
        <w:rPr>
          <w:rFonts w:cs="Arial"/>
        </w:rPr>
        <w:instrText xml:space="preserve"> SEQ Figure \* ARABIC </w:instrText>
      </w:r>
      <w:r w:rsidRPr="000C71CA">
        <w:rPr>
          <w:rFonts w:cs="Arial"/>
          <w:b w:val="0"/>
          <w:bCs w:val="0"/>
          <w:i/>
          <w:iCs/>
        </w:rPr>
        <w:fldChar w:fldCharType="separate"/>
      </w:r>
      <w:r w:rsidR="0073710A">
        <w:rPr>
          <w:rFonts w:cs="Arial"/>
          <w:noProof/>
        </w:rPr>
        <w:t>40</w:t>
      </w:r>
      <w:r w:rsidRPr="000C71CA">
        <w:rPr>
          <w:rFonts w:cs="Arial"/>
          <w:b w:val="0"/>
          <w:bCs w:val="0"/>
          <w:i/>
          <w:iCs/>
        </w:rPr>
        <w:fldChar w:fldCharType="end"/>
      </w:r>
      <w:bookmarkEnd w:id="223"/>
      <w:r w:rsidRPr="000C71CA">
        <w:rPr>
          <w:rFonts w:cs="Arial"/>
        </w:rPr>
        <w:t xml:space="preserve"> Types of Carbon Offset traders. Source: </w:t>
      </w:r>
      <w:sdt>
        <w:sdtPr>
          <w:rPr>
            <w:rFonts w:cs="Arial"/>
            <w:b w:val="0"/>
            <w:bCs w:val="0"/>
            <w:i/>
            <w:iCs/>
          </w:rPr>
          <w:id w:val="-1615595073"/>
          <w:citation/>
        </w:sdtPr>
        <w:sdtEndPr/>
        <w:sdtContent>
          <w:r w:rsidRPr="000C71CA">
            <w:rPr>
              <w:rFonts w:cs="Arial"/>
              <w:b w:val="0"/>
              <w:bCs w:val="0"/>
              <w:i/>
              <w:iCs/>
            </w:rPr>
            <w:fldChar w:fldCharType="begin"/>
          </w:r>
          <w:r w:rsidRPr="000C71CA">
            <w:rPr>
              <w:rFonts w:cs="Arial"/>
            </w:rPr>
            <w:instrText xml:space="preserve"> CITATION Ham \l 1033 </w:instrText>
          </w:r>
          <w:r w:rsidRPr="000C71CA">
            <w:rPr>
              <w:rFonts w:cs="Arial"/>
              <w:b w:val="0"/>
              <w:bCs w:val="0"/>
              <w:i/>
              <w:iCs/>
            </w:rPr>
            <w:fldChar w:fldCharType="separate"/>
          </w:r>
          <w:r w:rsidR="00487700" w:rsidRPr="000C71CA">
            <w:rPr>
              <w:rFonts w:cs="Arial"/>
              <w:noProof/>
            </w:rPr>
            <w:t>(Hamrick &amp; Goldstein, Raising Ambition - State of the Voluntary Carbon Markets 2016, 2016)</w:t>
          </w:r>
          <w:r w:rsidRPr="000C71CA">
            <w:rPr>
              <w:rFonts w:cs="Arial"/>
              <w:b w:val="0"/>
              <w:bCs w:val="0"/>
              <w:i/>
              <w:iCs/>
            </w:rPr>
            <w:fldChar w:fldCharType="end"/>
          </w:r>
        </w:sdtContent>
      </w:sdt>
      <w:bookmarkEnd w:id="224"/>
      <w:bookmarkEnd w:id="225"/>
      <w:bookmarkEnd w:id="226"/>
    </w:p>
    <w:p w14:paraId="6206CDA9" w14:textId="419F337E" w:rsidR="005664B6" w:rsidRPr="00DB35D4" w:rsidRDefault="005664B6" w:rsidP="005664B6">
      <w:pPr>
        <w:rPr>
          <w:rFonts w:cs="Arial"/>
          <w:lang w:eastAsia="el-GR"/>
        </w:rPr>
      </w:pPr>
      <w:bookmarkStart w:id="227" w:name="_Toc18677148"/>
      <w:r w:rsidRPr="00DB35D4">
        <w:rPr>
          <w:rFonts w:cs="Arial"/>
          <w:lang w:eastAsia="el-GR"/>
        </w:rPr>
        <w:t xml:space="preserve">Within a voluntary market there exist different types of entities selling Carbon Offsets. The interaction among the 3 major types of traders with the Allowances’ buyers are very well given in </w:t>
      </w:r>
      <w:r w:rsidRPr="00DB35D4">
        <w:rPr>
          <w:rFonts w:cs="Arial"/>
        </w:rPr>
        <w:fldChar w:fldCharType="begin"/>
      </w:r>
      <w:r w:rsidRPr="00DB35D4">
        <w:rPr>
          <w:rFonts w:cs="Arial"/>
        </w:rPr>
        <w:instrText xml:space="preserve"> REF _Ref86336142 \h  \* MERGEFORMAT </w:instrText>
      </w:r>
      <w:r w:rsidRPr="00DB35D4">
        <w:rPr>
          <w:rFonts w:cs="Arial"/>
        </w:rPr>
      </w:r>
      <w:r w:rsidRPr="00DB35D4">
        <w:rPr>
          <w:rFonts w:cs="Arial"/>
        </w:rPr>
        <w:fldChar w:fldCharType="separate"/>
      </w:r>
      <w:r w:rsidR="0073710A" w:rsidRPr="0073710A">
        <w:rPr>
          <w:rFonts w:cs="Arial"/>
          <w:lang w:val="en-GB"/>
        </w:rPr>
        <w:t xml:space="preserve">Figure </w:t>
      </w:r>
      <w:r w:rsidR="0073710A">
        <w:rPr>
          <w:rFonts w:cs="Arial"/>
        </w:rPr>
        <w:t>40</w:t>
      </w:r>
      <w:r w:rsidRPr="00DB35D4">
        <w:rPr>
          <w:rFonts w:cs="Arial"/>
        </w:rPr>
        <w:fldChar w:fldCharType="end"/>
      </w:r>
      <w:r w:rsidRPr="00DB35D4">
        <w:rPr>
          <w:rFonts w:cs="Arial"/>
          <w:lang w:eastAsia="el-GR"/>
        </w:rPr>
        <w:t>.</w:t>
      </w:r>
      <w:r w:rsidR="00846229">
        <w:rPr>
          <w:rFonts w:cs="Arial"/>
          <w:lang w:eastAsia="el-GR"/>
        </w:rPr>
        <w:t xml:space="preserve"> A</w:t>
      </w:r>
      <w:r w:rsidRPr="00DB35D4">
        <w:rPr>
          <w:rFonts w:cs="Arial"/>
          <w:lang w:eastAsia="el-GR"/>
        </w:rPr>
        <w:t xml:space="preserve"> </w:t>
      </w:r>
      <w:r w:rsidRPr="00DB35D4">
        <w:rPr>
          <w:rFonts w:cs="Arial"/>
          <w:b/>
          <w:lang w:eastAsia="el-GR"/>
        </w:rPr>
        <w:t xml:space="preserve">Project developer </w:t>
      </w:r>
      <w:r w:rsidRPr="00DB35D4">
        <w:rPr>
          <w:rFonts w:cs="Arial"/>
          <w:lang w:eastAsia="el-GR"/>
        </w:rPr>
        <w:t xml:space="preserve">can create a Carbon Offset Project and sell Emission Allowances to industries, while a </w:t>
      </w:r>
      <w:r w:rsidRPr="00DB35D4">
        <w:rPr>
          <w:rFonts w:cs="Arial"/>
          <w:b/>
          <w:lang w:eastAsia="el-GR"/>
        </w:rPr>
        <w:t>Wholesaler</w:t>
      </w:r>
      <w:r w:rsidRPr="00DB35D4">
        <w:rPr>
          <w:rFonts w:cs="Arial"/>
          <w:lang w:eastAsia="el-GR"/>
        </w:rPr>
        <w:t xml:space="preserve"> </w:t>
      </w:r>
      <w:r w:rsidR="00846229">
        <w:rPr>
          <w:rFonts w:cs="Arial"/>
          <w:lang w:eastAsia="el-GR"/>
        </w:rPr>
        <w:t xml:space="preserve">acquires </w:t>
      </w:r>
      <w:r w:rsidRPr="00DB35D4">
        <w:rPr>
          <w:rFonts w:cs="Arial"/>
          <w:lang w:eastAsia="el-GR"/>
        </w:rPr>
        <w:t xml:space="preserve">Emission Allowances from the Project Developers and sell them to industries (without taking credit of their ownership). </w:t>
      </w:r>
      <w:r w:rsidRPr="00DB35D4">
        <w:rPr>
          <w:rFonts w:cs="Arial"/>
          <w:b/>
          <w:lang w:eastAsia="el-GR"/>
        </w:rPr>
        <w:t>Retailers</w:t>
      </w:r>
      <w:r w:rsidRPr="00DB35D4">
        <w:rPr>
          <w:rFonts w:cs="Arial"/>
          <w:lang w:eastAsia="el-GR"/>
        </w:rPr>
        <w:t xml:space="preserve"> can buy Emission Allowances and sell them to industries but with the exception that they are taking credit of their ownership. Finally, a Carbon Offset </w:t>
      </w:r>
      <w:r w:rsidRPr="00DB35D4">
        <w:rPr>
          <w:rFonts w:cs="Arial"/>
          <w:b/>
          <w:lang w:eastAsia="el-GR"/>
        </w:rPr>
        <w:t>broker</w:t>
      </w:r>
      <w:r w:rsidRPr="00DB35D4">
        <w:rPr>
          <w:rFonts w:cs="Arial"/>
          <w:lang w:eastAsia="el-GR"/>
        </w:rPr>
        <w:t xml:space="preserve"> as well as in all other trading activities is a </w:t>
      </w:r>
      <w:proofErr w:type="gramStart"/>
      <w:r w:rsidRPr="00DB35D4">
        <w:rPr>
          <w:rFonts w:cs="Arial"/>
          <w:lang w:eastAsia="el-GR"/>
        </w:rPr>
        <w:t>middle man</w:t>
      </w:r>
      <w:proofErr w:type="gramEnd"/>
      <w:r w:rsidRPr="00DB35D4">
        <w:rPr>
          <w:rFonts w:cs="Arial"/>
          <w:lang w:eastAsia="el-GR"/>
        </w:rPr>
        <w:t xml:space="preserve"> to arrange the deal among buyers and sellers and receive a reward for this trade.</w:t>
      </w:r>
    </w:p>
    <w:p w14:paraId="3A0CB6A5" w14:textId="77777777" w:rsidR="005664B6" w:rsidRPr="00DB35D4" w:rsidRDefault="005664B6" w:rsidP="009E12D8">
      <w:pPr>
        <w:pStyle w:val="MAIL111"/>
      </w:pPr>
      <w:bookmarkStart w:id="228" w:name="_Toc90892985"/>
      <w:bookmarkStart w:id="229" w:name="_Toc91752439"/>
      <w:r w:rsidRPr="00DB35D4">
        <w:t>Problems</w:t>
      </w:r>
      <w:bookmarkEnd w:id="227"/>
      <w:r w:rsidRPr="00DB35D4">
        <w:t xml:space="preserve"> of voluntary markets</w:t>
      </w:r>
      <w:bookmarkEnd w:id="228"/>
      <w:bookmarkEnd w:id="229"/>
    </w:p>
    <w:p w14:paraId="5F85C293" w14:textId="77777777" w:rsidR="00846229" w:rsidRDefault="00846229" w:rsidP="005664B6">
      <w:pPr>
        <w:rPr>
          <w:rFonts w:cs="Arial"/>
          <w:b/>
          <w:lang w:eastAsia="el-GR"/>
        </w:rPr>
      </w:pPr>
    </w:p>
    <w:p w14:paraId="14C7A126" w14:textId="70A405F7" w:rsidR="005664B6" w:rsidRPr="00DB35D4" w:rsidRDefault="005664B6" w:rsidP="005664B6">
      <w:pPr>
        <w:rPr>
          <w:rFonts w:cs="Arial"/>
          <w:b/>
          <w:lang w:eastAsia="el-GR"/>
        </w:rPr>
      </w:pPr>
      <w:r w:rsidRPr="00DB35D4">
        <w:rPr>
          <w:rFonts w:cs="Arial"/>
          <w:b/>
          <w:lang w:eastAsia="el-GR"/>
        </w:rPr>
        <w:lastRenderedPageBreak/>
        <w:t>Double counting</w:t>
      </w:r>
    </w:p>
    <w:p w14:paraId="497DF40A" w14:textId="2BA62E60" w:rsidR="005664B6" w:rsidRPr="00DB35D4" w:rsidRDefault="005664B6" w:rsidP="005664B6">
      <w:pPr>
        <w:rPr>
          <w:rStyle w:val="tlid-translation"/>
          <w:rFonts w:cs="Arial"/>
        </w:rPr>
      </w:pPr>
      <w:r w:rsidRPr="00DB35D4">
        <w:rPr>
          <w:rStyle w:val="tlid-translation"/>
          <w:rFonts w:cs="Arial"/>
        </w:rPr>
        <w:t xml:space="preserve">According to a report which is investigating the voluntary markets future in the light </w:t>
      </w:r>
      <w:r w:rsidR="00846229">
        <w:rPr>
          <w:rStyle w:val="tlid-translation"/>
          <w:rFonts w:cs="Arial"/>
        </w:rPr>
        <w:t xml:space="preserve">of </w:t>
      </w:r>
      <w:r w:rsidRPr="00DB35D4">
        <w:rPr>
          <w:rStyle w:val="tlid-translation"/>
          <w:rFonts w:cs="Arial"/>
        </w:rPr>
        <w:t xml:space="preserve">the Paris Agreement double counting is the most serious problem concerning the integrity and reality of voluntary markets. </w:t>
      </w:r>
      <w:r w:rsidRPr="00DB35D4">
        <w:rPr>
          <w:rStyle w:val="tlid-translation"/>
          <w:rFonts w:cs="Arial"/>
          <w:b/>
        </w:rPr>
        <w:t>Double counting</w:t>
      </w:r>
      <w:r w:rsidRPr="00DB35D4">
        <w:rPr>
          <w:rStyle w:val="tlid-translation"/>
          <w:rFonts w:cs="Arial"/>
        </w:rPr>
        <w:t xml:space="preserve"> is referred as a risk that the same activity or effect to reduce or remove GHG emissions is accounted for twice (or multiple times). Double counting can occur in different forms. A common typology differentiates four types of double counting. </w:t>
      </w:r>
      <w:r w:rsidRPr="00DB35D4">
        <w:rPr>
          <w:rStyle w:val="tlid-translation"/>
          <w:rFonts w:cs="Arial"/>
          <w:b/>
        </w:rPr>
        <w:t>Double selling</w:t>
      </w:r>
      <w:r w:rsidRPr="00DB35D4">
        <w:rPr>
          <w:rStyle w:val="tlid-translation"/>
          <w:rFonts w:cs="Arial"/>
        </w:rPr>
        <w:t xml:space="preserve"> occurs where an issued unit is sold more than once to different actors. </w:t>
      </w:r>
      <w:r w:rsidRPr="00DB35D4">
        <w:rPr>
          <w:rStyle w:val="tlid-translation"/>
          <w:rFonts w:cs="Arial"/>
          <w:b/>
        </w:rPr>
        <w:t>Double issuance</w:t>
      </w:r>
      <w:r w:rsidRPr="00DB35D4">
        <w:rPr>
          <w:rStyle w:val="tlid-translation"/>
          <w:rFonts w:cs="Arial"/>
        </w:rPr>
        <w:t xml:space="preserve"> means the scenario in which a unit is credited twice under two different standards or in two different registries or in which it is duplicated in the same registry. </w:t>
      </w:r>
      <w:r w:rsidRPr="00DB35D4">
        <w:rPr>
          <w:rStyle w:val="tlid-translation"/>
          <w:rFonts w:cs="Arial"/>
          <w:b/>
        </w:rPr>
        <w:t>Double claiming</w:t>
      </w:r>
      <w:r w:rsidRPr="00DB35D4">
        <w:rPr>
          <w:rStyle w:val="tlid-translation"/>
          <w:rFonts w:cs="Arial"/>
        </w:rPr>
        <w:t xml:space="preserve"> occurs where two entities ‘claim’ the environ</w:t>
      </w:r>
      <w:r w:rsidRPr="00DB35D4">
        <w:rPr>
          <w:rStyle w:val="tlid-translation"/>
          <w:rFonts w:cs="Arial"/>
        </w:rPr>
        <w:softHyphen/>
        <w:t xml:space="preserve">mental benefit of the exact same reduction or removal unit. </w:t>
      </w:r>
      <w:r w:rsidRPr="00DB35D4">
        <w:rPr>
          <w:rStyle w:val="tlid-translation"/>
          <w:rFonts w:cs="Arial"/>
          <w:b/>
        </w:rPr>
        <w:t>Double monetization</w:t>
      </w:r>
      <w:r w:rsidRPr="00DB35D4">
        <w:rPr>
          <w:rStyle w:val="tlid-translation"/>
          <w:rFonts w:cs="Arial"/>
        </w:rPr>
        <w:t>, finally, refers to the situation in which the same GHG emission reduction effort is monetized multiple times, e.g., once by the government at an intergovernmental level and by a company in a private transaction</w:t>
      </w:r>
      <w:sdt>
        <w:sdtPr>
          <w:rPr>
            <w:rStyle w:val="tlid-translation"/>
            <w:rFonts w:cs="Arial"/>
          </w:rPr>
          <w:id w:val="130984142"/>
          <w:citation/>
        </w:sdtPr>
        <w:sdtEndPr>
          <w:rPr>
            <w:rStyle w:val="tlid-translation"/>
          </w:rPr>
        </w:sdtEndPr>
        <w:sdtContent>
          <w:r w:rsidRPr="00DB35D4">
            <w:rPr>
              <w:rStyle w:val="tlid-translation"/>
              <w:rFonts w:cs="Arial"/>
            </w:rPr>
            <w:fldChar w:fldCharType="begin"/>
          </w:r>
          <w:r w:rsidRPr="00DB35D4">
            <w:rPr>
              <w:rStyle w:val="tlid-translation"/>
              <w:rFonts w:cs="Arial"/>
            </w:rPr>
            <w:instrText xml:space="preserve"> CITATION Ger18 \l 1033 </w:instrText>
          </w:r>
          <w:r w:rsidRPr="00DB35D4">
            <w:rPr>
              <w:rStyle w:val="tlid-translation"/>
              <w:rFonts w:cs="Arial"/>
            </w:rPr>
            <w:fldChar w:fldCharType="separate"/>
          </w:r>
          <w:r w:rsidR="00487700">
            <w:rPr>
              <w:rStyle w:val="tlid-translation"/>
              <w:rFonts w:cs="Arial"/>
              <w:noProof/>
            </w:rPr>
            <w:t xml:space="preserve"> </w:t>
          </w:r>
          <w:r w:rsidR="00487700" w:rsidRPr="00487700">
            <w:rPr>
              <w:rFonts w:cs="Arial"/>
              <w:noProof/>
            </w:rPr>
            <w:t>(German Emissions Trading Authority (DEHSt) at the German Environment Agency, 2018)</w:t>
          </w:r>
          <w:r w:rsidRPr="00DB35D4">
            <w:rPr>
              <w:rStyle w:val="tlid-translation"/>
              <w:rFonts w:cs="Arial"/>
            </w:rPr>
            <w:fldChar w:fldCharType="end"/>
          </w:r>
        </w:sdtContent>
      </w:sdt>
      <w:r w:rsidRPr="00DB35D4">
        <w:rPr>
          <w:rStyle w:val="tlid-translation"/>
          <w:rFonts w:cs="Arial"/>
        </w:rPr>
        <w:t>.</w:t>
      </w:r>
    </w:p>
    <w:p w14:paraId="0007F72F" w14:textId="77777777" w:rsidR="005664B6" w:rsidRPr="00DB35D4" w:rsidRDefault="005664B6" w:rsidP="005664B6">
      <w:pPr>
        <w:rPr>
          <w:rFonts w:cs="Arial"/>
          <w:b/>
          <w:lang w:eastAsia="el-GR"/>
        </w:rPr>
      </w:pPr>
      <w:r w:rsidRPr="00DB35D4">
        <w:rPr>
          <w:rFonts w:cs="Arial"/>
          <w:b/>
          <w:lang w:eastAsia="el-GR"/>
        </w:rPr>
        <w:t xml:space="preserve">Unsold allowances </w:t>
      </w:r>
    </w:p>
    <w:p w14:paraId="4CA2677E" w14:textId="353EF6B2" w:rsidR="005664B6" w:rsidRPr="00DB35D4" w:rsidRDefault="005664B6" w:rsidP="005664B6">
      <w:pPr>
        <w:rPr>
          <w:rStyle w:val="tlid-translation"/>
          <w:rFonts w:cs="Arial"/>
        </w:rPr>
      </w:pPr>
      <w:r w:rsidRPr="00DB35D4">
        <w:rPr>
          <w:rStyle w:val="tlid-translation"/>
          <w:rFonts w:cs="Arial"/>
        </w:rPr>
        <w:t>According to the recent report of Ecosystem Marketplace</w:t>
      </w:r>
      <w:sdt>
        <w:sdtPr>
          <w:rPr>
            <w:rStyle w:val="tlid-translation"/>
            <w:rFonts w:cs="Arial"/>
          </w:rPr>
          <w:id w:val="-1267382985"/>
          <w:citation/>
        </w:sdtPr>
        <w:sdtEndPr>
          <w:rPr>
            <w:rStyle w:val="tlid-translation"/>
          </w:rPr>
        </w:sdtEndPr>
        <w:sdtContent>
          <w:r w:rsidRPr="00DB35D4">
            <w:rPr>
              <w:rStyle w:val="tlid-translation"/>
              <w:rFonts w:cs="Arial"/>
            </w:rPr>
            <w:fldChar w:fldCharType="begin"/>
          </w:r>
          <w:r w:rsidRPr="00DB35D4">
            <w:rPr>
              <w:rStyle w:val="tlid-translation"/>
              <w:rFonts w:cs="Arial"/>
            </w:rPr>
            <w:instrText xml:space="preserve">CITATION Ham \l 1033 </w:instrText>
          </w:r>
          <w:r w:rsidRPr="00DB35D4">
            <w:rPr>
              <w:rStyle w:val="tlid-translation"/>
              <w:rFonts w:cs="Arial"/>
            </w:rPr>
            <w:fldChar w:fldCharType="separate"/>
          </w:r>
          <w:r w:rsidR="00487700">
            <w:rPr>
              <w:rStyle w:val="tlid-translation"/>
              <w:rFonts w:cs="Arial"/>
              <w:noProof/>
            </w:rPr>
            <w:t xml:space="preserve"> </w:t>
          </w:r>
          <w:r w:rsidR="00487700" w:rsidRPr="00487700">
            <w:rPr>
              <w:rFonts w:cs="Arial"/>
              <w:noProof/>
            </w:rPr>
            <w:t>(Hamrick &amp; Goldstein, Raising Ambition - State of the Voluntary Carbon Markets 2016, 2016)</w:t>
          </w:r>
          <w:r w:rsidRPr="00DB35D4">
            <w:rPr>
              <w:rStyle w:val="tlid-translation"/>
              <w:rFonts w:cs="Arial"/>
            </w:rPr>
            <w:fldChar w:fldCharType="end"/>
          </w:r>
        </w:sdtContent>
      </w:sdt>
      <w:r w:rsidRPr="00DB35D4">
        <w:rPr>
          <w:rStyle w:val="tlid-translation"/>
          <w:rFonts w:cs="Arial"/>
        </w:rPr>
        <w:t xml:space="preserve"> a lot of AAUs from the voluntary markets have not been sold. There are several reasons why a </w:t>
      </w:r>
      <w:proofErr w:type="spellStart"/>
      <w:r w:rsidRPr="00DB35D4">
        <w:rPr>
          <w:rStyle w:val="tlid-translation"/>
          <w:rFonts w:cs="Arial"/>
        </w:rPr>
        <w:t>tonne</w:t>
      </w:r>
      <w:proofErr w:type="spellEnd"/>
      <w:r w:rsidRPr="00DB35D4">
        <w:rPr>
          <w:rStyle w:val="tlid-translation"/>
          <w:rFonts w:cs="Arial"/>
        </w:rPr>
        <w:t xml:space="preserve"> might remain unsold in a supplier’s portfolio. Suppliers (35 of them) behind of the orphaned portfolio volume claimed they tried to sell the offsets in 2015 but were unsuccessful. However, nearly half of the offsets in 2015 suppliers’ portfolios remained unsold because suppliers opted to hold onto them, either because they were awaiting higher prices (21 suppliers), more favorable contract terms (4 suppliers), or an expansion of the market (4 suppliers). Ten suppliers behind 8.8 MtCO2e in unsold volume said they had a prospective buyer but were still in negotiations with them at the end of the year. Another 17 suppliers held onto 1.5 MtCO</w:t>
      </w:r>
      <w:r w:rsidRPr="00DB35D4">
        <w:rPr>
          <w:rStyle w:val="tlid-translation"/>
          <w:rFonts w:cs="Arial"/>
          <w:vertAlign w:val="subscript"/>
        </w:rPr>
        <w:t>2</w:t>
      </w:r>
      <w:r w:rsidRPr="00DB35D4">
        <w:rPr>
          <w:rStyle w:val="tlid-translation"/>
          <w:rFonts w:cs="Arial"/>
        </w:rPr>
        <w:t>e simply because it is unnecessary from a financial perspective to sell all the offsets in their portfolio in any given year. Most specifically,</w:t>
      </w:r>
      <w:r w:rsidRPr="00DB35D4">
        <w:rPr>
          <w:rFonts w:cs="Arial"/>
          <w:color w:val="073C5C"/>
        </w:rPr>
        <w:t xml:space="preserve"> </w:t>
      </w:r>
      <w:r w:rsidRPr="00DB35D4">
        <w:rPr>
          <w:rStyle w:val="tlid-translation"/>
          <w:rFonts w:cs="Arial"/>
        </w:rPr>
        <w:t>at the End of 2015, 56 million Orphaned Offsets Remained in Suppliers’ Portfolios – and Even More Supply is on the Way.</w:t>
      </w:r>
    </w:p>
    <w:p w14:paraId="0D692711" w14:textId="77777777" w:rsidR="005664B6" w:rsidRPr="00DB35D4" w:rsidRDefault="005664B6" w:rsidP="005664B6">
      <w:pPr>
        <w:pStyle w:val="MAIL1"/>
      </w:pPr>
      <w:bookmarkStart w:id="230" w:name="_Toc18677150"/>
      <w:bookmarkStart w:id="231" w:name="_Toc90892986"/>
      <w:bookmarkStart w:id="232" w:name="_Toc91752440"/>
      <w:r w:rsidRPr="00DB35D4">
        <w:lastRenderedPageBreak/>
        <w:t>EU commitment: Emissions Trading Scheme, effort sharing and LULUCF</w:t>
      </w:r>
      <w:bookmarkStart w:id="233" w:name="_Toc18677151"/>
      <w:bookmarkEnd w:id="230"/>
      <w:bookmarkEnd w:id="231"/>
      <w:bookmarkEnd w:id="232"/>
    </w:p>
    <w:p w14:paraId="160C7392" w14:textId="77777777" w:rsidR="005664B6" w:rsidRPr="005664B6" w:rsidRDefault="005664B6" w:rsidP="005664B6">
      <w:pPr>
        <w:pStyle w:val="MAIL11"/>
        <w:rPr>
          <w:rStyle w:val="tlid-translation"/>
          <w:lang w:val="de-DE"/>
        </w:rPr>
      </w:pPr>
      <w:bookmarkStart w:id="234" w:name="_Toc90892987"/>
      <w:bookmarkStart w:id="235" w:name="_Toc91752441"/>
      <w:proofErr w:type="gramStart"/>
      <w:r w:rsidRPr="005664B6">
        <w:rPr>
          <w:lang w:val="de-DE"/>
        </w:rPr>
        <w:t>EU Emission</w:t>
      </w:r>
      <w:proofErr w:type="gramEnd"/>
      <w:r w:rsidRPr="005664B6">
        <w:rPr>
          <w:lang w:val="de-DE"/>
        </w:rPr>
        <w:t xml:space="preserve"> Trading</w:t>
      </w:r>
      <w:r w:rsidRPr="005664B6">
        <w:rPr>
          <w:rStyle w:val="tlid-translation"/>
          <w:lang w:val="de-DE"/>
        </w:rPr>
        <w:t xml:space="preserve"> System (EU ETS)</w:t>
      </w:r>
      <w:bookmarkEnd w:id="233"/>
      <w:bookmarkEnd w:id="234"/>
      <w:bookmarkEnd w:id="235"/>
    </w:p>
    <w:p w14:paraId="76BA6AF2" w14:textId="3570554B" w:rsidR="005664B6" w:rsidRPr="00DB35D4" w:rsidRDefault="005664B6" w:rsidP="005664B6">
      <w:pPr>
        <w:rPr>
          <w:rFonts w:cs="Arial"/>
        </w:rPr>
      </w:pPr>
      <w:r w:rsidRPr="00DB35D4">
        <w:rPr>
          <w:rStyle w:val="tlid-translation"/>
          <w:rFonts w:cs="Arial"/>
        </w:rPr>
        <w:t xml:space="preserve">ETSs was created to trade GHG in the </w:t>
      </w:r>
      <w:r w:rsidRPr="00DB35D4">
        <w:rPr>
          <w:rFonts w:cs="Arial"/>
        </w:rPr>
        <w:t xml:space="preserve">28 EU Member States and three European Economic Area-European Free Trade Association (EEA-EFTA) states: Iceland, Liechtenstein, and Norway. It is the oldest and still largest (in terms of traded emissions) ETS for GHGs operating </w:t>
      </w:r>
      <w:r w:rsidRPr="00B07756">
        <w:rPr>
          <w:rFonts w:cs="Arial"/>
        </w:rPr>
        <w:t>worldwide (</w:t>
      </w:r>
      <w:r w:rsidR="00846229" w:rsidRPr="00B07756">
        <w:rPr>
          <w:rFonts w:cs="Arial"/>
        </w:rPr>
        <w:fldChar w:fldCharType="begin"/>
      </w:r>
      <w:r w:rsidR="00846229" w:rsidRPr="00B07756">
        <w:rPr>
          <w:rFonts w:cs="Arial"/>
        </w:rPr>
        <w:instrText xml:space="preserve"> REF _Ref91750986 \h </w:instrText>
      </w:r>
      <w:r w:rsidR="00B07756">
        <w:rPr>
          <w:rFonts w:cs="Arial"/>
        </w:rPr>
        <w:instrText xml:space="preserve"> \* MERGEFORMAT </w:instrText>
      </w:r>
      <w:r w:rsidR="00846229" w:rsidRPr="00B07756">
        <w:rPr>
          <w:rFonts w:cs="Arial"/>
        </w:rPr>
      </w:r>
      <w:r w:rsidR="00846229" w:rsidRPr="00B07756">
        <w:rPr>
          <w:rFonts w:cs="Arial"/>
        </w:rPr>
        <w:fldChar w:fldCharType="separate"/>
      </w:r>
      <w:r w:rsidR="0073710A" w:rsidRPr="000C71CA">
        <w:rPr>
          <w:rFonts w:cs="Arial"/>
        </w:rPr>
        <w:t xml:space="preserve">Figure </w:t>
      </w:r>
      <w:r w:rsidR="0073710A">
        <w:rPr>
          <w:rFonts w:cs="Arial"/>
          <w:noProof/>
        </w:rPr>
        <w:t>38</w:t>
      </w:r>
      <w:r w:rsidR="00846229" w:rsidRPr="00B07756">
        <w:rPr>
          <w:rFonts w:cs="Arial"/>
        </w:rPr>
        <w:fldChar w:fldCharType="end"/>
      </w:r>
      <w:r w:rsidRPr="00B07756">
        <w:rPr>
          <w:rFonts w:cs="Arial"/>
        </w:rPr>
        <w:t>)</w:t>
      </w:r>
      <w:r w:rsidRPr="00846229">
        <w:rPr>
          <w:rFonts w:cs="Arial"/>
        </w:rPr>
        <w:t>.</w:t>
      </w:r>
      <w:r w:rsidRPr="00DB35D4">
        <w:rPr>
          <w:rFonts w:cs="Arial"/>
        </w:rPr>
        <w:t xml:space="preserve"> It limits emissions from around 10,000 installations in the power sector and manufacturing industry, as well as airlines operating between these countries. Moreover, </w:t>
      </w:r>
      <w:r w:rsidR="00B07756">
        <w:rPr>
          <w:rFonts w:cs="Arial"/>
        </w:rPr>
        <w:t>i</w:t>
      </w:r>
      <w:r w:rsidRPr="00DB35D4">
        <w:rPr>
          <w:rFonts w:cs="Arial"/>
        </w:rPr>
        <w:t>t covers around 40% of the EU's greenhouse gas emissions. Introduced in 2005 and now in its third phase, the system has gone through several reforms and will change again with the start of phase 4 in January 2021</w:t>
      </w:r>
      <w:sdt>
        <w:sdtPr>
          <w:rPr>
            <w:rFonts w:cs="Arial"/>
          </w:rPr>
          <w:id w:val="-1593465190"/>
          <w:citation/>
        </w:sdtPr>
        <w:sdtEndPr/>
        <w:sdtContent>
          <w:r w:rsidRPr="00DB35D4">
            <w:rPr>
              <w:rFonts w:cs="Arial"/>
            </w:rPr>
            <w:fldChar w:fldCharType="begin"/>
          </w:r>
          <w:r w:rsidRPr="00DB35D4">
            <w:rPr>
              <w:rFonts w:cs="Arial"/>
            </w:rPr>
            <w:instrText xml:space="preserve">CITATION Eur15 \l 1033 </w:instrText>
          </w:r>
          <w:r w:rsidRPr="00DB35D4">
            <w:rPr>
              <w:rFonts w:cs="Arial"/>
            </w:rPr>
            <w:fldChar w:fldCharType="separate"/>
          </w:r>
          <w:r w:rsidR="00487700">
            <w:rPr>
              <w:rFonts w:cs="Arial"/>
              <w:noProof/>
            </w:rPr>
            <w:t xml:space="preserve"> </w:t>
          </w:r>
          <w:r w:rsidR="00487700" w:rsidRPr="00487700">
            <w:rPr>
              <w:rFonts w:cs="Arial"/>
              <w:noProof/>
            </w:rPr>
            <w:t>(European Union, 2015)</w:t>
          </w:r>
          <w:r w:rsidRPr="00DB35D4">
            <w:rPr>
              <w:rFonts w:cs="Arial"/>
            </w:rPr>
            <w:fldChar w:fldCharType="end"/>
          </w:r>
        </w:sdtContent>
      </w:sdt>
      <w:r w:rsidRPr="00DB35D4">
        <w:rPr>
          <w:rFonts w:cs="Arial"/>
        </w:rPr>
        <w:t xml:space="preserve">. </w:t>
      </w:r>
    </w:p>
    <w:p w14:paraId="68A5CDFB" w14:textId="77777777" w:rsidR="005664B6" w:rsidRPr="00DB35D4" w:rsidRDefault="005664B6" w:rsidP="005664B6">
      <w:pPr>
        <w:keepNext/>
        <w:rPr>
          <w:rFonts w:cs="Arial"/>
        </w:rPr>
      </w:pPr>
      <w:r w:rsidRPr="00DB35D4">
        <w:rPr>
          <w:rFonts w:cs="Arial"/>
          <w:noProof/>
          <w:lang w:val="es-ES" w:eastAsia="es-ES"/>
        </w:rPr>
        <w:drawing>
          <wp:inline distT="0" distB="0" distL="0" distR="0" wp14:anchorId="31E6BC10" wp14:editId="7BC977F1">
            <wp:extent cx="5274310" cy="3399155"/>
            <wp:effectExtent l="0" t="0" r="2540" b="0"/>
            <wp:docPr id="4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pic:cNvPicPr/>
                  </pic:nvPicPr>
                  <pic:blipFill>
                    <a:blip r:embed="rId76">
                      <a:extLst>
                        <a:ext uri="{28A0092B-C50C-407E-A947-70E740481C1C}">
                          <a14:useLocalDpi xmlns:a14="http://schemas.microsoft.com/office/drawing/2010/main" val="0"/>
                        </a:ext>
                      </a:extLst>
                    </a:blip>
                    <a:stretch>
                      <a:fillRect/>
                    </a:stretch>
                  </pic:blipFill>
                  <pic:spPr>
                    <a:xfrm>
                      <a:off x="0" y="0"/>
                      <a:ext cx="5274310" cy="3399155"/>
                    </a:xfrm>
                    <a:prstGeom prst="rect">
                      <a:avLst/>
                    </a:prstGeom>
                  </pic:spPr>
                </pic:pic>
              </a:graphicData>
            </a:graphic>
          </wp:inline>
        </w:drawing>
      </w:r>
    </w:p>
    <w:p w14:paraId="3BDC10FE" w14:textId="0F7DB231" w:rsidR="005664B6" w:rsidRPr="00D84451" w:rsidRDefault="005664B6" w:rsidP="009E12D8">
      <w:pPr>
        <w:jc w:val="center"/>
        <w:rPr>
          <w:rFonts w:eastAsia="Calibri" w:cs="Arial"/>
          <w:b/>
          <w:bCs/>
          <w:color w:val="212745" w:themeColor="text2"/>
          <w:sz w:val="20"/>
          <w:szCs w:val="20"/>
          <w:lang w:val="en-GB"/>
        </w:rPr>
      </w:pPr>
      <w:bookmarkStart w:id="236" w:name="_Ref91750926"/>
      <w:bookmarkStart w:id="237" w:name="_Toc90888745"/>
      <w:bookmarkStart w:id="238" w:name="_Toc90893519"/>
      <w:bookmarkStart w:id="239" w:name="_Toc91752525"/>
      <w:r w:rsidRPr="00D84451">
        <w:rPr>
          <w:rFonts w:eastAsia="Calibri" w:cs="Arial"/>
          <w:b/>
          <w:bCs/>
          <w:color w:val="212745" w:themeColor="text2"/>
          <w:sz w:val="20"/>
          <w:szCs w:val="20"/>
          <w:lang w:val="en-GB"/>
        </w:rPr>
        <w:t xml:space="preserve">Figure </w:t>
      </w:r>
      <w:r w:rsidRPr="00D84451">
        <w:rPr>
          <w:rFonts w:eastAsia="Calibri" w:cs="Arial"/>
          <w:b/>
          <w:bCs/>
          <w:color w:val="212745" w:themeColor="text2"/>
          <w:sz w:val="20"/>
          <w:szCs w:val="20"/>
          <w:lang w:val="en-GB"/>
        </w:rPr>
        <w:fldChar w:fldCharType="begin"/>
      </w:r>
      <w:r w:rsidRPr="00D84451">
        <w:rPr>
          <w:rFonts w:eastAsia="Calibri" w:cs="Arial"/>
          <w:b/>
          <w:bCs/>
          <w:color w:val="212745" w:themeColor="text2"/>
          <w:sz w:val="20"/>
          <w:szCs w:val="20"/>
          <w:lang w:val="en-GB"/>
        </w:rPr>
        <w:instrText xml:space="preserve"> SEQ Figure \* ARABIC </w:instrText>
      </w:r>
      <w:r w:rsidRPr="00D84451">
        <w:rPr>
          <w:rFonts w:eastAsia="Calibri" w:cs="Arial"/>
          <w:b/>
          <w:bCs/>
          <w:color w:val="212745" w:themeColor="text2"/>
          <w:sz w:val="20"/>
          <w:szCs w:val="20"/>
          <w:lang w:val="en-GB"/>
        </w:rPr>
        <w:fldChar w:fldCharType="separate"/>
      </w:r>
      <w:r w:rsidR="0073710A">
        <w:rPr>
          <w:rFonts w:eastAsia="Calibri" w:cs="Arial"/>
          <w:b/>
          <w:bCs/>
          <w:noProof/>
          <w:color w:val="212745" w:themeColor="text2"/>
          <w:sz w:val="20"/>
          <w:szCs w:val="20"/>
          <w:lang w:val="en-GB"/>
        </w:rPr>
        <w:t>41</w:t>
      </w:r>
      <w:r w:rsidRPr="00D84451">
        <w:rPr>
          <w:rFonts w:eastAsia="Calibri" w:cs="Arial"/>
          <w:b/>
          <w:bCs/>
          <w:color w:val="212745" w:themeColor="text2"/>
          <w:sz w:val="20"/>
          <w:szCs w:val="20"/>
          <w:lang w:val="en-GB"/>
        </w:rPr>
        <w:fldChar w:fldCharType="end"/>
      </w:r>
      <w:bookmarkEnd w:id="236"/>
      <w:r w:rsidRPr="00D84451">
        <w:rPr>
          <w:rFonts w:eastAsia="Calibri" w:cs="Arial"/>
          <w:b/>
          <w:bCs/>
          <w:color w:val="212745" w:themeColor="text2"/>
          <w:sz w:val="20"/>
          <w:szCs w:val="20"/>
          <w:lang w:val="en-GB"/>
        </w:rPr>
        <w:t xml:space="preserve"> Carbon price of EU ETS. Source: https://icapcarbonaction.com/en/ets-prices</w:t>
      </w:r>
      <w:bookmarkEnd w:id="237"/>
      <w:bookmarkEnd w:id="238"/>
      <w:bookmarkEnd w:id="239"/>
    </w:p>
    <w:p w14:paraId="71386F79" w14:textId="77777777" w:rsidR="005664B6" w:rsidRPr="00DB35D4" w:rsidRDefault="005664B6" w:rsidP="005664B6">
      <w:pPr>
        <w:rPr>
          <w:rFonts w:cs="Arial"/>
        </w:rPr>
      </w:pPr>
      <w:r w:rsidRPr="00DB35D4">
        <w:rPr>
          <w:rFonts w:cs="Arial"/>
        </w:rPr>
        <w:t>After more than two years of negotiations, in February 2018, the EU Council of Ministers formally approved the reform of the EU ETS for phase 4 (2021-2030). The revised EU ETS Directive entered into force in April 2018.</w:t>
      </w:r>
    </w:p>
    <w:p w14:paraId="1D1974F0" w14:textId="77777777" w:rsidR="005664B6" w:rsidRPr="00DB35D4" w:rsidRDefault="005664B6" w:rsidP="005664B6">
      <w:pPr>
        <w:rPr>
          <w:rStyle w:val="tlid-translation"/>
          <w:rFonts w:cs="Arial"/>
        </w:rPr>
      </w:pPr>
      <w:r w:rsidRPr="00DB35D4">
        <w:rPr>
          <w:rFonts w:cs="Arial"/>
        </w:rPr>
        <w:t xml:space="preserve">Phase 4 will see a steeper pace of annual emissions cuts required from the covered sectors, from 1.74% to 2.2%. In addition, during phase 4 mechanism to reduce the </w:t>
      </w:r>
      <w:r w:rsidRPr="00DB35D4">
        <w:rPr>
          <w:rFonts w:cs="Arial"/>
        </w:rPr>
        <w:lastRenderedPageBreak/>
        <w:t>surplus of allowances in the carbon market (Market Stability Reserve MSR) will be introduced to improve the EU ETS’s resilience to future shocks. Member States may also invalidate a portion of allowances to reflect additional policies in the energy sector, e.g., a coal phase out. Other changes for phase 4 include provisions to better target free allocation to address carbon leakage, as well as new financial support mechanisms to promote low-carbon innovation and to support modernization efforts in the industry and the power sectors of lower-income Member States. Steps will be taken within 2019 to ratify the Linking Agreement between Switzerland and the EU, which could see the markets linked from 1 January 2020.</w:t>
      </w:r>
    </w:p>
    <w:p w14:paraId="74A7D7F4" w14:textId="77777777" w:rsidR="005664B6" w:rsidRPr="00DB35D4" w:rsidRDefault="005664B6" w:rsidP="005664B6">
      <w:pPr>
        <w:rPr>
          <w:rFonts w:cs="Arial"/>
        </w:rPr>
      </w:pPr>
      <w:r w:rsidRPr="00DB35D4">
        <w:rPr>
          <w:rFonts w:cs="Arial"/>
          <w:i/>
        </w:rPr>
        <w:t xml:space="preserve">The Overall GHG emissions (excluding LULUCF) that have been traded so far (2016) are </w:t>
      </w:r>
      <w:r w:rsidRPr="00DB35D4">
        <w:rPr>
          <w:rFonts w:cs="Arial"/>
        </w:rPr>
        <w:t>4,353 MtC0</w:t>
      </w:r>
      <w:r w:rsidRPr="00DB35D4">
        <w:rPr>
          <w:rFonts w:cs="Arial"/>
          <w:vertAlign w:val="subscript"/>
        </w:rPr>
        <w:t>2</w:t>
      </w:r>
      <w:r w:rsidRPr="00DB35D4">
        <w:rPr>
          <w:rFonts w:cs="Arial"/>
        </w:rPr>
        <w:t>e (2016) and not only of CO</w:t>
      </w:r>
      <w:r w:rsidRPr="00DB35D4">
        <w:rPr>
          <w:rFonts w:cs="Arial"/>
          <w:vertAlign w:val="subscript"/>
        </w:rPr>
        <w:t>2</w:t>
      </w:r>
      <w:r w:rsidRPr="00DB35D4">
        <w:rPr>
          <w:rFonts w:cs="Arial"/>
        </w:rPr>
        <w:t xml:space="preserve"> but also N</w:t>
      </w:r>
      <w:r w:rsidRPr="00DB35D4">
        <w:rPr>
          <w:rFonts w:cs="Arial"/>
          <w:vertAlign w:val="subscript"/>
        </w:rPr>
        <w:t>2</w:t>
      </w:r>
      <w:r w:rsidRPr="00DB35D4">
        <w:rPr>
          <w:rFonts w:cs="Arial"/>
        </w:rPr>
        <w:t xml:space="preserve">O, </w:t>
      </w:r>
      <w:proofErr w:type="spellStart"/>
      <w:r w:rsidRPr="00DB35D4">
        <w:rPr>
          <w:rFonts w:cs="Arial"/>
        </w:rPr>
        <w:t>PFCs.</w:t>
      </w:r>
      <w:proofErr w:type="spellEnd"/>
    </w:p>
    <w:p w14:paraId="66149164" w14:textId="77777777" w:rsidR="005664B6" w:rsidRPr="00DB35D4" w:rsidRDefault="005664B6" w:rsidP="005664B6">
      <w:pPr>
        <w:rPr>
          <w:rStyle w:val="tlid-translation"/>
          <w:rFonts w:cs="Arial"/>
          <w:i/>
        </w:rPr>
      </w:pPr>
      <w:r w:rsidRPr="00DB35D4">
        <w:rPr>
          <w:rFonts w:cs="Arial"/>
        </w:rPr>
        <w:t xml:space="preserve">The GHG emission reduction target has been set </w:t>
      </w:r>
    </w:p>
    <w:p w14:paraId="3E1A9CF1" w14:textId="77777777" w:rsidR="005664B6" w:rsidRPr="00DB35D4" w:rsidRDefault="005664B6" w:rsidP="005664B6">
      <w:pPr>
        <w:rPr>
          <w:rFonts w:cs="Arial"/>
        </w:rPr>
      </w:pPr>
      <w:r w:rsidRPr="00DB35D4">
        <w:rPr>
          <w:rStyle w:val="Strong"/>
          <w:rFonts w:cs="Arial"/>
        </w:rPr>
        <w:t>By 2030:</w:t>
      </w:r>
      <w:r w:rsidRPr="00DB35D4">
        <w:rPr>
          <w:rFonts w:cs="Arial"/>
        </w:rPr>
        <w:t> At least 55% below 1990 GHG levels proposed (European Green Deal), to be set in the Climate Law</w:t>
      </w:r>
    </w:p>
    <w:p w14:paraId="1E03ADCF" w14:textId="77777777" w:rsidR="005664B6" w:rsidRPr="00DB35D4" w:rsidRDefault="005664B6" w:rsidP="005664B6">
      <w:pPr>
        <w:rPr>
          <w:rFonts w:cs="Arial"/>
        </w:rPr>
      </w:pPr>
      <w:r w:rsidRPr="00DB35D4">
        <w:rPr>
          <w:rStyle w:val="Strong"/>
          <w:rFonts w:cs="Arial"/>
        </w:rPr>
        <w:t>By 2050:</w:t>
      </w:r>
      <w:r w:rsidRPr="00DB35D4">
        <w:rPr>
          <w:rFonts w:cs="Arial"/>
        </w:rPr>
        <w:t> Climate neutrality target proposed (European Green Deal), to be set in the Climate Law</w:t>
      </w:r>
    </w:p>
    <w:p w14:paraId="0E2F9307" w14:textId="77777777" w:rsidR="005664B6" w:rsidRPr="00DB35D4" w:rsidRDefault="005664B6" w:rsidP="005664B6">
      <w:pPr>
        <w:rPr>
          <w:rFonts w:cs="Arial"/>
        </w:rPr>
      </w:pPr>
      <w:r w:rsidRPr="00DB35D4">
        <w:rPr>
          <w:rFonts w:cs="Arial"/>
        </w:rPr>
        <w:t xml:space="preserve">Both updated targets (2030 and 2050) recently have been endorsed by the European Parliament and European </w:t>
      </w:r>
      <w:proofErr w:type="gramStart"/>
      <w:r w:rsidRPr="00DB35D4">
        <w:rPr>
          <w:rFonts w:cs="Arial"/>
        </w:rPr>
        <w:t>Council, and</w:t>
      </w:r>
      <w:proofErr w:type="gramEnd"/>
      <w:r w:rsidRPr="00DB35D4">
        <w:rPr>
          <w:rFonts w:cs="Arial"/>
        </w:rPr>
        <w:t xml:space="preserve"> are currently in the process of being enshrined into the European Climate Law.</w:t>
      </w:r>
    </w:p>
    <w:p w14:paraId="52282931" w14:textId="77777777" w:rsidR="005664B6" w:rsidRPr="00DB35D4" w:rsidRDefault="005664B6" w:rsidP="005664B6">
      <w:pPr>
        <w:rPr>
          <w:rStyle w:val="tlid-translation"/>
          <w:rFonts w:cs="Arial"/>
        </w:rPr>
      </w:pPr>
      <w:r w:rsidRPr="00DB35D4">
        <w:rPr>
          <w:rFonts w:cs="Arial"/>
        </w:rPr>
        <w:t>The current Carbon Price is</w:t>
      </w:r>
      <w:r w:rsidRPr="00DB35D4">
        <w:rPr>
          <w:rFonts w:cs="Arial"/>
          <w:i/>
        </w:rPr>
        <w:t xml:space="preserve"> </w:t>
      </w:r>
      <w:r w:rsidRPr="00DB35D4">
        <w:rPr>
          <w:rFonts w:cs="Arial"/>
        </w:rPr>
        <w:t>€24.76 (USD 28.28)/tC0</w:t>
      </w:r>
      <w:r w:rsidRPr="00DB35D4">
        <w:rPr>
          <w:rFonts w:cs="Arial"/>
          <w:vertAlign w:val="subscript"/>
        </w:rPr>
        <w:t>2</w:t>
      </w:r>
      <w:r w:rsidRPr="00DB35D4">
        <w:rPr>
          <w:rFonts w:cs="Arial"/>
        </w:rPr>
        <w:t>e (average 2020 secondary market spot price from EEX exchange). The carbon price in the EU ETS has changed dramatically thought out the years of its operation. Due to financial crisis and the existence of surplus the lowest price fell below €5/tC0</w:t>
      </w:r>
      <w:r w:rsidRPr="00DB35D4">
        <w:rPr>
          <w:rFonts w:cs="Arial"/>
          <w:vertAlign w:val="subscript"/>
        </w:rPr>
        <w:t>2</w:t>
      </w:r>
      <w:r w:rsidRPr="00DB35D4">
        <w:rPr>
          <w:rFonts w:cs="Arial"/>
        </w:rPr>
        <w:t>e in 2013.</w:t>
      </w:r>
    </w:p>
    <w:p w14:paraId="69C118BC" w14:textId="77777777" w:rsidR="005664B6" w:rsidRPr="00DB35D4" w:rsidRDefault="005664B6" w:rsidP="005664B6">
      <w:pPr>
        <w:rPr>
          <w:rFonts w:cs="Arial"/>
        </w:rPr>
      </w:pPr>
      <w:r w:rsidRPr="00DB35D4">
        <w:rPr>
          <w:rFonts w:cs="Arial"/>
        </w:rPr>
        <w:t xml:space="preserve">The system covers emissions from the </w:t>
      </w:r>
      <w:r w:rsidRPr="00DB35D4">
        <w:rPr>
          <w:rFonts w:cs="Arial"/>
          <w:i/>
        </w:rPr>
        <w:t xml:space="preserve">sectors </w:t>
      </w:r>
      <w:r w:rsidRPr="00DB35D4">
        <w:rPr>
          <w:rFonts w:cs="Arial"/>
        </w:rPr>
        <w:t xml:space="preserve">of </w:t>
      </w:r>
      <w:r w:rsidRPr="00DB35D4">
        <w:rPr>
          <w:rFonts w:cs="Arial"/>
          <w:b/>
        </w:rPr>
        <w:t>power</w:t>
      </w:r>
      <w:r w:rsidRPr="00DB35D4">
        <w:rPr>
          <w:rFonts w:cs="Arial"/>
        </w:rPr>
        <w:t xml:space="preserve">, </w:t>
      </w:r>
      <w:r w:rsidRPr="00DB35D4">
        <w:rPr>
          <w:rFonts w:cs="Arial"/>
          <w:b/>
        </w:rPr>
        <w:t>industry</w:t>
      </w:r>
      <w:r w:rsidRPr="00DB35D4">
        <w:rPr>
          <w:rFonts w:cs="Arial"/>
        </w:rPr>
        <w:t xml:space="preserve">, and </w:t>
      </w:r>
      <w:r w:rsidRPr="00DB35D4">
        <w:rPr>
          <w:rFonts w:cs="Arial"/>
          <w:b/>
        </w:rPr>
        <w:t>aviation</w:t>
      </w:r>
      <w:r w:rsidRPr="00DB35D4">
        <w:rPr>
          <w:rFonts w:cs="Arial"/>
        </w:rPr>
        <w:t xml:space="preserve">, with the aviation sector being </w:t>
      </w:r>
      <w:r w:rsidRPr="00DB35D4">
        <w:rPr>
          <w:rFonts w:cs="Arial"/>
          <w:b/>
        </w:rPr>
        <w:t>limited</w:t>
      </w:r>
      <w:r w:rsidRPr="00DB35D4">
        <w:rPr>
          <w:rFonts w:cs="Arial"/>
        </w:rPr>
        <w:t xml:space="preserve"> to flights within the </w:t>
      </w:r>
      <w:r w:rsidRPr="00DB35D4">
        <w:rPr>
          <w:rFonts w:cs="Arial"/>
          <w:b/>
        </w:rPr>
        <w:t>European Economic Area</w:t>
      </w:r>
      <w:r w:rsidRPr="00DB35D4">
        <w:rPr>
          <w:rFonts w:cs="Arial"/>
        </w:rPr>
        <w:t xml:space="preserve"> (EEA). </w:t>
      </w:r>
    </w:p>
    <w:p w14:paraId="2FDEDFA1" w14:textId="77777777" w:rsidR="005664B6" w:rsidRPr="00DB35D4" w:rsidRDefault="005664B6" w:rsidP="005664B6">
      <w:pPr>
        <w:rPr>
          <w:rFonts w:cs="Arial"/>
        </w:rPr>
      </w:pPr>
      <w:r w:rsidRPr="00DB35D4">
        <w:rPr>
          <w:rFonts w:cs="Arial"/>
        </w:rPr>
        <w:t>More specifically the different phases of the ETS cover different sectors:</w:t>
      </w:r>
    </w:p>
    <w:p w14:paraId="1435FC95" w14:textId="77777777" w:rsidR="005664B6" w:rsidRPr="00DB35D4" w:rsidRDefault="005664B6" w:rsidP="005664B6">
      <w:pPr>
        <w:rPr>
          <w:rFonts w:cs="Arial"/>
        </w:rPr>
      </w:pPr>
      <w:r w:rsidRPr="00DB35D4">
        <w:rPr>
          <w:rStyle w:val="Strong"/>
          <w:rFonts w:cs="Arial"/>
        </w:rPr>
        <w:t>PHASE 1 (2005-2007):</w:t>
      </w:r>
      <w:r w:rsidRPr="00DB35D4">
        <w:rPr>
          <w:rFonts w:cs="Arial"/>
        </w:rPr>
        <w:t xml:space="preserve"> Power stations and other combustion installations with &gt;20MW thermal rated input (except hazardous or municipal waste installations), industry (various thresholds) including oil refineries, coke ovens, </w:t>
      </w:r>
      <w:proofErr w:type="gramStart"/>
      <w:r w:rsidRPr="00DB35D4">
        <w:rPr>
          <w:rFonts w:cs="Arial"/>
        </w:rPr>
        <w:t>iron</w:t>
      </w:r>
      <w:proofErr w:type="gramEnd"/>
      <w:r w:rsidRPr="00DB35D4">
        <w:rPr>
          <w:rFonts w:cs="Arial"/>
        </w:rPr>
        <w:t xml:space="preserve"> and steel plants, as well as production of cement, glass, lime, bricks, ceramics, pulp, paper, and board.</w:t>
      </w:r>
    </w:p>
    <w:p w14:paraId="7627927A" w14:textId="77777777" w:rsidR="005664B6" w:rsidRPr="00DB35D4" w:rsidRDefault="005664B6" w:rsidP="005664B6">
      <w:pPr>
        <w:rPr>
          <w:rFonts w:cs="Arial"/>
        </w:rPr>
      </w:pPr>
      <w:r w:rsidRPr="00DB35D4">
        <w:rPr>
          <w:rStyle w:val="Strong"/>
          <w:rFonts w:cs="Arial"/>
        </w:rPr>
        <w:t>PHASE 2 (2008-2012):</w:t>
      </w:r>
      <w:r w:rsidRPr="00DB35D4">
        <w:rPr>
          <w:rFonts w:cs="Arial"/>
        </w:rPr>
        <w:t xml:space="preserve"> Aviation was introduced in 2012 (&gt;10,000 tCO2/year for commercial aviation; &gt;1,000 tCO2/year for non-commercial aviation since 2013) (see </w:t>
      </w:r>
      <w:r w:rsidRPr="00DB35D4">
        <w:rPr>
          <w:rFonts w:cs="Arial"/>
        </w:rPr>
        <w:lastRenderedPageBreak/>
        <w:t>below). Nitrous oxide emissions from the production of nitric acid were included by several countries. The EU ETS also expanded to include Iceland, Liechtenstein, and Norway.</w:t>
      </w:r>
    </w:p>
    <w:p w14:paraId="672B54EB" w14:textId="77777777" w:rsidR="005664B6" w:rsidRPr="00DB35D4" w:rsidRDefault="005664B6" w:rsidP="005664B6">
      <w:pPr>
        <w:rPr>
          <w:rFonts w:cs="Arial"/>
        </w:rPr>
      </w:pPr>
      <w:r w:rsidRPr="00DB35D4">
        <w:rPr>
          <w:rStyle w:val="Strong"/>
          <w:rFonts w:cs="Arial"/>
        </w:rPr>
        <w:t>PHASE 3 (2013-2020):</w:t>
      </w:r>
      <w:r w:rsidRPr="00DB35D4">
        <w:rPr>
          <w:rFonts w:cs="Arial"/>
        </w:rPr>
        <w:t xml:space="preserve"> Carbon Capture and Storage installations, production of petrochemicals, ammonia, nonferrous and ferrous metals, gypsum, aluminum, as well as nitric, adipic, and glyoxylic acid (various thresholds) were introduced. </w:t>
      </w:r>
    </w:p>
    <w:p w14:paraId="0465AC4B" w14:textId="77777777" w:rsidR="005664B6" w:rsidRPr="00DB35D4" w:rsidRDefault="005664B6" w:rsidP="005664B6">
      <w:pPr>
        <w:rPr>
          <w:rFonts w:cs="Arial"/>
        </w:rPr>
      </w:pPr>
      <w:r w:rsidRPr="00DB35D4">
        <w:rPr>
          <w:rStyle w:val="Strong"/>
          <w:rFonts w:cs="Arial"/>
        </w:rPr>
        <w:t xml:space="preserve">PHASE 4 (2021-2030): </w:t>
      </w:r>
      <w:r w:rsidRPr="00DB35D4">
        <w:rPr>
          <w:rFonts w:cs="Arial"/>
        </w:rPr>
        <w:t xml:space="preserve">Based on the current legislation, no changes to the scope have been agreed on for Phase 4. Changes are being considered as part of the review of the ETS foreseen under the 2030 Climate Target Plan. </w:t>
      </w:r>
    </w:p>
    <w:p w14:paraId="4B8F6275" w14:textId="77777777" w:rsidR="005664B6" w:rsidRPr="00DB35D4" w:rsidRDefault="005664B6" w:rsidP="005664B6">
      <w:pPr>
        <w:rPr>
          <w:rFonts w:cs="Arial"/>
        </w:rPr>
      </w:pPr>
      <w:r w:rsidRPr="00DB35D4">
        <w:rPr>
          <w:rStyle w:val="Strong"/>
          <w:rFonts w:cs="Arial"/>
        </w:rPr>
        <w:t xml:space="preserve">Moreover, for the International Aviation sector, </w:t>
      </w:r>
      <w:r w:rsidRPr="00DB35D4">
        <w:rPr>
          <w:rFonts w:cs="Arial"/>
        </w:rPr>
        <w:t xml:space="preserve">emissions were included in the EU ETS in 2012. In November 2012, the EU </w:t>
      </w:r>
      <w:proofErr w:type="gramStart"/>
      <w:r w:rsidRPr="00DB35D4">
        <w:rPr>
          <w:rFonts w:cs="Arial"/>
        </w:rPr>
        <w:t>temporarily suspended</w:t>
      </w:r>
      <w:proofErr w:type="gramEnd"/>
      <w:r w:rsidRPr="00DB35D4">
        <w:rPr>
          <w:rFonts w:cs="Arial"/>
        </w:rPr>
        <w:t xml:space="preserve"> enforcement of the EU ETS requirements for flights operating from or to non-EEA countries (“stop the clock”) while continuing to apply the legislation to flights within and between countries in the EEA. Exemptions for operators with low emissions have also been introduced. </w:t>
      </w:r>
    </w:p>
    <w:p w14:paraId="56C0F898" w14:textId="77777777" w:rsidR="005664B6" w:rsidRPr="00DB35D4" w:rsidRDefault="005664B6" w:rsidP="005664B6">
      <w:pPr>
        <w:rPr>
          <w:rFonts w:cs="Arial"/>
        </w:rPr>
      </w:pPr>
      <w:r w:rsidRPr="00DB35D4">
        <w:rPr>
          <w:rFonts w:cs="Arial"/>
        </w:rPr>
        <w:t xml:space="preserve">Considering the progress made under the International Civil Aviation Organization (ICAO) towards a global measure to reduce emissions from the aviation sector (the Carbon Offsetting and Reduction Scheme - </w:t>
      </w:r>
      <w:r w:rsidRPr="00DB35D4">
        <w:rPr>
          <w:rFonts w:cs="Arial"/>
          <w:b/>
        </w:rPr>
        <w:t>CORSIA</w:t>
      </w:r>
      <w:r w:rsidRPr="00DB35D4">
        <w:rPr>
          <w:rFonts w:cs="Arial"/>
        </w:rPr>
        <w:t>), the EU will maintain the intra-EEA scope for the ETS Aviation until 31 December 2023. A further review and assessment will be carried out once there is clarity surrounding the content and nature of CORSIA, as well as the extent of participation by Europe’s international partners.</w:t>
      </w:r>
    </w:p>
    <w:p w14:paraId="440DD41B" w14:textId="77777777" w:rsidR="005664B6" w:rsidRPr="00DB35D4" w:rsidRDefault="005664B6" w:rsidP="005664B6">
      <w:pPr>
        <w:rPr>
          <w:rFonts w:cs="Arial"/>
        </w:rPr>
      </w:pPr>
      <w:r w:rsidRPr="00DB35D4">
        <w:rPr>
          <w:rFonts w:cs="Arial"/>
        </w:rPr>
        <w:t xml:space="preserve">More than 11,000 </w:t>
      </w:r>
      <w:r w:rsidRPr="00DB35D4">
        <w:rPr>
          <w:rFonts w:cs="Arial"/>
          <w:i/>
        </w:rPr>
        <w:t>liable entities</w:t>
      </w:r>
      <w:r w:rsidRPr="00DB35D4">
        <w:rPr>
          <w:rFonts w:cs="Arial"/>
        </w:rPr>
        <w:t xml:space="preserve"> are participating in EU ETS e.g., power plants and manufacturing installations. Aircraft operators are covered for all flights. However, a temporary exemption applies to flights between the EEA and a third country.</w:t>
      </w:r>
    </w:p>
    <w:p w14:paraId="618EF76F" w14:textId="77777777" w:rsidR="005664B6" w:rsidRPr="00DB35D4" w:rsidRDefault="005664B6" w:rsidP="005664B6">
      <w:pPr>
        <w:rPr>
          <w:rFonts w:cs="Arial"/>
        </w:rPr>
      </w:pPr>
      <w:r w:rsidRPr="00DB35D4">
        <w:rPr>
          <w:rFonts w:cs="Arial"/>
        </w:rPr>
        <w:t xml:space="preserve">During the different phases of its operation, </w:t>
      </w:r>
      <w:r w:rsidRPr="00DB35D4">
        <w:rPr>
          <w:rFonts w:cs="Arial"/>
          <w:i/>
        </w:rPr>
        <w:t>Cap</w:t>
      </w:r>
      <w:r w:rsidRPr="00DB35D4">
        <w:rPr>
          <w:rFonts w:cs="Arial"/>
        </w:rPr>
        <w:t xml:space="preserve"> emissions has been set to the following values:</w:t>
      </w:r>
    </w:p>
    <w:p w14:paraId="44B73F2E" w14:textId="77777777" w:rsidR="005664B6" w:rsidRPr="00DB35D4" w:rsidRDefault="005664B6" w:rsidP="005664B6">
      <w:pPr>
        <w:rPr>
          <w:rFonts w:cs="Arial"/>
        </w:rPr>
      </w:pPr>
      <w:r w:rsidRPr="00DB35D4">
        <w:rPr>
          <w:rStyle w:val="Strong"/>
          <w:rFonts w:cs="Arial"/>
        </w:rPr>
        <w:t xml:space="preserve">PHASE 1 (2005-2008) and PHASE 2 (2009-2012): </w:t>
      </w:r>
      <w:r w:rsidRPr="00DB35D4">
        <w:rPr>
          <w:rFonts w:cs="Arial"/>
        </w:rPr>
        <w:t>Decentralized cap-setting – the EU cap resulted from the aggregation of the National Allocation Plans of each Member State. Phase 1 started with a cap of 2,096 MtCO2e in 2005, phase 2 with a cap of 2,049 MtCO2e in 2009.</w:t>
      </w:r>
    </w:p>
    <w:p w14:paraId="44FFAA18" w14:textId="77777777" w:rsidR="005664B6" w:rsidRPr="00DB35D4" w:rsidRDefault="005664B6" w:rsidP="005664B6">
      <w:pPr>
        <w:rPr>
          <w:rFonts w:cs="Arial"/>
        </w:rPr>
      </w:pPr>
      <w:r w:rsidRPr="00DB35D4">
        <w:rPr>
          <w:rStyle w:val="Strong"/>
          <w:rFonts w:cs="Arial"/>
        </w:rPr>
        <w:t>PHASE 3 (2013-2020):</w:t>
      </w:r>
      <w:r w:rsidRPr="00DB35D4">
        <w:rPr>
          <w:rFonts w:cs="Arial"/>
        </w:rPr>
        <w:t xml:space="preserve"> Single EU-wide cap for stationary sources: 2,084 MtCO2e in 2013, which is annually reduced by a constant linear reduction factor (currently 1.74% or ~38.3 million allowances). This amounts to 1,855 MtCO2e in 2019. </w:t>
      </w:r>
    </w:p>
    <w:p w14:paraId="1F2D2127" w14:textId="77777777" w:rsidR="005664B6" w:rsidRPr="00DB35D4" w:rsidRDefault="005664B6" w:rsidP="005664B6">
      <w:pPr>
        <w:rPr>
          <w:rFonts w:cs="Arial"/>
        </w:rPr>
      </w:pPr>
      <w:r w:rsidRPr="00DB35D4">
        <w:rPr>
          <w:rStyle w:val="Strong"/>
          <w:rFonts w:cs="Arial"/>
        </w:rPr>
        <w:lastRenderedPageBreak/>
        <w:t>Aviation Sector Cap:</w:t>
      </w:r>
      <w:r w:rsidRPr="00DB35D4">
        <w:rPr>
          <w:rFonts w:cs="Arial"/>
        </w:rPr>
        <w:t xml:space="preserve"> Emissions for intra-EEA aviation in 2021 are capped at 38 million allowances and will decrease each year by the linear reduction factor of 2.2%. The aviation sector cap was set in 2012 at 210 MtCO2e/year. This cap was meant to reflect the initial inclusion of all flights from, to, and within the EEA in the EU ETS. However, following the “stop the clock” temporary suspension until the end of 2016, the number of aviation allowances put into circulation in 2013-2016 was reduced to 38 million allowances annually and set considerably below verified intra-EEA aviation emissions. In 2017, the intra-EEA scope for aviation was prolonged until 2023. The adjusted annual aviation cap applies up to 2021 and decreases thereafter.</w:t>
      </w:r>
    </w:p>
    <w:p w14:paraId="215DA51E" w14:textId="77777777" w:rsidR="005664B6" w:rsidRPr="00DB35D4" w:rsidRDefault="005664B6" w:rsidP="005664B6">
      <w:pPr>
        <w:rPr>
          <w:rFonts w:cs="Arial"/>
        </w:rPr>
      </w:pPr>
      <w:r w:rsidRPr="00DB35D4">
        <w:rPr>
          <w:rStyle w:val="Strong"/>
          <w:rFonts w:cs="Arial"/>
        </w:rPr>
        <w:t>PHASE 4 (2021-2030):</w:t>
      </w:r>
      <w:r w:rsidRPr="00DB35D4">
        <w:rPr>
          <w:rFonts w:cs="Arial"/>
        </w:rPr>
        <w:t xml:space="preserve"> A single EU-wide cap for stationary installations set for 2021 at 1,572 MtCO2e. A linear cap reduction factor of 2.2% (of 2008-2012 baseline emissions) applies to both stationary sources and the aviation sector each year. This translates into a year-on-year reduction of the cap by 43 million allowances. The linear reduction factor does not have a sunset clause and the cap will continue to decline beyond 2030. Starting 2021, emissions from UK entities previously covered by the EU ETS are no longer considered in the cap.</w:t>
      </w:r>
      <w:r w:rsidRPr="00DB35D4">
        <w:rPr>
          <w:rFonts w:cs="Arial"/>
          <w:noProof/>
          <w:lang w:eastAsia="es-ES"/>
        </w:rPr>
        <w:t xml:space="preserve"> </w:t>
      </w:r>
      <w:r w:rsidRPr="00DB35D4">
        <w:rPr>
          <w:rFonts w:cs="Arial"/>
          <w:noProof/>
          <w:lang w:val="es-ES" w:eastAsia="es-ES"/>
        </w:rPr>
        <w:drawing>
          <wp:inline distT="0" distB="0" distL="0" distR="0" wp14:anchorId="7B0B5959" wp14:editId="7D6FB4D2">
            <wp:extent cx="5274310" cy="1022985"/>
            <wp:effectExtent l="0" t="0" r="2540" b="5715"/>
            <wp:docPr id="36" name="Εικόνα 4" descr="Εικόνα που περιέχει κείμενο&#10;&#10;Περιγραφή που δημιουργήθηκε αυτόματα">
              <a:extLst xmlns:a="http://schemas.openxmlformats.org/drawingml/2006/main">
                <a:ext uri="{FF2B5EF4-FFF2-40B4-BE49-F238E27FC236}">
                  <a16:creationId xmlns:a16="http://schemas.microsoft.com/office/drawing/2014/main" id="{6AC81D64-12AD-4489-BB5A-51852B3A0E5C}"/>
                </a:ext>
              </a:extLst>
            </wp:docPr>
            <wp:cNvGraphicFramePr/>
            <a:graphic xmlns:a="http://schemas.openxmlformats.org/drawingml/2006/main">
              <a:graphicData uri="http://schemas.openxmlformats.org/drawingml/2006/picture">
                <pic:pic xmlns:pic="http://schemas.openxmlformats.org/drawingml/2006/picture">
                  <pic:nvPicPr>
                    <pic:cNvPr id="326" name="Εικόνα 4" descr="Εικόνα που περιέχει κείμενο&#10;&#10;Περιγραφή που δημιουργήθηκε αυτόματα">
                      <a:extLst>
                        <a:ext uri="{FF2B5EF4-FFF2-40B4-BE49-F238E27FC236}">
                          <a16:creationId xmlns:a16="http://schemas.microsoft.com/office/drawing/2014/main" id="{6AC81D64-12AD-4489-BB5A-51852B3A0E5C}"/>
                        </a:ext>
                      </a:extLst>
                    </pic:cNvPr>
                    <pic:cNvPicPr/>
                  </pic:nvPicPr>
                  <pic:blipFill rotWithShape="1">
                    <a:blip r:embed="rId77"/>
                    <a:srcRect l="22084" t="68783" r="17773" b="20680"/>
                    <a:stretch/>
                  </pic:blipFill>
                  <pic:spPr bwMode="auto">
                    <a:xfrm>
                      <a:off x="0" y="0"/>
                      <a:ext cx="5274310" cy="1022985"/>
                    </a:xfrm>
                    <a:prstGeom prst="rect">
                      <a:avLst/>
                    </a:prstGeom>
                    <a:ln>
                      <a:noFill/>
                    </a:ln>
                    <a:extLst>
                      <a:ext uri="{53640926-AAD7-44D8-BBD7-CCE9431645EC}">
                        <a14:shadowObscured xmlns:a14="http://schemas.microsoft.com/office/drawing/2010/main"/>
                      </a:ext>
                    </a:extLst>
                  </pic:spPr>
                </pic:pic>
              </a:graphicData>
            </a:graphic>
          </wp:inline>
        </w:drawing>
      </w:r>
    </w:p>
    <w:p w14:paraId="5107DBE0" w14:textId="553AEE42" w:rsidR="005664B6" w:rsidRPr="00D84451" w:rsidRDefault="005664B6" w:rsidP="00D84451">
      <w:pPr>
        <w:jc w:val="center"/>
        <w:rPr>
          <w:rFonts w:eastAsia="Calibri" w:cs="Arial"/>
          <w:b/>
          <w:bCs/>
          <w:color w:val="212745" w:themeColor="text2"/>
          <w:sz w:val="20"/>
          <w:szCs w:val="20"/>
          <w:lang w:val="en-GB"/>
        </w:rPr>
      </w:pPr>
      <w:bookmarkStart w:id="240" w:name="_Toc90888746"/>
      <w:bookmarkStart w:id="241" w:name="_Toc90893520"/>
      <w:bookmarkStart w:id="242" w:name="_Toc91752526"/>
      <w:r w:rsidRPr="00D84451">
        <w:rPr>
          <w:rFonts w:eastAsia="Calibri" w:cs="Arial"/>
          <w:b/>
          <w:bCs/>
          <w:color w:val="212745" w:themeColor="text2"/>
          <w:sz w:val="20"/>
          <w:szCs w:val="20"/>
          <w:lang w:val="en-GB"/>
        </w:rPr>
        <w:t xml:space="preserve">Figure </w:t>
      </w:r>
      <w:r w:rsidRPr="00D84451">
        <w:rPr>
          <w:rFonts w:eastAsia="Calibri" w:cs="Arial"/>
          <w:b/>
          <w:bCs/>
          <w:color w:val="212745" w:themeColor="text2"/>
          <w:sz w:val="20"/>
          <w:szCs w:val="20"/>
          <w:lang w:val="en-GB"/>
        </w:rPr>
        <w:fldChar w:fldCharType="begin"/>
      </w:r>
      <w:r w:rsidRPr="00D84451">
        <w:rPr>
          <w:rFonts w:eastAsia="Calibri" w:cs="Arial"/>
          <w:b/>
          <w:bCs/>
          <w:color w:val="212745" w:themeColor="text2"/>
          <w:sz w:val="20"/>
          <w:szCs w:val="20"/>
          <w:lang w:val="en-GB"/>
        </w:rPr>
        <w:instrText xml:space="preserve"> SEQ Figure \* ARABIC </w:instrText>
      </w:r>
      <w:r w:rsidRPr="00D84451">
        <w:rPr>
          <w:rFonts w:eastAsia="Calibri" w:cs="Arial"/>
          <w:b/>
          <w:bCs/>
          <w:color w:val="212745" w:themeColor="text2"/>
          <w:sz w:val="20"/>
          <w:szCs w:val="20"/>
          <w:lang w:val="en-GB"/>
        </w:rPr>
        <w:fldChar w:fldCharType="separate"/>
      </w:r>
      <w:r w:rsidR="0073710A">
        <w:rPr>
          <w:rFonts w:eastAsia="Calibri" w:cs="Arial"/>
          <w:b/>
          <w:bCs/>
          <w:noProof/>
          <w:color w:val="212745" w:themeColor="text2"/>
          <w:sz w:val="20"/>
          <w:szCs w:val="20"/>
          <w:lang w:val="en-GB"/>
        </w:rPr>
        <w:t>42</w:t>
      </w:r>
      <w:r w:rsidRPr="00D84451">
        <w:rPr>
          <w:rFonts w:eastAsia="Calibri" w:cs="Arial"/>
          <w:b/>
          <w:bCs/>
          <w:color w:val="212745" w:themeColor="text2"/>
          <w:sz w:val="20"/>
          <w:szCs w:val="20"/>
          <w:lang w:val="en-GB"/>
        </w:rPr>
        <w:fldChar w:fldCharType="end"/>
      </w:r>
      <w:r w:rsidRPr="00D84451">
        <w:rPr>
          <w:rFonts w:eastAsia="Calibri" w:cs="Arial"/>
          <w:b/>
          <w:bCs/>
          <w:color w:val="212745" w:themeColor="text2"/>
          <w:sz w:val="20"/>
          <w:szCs w:val="20"/>
          <w:lang w:val="en-GB"/>
        </w:rPr>
        <w:t xml:space="preserve"> EU ETS trading periods. Source: https://ec.europa.eu/clima/sites/clima/files/docs/ets_handbook_en.pdf</w:t>
      </w:r>
      <w:bookmarkEnd w:id="240"/>
      <w:bookmarkEnd w:id="241"/>
      <w:bookmarkEnd w:id="242"/>
    </w:p>
    <w:p w14:paraId="358AF0A0" w14:textId="77777777" w:rsidR="005664B6" w:rsidRPr="00DB35D4" w:rsidRDefault="005664B6" w:rsidP="005664B6">
      <w:pPr>
        <w:rPr>
          <w:rFonts w:cs="Arial"/>
        </w:rPr>
      </w:pPr>
      <w:r w:rsidRPr="00DB35D4">
        <w:rPr>
          <w:rFonts w:cs="Arial"/>
        </w:rPr>
        <w:t xml:space="preserve">The </w:t>
      </w:r>
      <w:r w:rsidRPr="00DB35D4">
        <w:rPr>
          <w:rFonts w:cs="Arial"/>
          <w:i/>
        </w:rPr>
        <w:t>allocation</w:t>
      </w:r>
      <w:r w:rsidRPr="00DB35D4">
        <w:rPr>
          <w:rFonts w:cs="Arial"/>
        </w:rPr>
        <w:t xml:space="preserve"> of AAUs is also given in different ways during the operational phases.</w:t>
      </w:r>
    </w:p>
    <w:p w14:paraId="2E3DF235" w14:textId="77777777" w:rsidR="005664B6" w:rsidRPr="00DB35D4" w:rsidRDefault="005664B6" w:rsidP="005664B6">
      <w:pPr>
        <w:rPr>
          <w:rFonts w:cs="Arial"/>
        </w:rPr>
      </w:pPr>
      <w:r w:rsidRPr="00DB35D4">
        <w:rPr>
          <w:rStyle w:val="Strong"/>
          <w:rFonts w:cs="Arial"/>
        </w:rPr>
        <w:t>PHASE 1 (2005-2007):</w:t>
      </w:r>
      <w:r w:rsidRPr="00DB35D4">
        <w:rPr>
          <w:rFonts w:cs="Arial"/>
        </w:rPr>
        <w:t xml:space="preserve"> Allocation established through the Member State National Allocation Plans. Nearly 100% free allocation through grandfathering. Some Member States used auctioning and some used benchmarking.</w:t>
      </w:r>
    </w:p>
    <w:p w14:paraId="1981AB0E" w14:textId="77777777" w:rsidR="005664B6" w:rsidRPr="00DB35D4" w:rsidRDefault="005664B6" w:rsidP="005664B6">
      <w:pPr>
        <w:rPr>
          <w:rFonts w:cs="Arial"/>
        </w:rPr>
      </w:pPr>
      <w:r w:rsidRPr="00DB35D4">
        <w:rPr>
          <w:rStyle w:val="Strong"/>
          <w:rFonts w:cs="Arial"/>
        </w:rPr>
        <w:t>PHASE 2 (2008-2012):</w:t>
      </w:r>
      <w:r w:rsidRPr="00DB35D4">
        <w:rPr>
          <w:rFonts w:cs="Arial"/>
        </w:rPr>
        <w:t xml:space="preserve"> </w:t>
      </w:r>
      <w:proofErr w:type="gramStart"/>
      <w:r w:rsidRPr="00DB35D4">
        <w:rPr>
          <w:rFonts w:cs="Arial"/>
        </w:rPr>
        <w:t>Similar to</w:t>
      </w:r>
      <w:proofErr w:type="gramEnd"/>
      <w:r w:rsidRPr="00DB35D4">
        <w:rPr>
          <w:rFonts w:cs="Arial"/>
        </w:rPr>
        <w:t xml:space="preserve"> Phase 1 with ~90% of allowances allocated for free. Some benchmarking for free allocation and some auctioning in eight Member States (Germany, United Kingdom, The Netherlands, Austria, Ireland, Hungary, Czech Republic, and Lithuania), constituting ~3% of total allowances.</w:t>
      </w:r>
    </w:p>
    <w:p w14:paraId="1E8BFCB9" w14:textId="77777777" w:rsidR="005664B6" w:rsidRPr="00DB35D4" w:rsidRDefault="005664B6" w:rsidP="005664B6">
      <w:pPr>
        <w:rPr>
          <w:rFonts w:cs="Arial"/>
        </w:rPr>
      </w:pPr>
      <w:r w:rsidRPr="00DB35D4">
        <w:rPr>
          <w:rStyle w:val="Strong"/>
          <w:rFonts w:cs="Arial"/>
        </w:rPr>
        <w:t>PHASE 3 (2013-2020):</w:t>
      </w:r>
      <w:r w:rsidRPr="00DB35D4">
        <w:rPr>
          <w:rFonts w:cs="Arial"/>
        </w:rPr>
        <w:t xml:space="preserve"> Over the entire trading period, 57% of allowances will be auctioned, while the remaining allowances are available for free allocation. </w:t>
      </w:r>
    </w:p>
    <w:p w14:paraId="7B6B075E" w14:textId="77777777" w:rsidR="005664B6" w:rsidRPr="00DB35D4" w:rsidRDefault="005664B6" w:rsidP="005664B6">
      <w:pPr>
        <w:rPr>
          <w:rFonts w:cs="Arial"/>
        </w:rPr>
      </w:pPr>
      <w:r w:rsidRPr="00DB35D4">
        <w:rPr>
          <w:rStyle w:val="Strong"/>
          <w:rFonts w:cs="Arial"/>
        </w:rPr>
        <w:lastRenderedPageBreak/>
        <w:t>Electricity Sector:</w:t>
      </w:r>
      <w:r w:rsidRPr="00DB35D4">
        <w:rPr>
          <w:rFonts w:cs="Arial"/>
        </w:rPr>
        <w:t xml:space="preserve"> 100% auctioning with optional derogation for the modernization of the electricity sector in certain Member States. Those Member States whose GDP per capita was below 60% of the EU average in 2013 may continue to make use of this optional free allocation in phase 4. </w:t>
      </w:r>
    </w:p>
    <w:p w14:paraId="540689E6" w14:textId="77777777" w:rsidR="005664B6" w:rsidRPr="00DB35D4" w:rsidRDefault="005664B6" w:rsidP="005664B6">
      <w:pPr>
        <w:rPr>
          <w:rFonts w:cs="Arial"/>
        </w:rPr>
      </w:pPr>
      <w:r w:rsidRPr="00DB35D4">
        <w:rPr>
          <w:rStyle w:val="Strong"/>
          <w:rFonts w:cs="Arial"/>
        </w:rPr>
        <w:t>Manufacturing Sector:</w:t>
      </w:r>
      <w:r w:rsidRPr="00DB35D4">
        <w:rPr>
          <w:rFonts w:cs="Arial"/>
        </w:rPr>
        <w:t xml:space="preserve"> Free allocation is based on product-based benchmarks. Benchmarks are based on activity levels in 2007-2008 and are set at the average of the 10% most efficient installations in the (sub)sector.</w:t>
      </w:r>
    </w:p>
    <w:p w14:paraId="19E51400" w14:textId="77777777" w:rsidR="005664B6" w:rsidRPr="00DB35D4" w:rsidRDefault="005664B6" w:rsidP="005664B6">
      <w:pPr>
        <w:rPr>
          <w:rFonts w:cs="Arial"/>
        </w:rPr>
      </w:pPr>
      <w:r w:rsidRPr="00DB35D4">
        <w:rPr>
          <w:rFonts w:cs="Arial"/>
        </w:rPr>
        <w:t xml:space="preserve">Subsectors deemed at risk of carbon leakage receive free allocation at 100% of the predetermined benchmarks. Subsectors deemed not at risk of carbon leakage have free allocation phased out gradually from 80% of the benchmarks in 2013 to 30% by 2020. </w:t>
      </w:r>
      <w:proofErr w:type="gramStart"/>
      <w:r w:rsidRPr="00DB35D4">
        <w:rPr>
          <w:rFonts w:cs="Arial"/>
        </w:rPr>
        <w:t>In the event that</w:t>
      </w:r>
      <w:proofErr w:type="gramEnd"/>
      <w:r w:rsidRPr="00DB35D4">
        <w:rPr>
          <w:rFonts w:cs="Arial"/>
        </w:rPr>
        <w:t xml:space="preserve"> free allocation exceeds the amount reserved for free allocation, a cross-sectoral correction factor is applied. </w:t>
      </w:r>
    </w:p>
    <w:p w14:paraId="043CF681" w14:textId="77777777" w:rsidR="005664B6" w:rsidRPr="00DB35D4" w:rsidRDefault="005664B6" w:rsidP="005664B6">
      <w:pPr>
        <w:rPr>
          <w:rFonts w:cs="Arial"/>
        </w:rPr>
      </w:pPr>
      <w:r w:rsidRPr="00DB35D4">
        <w:rPr>
          <w:rFonts w:cs="Arial"/>
        </w:rPr>
        <w:t xml:space="preserve">Carbon leakage risk is assessed against criteria of emissions intensity and trade exposure. </w:t>
      </w:r>
    </w:p>
    <w:p w14:paraId="31C976AD" w14:textId="77777777" w:rsidR="005664B6" w:rsidRPr="00DB35D4" w:rsidRDefault="005664B6" w:rsidP="005664B6">
      <w:pPr>
        <w:rPr>
          <w:rFonts w:cs="Arial"/>
        </w:rPr>
      </w:pPr>
      <w:r w:rsidRPr="00DB35D4">
        <w:rPr>
          <w:rStyle w:val="Strong"/>
          <w:rFonts w:cs="Arial"/>
        </w:rPr>
        <w:t>Aviation Sector:</w:t>
      </w:r>
      <w:r w:rsidRPr="00DB35D4">
        <w:rPr>
          <w:rFonts w:cs="Arial"/>
        </w:rPr>
        <w:t xml:space="preserve"> In 2012, 85% of allowances were allocated for free, based on benchmarks. In phase 3, 15% of allowances are auctioned and 82% allocated for free, based on benchmarks. The remaining 3% constitute a special reserve for new entrants and fast-growing airlines. </w:t>
      </w:r>
      <w:proofErr w:type="gramStart"/>
      <w:r w:rsidRPr="00DB35D4">
        <w:rPr>
          <w:rFonts w:cs="Arial"/>
        </w:rPr>
        <w:t>As a consequence of</w:t>
      </w:r>
      <w:proofErr w:type="gramEnd"/>
      <w:r w:rsidRPr="00DB35D4">
        <w:rPr>
          <w:rFonts w:cs="Arial"/>
        </w:rPr>
        <w:t xml:space="preserve"> the temporary derogation applying to flights with third countries, the allocation is adjusted to the intra-EEA scope.</w:t>
      </w:r>
    </w:p>
    <w:p w14:paraId="18DA8D16" w14:textId="77777777" w:rsidR="005664B6" w:rsidRPr="00DB35D4" w:rsidRDefault="005664B6" w:rsidP="005664B6">
      <w:pPr>
        <w:rPr>
          <w:rFonts w:cs="Arial"/>
        </w:rPr>
      </w:pPr>
      <w:r w:rsidRPr="00DB35D4">
        <w:rPr>
          <w:rStyle w:val="Strong"/>
          <w:rFonts w:cs="Arial"/>
        </w:rPr>
        <w:t>Backloading:</w:t>
      </w:r>
      <w:r w:rsidRPr="00DB35D4">
        <w:rPr>
          <w:rFonts w:cs="Arial"/>
        </w:rPr>
        <w:t xml:space="preserve"> Taken as a short-term measure to address a growing surplus in the EU ETS, it was agreed to postpone the auctioning of 900 million allowances from 2014-2016 to 2019-2020. Auction volumes were reduced by 400 million allowances in 2014, 300 million in 2015, and by 200 million in 2016. In line with the decision to create an MSR, the back-loaded allowances will be placed in the MSR.</w:t>
      </w:r>
    </w:p>
    <w:p w14:paraId="13634E5A" w14:textId="77777777" w:rsidR="005664B6" w:rsidRPr="00DB35D4" w:rsidRDefault="005664B6" w:rsidP="005664B6">
      <w:pPr>
        <w:rPr>
          <w:rFonts w:cs="Arial"/>
        </w:rPr>
      </w:pPr>
      <w:r w:rsidRPr="00DB35D4">
        <w:rPr>
          <w:rStyle w:val="Strong"/>
          <w:rFonts w:cs="Arial"/>
        </w:rPr>
        <w:t>New Entrants Reserve:</w:t>
      </w:r>
      <w:r w:rsidRPr="00DB35D4">
        <w:rPr>
          <w:rFonts w:cs="Arial"/>
        </w:rPr>
        <w:t xml:space="preserve"> 5% of the total allowances are set aside to assist new installations coming into the EU ETS or covered installations whose capacity has significantly increased since their free allocation was determined. </w:t>
      </w:r>
    </w:p>
    <w:p w14:paraId="63C17F80" w14:textId="77777777" w:rsidR="005664B6" w:rsidRPr="00DB35D4" w:rsidRDefault="005664B6" w:rsidP="005664B6">
      <w:pPr>
        <w:rPr>
          <w:rFonts w:cs="Arial"/>
        </w:rPr>
      </w:pPr>
      <w:r w:rsidRPr="00DB35D4">
        <w:rPr>
          <w:rStyle w:val="Strong"/>
          <w:rFonts w:cs="Arial"/>
        </w:rPr>
        <w:t>PHASE 4 (2021-2030):</w:t>
      </w:r>
      <w:r w:rsidRPr="00DB35D4">
        <w:rPr>
          <w:rFonts w:cs="Arial"/>
        </w:rPr>
        <w:t xml:space="preserve"> One of the central components of the phase 4 revision package is to ensure that the declining number of free allowances is distributed in the most effective and efficient way. To this end, in phase 4:</w:t>
      </w:r>
    </w:p>
    <w:p w14:paraId="1145432B" w14:textId="77777777" w:rsidR="005664B6" w:rsidRPr="00DB35D4" w:rsidRDefault="005664B6" w:rsidP="00A01330">
      <w:pPr>
        <w:pStyle w:val="ListParagraph"/>
        <w:numPr>
          <w:ilvl w:val="0"/>
          <w:numId w:val="23"/>
        </w:numPr>
        <w:spacing w:before="0" w:after="160"/>
        <w:rPr>
          <w:rFonts w:cs="Arial"/>
        </w:rPr>
      </w:pPr>
      <w:r w:rsidRPr="00DB35D4">
        <w:rPr>
          <w:rFonts w:cs="Arial"/>
        </w:rPr>
        <w:t xml:space="preserve">Benchmark values will be updated twice during the phase to reflect technological progress in the different sectors. </w:t>
      </w:r>
    </w:p>
    <w:p w14:paraId="292E9127" w14:textId="77777777" w:rsidR="005664B6" w:rsidRPr="00DB35D4" w:rsidRDefault="005664B6" w:rsidP="00A01330">
      <w:pPr>
        <w:pStyle w:val="ListParagraph"/>
        <w:numPr>
          <w:ilvl w:val="0"/>
          <w:numId w:val="23"/>
        </w:numPr>
        <w:spacing w:before="0" w:after="160"/>
        <w:rPr>
          <w:rFonts w:cs="Arial"/>
        </w:rPr>
      </w:pPr>
      <w:r w:rsidRPr="00DB35D4">
        <w:rPr>
          <w:rFonts w:cs="Arial"/>
        </w:rPr>
        <w:lastRenderedPageBreak/>
        <w:t xml:space="preserve">Free allocation may be updated annually to mirror sustained changes in production (if the change is more than 15% compared to the initial level, </w:t>
      </w:r>
      <w:proofErr w:type="gramStart"/>
      <w:r w:rsidRPr="00DB35D4">
        <w:rPr>
          <w:rFonts w:cs="Arial"/>
        </w:rPr>
        <w:t>on the basis of</w:t>
      </w:r>
      <w:proofErr w:type="gramEnd"/>
      <w:r w:rsidRPr="00DB35D4">
        <w:rPr>
          <w:rFonts w:cs="Arial"/>
        </w:rPr>
        <w:t xml:space="preserve"> a two-year rolling average). </w:t>
      </w:r>
    </w:p>
    <w:p w14:paraId="7A835869" w14:textId="77777777" w:rsidR="005664B6" w:rsidRPr="00DB35D4" w:rsidRDefault="005664B6" w:rsidP="00A01330">
      <w:pPr>
        <w:pStyle w:val="ListParagraph"/>
        <w:numPr>
          <w:ilvl w:val="0"/>
          <w:numId w:val="23"/>
        </w:numPr>
        <w:spacing w:before="0" w:after="160"/>
        <w:rPr>
          <w:rFonts w:cs="Arial"/>
        </w:rPr>
      </w:pPr>
      <w:r w:rsidRPr="00DB35D4">
        <w:rPr>
          <w:rFonts w:cs="Arial"/>
        </w:rPr>
        <w:t xml:space="preserve">Carbon leakage rules will be more robust, as the number of sectors classified at risk of carbon leakage will be reduced, and the free allocation for other sectors will be discontinued by 2030 (except district heating).  </w:t>
      </w:r>
    </w:p>
    <w:p w14:paraId="1BE3ACC8" w14:textId="77777777" w:rsidR="005664B6" w:rsidRPr="00DB35D4" w:rsidRDefault="005664B6" w:rsidP="00A01330">
      <w:pPr>
        <w:pStyle w:val="ListParagraph"/>
        <w:numPr>
          <w:ilvl w:val="0"/>
          <w:numId w:val="23"/>
        </w:numPr>
        <w:spacing w:before="0" w:after="160"/>
        <w:rPr>
          <w:rFonts w:cs="Arial"/>
        </w:rPr>
      </w:pPr>
      <w:r w:rsidRPr="00DB35D4">
        <w:rPr>
          <w:rFonts w:cs="Arial"/>
        </w:rPr>
        <w:t>Carbon leakage will be assessed against a composite indicator of trade intensity and emissions intensity.</w:t>
      </w:r>
    </w:p>
    <w:p w14:paraId="08683938" w14:textId="77777777" w:rsidR="005664B6" w:rsidRPr="00DB35D4" w:rsidRDefault="005664B6" w:rsidP="00A01330">
      <w:pPr>
        <w:pStyle w:val="ListParagraph"/>
        <w:numPr>
          <w:ilvl w:val="0"/>
          <w:numId w:val="23"/>
        </w:numPr>
        <w:spacing w:before="0" w:after="160"/>
        <w:rPr>
          <w:rFonts w:cs="Arial"/>
        </w:rPr>
      </w:pPr>
      <w:r w:rsidRPr="00DB35D4">
        <w:rPr>
          <w:rFonts w:cs="Arial"/>
        </w:rPr>
        <w:t>As an additional safeguard for industry, the agreement foresees a “free allocation buffer” of over 450 million allowances initially earmarked for auctioning, to be made available if the initial free allocation is fully absorbed (thereby avoiding or reducing a correction factor).</w:t>
      </w:r>
    </w:p>
    <w:p w14:paraId="2167D48A" w14:textId="77777777" w:rsidR="005664B6" w:rsidRPr="00DB35D4" w:rsidRDefault="005664B6" w:rsidP="005664B6">
      <w:pPr>
        <w:rPr>
          <w:rFonts w:cs="Arial"/>
          <w:i/>
        </w:rPr>
      </w:pPr>
      <w:r w:rsidRPr="00DB35D4">
        <w:rPr>
          <w:rFonts w:cs="Arial"/>
        </w:rPr>
        <w:t>In addition, two new multi-billion Euro funds will be established to help the industry and the power sectors meet the innovation and investment challenges of the transition to a low-carbon economy (for more, see Use of Revenue).</w:t>
      </w:r>
    </w:p>
    <w:p w14:paraId="275178A4" w14:textId="77777777" w:rsidR="005664B6" w:rsidRPr="00DB35D4" w:rsidRDefault="005664B6" w:rsidP="005664B6">
      <w:pPr>
        <w:rPr>
          <w:rFonts w:cs="Arial"/>
        </w:rPr>
      </w:pPr>
      <w:r w:rsidRPr="00DB35D4">
        <w:rPr>
          <w:rFonts w:cs="Arial"/>
          <w:b/>
        </w:rPr>
        <w:t>Unlimited banking</w:t>
      </w:r>
      <w:r w:rsidRPr="00DB35D4">
        <w:rPr>
          <w:rFonts w:cs="Arial"/>
        </w:rPr>
        <w:t xml:space="preserve"> has been allowed since 2008. </w:t>
      </w:r>
      <w:r w:rsidRPr="00DB35D4">
        <w:rPr>
          <w:rFonts w:cs="Arial"/>
          <w:b/>
        </w:rPr>
        <w:t>Borrowing</w:t>
      </w:r>
      <w:r w:rsidRPr="00DB35D4">
        <w:rPr>
          <w:rFonts w:cs="Arial"/>
        </w:rPr>
        <w:t xml:space="preserve"> of AAUs is not allowed.</w:t>
      </w:r>
    </w:p>
    <w:p w14:paraId="7B8E027E" w14:textId="77777777" w:rsidR="005664B6" w:rsidRPr="00DB35D4" w:rsidRDefault="005664B6" w:rsidP="005664B6">
      <w:pPr>
        <w:rPr>
          <w:rFonts w:cs="Arial"/>
          <w:i/>
        </w:rPr>
      </w:pPr>
      <w:r w:rsidRPr="00DB35D4">
        <w:rPr>
          <w:rFonts w:cs="Arial"/>
          <w:b/>
          <w:i/>
        </w:rPr>
        <w:t>Considering</w:t>
      </w:r>
      <w:r w:rsidRPr="00DB35D4">
        <w:rPr>
          <w:rFonts w:cs="Arial"/>
          <w:i/>
        </w:rPr>
        <w:t xml:space="preserve"> offsets and credits </w:t>
      </w:r>
      <w:r w:rsidRPr="00DB35D4">
        <w:rPr>
          <w:rFonts w:cs="Arial"/>
        </w:rPr>
        <w:t>the policy</w:t>
      </w:r>
      <w:r w:rsidRPr="00DB35D4">
        <w:rPr>
          <w:rFonts w:cs="Arial"/>
          <w:i/>
        </w:rPr>
        <w:t xml:space="preserve"> </w:t>
      </w:r>
      <w:r w:rsidRPr="00DB35D4">
        <w:rPr>
          <w:rFonts w:cs="Arial"/>
        </w:rPr>
        <w:t>was also different throughout the years of its operations:</w:t>
      </w:r>
    </w:p>
    <w:p w14:paraId="12029097" w14:textId="77777777" w:rsidR="005664B6" w:rsidRPr="00DB35D4" w:rsidRDefault="005664B6" w:rsidP="005664B6">
      <w:pPr>
        <w:rPr>
          <w:rFonts w:cs="Arial"/>
        </w:rPr>
      </w:pPr>
      <w:r w:rsidRPr="00DB35D4">
        <w:rPr>
          <w:rStyle w:val="Strong"/>
          <w:rFonts w:cs="Arial"/>
        </w:rPr>
        <w:t xml:space="preserve">PHASE 1 (2005-2007): </w:t>
      </w:r>
      <w:r w:rsidRPr="00DB35D4">
        <w:rPr>
          <w:rFonts w:cs="Arial"/>
        </w:rPr>
        <w:t>Unlimited use of Clean Development Mechanism (CDM) credits and Joint Implementation credits (JI) was provided for in the Directive. In practice, no credits were used in phase 1.</w:t>
      </w:r>
    </w:p>
    <w:p w14:paraId="0771AB3A" w14:textId="77777777" w:rsidR="005664B6" w:rsidRPr="00DB35D4" w:rsidRDefault="005664B6" w:rsidP="005664B6">
      <w:pPr>
        <w:rPr>
          <w:rFonts w:cs="Arial"/>
        </w:rPr>
      </w:pPr>
      <w:r w:rsidRPr="00DB35D4">
        <w:rPr>
          <w:rStyle w:val="Strong"/>
          <w:rFonts w:cs="Arial"/>
        </w:rPr>
        <w:t>PHASE 2 (2008-2012):</w:t>
      </w:r>
    </w:p>
    <w:p w14:paraId="2EC296A7" w14:textId="77777777" w:rsidR="005664B6" w:rsidRPr="00DB35D4" w:rsidRDefault="005664B6" w:rsidP="005664B6">
      <w:pPr>
        <w:rPr>
          <w:rFonts w:cs="Arial"/>
        </w:rPr>
      </w:pPr>
      <w:r w:rsidRPr="00DB35D4">
        <w:rPr>
          <w:rStyle w:val="Strong"/>
          <w:rFonts w:cs="Arial"/>
        </w:rPr>
        <w:t>Qualitative Limits:</w:t>
      </w:r>
      <w:r w:rsidRPr="00DB35D4">
        <w:rPr>
          <w:rFonts w:cs="Arial"/>
        </w:rPr>
        <w:t xml:space="preserve"> Most categories of CDM/JI credits were allowed, no credits from LULUCF and nuclear power sectors. Strict requirements for large hydro projects exceeding 20 MW.  </w:t>
      </w:r>
    </w:p>
    <w:p w14:paraId="7A1A628D" w14:textId="77777777" w:rsidR="005664B6" w:rsidRPr="00DB35D4" w:rsidRDefault="005664B6" w:rsidP="005664B6">
      <w:pPr>
        <w:rPr>
          <w:rFonts w:cs="Arial"/>
        </w:rPr>
      </w:pPr>
      <w:r w:rsidRPr="00DB35D4">
        <w:rPr>
          <w:rStyle w:val="Strong"/>
          <w:rFonts w:cs="Arial"/>
        </w:rPr>
        <w:t>Quantitative Limits:</w:t>
      </w:r>
      <w:r w:rsidRPr="00DB35D4">
        <w:rPr>
          <w:rFonts w:cs="Arial"/>
        </w:rPr>
        <w:t xml:space="preserve"> In phase 2 (2008-2012), operators were allowed to use JI and CDM credits up to a certain percentage limit determined in the respective country’s National Allocation Plans. Unused entitlements were transferred to phase 3 (2013-2020).</w:t>
      </w:r>
    </w:p>
    <w:p w14:paraId="6143ABEA" w14:textId="77777777" w:rsidR="005664B6" w:rsidRPr="00DB35D4" w:rsidRDefault="005664B6" w:rsidP="005664B6">
      <w:pPr>
        <w:rPr>
          <w:rFonts w:cs="Arial"/>
        </w:rPr>
      </w:pPr>
      <w:r w:rsidRPr="00DB35D4">
        <w:rPr>
          <w:rStyle w:val="Strong"/>
          <w:rFonts w:cs="Arial"/>
        </w:rPr>
        <w:t>PHASE 3 (2013-2020):</w:t>
      </w:r>
    </w:p>
    <w:p w14:paraId="7C271109" w14:textId="77777777" w:rsidR="005664B6" w:rsidRPr="00DB35D4" w:rsidRDefault="005664B6" w:rsidP="005664B6">
      <w:pPr>
        <w:rPr>
          <w:rFonts w:cs="Arial"/>
        </w:rPr>
      </w:pPr>
      <w:r w:rsidRPr="00DB35D4">
        <w:rPr>
          <w:rStyle w:val="Strong"/>
          <w:rFonts w:cs="Arial"/>
        </w:rPr>
        <w:t>Qualitative Limits:</w:t>
      </w:r>
      <w:r w:rsidRPr="00DB35D4">
        <w:rPr>
          <w:rFonts w:cs="Arial"/>
        </w:rPr>
        <w:t xml:space="preserve"> Newly generated (post-2012) international credits may only come from projects in Least Developed Countries. Credits from CDM and JI projects from other countries are eligible only if registered and implemented before 31 December 2012. </w:t>
      </w:r>
      <w:r w:rsidRPr="00DB35D4">
        <w:rPr>
          <w:rFonts w:cs="Arial"/>
        </w:rPr>
        <w:lastRenderedPageBreak/>
        <w:t>Projects from industrial gas credits (projects involving the destruction of HFC-23 and N2O) are excluded regardless of the host country. Credits issued for emission reductions that occurred in the first commitment period of the Kyoto Protocol were no longer accepted after 31 March 2015.</w:t>
      </w:r>
    </w:p>
    <w:p w14:paraId="01C58F18" w14:textId="77777777" w:rsidR="005664B6" w:rsidRPr="00DB35D4" w:rsidRDefault="005664B6" w:rsidP="005664B6">
      <w:pPr>
        <w:rPr>
          <w:rFonts w:cs="Arial"/>
        </w:rPr>
      </w:pPr>
      <w:r w:rsidRPr="00DB35D4">
        <w:rPr>
          <w:rStyle w:val="Strong"/>
          <w:rFonts w:cs="Arial"/>
        </w:rPr>
        <w:t>Quantitative Limits:</w:t>
      </w:r>
      <w:r w:rsidRPr="00DB35D4">
        <w:rPr>
          <w:rFonts w:cs="Arial"/>
        </w:rPr>
        <w:t xml:space="preserve"> The total use of credits for phase 2 and phase 3 may amount up to 50% of the overall reduction under the EU ETS in that period (~1.6 Gt CO2e). </w:t>
      </w:r>
      <w:r w:rsidRPr="00DB35D4">
        <w:rPr>
          <w:rFonts w:cs="Arial"/>
        </w:rPr>
        <w:br/>
      </w:r>
      <w:r w:rsidRPr="00DB35D4">
        <w:rPr>
          <w:rStyle w:val="Strong"/>
          <w:rFonts w:cs="Arial"/>
        </w:rPr>
        <w:t>PHASE 4 (2021-2030):</w:t>
      </w:r>
      <w:r w:rsidRPr="00DB35D4">
        <w:rPr>
          <w:rFonts w:cs="Arial"/>
        </w:rPr>
        <w:t xml:space="preserve"> </w:t>
      </w:r>
    </w:p>
    <w:p w14:paraId="130F32E9" w14:textId="77777777" w:rsidR="005664B6" w:rsidRPr="00DB35D4" w:rsidRDefault="005664B6" w:rsidP="005664B6">
      <w:pPr>
        <w:rPr>
          <w:rFonts w:cs="Arial"/>
        </w:rPr>
      </w:pPr>
      <w:r w:rsidRPr="00DB35D4">
        <w:rPr>
          <w:rFonts w:cs="Arial"/>
        </w:rPr>
        <w:t>The use of offsets is not envisaged.</w:t>
      </w:r>
    </w:p>
    <w:p w14:paraId="4920C80C" w14:textId="77777777" w:rsidR="005664B6" w:rsidRPr="00DB35D4" w:rsidRDefault="005664B6" w:rsidP="005664B6">
      <w:pPr>
        <w:rPr>
          <w:rFonts w:cs="Arial"/>
        </w:rPr>
      </w:pPr>
      <w:r w:rsidRPr="00DB35D4">
        <w:rPr>
          <w:rFonts w:cs="Arial"/>
        </w:rPr>
        <w:t xml:space="preserve">To provide Market Stability a mechanism is introduced in 2019. More specifically the </w:t>
      </w:r>
      <w:r w:rsidRPr="00DB35D4">
        <w:rPr>
          <w:rStyle w:val="Strong"/>
          <w:rFonts w:cs="Arial"/>
        </w:rPr>
        <w:t>Market Stability Reserve (MSR)</w:t>
      </w:r>
      <w:r w:rsidRPr="00DB35D4">
        <w:rPr>
          <w:rFonts w:cs="Arial"/>
        </w:rPr>
        <w:t xml:space="preserve"> started operating in January 2019. It aims to neutralize the negative impacts of the existing allowance surplus and to improve the system’s resilience to future shocks. </w:t>
      </w:r>
    </w:p>
    <w:p w14:paraId="09A75612" w14:textId="77777777" w:rsidR="005664B6" w:rsidRPr="00DB35D4" w:rsidRDefault="005664B6" w:rsidP="005664B6">
      <w:pPr>
        <w:rPr>
          <w:rFonts w:cs="Arial"/>
        </w:rPr>
      </w:pPr>
      <w:r w:rsidRPr="00DB35D4">
        <w:rPr>
          <w:rStyle w:val="Strong"/>
          <w:rFonts w:cs="Arial"/>
        </w:rPr>
        <w:t>Cancellations:</w:t>
      </w:r>
      <w:r w:rsidRPr="00DB35D4">
        <w:rPr>
          <w:rFonts w:cs="Arial"/>
        </w:rPr>
        <w:t xml:space="preserve"> As of phase 4, a Member State may also cancel allowances from their auction share </w:t>
      </w:r>
      <w:proofErr w:type="gramStart"/>
      <w:r w:rsidRPr="00DB35D4">
        <w:rPr>
          <w:rFonts w:cs="Arial"/>
        </w:rPr>
        <w:t>in the event that</w:t>
      </w:r>
      <w:proofErr w:type="gramEnd"/>
      <w:r w:rsidRPr="00DB35D4">
        <w:rPr>
          <w:rFonts w:cs="Arial"/>
        </w:rPr>
        <w:t xml:space="preserve"> they take additional measures that result in closure of electricity generation capacity. The quantity of allowances invalidated shall not exceed the average verified emissions of the installation from five years preceding the closure.</w:t>
      </w:r>
    </w:p>
    <w:p w14:paraId="739D9E9E" w14:textId="77777777" w:rsidR="005664B6" w:rsidRPr="00DB35D4" w:rsidRDefault="005664B6" w:rsidP="005664B6">
      <w:pPr>
        <w:rPr>
          <w:rFonts w:cs="Arial"/>
        </w:rPr>
      </w:pPr>
      <w:r w:rsidRPr="00DB35D4">
        <w:rPr>
          <w:rFonts w:cs="Arial"/>
        </w:rPr>
        <w:t xml:space="preserve">The </w:t>
      </w:r>
      <w:r w:rsidRPr="00DB35D4">
        <w:rPr>
          <w:rFonts w:cs="Arial"/>
          <w:i/>
        </w:rPr>
        <w:t>compliance period</w:t>
      </w:r>
      <w:r w:rsidRPr="00DB35D4">
        <w:rPr>
          <w:rFonts w:cs="Arial"/>
        </w:rPr>
        <w:t xml:space="preserve"> starts </w:t>
      </w:r>
      <w:proofErr w:type="gramStart"/>
      <w:r w:rsidRPr="00DB35D4">
        <w:rPr>
          <w:rFonts w:cs="Arial"/>
        </w:rPr>
        <w:t>in</w:t>
      </w:r>
      <w:proofErr w:type="gramEnd"/>
      <w:r w:rsidRPr="00DB35D4">
        <w:rPr>
          <w:rFonts w:cs="Arial"/>
        </w:rPr>
        <w:t xml:space="preserve"> January 1</w:t>
      </w:r>
      <w:r w:rsidRPr="00DB35D4">
        <w:rPr>
          <w:rFonts w:cs="Arial"/>
          <w:vertAlign w:val="superscript"/>
        </w:rPr>
        <w:t>st</w:t>
      </w:r>
      <w:r w:rsidRPr="00DB35D4">
        <w:rPr>
          <w:rFonts w:cs="Arial"/>
        </w:rPr>
        <w:t xml:space="preserve"> and ends in April, 30</w:t>
      </w:r>
      <w:r w:rsidRPr="00DB35D4">
        <w:rPr>
          <w:rFonts w:cs="Arial"/>
          <w:vertAlign w:val="superscript"/>
        </w:rPr>
        <w:t>th</w:t>
      </w:r>
      <w:r w:rsidRPr="00DB35D4">
        <w:rPr>
          <w:rFonts w:cs="Arial"/>
        </w:rPr>
        <w:t xml:space="preserve"> of the next year (16 months).</w:t>
      </w:r>
    </w:p>
    <w:p w14:paraId="00DB0871" w14:textId="77777777" w:rsidR="005664B6" w:rsidRPr="00DB35D4" w:rsidRDefault="005664B6" w:rsidP="005664B6">
      <w:pPr>
        <w:rPr>
          <w:rFonts w:cs="Arial"/>
          <w:i/>
        </w:rPr>
      </w:pPr>
      <w:r w:rsidRPr="00DB35D4">
        <w:rPr>
          <w:rFonts w:cs="Arial"/>
        </w:rPr>
        <w:t>One of the most important stages of an ETS</w:t>
      </w:r>
      <w:r w:rsidRPr="00DB35D4">
        <w:rPr>
          <w:rFonts w:cs="Arial"/>
          <w:i/>
        </w:rPr>
        <w:t xml:space="preserve"> </w:t>
      </w:r>
      <w:r w:rsidRPr="00DB35D4">
        <w:rPr>
          <w:rFonts w:cs="Arial"/>
        </w:rPr>
        <w:t>is the</w:t>
      </w:r>
      <w:r w:rsidRPr="00DB35D4">
        <w:rPr>
          <w:rFonts w:cs="Arial"/>
          <w:i/>
        </w:rPr>
        <w:t xml:space="preserve"> Monitoring, Reporting, Verification (MRV) </w:t>
      </w:r>
      <w:r w:rsidRPr="00DB35D4">
        <w:rPr>
          <w:rFonts w:cs="Arial"/>
        </w:rPr>
        <w:t>procedures</w:t>
      </w:r>
      <w:r w:rsidRPr="00DB35D4">
        <w:rPr>
          <w:rFonts w:cs="Arial"/>
          <w:i/>
        </w:rPr>
        <w:t>:</w:t>
      </w:r>
    </w:p>
    <w:p w14:paraId="6DDF8009" w14:textId="77777777" w:rsidR="005664B6" w:rsidRPr="00DB35D4" w:rsidRDefault="005664B6" w:rsidP="005664B6">
      <w:pPr>
        <w:rPr>
          <w:rFonts w:cs="Arial"/>
        </w:rPr>
      </w:pPr>
      <w:r w:rsidRPr="00DB35D4">
        <w:rPr>
          <w:rStyle w:val="Strong"/>
          <w:rFonts w:cs="Arial"/>
        </w:rPr>
        <w:t>REPORTING FREQUENCY:</w:t>
      </w:r>
      <w:r w:rsidRPr="00DB35D4">
        <w:rPr>
          <w:rFonts w:cs="Arial"/>
        </w:rPr>
        <w:t xml:space="preserve"> Annual self-reporting based on harmonized electronic templates prepared by the European Commission.</w:t>
      </w:r>
    </w:p>
    <w:p w14:paraId="323FC0D3" w14:textId="77777777" w:rsidR="005664B6" w:rsidRPr="00DB35D4" w:rsidRDefault="005664B6" w:rsidP="005664B6">
      <w:pPr>
        <w:rPr>
          <w:rFonts w:cs="Arial"/>
        </w:rPr>
      </w:pPr>
      <w:r w:rsidRPr="00DB35D4">
        <w:rPr>
          <w:rStyle w:val="Strong"/>
          <w:rFonts w:cs="Arial"/>
        </w:rPr>
        <w:t>VERIFICATION:</w:t>
      </w:r>
      <w:r w:rsidRPr="00DB35D4">
        <w:rPr>
          <w:rFonts w:cs="Arial"/>
        </w:rPr>
        <w:t xml:space="preserve"> Verification by independent accredited verifiers is required before 31 March each year.</w:t>
      </w:r>
    </w:p>
    <w:p w14:paraId="52D51EB7" w14:textId="77777777" w:rsidR="005664B6" w:rsidRPr="00DB35D4" w:rsidRDefault="005664B6" w:rsidP="005664B6">
      <w:pPr>
        <w:rPr>
          <w:rFonts w:cs="Arial"/>
          <w:i/>
        </w:rPr>
      </w:pPr>
      <w:r w:rsidRPr="00DB35D4">
        <w:rPr>
          <w:rStyle w:val="Strong"/>
          <w:rFonts w:cs="Arial"/>
        </w:rPr>
        <w:t>MRV FRAMEWORK:</w:t>
      </w:r>
      <w:r w:rsidRPr="00DB35D4">
        <w:rPr>
          <w:rFonts w:cs="Arial"/>
        </w:rPr>
        <w:t xml:space="preserve"> the MRV framework for the EU ETS has been further harmonized. European Commission regulations now apply for emissions monitoring and reporting, as well as verification and accreditation of verifiers. A monitoring plan is required for every installation and aircraft operator.</w:t>
      </w:r>
    </w:p>
    <w:p w14:paraId="550837EF" w14:textId="620E2489" w:rsidR="005664B6" w:rsidRPr="00DB35D4" w:rsidRDefault="005664B6" w:rsidP="005664B6">
      <w:pPr>
        <w:rPr>
          <w:rFonts w:cs="Arial"/>
        </w:rPr>
      </w:pPr>
      <w:proofErr w:type="gramStart"/>
      <w:r w:rsidRPr="00DB35D4">
        <w:rPr>
          <w:rFonts w:cs="Arial"/>
          <w:b/>
        </w:rPr>
        <w:t>NON CO</w:t>
      </w:r>
      <w:r w:rsidR="00B07756">
        <w:rPr>
          <w:rFonts w:cs="Arial"/>
          <w:b/>
        </w:rPr>
        <w:t>M</w:t>
      </w:r>
      <w:r w:rsidRPr="00DB35D4">
        <w:rPr>
          <w:rFonts w:cs="Arial"/>
          <w:b/>
        </w:rPr>
        <w:t>PLIANCE</w:t>
      </w:r>
      <w:proofErr w:type="gramEnd"/>
      <w:r w:rsidRPr="00DB35D4">
        <w:rPr>
          <w:rFonts w:cs="Arial"/>
          <w:b/>
        </w:rPr>
        <w:t>:</w:t>
      </w:r>
      <w:r w:rsidRPr="00DB35D4">
        <w:rPr>
          <w:rFonts w:cs="Arial"/>
        </w:rPr>
        <w:t xml:space="preserve"> In the case of non-compliance entities must pay an "excess emissions penalty" of EUR 100/tCO2 (USD 118/tCO2) for each tCO2 emitted for which no allowance has been surrendered. The name of the noncompliant operator is also published. Different penalties exist at the national level for other forms of noncompliance.</w:t>
      </w:r>
    </w:p>
    <w:p w14:paraId="3756A36B" w14:textId="77777777" w:rsidR="005664B6" w:rsidRPr="00DB35D4" w:rsidRDefault="005664B6" w:rsidP="005664B6">
      <w:pPr>
        <w:rPr>
          <w:rFonts w:cs="Arial"/>
        </w:rPr>
      </w:pPr>
      <w:r w:rsidRPr="00DB35D4">
        <w:rPr>
          <w:rFonts w:cs="Arial"/>
          <w:b/>
        </w:rPr>
        <w:lastRenderedPageBreak/>
        <w:t>LINKING WITH OTHER ETS:</w:t>
      </w:r>
      <w:r w:rsidRPr="00DB35D4">
        <w:rPr>
          <w:rFonts w:cs="Arial"/>
        </w:rPr>
        <w:t xml:space="preserve"> The European Commission has concluded negotiations with Switzerland on linking the EU ETS with the Swiss ETS. In November 2017, the EU and Switzerland signed the Agreement to link their ETS. The Agreement will enter into force on 1 January of the year following the exchange of the instruments of ratification by the Parties.</w:t>
      </w:r>
    </w:p>
    <w:p w14:paraId="11C80050" w14:textId="7734D68C" w:rsidR="005664B6" w:rsidRPr="00DB35D4" w:rsidRDefault="005664B6" w:rsidP="005664B6">
      <w:pPr>
        <w:rPr>
          <w:rFonts w:cs="Arial"/>
        </w:rPr>
      </w:pPr>
      <w:r w:rsidRPr="00DB35D4">
        <w:rPr>
          <w:rFonts w:cs="Arial"/>
        </w:rPr>
        <w:t xml:space="preserve">The European Commission publishes </w:t>
      </w:r>
      <w:r w:rsidRPr="00DB35D4">
        <w:rPr>
          <w:rFonts w:cs="Arial"/>
          <w:b/>
        </w:rPr>
        <w:t>annual reports</w:t>
      </w:r>
      <w:r w:rsidRPr="00DB35D4">
        <w:rPr>
          <w:rFonts w:cs="Arial"/>
        </w:rPr>
        <w:t xml:space="preserve"> on the functioning of the European carbon market</w:t>
      </w:r>
      <w:sdt>
        <w:sdtPr>
          <w:rPr>
            <w:rFonts w:cs="Arial"/>
          </w:rPr>
          <w:id w:val="-115600618"/>
          <w:citation/>
        </w:sdtPr>
        <w:sdtEndPr/>
        <w:sdtContent>
          <w:r w:rsidRPr="00DB35D4">
            <w:rPr>
              <w:rFonts w:cs="Arial"/>
            </w:rPr>
            <w:fldChar w:fldCharType="begin"/>
          </w:r>
          <w:r w:rsidRPr="00DB35D4">
            <w:rPr>
              <w:rFonts w:cs="Arial"/>
            </w:rPr>
            <w:instrText xml:space="preserve"> CITATION Eur18 \l 1033 </w:instrText>
          </w:r>
          <w:r w:rsidRPr="00DB35D4">
            <w:rPr>
              <w:rFonts w:cs="Arial"/>
            </w:rPr>
            <w:fldChar w:fldCharType="separate"/>
          </w:r>
          <w:r w:rsidR="00487700">
            <w:rPr>
              <w:rFonts w:cs="Arial"/>
              <w:noProof/>
            </w:rPr>
            <w:t xml:space="preserve"> </w:t>
          </w:r>
          <w:r w:rsidR="00487700" w:rsidRPr="00487700">
            <w:rPr>
              <w:rFonts w:cs="Arial"/>
              <w:noProof/>
            </w:rPr>
            <w:t>(Eurpean Union, 2018)</w:t>
          </w:r>
          <w:r w:rsidRPr="00DB35D4">
            <w:rPr>
              <w:rFonts w:cs="Arial"/>
            </w:rPr>
            <w:fldChar w:fldCharType="end"/>
          </w:r>
        </w:sdtContent>
      </w:sdt>
      <w:r w:rsidRPr="00DB35D4">
        <w:rPr>
          <w:rFonts w:cs="Arial"/>
        </w:rPr>
        <w:t>.</w:t>
      </w:r>
    </w:p>
    <w:p w14:paraId="40C0B8A1" w14:textId="77777777" w:rsidR="005664B6" w:rsidRPr="00DB35D4" w:rsidRDefault="005664B6" w:rsidP="005664B6">
      <w:pPr>
        <w:rPr>
          <w:rFonts w:cs="Arial"/>
        </w:rPr>
      </w:pPr>
      <w:r w:rsidRPr="00DB35D4">
        <w:rPr>
          <w:rFonts w:cs="Arial"/>
        </w:rPr>
        <w:t>Two major EU ETS reviews – before phase 3 and before phase 4 – have been conducted to date, resulting in changes in system design. The directive establishing the EU ETS stipulates that the system be kept under review considering the implementation of the Paris Agreement and the development of carbon markets in other major economies.</w:t>
      </w:r>
    </w:p>
    <w:p w14:paraId="3C77E1D7" w14:textId="77777777" w:rsidR="005664B6" w:rsidRPr="00DB35D4" w:rsidRDefault="005664B6" w:rsidP="005664B6">
      <w:pPr>
        <w:pStyle w:val="etsmap-section-raw"/>
        <w:spacing w:line="360" w:lineRule="auto"/>
        <w:jc w:val="both"/>
        <w:rPr>
          <w:rFonts w:ascii="Arial" w:hAnsi="Arial" w:cs="Arial"/>
          <w:sz w:val="22"/>
          <w:szCs w:val="22"/>
          <w:lang w:val="en-US"/>
        </w:rPr>
      </w:pPr>
      <w:r w:rsidRPr="00DB35D4">
        <w:rPr>
          <w:rStyle w:val="Strong"/>
          <w:rFonts w:eastAsiaTheme="majorEastAsia" w:cs="Arial"/>
          <w:szCs w:val="22"/>
          <w:lang w:val="en-US"/>
        </w:rPr>
        <w:t xml:space="preserve">Since beginning of the program an amount of </w:t>
      </w:r>
      <w:r w:rsidRPr="00DB35D4">
        <w:rPr>
          <w:rFonts w:ascii="Arial" w:hAnsi="Arial" w:cs="Arial"/>
          <w:sz w:val="22"/>
          <w:szCs w:val="22"/>
          <w:lang w:val="en-US"/>
        </w:rPr>
        <w:t xml:space="preserve">EUR 35.9 billion (USD 42.4 billion) has been collected from the member states </w:t>
      </w:r>
      <w:r w:rsidRPr="00DB35D4">
        <w:rPr>
          <w:rStyle w:val="Strong"/>
          <w:rFonts w:eastAsiaTheme="majorEastAsia" w:cs="Arial"/>
          <w:szCs w:val="22"/>
          <w:lang w:val="en-US"/>
        </w:rPr>
        <w:t xml:space="preserve">while in 2018 there was a revenue of </w:t>
      </w:r>
      <w:r w:rsidRPr="00DB35D4">
        <w:rPr>
          <w:rFonts w:ascii="Arial" w:hAnsi="Arial" w:cs="Arial"/>
          <w:sz w:val="22"/>
          <w:szCs w:val="22"/>
          <w:lang w:val="en-US"/>
        </w:rPr>
        <w:t>EUR 14.2 billion (USD 16.8 billion). EU ETS revenues from auctioning accrue to EU Member States. At least 50% of revenues should be used for climate and energy-related purposes. Member States are obliged to inform the Commission about how they use the revenues. According to information submitted, they spend ~80% for domestic and international climate-related purposes.</w:t>
      </w:r>
    </w:p>
    <w:p w14:paraId="5E1FB76A" w14:textId="7A9CC351" w:rsidR="005664B6" w:rsidRPr="00DB35D4" w:rsidRDefault="005664B6" w:rsidP="005664B6">
      <w:pPr>
        <w:rPr>
          <w:rFonts w:cs="Arial"/>
        </w:rPr>
      </w:pPr>
      <w:r w:rsidRPr="00DB35D4">
        <w:rPr>
          <w:rFonts w:cs="Arial"/>
        </w:rPr>
        <w:t xml:space="preserve">The </w:t>
      </w:r>
      <w:r w:rsidRPr="00DB35D4">
        <w:rPr>
          <w:rFonts w:cs="Arial"/>
          <w:i/>
        </w:rPr>
        <w:t>implementing legislation</w:t>
      </w:r>
      <w:r w:rsidRPr="00DB35D4">
        <w:rPr>
          <w:rFonts w:cs="Arial"/>
        </w:rPr>
        <w:t xml:space="preserve"> is based on the consolidated version of </w:t>
      </w:r>
      <w:hyperlink r:id="rId78" w:tgtFrame="_blank" w:history="1">
        <w:r w:rsidRPr="00DB35D4">
          <w:rPr>
            <w:rStyle w:val="Hyperlink"/>
            <w:rFonts w:cs="Arial"/>
          </w:rPr>
          <w:t>Directive 2003/87/EC</w:t>
        </w:r>
      </w:hyperlink>
      <w:r w:rsidRPr="00DB35D4">
        <w:rPr>
          <w:rFonts w:cs="Arial"/>
        </w:rPr>
        <w:t xml:space="preserve"> of the European Parliament and of the Council establishing a scheme for GHG emission allowance trading within the Community and amending Council Directive 96/61/EC (8 April 2018)</w:t>
      </w:r>
    </w:p>
    <w:p w14:paraId="01CC5433" w14:textId="6AFDFE13" w:rsidR="005664B6" w:rsidRPr="00DB35D4" w:rsidRDefault="005664B6" w:rsidP="005664B6">
      <w:pPr>
        <w:rPr>
          <w:rFonts w:cs="Arial"/>
        </w:rPr>
      </w:pPr>
      <w:r w:rsidRPr="00DB35D4">
        <w:rPr>
          <w:rFonts w:cs="Arial"/>
        </w:rPr>
        <w:t xml:space="preserve">Decision concerning the establishment and operation of a market stability reserve for the Union GHG emission trading scheme and amending </w:t>
      </w:r>
      <w:hyperlink r:id="rId79" w:tgtFrame="_blank" w:history="1">
        <w:r w:rsidRPr="00DB35D4">
          <w:rPr>
            <w:rStyle w:val="Hyperlink"/>
            <w:rFonts w:cs="Arial"/>
          </w:rPr>
          <w:t>Directive 2003/87/EU</w:t>
        </w:r>
      </w:hyperlink>
      <w:r w:rsidRPr="00DB35D4">
        <w:rPr>
          <w:rFonts w:cs="Arial"/>
        </w:rPr>
        <w:t xml:space="preserve"> (6 October 2015)</w:t>
      </w:r>
    </w:p>
    <w:p w14:paraId="16C6D137" w14:textId="4D101933" w:rsidR="005664B6" w:rsidRPr="00DB35D4" w:rsidRDefault="003B0DE2" w:rsidP="005664B6">
      <w:pPr>
        <w:rPr>
          <w:rFonts w:cs="Arial"/>
        </w:rPr>
      </w:pPr>
      <w:hyperlink r:id="rId80" w:tgtFrame="_blank" w:history="1">
        <w:r w:rsidR="005664B6" w:rsidRPr="00DB35D4">
          <w:rPr>
            <w:rStyle w:val="Hyperlink"/>
            <w:rFonts w:cs="Arial"/>
          </w:rPr>
          <w:t>Consolidated Auctioning Regulation</w:t>
        </w:r>
      </w:hyperlink>
      <w:r w:rsidR="005664B6" w:rsidRPr="00DB35D4">
        <w:rPr>
          <w:rFonts w:cs="Arial"/>
        </w:rPr>
        <w:t xml:space="preserve"> (25 February 2014): Commission Regulation </w:t>
      </w:r>
      <w:hyperlink r:id="rId81" w:tgtFrame="_blank" w:history="1">
        <w:r w:rsidR="005664B6" w:rsidRPr="00DB35D4">
          <w:rPr>
            <w:rStyle w:val="Hyperlink"/>
            <w:rFonts w:cs="Arial"/>
          </w:rPr>
          <w:t>EU No 176/2014</w:t>
        </w:r>
      </w:hyperlink>
      <w:r w:rsidR="005664B6" w:rsidRPr="00DB35D4">
        <w:rPr>
          <w:rFonts w:cs="Arial"/>
        </w:rPr>
        <w:t xml:space="preserve"> amending Regulation (EU) No 1031/2010 in particular to determine the volumes of GHG emission allowances to be auctioned in 2013-2020 (25 February 2014). </w:t>
      </w:r>
    </w:p>
    <w:p w14:paraId="6454F6A9" w14:textId="7DA39BD4" w:rsidR="005664B6" w:rsidRPr="00DB35D4" w:rsidRDefault="005664B6" w:rsidP="005664B6">
      <w:pPr>
        <w:rPr>
          <w:rFonts w:cs="Arial"/>
        </w:rPr>
      </w:pPr>
      <w:r w:rsidRPr="00DB35D4">
        <w:rPr>
          <w:rFonts w:cs="Arial"/>
        </w:rPr>
        <w:t xml:space="preserve">All other legislation and more related documentation can be found </w:t>
      </w:r>
      <w:hyperlink r:id="rId82" w:anchor="tab-0-1" w:tgtFrame="_blank" w:history="1">
        <w:r w:rsidRPr="00DB35D4">
          <w:rPr>
            <w:rStyle w:val="Hyperlink"/>
            <w:rFonts w:cs="Arial"/>
          </w:rPr>
          <w:t>here</w:t>
        </w:r>
      </w:hyperlink>
      <w:r w:rsidRPr="00DB35D4">
        <w:rPr>
          <w:rFonts w:cs="Arial"/>
        </w:rPr>
        <w:t>: https://icapcarbonaction.com/en/?option=com_etsmap&amp;task=export&amp;format=pdf&amp;layout=list&amp;systems%5B%5D=43</w:t>
      </w:r>
    </w:p>
    <w:p w14:paraId="2A878D68" w14:textId="77777777" w:rsidR="005664B6" w:rsidRPr="00DB35D4" w:rsidRDefault="005664B6" w:rsidP="005664B6">
      <w:pPr>
        <w:rPr>
          <w:rFonts w:cs="Arial"/>
        </w:rPr>
      </w:pPr>
      <w:r w:rsidRPr="00DB35D4">
        <w:rPr>
          <w:rFonts w:cs="Arial"/>
        </w:rPr>
        <w:lastRenderedPageBreak/>
        <w:t xml:space="preserve">The European Union is supporting through a detailed registry of the participants in the current EU-ETS but also for the future operating Effort sharing mechanism. Any anonymous user (no login is necessary) can log in the system and search for allocations issued in past dates to stationary installations/aviation or check for compliance. </w:t>
      </w:r>
    </w:p>
    <w:p w14:paraId="2D48AAB8" w14:textId="77777777" w:rsidR="005664B6" w:rsidRPr="00DB35D4" w:rsidRDefault="005664B6" w:rsidP="005664B6">
      <w:pPr>
        <w:rPr>
          <w:rFonts w:cs="Arial"/>
        </w:rPr>
      </w:pPr>
      <w:r w:rsidRPr="00DB35D4">
        <w:rPr>
          <w:rFonts w:cs="Arial"/>
        </w:rPr>
        <w:t xml:space="preserve">The system provides complete transparency and visibility of all accounting data related to CO2 emissions and AAUs </w:t>
      </w:r>
      <w:proofErr w:type="gramStart"/>
      <w:r w:rsidRPr="00DB35D4">
        <w:rPr>
          <w:rFonts w:cs="Arial"/>
        </w:rPr>
        <w:t>in order to</w:t>
      </w:r>
      <w:proofErr w:type="gramEnd"/>
      <w:r w:rsidRPr="00DB35D4">
        <w:rPr>
          <w:rFonts w:cs="Arial"/>
        </w:rPr>
        <w:t xml:space="preserve"> supply effective </w:t>
      </w:r>
      <w:r w:rsidRPr="00DB35D4">
        <w:rPr>
          <w:rFonts w:cs="Arial"/>
          <w:b/>
        </w:rPr>
        <w:t>Monitoring</w:t>
      </w:r>
      <w:r w:rsidRPr="00DB35D4">
        <w:rPr>
          <w:rFonts w:cs="Arial"/>
        </w:rPr>
        <w:t xml:space="preserve"> and </w:t>
      </w:r>
      <w:r w:rsidRPr="00DB35D4">
        <w:rPr>
          <w:rFonts w:cs="Arial"/>
          <w:b/>
        </w:rPr>
        <w:t xml:space="preserve">Reporting </w:t>
      </w:r>
      <w:r w:rsidRPr="00DB35D4">
        <w:rPr>
          <w:rFonts w:cs="Arial"/>
        </w:rPr>
        <w:t xml:space="preserve">and </w:t>
      </w:r>
      <w:r w:rsidRPr="00DB35D4">
        <w:rPr>
          <w:rFonts w:cs="Arial"/>
          <w:b/>
        </w:rPr>
        <w:t>Verification</w:t>
      </w:r>
      <w:r w:rsidRPr="00DB35D4">
        <w:rPr>
          <w:rFonts w:cs="Arial"/>
        </w:rPr>
        <w:t xml:space="preserve"> (MRV) for all participating entities in the trading mechanism.</w:t>
      </w:r>
    </w:p>
    <w:p w14:paraId="57CA29D0" w14:textId="77777777" w:rsidR="005664B6" w:rsidRPr="00DB35D4" w:rsidRDefault="005664B6" w:rsidP="005664B6">
      <w:pPr>
        <w:rPr>
          <w:rFonts w:cs="Arial"/>
          <w:i/>
        </w:rPr>
      </w:pPr>
      <w:r w:rsidRPr="00DB35D4">
        <w:rPr>
          <w:rFonts w:cs="Arial"/>
        </w:rPr>
        <w:t>The system has already been prepared to host future transactions under the Effort Sharing Decision Mechanism.</w:t>
      </w:r>
    </w:p>
    <w:p w14:paraId="01B2E9A8" w14:textId="77777777" w:rsidR="005664B6" w:rsidRPr="009C6F24" w:rsidRDefault="005664B6" w:rsidP="005664B6">
      <w:pPr>
        <w:pStyle w:val="MAIL11"/>
      </w:pPr>
      <w:bookmarkStart w:id="243" w:name="_Toc18677152"/>
      <w:r w:rsidRPr="009C6F24">
        <w:t xml:space="preserve"> </w:t>
      </w:r>
      <w:bookmarkStart w:id="244" w:name="_Toc90892988"/>
      <w:bookmarkStart w:id="245" w:name="_Toc91752442"/>
      <w:r w:rsidRPr="009C6F24">
        <w:t>Effort sharing</w:t>
      </w:r>
      <w:bookmarkEnd w:id="243"/>
      <w:bookmarkEnd w:id="244"/>
      <w:bookmarkEnd w:id="245"/>
    </w:p>
    <w:p w14:paraId="47BA8462" w14:textId="59CF20BA" w:rsidR="005664B6" w:rsidRPr="00DB35D4" w:rsidRDefault="005664B6" w:rsidP="005664B6">
      <w:pPr>
        <w:rPr>
          <w:rFonts w:cs="Arial"/>
        </w:rPr>
      </w:pPr>
      <w:r w:rsidRPr="00DB35D4">
        <w:rPr>
          <w:rFonts w:cs="Arial"/>
        </w:rPr>
        <w:t>The Effort Sharing legislation establishes binding annual greenhouse gas emission targets for Member States for the periods 2013–2020 and 2021–2030. These targets concern emissions from most sectors not included in the EU Emissions Trading System (EU ETS), such as transport, buildings, agriculture, and waste</w:t>
      </w:r>
      <w:sdt>
        <w:sdtPr>
          <w:rPr>
            <w:rFonts w:cs="Arial"/>
          </w:rPr>
          <w:id w:val="1651241029"/>
          <w:citation/>
        </w:sdtPr>
        <w:sdtEndPr/>
        <w:sdtContent>
          <w:r w:rsidRPr="00DB35D4">
            <w:rPr>
              <w:rFonts w:cs="Arial"/>
            </w:rPr>
            <w:fldChar w:fldCharType="begin"/>
          </w:r>
          <w:r w:rsidRPr="00DB35D4">
            <w:rPr>
              <w:rFonts w:cs="Arial"/>
            </w:rPr>
            <w:instrText xml:space="preserve"> CITATION Eur19 \l 1033 </w:instrText>
          </w:r>
          <w:r w:rsidRPr="00DB35D4">
            <w:rPr>
              <w:rFonts w:cs="Arial"/>
            </w:rPr>
            <w:fldChar w:fldCharType="separate"/>
          </w:r>
          <w:r w:rsidR="00487700">
            <w:rPr>
              <w:rFonts w:cs="Arial"/>
              <w:noProof/>
            </w:rPr>
            <w:t xml:space="preserve"> </w:t>
          </w:r>
          <w:r w:rsidR="00487700" w:rsidRPr="00487700">
            <w:rPr>
              <w:rFonts w:cs="Arial"/>
              <w:noProof/>
            </w:rPr>
            <w:t>(European Union, 2019)</w:t>
          </w:r>
          <w:r w:rsidRPr="00DB35D4">
            <w:rPr>
              <w:rFonts w:cs="Arial"/>
            </w:rPr>
            <w:fldChar w:fldCharType="end"/>
          </w:r>
        </w:sdtContent>
      </w:sdt>
      <w:r w:rsidRPr="00DB35D4">
        <w:rPr>
          <w:rFonts w:cs="Arial"/>
        </w:rPr>
        <w:t>.</w:t>
      </w:r>
    </w:p>
    <w:p w14:paraId="59757FD7" w14:textId="77777777" w:rsidR="005664B6" w:rsidRPr="00DB35D4" w:rsidRDefault="005664B6" w:rsidP="005664B6">
      <w:pPr>
        <w:rPr>
          <w:rFonts w:cs="Arial"/>
        </w:rPr>
      </w:pPr>
      <w:r w:rsidRPr="00DB35D4">
        <w:rPr>
          <w:rFonts w:cs="Arial"/>
        </w:rPr>
        <w:t>The Effort Sharing legislation forms part of a set of policies and measures on climate change and energy that will help move Europe towards a low-carbon economy and increase its energy security.</w:t>
      </w:r>
    </w:p>
    <w:p w14:paraId="0BB63C97" w14:textId="77777777" w:rsidR="005664B6" w:rsidRPr="00DB35D4" w:rsidRDefault="005664B6" w:rsidP="005664B6">
      <w:pPr>
        <w:rPr>
          <w:rFonts w:cs="Arial"/>
        </w:rPr>
      </w:pPr>
      <w:r w:rsidRPr="00DB35D4">
        <w:rPr>
          <w:rFonts w:cs="Arial"/>
        </w:rPr>
        <w:t>The national targets will collectively deliver a reduction of around 10% in total EU emissions from the sectors covered by 2020 and of 30% by 2030, compared with 2005 levels.</w:t>
      </w:r>
    </w:p>
    <w:p w14:paraId="693F2C64" w14:textId="4A26DD55" w:rsidR="005664B6" w:rsidRPr="00DB35D4" w:rsidRDefault="005664B6" w:rsidP="005664B6">
      <w:pPr>
        <w:rPr>
          <w:rFonts w:cs="Arial"/>
        </w:rPr>
      </w:pPr>
      <w:r w:rsidRPr="00DB35D4">
        <w:rPr>
          <w:rFonts w:cs="Arial"/>
        </w:rPr>
        <w:t xml:space="preserve">Together with a 21% cut in emissions covered by the EU ETS by 2020 and 43% by 2030, this will allow the EU to achieve its climate targets for </w:t>
      </w:r>
      <w:hyperlink r:id="rId83" w:history="1">
        <w:r w:rsidRPr="00DB35D4">
          <w:rPr>
            <w:rFonts w:cs="Arial"/>
          </w:rPr>
          <w:t>2020</w:t>
        </w:r>
      </w:hyperlink>
      <w:r w:rsidRPr="00DB35D4">
        <w:rPr>
          <w:rFonts w:cs="Arial"/>
        </w:rPr>
        <w:t xml:space="preserve"> and </w:t>
      </w:r>
      <w:hyperlink r:id="rId84" w:history="1">
        <w:r w:rsidRPr="00DB35D4">
          <w:rPr>
            <w:rFonts w:cs="Arial"/>
          </w:rPr>
          <w:t>2030</w:t>
        </w:r>
      </w:hyperlink>
      <w:r w:rsidRPr="00DB35D4">
        <w:rPr>
          <w:rFonts w:cs="Arial"/>
        </w:rPr>
        <w:t>.</w:t>
      </w:r>
    </w:p>
    <w:p w14:paraId="3796F9BB" w14:textId="77777777" w:rsidR="005664B6" w:rsidRPr="00DB35D4" w:rsidRDefault="005664B6" w:rsidP="005664B6">
      <w:pPr>
        <w:keepNext/>
        <w:jc w:val="center"/>
        <w:rPr>
          <w:rFonts w:cs="Arial"/>
        </w:rPr>
      </w:pPr>
      <w:r w:rsidRPr="00DB35D4">
        <w:rPr>
          <w:rFonts w:cs="Arial"/>
          <w:noProof/>
          <w:lang w:val="es-ES" w:eastAsia="es-ES"/>
        </w:rPr>
        <w:drawing>
          <wp:inline distT="0" distB="0" distL="0" distR="0" wp14:anchorId="4178E87B" wp14:editId="567B8AD4">
            <wp:extent cx="4017645" cy="1887333"/>
            <wp:effectExtent l="0" t="0" r="1905" b="0"/>
            <wp:docPr id="340" name="Εικόνα 340" descr="https://ec.europa.eu/clima/sites/clima/files/effort/images/2020_limits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c.europa.eu/clima/sites/clima/files/effort/images/2020_limits_en.png"/>
                    <pic:cNvPicPr>
                      <a:picLocks noChangeAspect="1" noChangeArrowheads="1"/>
                    </pic:cNvPicPr>
                  </pic:nvPicPr>
                  <pic:blipFill rotWithShape="1">
                    <a:blip r:embed="rId85">
                      <a:extLst>
                        <a:ext uri="{28A0092B-C50C-407E-A947-70E740481C1C}">
                          <a14:useLocalDpi xmlns:a14="http://schemas.microsoft.com/office/drawing/2010/main" val="0"/>
                        </a:ext>
                      </a:extLst>
                    </a:blip>
                    <a:srcRect t="17025"/>
                    <a:stretch/>
                  </pic:blipFill>
                  <pic:spPr bwMode="auto">
                    <a:xfrm>
                      <a:off x="0" y="0"/>
                      <a:ext cx="4017645" cy="1887333"/>
                    </a:xfrm>
                    <a:prstGeom prst="rect">
                      <a:avLst/>
                    </a:prstGeom>
                    <a:noFill/>
                    <a:ln>
                      <a:noFill/>
                    </a:ln>
                    <a:extLst>
                      <a:ext uri="{53640926-AAD7-44D8-BBD7-CCE9431645EC}">
                        <a14:shadowObscured xmlns:a14="http://schemas.microsoft.com/office/drawing/2010/main"/>
                      </a:ext>
                    </a:extLst>
                  </pic:spPr>
                </pic:pic>
              </a:graphicData>
            </a:graphic>
          </wp:inline>
        </w:drawing>
      </w:r>
    </w:p>
    <w:p w14:paraId="35F74903" w14:textId="367B12DE" w:rsidR="005664B6" w:rsidRPr="00B07756" w:rsidRDefault="005664B6" w:rsidP="00D84451">
      <w:pPr>
        <w:jc w:val="center"/>
        <w:rPr>
          <w:rFonts w:eastAsia="Calibri" w:cs="Arial"/>
          <w:b/>
          <w:bCs/>
          <w:color w:val="212745" w:themeColor="text2"/>
          <w:sz w:val="20"/>
          <w:szCs w:val="20"/>
          <w:lang w:val="en-GB"/>
        </w:rPr>
      </w:pPr>
      <w:bookmarkStart w:id="246" w:name="_Ref86395685"/>
      <w:bookmarkStart w:id="247" w:name="_Toc90888747"/>
      <w:bookmarkStart w:id="248" w:name="_Toc90893521"/>
      <w:bookmarkStart w:id="249" w:name="_Toc91752527"/>
      <w:r w:rsidRPr="00B07756">
        <w:rPr>
          <w:rFonts w:eastAsia="Calibri" w:cs="Arial"/>
          <w:b/>
          <w:bCs/>
          <w:color w:val="212745" w:themeColor="text2"/>
          <w:sz w:val="20"/>
          <w:szCs w:val="20"/>
          <w:lang w:val="en-GB"/>
        </w:rPr>
        <w:t xml:space="preserve">Figure </w:t>
      </w:r>
      <w:r w:rsidRPr="00B07756">
        <w:rPr>
          <w:rFonts w:eastAsia="Calibri" w:cs="Arial"/>
          <w:b/>
          <w:bCs/>
          <w:color w:val="212745" w:themeColor="text2"/>
          <w:sz w:val="20"/>
          <w:szCs w:val="20"/>
          <w:lang w:val="en-GB"/>
        </w:rPr>
        <w:fldChar w:fldCharType="begin"/>
      </w:r>
      <w:r w:rsidRPr="00B07756">
        <w:rPr>
          <w:rFonts w:eastAsia="Calibri" w:cs="Arial"/>
          <w:b/>
          <w:bCs/>
          <w:color w:val="212745" w:themeColor="text2"/>
          <w:sz w:val="20"/>
          <w:szCs w:val="20"/>
          <w:lang w:val="en-GB"/>
        </w:rPr>
        <w:instrText xml:space="preserve"> SEQ Figure \* ARABIC </w:instrText>
      </w:r>
      <w:r w:rsidRPr="00B07756">
        <w:rPr>
          <w:rFonts w:eastAsia="Calibri" w:cs="Arial"/>
          <w:b/>
          <w:bCs/>
          <w:color w:val="212745" w:themeColor="text2"/>
          <w:sz w:val="20"/>
          <w:szCs w:val="20"/>
          <w:lang w:val="en-GB"/>
        </w:rPr>
        <w:fldChar w:fldCharType="separate"/>
      </w:r>
      <w:r w:rsidR="0073710A">
        <w:rPr>
          <w:rFonts w:eastAsia="Calibri" w:cs="Arial"/>
          <w:b/>
          <w:bCs/>
          <w:noProof/>
          <w:color w:val="212745" w:themeColor="text2"/>
          <w:sz w:val="20"/>
          <w:szCs w:val="20"/>
          <w:lang w:val="en-GB"/>
        </w:rPr>
        <w:t>43</w:t>
      </w:r>
      <w:r w:rsidRPr="00B07756">
        <w:rPr>
          <w:rFonts w:eastAsia="Calibri" w:cs="Arial"/>
          <w:b/>
          <w:bCs/>
          <w:color w:val="212745" w:themeColor="text2"/>
          <w:sz w:val="20"/>
          <w:szCs w:val="20"/>
          <w:lang w:val="en-GB"/>
        </w:rPr>
        <w:fldChar w:fldCharType="end"/>
      </w:r>
      <w:bookmarkEnd w:id="246"/>
      <w:r w:rsidRPr="00B07756">
        <w:rPr>
          <w:rFonts w:eastAsia="Calibri" w:cs="Arial"/>
          <w:b/>
          <w:bCs/>
          <w:color w:val="212745" w:themeColor="text2"/>
          <w:sz w:val="20"/>
          <w:szCs w:val="20"/>
          <w:lang w:val="en-GB"/>
        </w:rPr>
        <w:t xml:space="preserve"> Member states GHG emissions in 2020 compared to 2005. Source: https://ec.europa.eu/clima/policies/effort_el#tab-0-0</w:t>
      </w:r>
      <w:bookmarkEnd w:id="247"/>
      <w:bookmarkEnd w:id="248"/>
      <w:bookmarkEnd w:id="249"/>
    </w:p>
    <w:p w14:paraId="6AB8B5E7" w14:textId="77777777" w:rsidR="005664B6" w:rsidRPr="00DB35D4" w:rsidRDefault="005664B6" w:rsidP="005664B6">
      <w:pPr>
        <w:pStyle w:val="Caption"/>
        <w:rPr>
          <w:rFonts w:cs="Arial"/>
          <w:lang w:val="en-US"/>
        </w:rPr>
      </w:pPr>
    </w:p>
    <w:p w14:paraId="4B275980" w14:textId="24189FAE" w:rsidR="005664B6" w:rsidRPr="00DB35D4" w:rsidRDefault="005664B6" w:rsidP="005664B6">
      <w:pPr>
        <w:rPr>
          <w:rFonts w:cs="Arial"/>
        </w:rPr>
      </w:pPr>
      <w:r w:rsidRPr="00DB35D4">
        <w:rPr>
          <w:rFonts w:cs="Arial"/>
        </w:rPr>
        <w:t>Emission reductions target by 2020: -10% (</w:t>
      </w:r>
      <w:r w:rsidRPr="00DB35D4">
        <w:rPr>
          <w:rFonts w:cs="Arial"/>
        </w:rPr>
        <w:fldChar w:fldCharType="begin"/>
      </w:r>
      <w:r w:rsidRPr="00DB35D4">
        <w:rPr>
          <w:rFonts w:cs="Arial"/>
        </w:rPr>
        <w:instrText xml:space="preserve"> REF _Ref86395685 \h  \* MERGEFORMAT </w:instrText>
      </w:r>
      <w:r w:rsidRPr="00DB35D4">
        <w:rPr>
          <w:rFonts w:cs="Arial"/>
        </w:rPr>
      </w:r>
      <w:r w:rsidRPr="00DB35D4">
        <w:rPr>
          <w:rFonts w:cs="Arial"/>
        </w:rPr>
        <w:fldChar w:fldCharType="separate"/>
      </w:r>
      <w:r w:rsidR="0073710A" w:rsidRPr="0073710A">
        <w:rPr>
          <w:rFonts w:cs="Arial"/>
        </w:rPr>
        <w:t>Figure 43</w:t>
      </w:r>
      <w:r w:rsidRPr="00DB35D4">
        <w:rPr>
          <w:rFonts w:cs="Arial"/>
        </w:rPr>
        <w:fldChar w:fldCharType="end"/>
      </w:r>
      <w:r w:rsidRPr="00DB35D4">
        <w:rPr>
          <w:rFonts w:cs="Arial"/>
        </w:rPr>
        <w:t>)</w:t>
      </w:r>
    </w:p>
    <w:p w14:paraId="3FA163A2" w14:textId="70CA6654" w:rsidR="005664B6" w:rsidRPr="00DB35D4" w:rsidRDefault="005664B6" w:rsidP="005664B6">
      <w:pPr>
        <w:rPr>
          <w:rFonts w:cs="Arial"/>
        </w:rPr>
      </w:pPr>
      <w:r w:rsidRPr="00DB35D4">
        <w:rPr>
          <w:rFonts w:cs="Arial"/>
        </w:rPr>
        <w:t xml:space="preserve">The </w:t>
      </w:r>
      <w:r w:rsidRPr="00DB35D4">
        <w:rPr>
          <w:rFonts w:cs="Arial"/>
          <w:b/>
          <w:bCs/>
        </w:rPr>
        <w:t>Effort Sharing Decision</w:t>
      </w:r>
      <w:r w:rsidRPr="00DB35D4">
        <w:rPr>
          <w:rFonts w:cs="Arial"/>
        </w:rPr>
        <w:t xml:space="preserve"> forms part of the EU's </w:t>
      </w:r>
      <w:hyperlink r:id="rId86" w:history="1">
        <w:r w:rsidRPr="00DB35D4">
          <w:rPr>
            <w:rFonts w:cs="Arial"/>
          </w:rPr>
          <w:t>climate and energy policy framework for 2020</w:t>
        </w:r>
      </w:hyperlink>
      <w:r w:rsidRPr="00DB35D4">
        <w:rPr>
          <w:rFonts w:cs="Arial"/>
        </w:rPr>
        <w:t>.</w:t>
      </w:r>
    </w:p>
    <w:p w14:paraId="2D78196A" w14:textId="1FC4A9E4" w:rsidR="005664B6" w:rsidRPr="00DB35D4" w:rsidRDefault="005664B6" w:rsidP="005664B6">
      <w:pPr>
        <w:rPr>
          <w:rFonts w:cs="Arial"/>
        </w:rPr>
      </w:pPr>
      <w:r w:rsidRPr="00DB35D4">
        <w:rPr>
          <w:rFonts w:cs="Arial"/>
        </w:rPr>
        <w:t xml:space="preserve">It sets national emission targets for 2020, expressed as percentage changes from 2005 levels. It also lays down how the </w:t>
      </w:r>
      <w:hyperlink r:id="rId87" w:history="1">
        <w:r w:rsidRPr="00DB35D4">
          <w:rPr>
            <w:rFonts w:cs="Arial"/>
          </w:rPr>
          <w:t>Annual Emission Allocations (AEAs)</w:t>
        </w:r>
      </w:hyperlink>
      <w:r w:rsidRPr="00DB35D4">
        <w:rPr>
          <w:rFonts w:cs="Arial"/>
        </w:rPr>
        <w:t xml:space="preserve"> in </w:t>
      </w:r>
      <w:proofErr w:type="spellStart"/>
      <w:r w:rsidRPr="00DB35D4">
        <w:rPr>
          <w:rFonts w:cs="Arial"/>
        </w:rPr>
        <w:t>tonnes</w:t>
      </w:r>
      <w:proofErr w:type="spellEnd"/>
      <w:r w:rsidRPr="00DB35D4">
        <w:rPr>
          <w:rFonts w:cs="Arial"/>
        </w:rPr>
        <w:t xml:space="preserve"> for each year from 2013 to 2020 are to be calculated and defines flexibilities.</w:t>
      </w:r>
    </w:p>
    <w:p w14:paraId="7373CFFF" w14:textId="77777777" w:rsidR="005664B6" w:rsidRPr="00DB35D4" w:rsidRDefault="005664B6" w:rsidP="005664B6">
      <w:pPr>
        <w:rPr>
          <w:rFonts w:cs="Arial"/>
        </w:rPr>
      </w:pPr>
      <w:r w:rsidRPr="00DB35D4">
        <w:rPr>
          <w:rFonts w:cs="Arial"/>
        </w:rPr>
        <w:t>The national targets are based on Member States’ relative wealth, measured by gross domestic product (GDP) per capita.</w:t>
      </w:r>
    </w:p>
    <w:p w14:paraId="3CFF5755" w14:textId="77777777" w:rsidR="005664B6" w:rsidRPr="00DB35D4" w:rsidRDefault="005664B6" w:rsidP="005664B6">
      <w:pPr>
        <w:rPr>
          <w:rFonts w:cs="Arial"/>
        </w:rPr>
      </w:pPr>
      <w:r w:rsidRPr="00DB35D4">
        <w:rPr>
          <w:rFonts w:cs="Arial"/>
        </w:rPr>
        <w:t>Less wealthy countries have less ambitious targets because their relatively higher economic growth is likely to be a stronger emission driver and they have relatively lower investment capacities.</w:t>
      </w:r>
    </w:p>
    <w:p w14:paraId="2AC62EB9" w14:textId="56B64F97" w:rsidR="005664B6" w:rsidRPr="00DB35D4" w:rsidRDefault="005664B6" w:rsidP="005664B6">
      <w:pPr>
        <w:rPr>
          <w:rFonts w:cs="Arial"/>
        </w:rPr>
      </w:pPr>
      <w:r w:rsidRPr="00DB35D4">
        <w:rPr>
          <w:rFonts w:cs="Arial"/>
        </w:rPr>
        <w:t xml:space="preserve">The </w:t>
      </w:r>
      <w:hyperlink r:id="rId88" w:anchor="page=12" w:history="1">
        <w:r w:rsidRPr="00DB35D4">
          <w:rPr>
            <w:rFonts w:cs="Arial"/>
          </w:rPr>
          <w:t>national emission targets for 2020</w:t>
        </w:r>
      </w:hyperlink>
      <w:r w:rsidRPr="00DB35D4">
        <w:rPr>
          <w:rFonts w:cs="Arial"/>
        </w:rPr>
        <w:t xml:space="preserve"> range from a 20% reduction by 2020 (from 2005 levels) for the richest Member States to a 20% increase for the least wealthy one, Bulgaria. Croatia, which joined the EU on 1 July 2013, can increase emissions by 11%.</w:t>
      </w:r>
    </w:p>
    <w:p w14:paraId="0FFB36B1" w14:textId="77777777" w:rsidR="005664B6" w:rsidRPr="00DB35D4" w:rsidRDefault="005664B6" w:rsidP="005664B6">
      <w:pPr>
        <w:keepNext/>
        <w:rPr>
          <w:rFonts w:cs="Arial"/>
        </w:rPr>
      </w:pPr>
      <w:r w:rsidRPr="00DB35D4">
        <w:rPr>
          <w:rFonts w:cs="Arial"/>
          <w:noProof/>
          <w:lang w:val="es-ES" w:eastAsia="es-ES"/>
        </w:rPr>
        <w:drawing>
          <wp:inline distT="0" distB="0" distL="0" distR="0" wp14:anchorId="5C89C02E" wp14:editId="2B9E8465">
            <wp:extent cx="4897410" cy="2828028"/>
            <wp:effectExtent l="0" t="0" r="0" b="0"/>
            <wp:docPr id="47" name="Εικόνα 11" descr="https://ec.europa.eu/clima/sites/clima/files/effort/images/specific_targ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c.europa.eu/clima/sites/clima/files/effort/images/specific_targets.pn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3012"/>
                    <a:stretch/>
                  </pic:blipFill>
                  <pic:spPr bwMode="auto">
                    <a:xfrm>
                      <a:off x="0" y="0"/>
                      <a:ext cx="4905420" cy="2832654"/>
                    </a:xfrm>
                    <a:prstGeom prst="rect">
                      <a:avLst/>
                    </a:prstGeom>
                    <a:noFill/>
                    <a:ln>
                      <a:noFill/>
                    </a:ln>
                    <a:extLst>
                      <a:ext uri="{53640926-AAD7-44D8-BBD7-CCE9431645EC}">
                        <a14:shadowObscured xmlns:a14="http://schemas.microsoft.com/office/drawing/2010/main"/>
                      </a:ext>
                    </a:extLst>
                  </pic:spPr>
                </pic:pic>
              </a:graphicData>
            </a:graphic>
          </wp:inline>
        </w:drawing>
      </w:r>
    </w:p>
    <w:p w14:paraId="336DE2B8" w14:textId="600429B7" w:rsidR="005664B6" w:rsidRPr="00B07756" w:rsidRDefault="005664B6" w:rsidP="00D84451">
      <w:pPr>
        <w:jc w:val="center"/>
        <w:rPr>
          <w:rFonts w:eastAsia="Calibri" w:cs="Arial"/>
          <w:b/>
          <w:bCs/>
          <w:color w:val="212745" w:themeColor="text2"/>
          <w:sz w:val="20"/>
          <w:szCs w:val="20"/>
          <w:lang w:val="en-GB"/>
        </w:rPr>
      </w:pPr>
      <w:bookmarkStart w:id="250" w:name="_Ref86396110"/>
      <w:bookmarkStart w:id="251" w:name="_Toc90888748"/>
      <w:bookmarkStart w:id="252" w:name="_Toc90893522"/>
      <w:bookmarkStart w:id="253" w:name="_Toc91752528"/>
      <w:r w:rsidRPr="00B07756">
        <w:rPr>
          <w:rFonts w:eastAsia="Calibri" w:cs="Arial"/>
          <w:b/>
          <w:bCs/>
          <w:color w:val="212745" w:themeColor="text2"/>
          <w:sz w:val="20"/>
          <w:szCs w:val="20"/>
          <w:lang w:val="en-GB"/>
        </w:rPr>
        <w:t xml:space="preserve">Figure </w:t>
      </w:r>
      <w:r w:rsidRPr="00B07756">
        <w:rPr>
          <w:rFonts w:eastAsia="Calibri" w:cs="Arial"/>
          <w:b/>
          <w:bCs/>
          <w:color w:val="212745" w:themeColor="text2"/>
          <w:sz w:val="20"/>
          <w:szCs w:val="20"/>
          <w:lang w:val="en-GB"/>
        </w:rPr>
        <w:fldChar w:fldCharType="begin"/>
      </w:r>
      <w:r w:rsidRPr="00B07756">
        <w:rPr>
          <w:rFonts w:eastAsia="Calibri" w:cs="Arial"/>
          <w:b/>
          <w:bCs/>
          <w:color w:val="212745" w:themeColor="text2"/>
          <w:sz w:val="20"/>
          <w:szCs w:val="20"/>
          <w:lang w:val="en-GB"/>
        </w:rPr>
        <w:instrText xml:space="preserve"> SEQ Figure \* ARABIC </w:instrText>
      </w:r>
      <w:r w:rsidRPr="00B07756">
        <w:rPr>
          <w:rFonts w:eastAsia="Calibri" w:cs="Arial"/>
          <w:b/>
          <w:bCs/>
          <w:color w:val="212745" w:themeColor="text2"/>
          <w:sz w:val="20"/>
          <w:szCs w:val="20"/>
          <w:lang w:val="en-GB"/>
        </w:rPr>
        <w:fldChar w:fldCharType="separate"/>
      </w:r>
      <w:r w:rsidR="0073710A">
        <w:rPr>
          <w:rFonts w:eastAsia="Calibri" w:cs="Arial"/>
          <w:b/>
          <w:bCs/>
          <w:noProof/>
          <w:color w:val="212745" w:themeColor="text2"/>
          <w:sz w:val="20"/>
          <w:szCs w:val="20"/>
          <w:lang w:val="en-GB"/>
        </w:rPr>
        <w:t>44</w:t>
      </w:r>
      <w:r w:rsidRPr="00B07756">
        <w:rPr>
          <w:rFonts w:eastAsia="Calibri" w:cs="Arial"/>
          <w:b/>
          <w:bCs/>
          <w:color w:val="212745" w:themeColor="text2"/>
          <w:sz w:val="20"/>
          <w:szCs w:val="20"/>
          <w:lang w:val="en-GB"/>
        </w:rPr>
        <w:fldChar w:fldCharType="end"/>
      </w:r>
      <w:bookmarkEnd w:id="250"/>
      <w:r w:rsidRPr="00B07756">
        <w:rPr>
          <w:rFonts w:eastAsia="Calibri" w:cs="Arial"/>
          <w:b/>
          <w:bCs/>
          <w:color w:val="212745" w:themeColor="text2"/>
          <w:sz w:val="20"/>
          <w:szCs w:val="20"/>
          <w:lang w:val="en-GB"/>
        </w:rPr>
        <w:t xml:space="preserve"> Member state emission reduction targets for 2030 compared to 2005, for sectors outside of EU-ETS including new flexibilities to reaching these targets. Source: https://ec.europa.eu/clima/policies/effort_el#tab-0-0</w:t>
      </w:r>
      <w:bookmarkEnd w:id="251"/>
      <w:bookmarkEnd w:id="252"/>
      <w:bookmarkEnd w:id="253"/>
    </w:p>
    <w:p w14:paraId="199F6C16" w14:textId="77777777" w:rsidR="005664B6" w:rsidRPr="00DB35D4" w:rsidRDefault="005664B6" w:rsidP="005664B6">
      <w:pPr>
        <w:pStyle w:val="Caption"/>
        <w:jc w:val="both"/>
        <w:rPr>
          <w:rFonts w:cs="Arial"/>
          <w:lang w:val="en-US"/>
        </w:rPr>
      </w:pPr>
    </w:p>
    <w:p w14:paraId="14024729" w14:textId="11CB6548" w:rsidR="005664B6" w:rsidRPr="00DB35D4" w:rsidRDefault="005664B6" w:rsidP="005664B6">
      <w:pPr>
        <w:rPr>
          <w:rFonts w:cs="Arial"/>
        </w:rPr>
      </w:pPr>
      <w:r w:rsidRPr="00DB35D4">
        <w:rPr>
          <w:rFonts w:cs="Arial"/>
          <w:b/>
        </w:rPr>
        <w:lastRenderedPageBreak/>
        <w:t>Emission reductions target by 2030: -30%</w:t>
      </w:r>
      <w:r w:rsidRPr="00DB35D4">
        <w:rPr>
          <w:rFonts w:cs="Arial"/>
        </w:rPr>
        <w:t xml:space="preserve"> (</w:t>
      </w:r>
      <w:r w:rsidRPr="00DB35D4">
        <w:rPr>
          <w:rFonts w:cs="Arial"/>
        </w:rPr>
        <w:fldChar w:fldCharType="begin"/>
      </w:r>
      <w:r w:rsidRPr="00DB35D4">
        <w:rPr>
          <w:rFonts w:cs="Arial"/>
        </w:rPr>
        <w:instrText xml:space="preserve"> REF _Ref86396110 \h  \* MERGEFORMAT </w:instrText>
      </w:r>
      <w:r w:rsidRPr="00DB35D4">
        <w:rPr>
          <w:rFonts w:cs="Arial"/>
        </w:rPr>
      </w:r>
      <w:r w:rsidRPr="00DB35D4">
        <w:rPr>
          <w:rFonts w:cs="Arial"/>
        </w:rPr>
        <w:fldChar w:fldCharType="separate"/>
      </w:r>
      <w:r w:rsidR="0073710A" w:rsidRPr="0073710A">
        <w:rPr>
          <w:rFonts w:cs="Arial"/>
          <w:lang w:val="en-GB"/>
        </w:rPr>
        <w:t>Figure 44</w:t>
      </w:r>
      <w:r w:rsidRPr="00DB35D4">
        <w:rPr>
          <w:rFonts w:cs="Arial"/>
        </w:rPr>
        <w:fldChar w:fldCharType="end"/>
      </w:r>
      <w:r w:rsidRPr="00DB35D4">
        <w:rPr>
          <w:rFonts w:cs="Arial"/>
        </w:rPr>
        <w:t>)</w:t>
      </w:r>
    </w:p>
    <w:p w14:paraId="3670A817" w14:textId="7FFF3B93" w:rsidR="005664B6" w:rsidRPr="00DB35D4" w:rsidRDefault="005664B6" w:rsidP="005664B6">
      <w:pPr>
        <w:rPr>
          <w:rFonts w:cs="Arial"/>
        </w:rPr>
      </w:pPr>
      <w:r w:rsidRPr="00DB35D4">
        <w:rPr>
          <w:rFonts w:cs="Arial"/>
        </w:rPr>
        <w:t>The Regulation on binding annual emission reductions by Member States from 2021 to 2030 (</w:t>
      </w:r>
      <w:r w:rsidRPr="00DB35D4">
        <w:rPr>
          <w:rFonts w:cs="Arial"/>
          <w:b/>
          <w:bCs/>
        </w:rPr>
        <w:t>Effort Sharing Regulation</w:t>
      </w:r>
      <w:r w:rsidRPr="00DB35D4">
        <w:rPr>
          <w:rFonts w:cs="Arial"/>
        </w:rPr>
        <w:t xml:space="preserve">) adopted in 2018 is part of the </w:t>
      </w:r>
      <w:hyperlink r:id="rId90" w:history="1">
        <w:r w:rsidRPr="00DB35D4">
          <w:rPr>
            <w:rFonts w:cs="Arial"/>
          </w:rPr>
          <w:t>Energy Union</w:t>
        </w:r>
      </w:hyperlink>
      <w:r w:rsidRPr="00DB35D4">
        <w:rPr>
          <w:rFonts w:cs="Arial"/>
        </w:rPr>
        <w:t xml:space="preserve"> strategy and the EU's implementation of the </w:t>
      </w:r>
      <w:hyperlink r:id="rId91" w:history="1">
        <w:r w:rsidRPr="00DB35D4">
          <w:rPr>
            <w:rFonts w:cs="Arial"/>
          </w:rPr>
          <w:t>Paris Agreement</w:t>
        </w:r>
      </w:hyperlink>
      <w:r w:rsidRPr="00DB35D4">
        <w:rPr>
          <w:rFonts w:cs="Arial"/>
        </w:rPr>
        <w:t>.</w:t>
      </w:r>
    </w:p>
    <w:p w14:paraId="1AED5D0A" w14:textId="7D9D73E7" w:rsidR="005664B6" w:rsidRPr="00DB35D4" w:rsidRDefault="005664B6" w:rsidP="005664B6">
      <w:pPr>
        <w:rPr>
          <w:rFonts w:cs="Arial"/>
        </w:rPr>
      </w:pPr>
      <w:r w:rsidRPr="00DB35D4">
        <w:rPr>
          <w:rFonts w:cs="Arial"/>
        </w:rPr>
        <w:t xml:space="preserve">It sets national </w:t>
      </w:r>
      <w:hyperlink r:id="rId92" w:history="1">
        <w:r w:rsidRPr="00DB35D4">
          <w:rPr>
            <w:rFonts w:cs="Arial"/>
          </w:rPr>
          <w:t>emission reduction targets for 2030</w:t>
        </w:r>
      </w:hyperlink>
      <w:r w:rsidRPr="00DB35D4">
        <w:rPr>
          <w:rFonts w:cs="Arial"/>
        </w:rPr>
        <w:t xml:space="preserve"> for all Member States, ranging from 0% to -40% from 2005 levels.</w:t>
      </w:r>
    </w:p>
    <w:p w14:paraId="1F170494" w14:textId="77777777" w:rsidR="005664B6" w:rsidRPr="00DB35D4" w:rsidRDefault="005664B6" w:rsidP="005664B6">
      <w:pPr>
        <w:rPr>
          <w:rFonts w:cs="Arial"/>
        </w:rPr>
      </w:pPr>
      <w:r w:rsidRPr="00DB35D4">
        <w:rPr>
          <w:rFonts w:cs="Arial"/>
        </w:rPr>
        <w:t>In contrast to sectors in the EU ETS, which are regulated at EU level, Member States are responsible for national policies and measures to limit emissions from the sectors covered by Effort Sharing legislation.</w:t>
      </w:r>
    </w:p>
    <w:p w14:paraId="5117613B" w14:textId="77777777" w:rsidR="005664B6" w:rsidRPr="00DB35D4" w:rsidRDefault="005664B6" w:rsidP="005664B6">
      <w:pPr>
        <w:rPr>
          <w:rFonts w:cs="Arial"/>
        </w:rPr>
      </w:pPr>
      <w:r w:rsidRPr="00DB35D4">
        <w:rPr>
          <w:rFonts w:cs="Arial"/>
        </w:rPr>
        <w:t>Examples of potential policies and measures include:</w:t>
      </w:r>
    </w:p>
    <w:p w14:paraId="08F9E882" w14:textId="77777777" w:rsidR="005664B6" w:rsidRPr="00DB35D4" w:rsidRDefault="005664B6" w:rsidP="00A01330">
      <w:pPr>
        <w:pStyle w:val="ListParagraph"/>
        <w:numPr>
          <w:ilvl w:val="0"/>
          <w:numId w:val="15"/>
        </w:numPr>
        <w:spacing w:before="0" w:after="160"/>
        <w:rPr>
          <w:rFonts w:cs="Arial"/>
        </w:rPr>
      </w:pPr>
      <w:r w:rsidRPr="00DB35D4">
        <w:rPr>
          <w:rFonts w:cs="Arial"/>
        </w:rPr>
        <w:t>reducing transport needs</w:t>
      </w:r>
    </w:p>
    <w:p w14:paraId="76596F0E" w14:textId="77777777" w:rsidR="005664B6" w:rsidRPr="00DB35D4" w:rsidRDefault="005664B6" w:rsidP="00A01330">
      <w:pPr>
        <w:pStyle w:val="ListParagraph"/>
        <w:numPr>
          <w:ilvl w:val="0"/>
          <w:numId w:val="15"/>
        </w:numPr>
        <w:spacing w:before="0" w:after="160"/>
        <w:rPr>
          <w:rFonts w:cs="Arial"/>
        </w:rPr>
      </w:pPr>
      <w:r w:rsidRPr="00DB35D4">
        <w:rPr>
          <w:rFonts w:cs="Arial"/>
        </w:rPr>
        <w:t>promoting public transport</w:t>
      </w:r>
    </w:p>
    <w:p w14:paraId="60067641" w14:textId="77777777" w:rsidR="005664B6" w:rsidRPr="00DB35D4" w:rsidRDefault="005664B6" w:rsidP="00A01330">
      <w:pPr>
        <w:pStyle w:val="ListParagraph"/>
        <w:numPr>
          <w:ilvl w:val="0"/>
          <w:numId w:val="15"/>
        </w:numPr>
        <w:spacing w:before="0" w:after="160"/>
        <w:rPr>
          <w:rFonts w:cs="Arial"/>
        </w:rPr>
      </w:pPr>
      <w:r w:rsidRPr="00DB35D4">
        <w:rPr>
          <w:rFonts w:cs="Arial"/>
        </w:rPr>
        <w:t>a shift away from transport based on fossil fuels</w:t>
      </w:r>
    </w:p>
    <w:p w14:paraId="72F3735A" w14:textId="77777777" w:rsidR="005664B6" w:rsidRPr="00DB35D4" w:rsidRDefault="005664B6" w:rsidP="00A01330">
      <w:pPr>
        <w:pStyle w:val="ListParagraph"/>
        <w:numPr>
          <w:ilvl w:val="0"/>
          <w:numId w:val="15"/>
        </w:numPr>
        <w:spacing w:before="0" w:after="160"/>
        <w:rPr>
          <w:rFonts w:cs="Arial"/>
        </w:rPr>
      </w:pPr>
      <w:r w:rsidRPr="00DB35D4">
        <w:rPr>
          <w:rFonts w:cs="Arial"/>
        </w:rPr>
        <w:t>support schemes for retrofitting buildings</w:t>
      </w:r>
    </w:p>
    <w:p w14:paraId="009D3870" w14:textId="77777777" w:rsidR="005664B6" w:rsidRPr="00DB35D4" w:rsidRDefault="005664B6" w:rsidP="00A01330">
      <w:pPr>
        <w:pStyle w:val="ListParagraph"/>
        <w:numPr>
          <w:ilvl w:val="0"/>
          <w:numId w:val="15"/>
        </w:numPr>
        <w:spacing w:before="0" w:after="160"/>
        <w:rPr>
          <w:rFonts w:cs="Arial"/>
        </w:rPr>
      </w:pPr>
      <w:r w:rsidRPr="00DB35D4">
        <w:rPr>
          <w:rFonts w:cs="Arial"/>
        </w:rPr>
        <w:t>more efficient heating and cooling systems</w:t>
      </w:r>
    </w:p>
    <w:p w14:paraId="2A8AD42A" w14:textId="77777777" w:rsidR="005664B6" w:rsidRPr="00DB35D4" w:rsidRDefault="005664B6" w:rsidP="00A01330">
      <w:pPr>
        <w:pStyle w:val="ListParagraph"/>
        <w:numPr>
          <w:ilvl w:val="0"/>
          <w:numId w:val="15"/>
        </w:numPr>
        <w:spacing w:before="0" w:after="160"/>
        <w:rPr>
          <w:rFonts w:cs="Arial"/>
        </w:rPr>
      </w:pPr>
      <w:r w:rsidRPr="00DB35D4">
        <w:rPr>
          <w:rFonts w:cs="Arial"/>
        </w:rPr>
        <w:t>renewable energy for heating and cooling</w:t>
      </w:r>
    </w:p>
    <w:p w14:paraId="2AFA20EF" w14:textId="77777777" w:rsidR="005664B6" w:rsidRPr="00DB35D4" w:rsidRDefault="005664B6" w:rsidP="00A01330">
      <w:pPr>
        <w:pStyle w:val="ListParagraph"/>
        <w:numPr>
          <w:ilvl w:val="0"/>
          <w:numId w:val="15"/>
        </w:numPr>
        <w:spacing w:before="0" w:after="160"/>
        <w:rPr>
          <w:rFonts w:cs="Arial"/>
        </w:rPr>
      </w:pPr>
      <w:r w:rsidRPr="00DB35D4">
        <w:rPr>
          <w:rFonts w:cs="Arial"/>
        </w:rPr>
        <w:t>more climate-friendly farming practices</w:t>
      </w:r>
    </w:p>
    <w:p w14:paraId="58CE2F5A" w14:textId="77777777" w:rsidR="005664B6" w:rsidRPr="00DB35D4" w:rsidRDefault="005664B6" w:rsidP="00A01330">
      <w:pPr>
        <w:pStyle w:val="ListParagraph"/>
        <w:numPr>
          <w:ilvl w:val="0"/>
          <w:numId w:val="15"/>
        </w:numPr>
        <w:spacing w:before="0" w:after="160"/>
        <w:rPr>
          <w:rFonts w:cs="Arial"/>
        </w:rPr>
      </w:pPr>
      <w:r w:rsidRPr="00DB35D4">
        <w:rPr>
          <w:rFonts w:cs="Arial"/>
        </w:rPr>
        <w:t>conversion of livestock manure to biogas.</w:t>
      </w:r>
    </w:p>
    <w:p w14:paraId="78FB6C91" w14:textId="77777777" w:rsidR="005664B6" w:rsidRPr="00DB35D4" w:rsidRDefault="005664B6" w:rsidP="005664B6">
      <w:pPr>
        <w:rPr>
          <w:rFonts w:cs="Arial"/>
        </w:rPr>
      </w:pPr>
      <w:r w:rsidRPr="00DB35D4">
        <w:rPr>
          <w:rFonts w:cs="Arial"/>
        </w:rPr>
        <w:t>Measures taken at EU level will help Member States to reduce emissions. For example:</w:t>
      </w:r>
    </w:p>
    <w:p w14:paraId="6080E92A" w14:textId="1C746EB7" w:rsidR="005664B6" w:rsidRPr="00DB35D4" w:rsidRDefault="005664B6" w:rsidP="00A01330">
      <w:pPr>
        <w:pStyle w:val="ListParagraph"/>
        <w:numPr>
          <w:ilvl w:val="0"/>
          <w:numId w:val="35"/>
        </w:numPr>
        <w:spacing w:before="0" w:after="160"/>
        <w:rPr>
          <w:rFonts w:cs="Arial"/>
        </w:rPr>
      </w:pPr>
      <w:r w:rsidRPr="00DB35D4">
        <w:rPr>
          <w:rFonts w:cs="Arial"/>
        </w:rPr>
        <w:t>CO</w:t>
      </w:r>
      <w:r w:rsidRPr="00DB35D4">
        <w:rPr>
          <w:rFonts w:cs="Arial"/>
          <w:vertAlign w:val="subscript"/>
        </w:rPr>
        <w:t>2</w:t>
      </w:r>
      <w:r w:rsidRPr="00DB35D4">
        <w:rPr>
          <w:rFonts w:cs="Arial"/>
        </w:rPr>
        <w:t xml:space="preserve"> emission standards for new cars and vans will cut emissions from </w:t>
      </w:r>
      <w:hyperlink r:id="rId93" w:history="1">
        <w:r w:rsidRPr="00DB35D4">
          <w:rPr>
            <w:rFonts w:cs="Arial"/>
          </w:rPr>
          <w:t>road transport</w:t>
        </w:r>
      </w:hyperlink>
    </w:p>
    <w:p w14:paraId="4C7DDF14" w14:textId="77777777" w:rsidR="005664B6" w:rsidRPr="00DB35D4" w:rsidRDefault="005664B6" w:rsidP="00A01330">
      <w:pPr>
        <w:pStyle w:val="ListParagraph"/>
        <w:numPr>
          <w:ilvl w:val="0"/>
          <w:numId w:val="35"/>
        </w:numPr>
        <w:spacing w:before="0" w:after="160"/>
        <w:rPr>
          <w:rFonts w:cs="Arial"/>
        </w:rPr>
      </w:pPr>
      <w:r w:rsidRPr="00DB35D4">
        <w:rPr>
          <w:rFonts w:cs="Arial"/>
        </w:rPr>
        <w:t>Emission reductions from buildings will be aided by measures to improve the energy performance of buildings, eco-design requirements for energy-related products, and energy labelling systems to inform consumers</w:t>
      </w:r>
    </w:p>
    <w:p w14:paraId="13E3CE8C" w14:textId="39C81775" w:rsidR="005664B6" w:rsidRPr="00DB35D4" w:rsidRDefault="005664B6" w:rsidP="00A01330">
      <w:pPr>
        <w:pStyle w:val="ListParagraph"/>
        <w:numPr>
          <w:ilvl w:val="0"/>
          <w:numId w:val="35"/>
        </w:numPr>
        <w:spacing w:before="0" w:after="160"/>
        <w:rPr>
          <w:rFonts w:cs="Arial"/>
        </w:rPr>
      </w:pPr>
      <w:r w:rsidRPr="00DB35D4">
        <w:rPr>
          <w:rFonts w:cs="Arial"/>
        </w:rPr>
        <w:t xml:space="preserve">Restrictions on </w:t>
      </w:r>
      <w:hyperlink r:id="rId94" w:history="1">
        <w:r w:rsidRPr="00DB35D4">
          <w:rPr>
            <w:rFonts w:cs="Arial"/>
          </w:rPr>
          <w:t>fluorinated industrial gases</w:t>
        </w:r>
      </w:hyperlink>
      <w:r w:rsidRPr="00DB35D4">
        <w:rPr>
          <w:rFonts w:cs="Arial"/>
        </w:rPr>
        <w:t xml:space="preserve"> (F-gases) and implementation of other EU environmental policies, e.g., on soil protection and waste, will also contribute to reaching the national targets.</w:t>
      </w:r>
    </w:p>
    <w:p w14:paraId="257780E4" w14:textId="4C38A717" w:rsidR="005664B6" w:rsidRPr="00DB35D4" w:rsidRDefault="005664B6" w:rsidP="005664B6">
      <w:pPr>
        <w:rPr>
          <w:rFonts w:cs="Arial"/>
        </w:rPr>
      </w:pPr>
      <w:r w:rsidRPr="00DB35D4">
        <w:rPr>
          <w:rFonts w:cs="Arial"/>
        </w:rPr>
        <w:t xml:space="preserve">The Effort Sharing Decision covers the six greenhouse gases controlled by the </w:t>
      </w:r>
      <w:hyperlink r:id="rId95" w:history="1">
        <w:r w:rsidRPr="00DB35D4">
          <w:rPr>
            <w:rFonts w:cs="Arial"/>
          </w:rPr>
          <w:t>Kyoto Protocol</w:t>
        </w:r>
      </w:hyperlink>
      <w:r w:rsidRPr="00DB35D4">
        <w:rPr>
          <w:rFonts w:cs="Arial"/>
        </w:rPr>
        <w:t xml:space="preserve"> during its first commitment period (2008-2012): </w:t>
      </w:r>
    </w:p>
    <w:p w14:paraId="74986EDC" w14:textId="77777777" w:rsidR="005664B6" w:rsidRPr="00DB35D4" w:rsidRDefault="005664B6" w:rsidP="00A01330">
      <w:pPr>
        <w:pStyle w:val="ListParagraph"/>
        <w:numPr>
          <w:ilvl w:val="0"/>
          <w:numId w:val="16"/>
        </w:numPr>
        <w:spacing w:before="0" w:after="160"/>
        <w:rPr>
          <w:rFonts w:cs="Arial"/>
        </w:rPr>
      </w:pPr>
      <w:r w:rsidRPr="00DB35D4">
        <w:rPr>
          <w:rFonts w:cs="Arial"/>
        </w:rPr>
        <w:t>Carbon dioxide (CO</w:t>
      </w:r>
      <w:r w:rsidRPr="00DB35D4">
        <w:rPr>
          <w:rFonts w:cs="Arial"/>
          <w:vertAlign w:val="subscript"/>
        </w:rPr>
        <w:t>2</w:t>
      </w:r>
      <w:r w:rsidRPr="00DB35D4">
        <w:rPr>
          <w:rFonts w:cs="Arial"/>
        </w:rPr>
        <w:t>)</w:t>
      </w:r>
    </w:p>
    <w:p w14:paraId="16E1EB6E" w14:textId="77777777" w:rsidR="005664B6" w:rsidRPr="00DB35D4" w:rsidRDefault="005664B6" w:rsidP="00A01330">
      <w:pPr>
        <w:pStyle w:val="ListParagraph"/>
        <w:numPr>
          <w:ilvl w:val="0"/>
          <w:numId w:val="16"/>
        </w:numPr>
        <w:spacing w:before="0" w:after="160"/>
        <w:rPr>
          <w:rFonts w:cs="Arial"/>
        </w:rPr>
      </w:pPr>
      <w:r w:rsidRPr="00DB35D4">
        <w:rPr>
          <w:rFonts w:cs="Arial"/>
        </w:rPr>
        <w:t>Methane (CH</w:t>
      </w:r>
      <w:r w:rsidRPr="00DB35D4">
        <w:rPr>
          <w:rFonts w:cs="Arial"/>
          <w:vertAlign w:val="subscript"/>
        </w:rPr>
        <w:t>4</w:t>
      </w:r>
      <w:r w:rsidRPr="00DB35D4">
        <w:rPr>
          <w:rFonts w:cs="Arial"/>
        </w:rPr>
        <w:t>)</w:t>
      </w:r>
    </w:p>
    <w:p w14:paraId="74119806" w14:textId="77777777" w:rsidR="005664B6" w:rsidRPr="00DB35D4" w:rsidRDefault="005664B6" w:rsidP="00A01330">
      <w:pPr>
        <w:pStyle w:val="ListParagraph"/>
        <w:numPr>
          <w:ilvl w:val="0"/>
          <w:numId w:val="16"/>
        </w:numPr>
        <w:spacing w:before="0" w:after="160"/>
        <w:rPr>
          <w:rFonts w:cs="Arial"/>
        </w:rPr>
      </w:pPr>
      <w:r w:rsidRPr="00DB35D4">
        <w:rPr>
          <w:rFonts w:cs="Arial"/>
        </w:rPr>
        <w:lastRenderedPageBreak/>
        <w:t>Nitrous oxide (N</w:t>
      </w:r>
      <w:r w:rsidRPr="00DB35D4">
        <w:rPr>
          <w:rFonts w:cs="Arial"/>
          <w:vertAlign w:val="subscript"/>
        </w:rPr>
        <w:t>2</w:t>
      </w:r>
      <w:r w:rsidRPr="00DB35D4">
        <w:rPr>
          <w:rFonts w:cs="Arial"/>
        </w:rPr>
        <w:t>O)</w:t>
      </w:r>
    </w:p>
    <w:p w14:paraId="62021FCE" w14:textId="77777777" w:rsidR="005664B6" w:rsidRPr="00DB35D4" w:rsidRDefault="005664B6" w:rsidP="00A01330">
      <w:pPr>
        <w:pStyle w:val="ListParagraph"/>
        <w:numPr>
          <w:ilvl w:val="0"/>
          <w:numId w:val="16"/>
        </w:numPr>
        <w:spacing w:before="0" w:after="160"/>
        <w:rPr>
          <w:rFonts w:cs="Arial"/>
        </w:rPr>
      </w:pPr>
      <w:r w:rsidRPr="00DB35D4">
        <w:rPr>
          <w:rFonts w:cs="Arial"/>
        </w:rPr>
        <w:t>Hydrofluorocarbons (HFCs)</w:t>
      </w:r>
    </w:p>
    <w:p w14:paraId="068B04F8" w14:textId="77777777" w:rsidR="005664B6" w:rsidRPr="00DB35D4" w:rsidRDefault="005664B6" w:rsidP="00A01330">
      <w:pPr>
        <w:pStyle w:val="ListParagraph"/>
        <w:numPr>
          <w:ilvl w:val="0"/>
          <w:numId w:val="16"/>
        </w:numPr>
        <w:spacing w:before="0" w:after="160"/>
        <w:rPr>
          <w:rFonts w:cs="Arial"/>
        </w:rPr>
      </w:pPr>
      <w:r w:rsidRPr="00DB35D4">
        <w:rPr>
          <w:rFonts w:cs="Arial"/>
        </w:rPr>
        <w:t>Perfluorocarbons (PFCs)</w:t>
      </w:r>
    </w:p>
    <w:p w14:paraId="1E4A5D7C" w14:textId="77777777" w:rsidR="005664B6" w:rsidRPr="00DB35D4" w:rsidRDefault="005664B6" w:rsidP="00A01330">
      <w:pPr>
        <w:pStyle w:val="ListParagraph"/>
        <w:numPr>
          <w:ilvl w:val="0"/>
          <w:numId w:val="16"/>
        </w:numPr>
        <w:spacing w:before="0" w:after="160"/>
        <w:rPr>
          <w:rFonts w:cs="Arial"/>
        </w:rPr>
      </w:pPr>
      <w:r w:rsidRPr="00DB35D4">
        <w:rPr>
          <w:rFonts w:cs="Arial"/>
        </w:rPr>
        <w:t>Sulphur hexafluoride (SF</w:t>
      </w:r>
      <w:r w:rsidRPr="00DB35D4">
        <w:rPr>
          <w:rFonts w:cs="Arial"/>
          <w:vertAlign w:val="subscript"/>
        </w:rPr>
        <w:t>6</w:t>
      </w:r>
      <w:r w:rsidRPr="00DB35D4">
        <w:rPr>
          <w:rFonts w:cs="Arial"/>
        </w:rPr>
        <w:t>).</w:t>
      </w:r>
    </w:p>
    <w:p w14:paraId="25F12B26" w14:textId="77777777" w:rsidR="005664B6" w:rsidRPr="00DB35D4" w:rsidRDefault="005664B6" w:rsidP="005664B6">
      <w:pPr>
        <w:rPr>
          <w:rFonts w:cs="Arial"/>
        </w:rPr>
      </w:pPr>
      <w:r w:rsidRPr="00DB35D4">
        <w:rPr>
          <w:rFonts w:cs="Arial"/>
        </w:rPr>
        <w:t xml:space="preserve">The Effort Sharing Regulation adds to </w:t>
      </w:r>
      <w:proofErr w:type="gramStart"/>
      <w:r w:rsidRPr="00DB35D4">
        <w:rPr>
          <w:rFonts w:cs="Arial"/>
        </w:rPr>
        <w:t>those nitrogen trifluoride (NF</w:t>
      </w:r>
      <w:r w:rsidRPr="00DB35D4">
        <w:rPr>
          <w:rFonts w:cs="Arial"/>
          <w:vertAlign w:val="subscript"/>
        </w:rPr>
        <w:t>3</w:t>
      </w:r>
      <w:r w:rsidRPr="00DB35D4">
        <w:rPr>
          <w:rFonts w:cs="Arial"/>
        </w:rPr>
        <w:t>)</w:t>
      </w:r>
      <w:proofErr w:type="gramEnd"/>
      <w:r w:rsidRPr="00DB35D4">
        <w:rPr>
          <w:rFonts w:cs="Arial"/>
        </w:rPr>
        <w:t>, which is a very small source in the EU.</w:t>
      </w:r>
    </w:p>
    <w:p w14:paraId="30112720" w14:textId="77777777" w:rsidR="005664B6" w:rsidRPr="00DB35D4" w:rsidRDefault="005664B6" w:rsidP="005664B6">
      <w:pPr>
        <w:rPr>
          <w:rFonts w:cs="Arial"/>
        </w:rPr>
      </w:pPr>
      <w:r w:rsidRPr="00DB35D4">
        <w:rPr>
          <w:rFonts w:cs="Arial"/>
        </w:rPr>
        <w:t>The targets apply to domestic greenhouse gas emissions from IPCC source categories of energy, industrial processes and product use, agriculture, and waste.</w:t>
      </w:r>
    </w:p>
    <w:p w14:paraId="1D16B3B2" w14:textId="0334A21A" w:rsidR="005664B6" w:rsidRPr="00DB35D4" w:rsidRDefault="005664B6" w:rsidP="005664B6">
      <w:pPr>
        <w:rPr>
          <w:rFonts w:cs="Arial"/>
          <w:b/>
        </w:rPr>
      </w:pPr>
      <w:r w:rsidRPr="00DB35D4">
        <w:rPr>
          <w:rFonts w:cs="Arial"/>
          <w:b/>
        </w:rPr>
        <w:t xml:space="preserve">They do not apply to emissions covered by the </w:t>
      </w:r>
      <w:hyperlink r:id="rId96" w:history="1">
        <w:r w:rsidRPr="00DB35D4">
          <w:rPr>
            <w:rFonts w:cs="Arial"/>
            <w:b/>
          </w:rPr>
          <w:t>EU ETS</w:t>
        </w:r>
      </w:hyperlink>
      <w:r w:rsidRPr="00DB35D4">
        <w:rPr>
          <w:rFonts w:cs="Arial"/>
          <w:b/>
        </w:rPr>
        <w:t xml:space="preserve"> and emissions and removals from land use, emission and removals from land use change and forestry (LULUCF), which are covered by the </w:t>
      </w:r>
      <w:hyperlink r:id="rId97" w:history="1">
        <w:r w:rsidRPr="00DB35D4">
          <w:rPr>
            <w:rFonts w:cs="Arial"/>
            <w:b/>
          </w:rPr>
          <w:t>Kyoto Protocol</w:t>
        </w:r>
      </w:hyperlink>
      <w:r w:rsidRPr="00DB35D4">
        <w:rPr>
          <w:rFonts w:cs="Arial"/>
          <w:b/>
        </w:rPr>
        <w:t xml:space="preserve"> and from 2021 by the </w:t>
      </w:r>
      <w:hyperlink r:id="rId98" w:history="1">
        <w:r w:rsidRPr="00DB35D4">
          <w:rPr>
            <w:rFonts w:cs="Arial"/>
            <w:b/>
          </w:rPr>
          <w:t>LULUCF Regulation</w:t>
        </w:r>
      </w:hyperlink>
      <w:r w:rsidRPr="00DB35D4">
        <w:rPr>
          <w:rFonts w:cs="Arial"/>
          <w:b/>
        </w:rPr>
        <w:t>.</w:t>
      </w:r>
    </w:p>
    <w:p w14:paraId="0AF86891" w14:textId="77777777" w:rsidR="005664B6" w:rsidRPr="00DB35D4" w:rsidRDefault="005664B6" w:rsidP="005664B6">
      <w:pPr>
        <w:keepNext/>
        <w:rPr>
          <w:rFonts w:cs="Arial"/>
        </w:rPr>
      </w:pPr>
      <w:r w:rsidRPr="00DB35D4">
        <w:rPr>
          <w:rFonts w:cs="Arial"/>
          <w:noProof/>
          <w:lang w:val="es-ES" w:eastAsia="es-ES"/>
        </w:rPr>
        <w:drawing>
          <wp:inline distT="0" distB="0" distL="0" distR="0" wp14:anchorId="7B49EECE" wp14:editId="74093851">
            <wp:extent cx="5351716" cy="3983182"/>
            <wp:effectExtent l="0" t="0" r="1905" b="0"/>
            <wp:docPr id="48" name="Εικόνα 20" descr="Εικόνα που περιέχει κείμενο, φορητός υπολογιστής, στιγμιότυπο οθόνης, υπολογιστή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Εικόνα 342" descr="Εικόνα που περιέχει κείμενο, φορητός υπολογιστής, στιγμιότυπο οθόνης, υπολογιστής&#10;&#10;Περιγραφή που δημιουργήθηκε αυτόματα"/>
                    <pic:cNvPicPr/>
                  </pic:nvPicPr>
                  <pic:blipFill rotWithShape="1">
                    <a:blip r:embed="rId99"/>
                    <a:srcRect t="51043" r="57491" b="13800"/>
                    <a:stretch/>
                  </pic:blipFill>
                  <pic:spPr bwMode="auto">
                    <a:xfrm>
                      <a:off x="0" y="0"/>
                      <a:ext cx="5356867" cy="3987015"/>
                    </a:xfrm>
                    <a:prstGeom prst="rect">
                      <a:avLst/>
                    </a:prstGeom>
                    <a:ln>
                      <a:noFill/>
                    </a:ln>
                    <a:extLst>
                      <a:ext uri="{53640926-AAD7-44D8-BBD7-CCE9431645EC}">
                        <a14:shadowObscured xmlns:a14="http://schemas.microsoft.com/office/drawing/2010/main"/>
                      </a:ext>
                    </a:extLst>
                  </pic:spPr>
                </pic:pic>
              </a:graphicData>
            </a:graphic>
          </wp:inline>
        </w:drawing>
      </w:r>
    </w:p>
    <w:p w14:paraId="76D03F4A" w14:textId="14321FD4" w:rsidR="005664B6" w:rsidRPr="00B07756" w:rsidRDefault="005664B6" w:rsidP="00D84451">
      <w:pPr>
        <w:jc w:val="center"/>
        <w:rPr>
          <w:rFonts w:eastAsia="Calibri" w:cs="Arial"/>
          <w:b/>
          <w:bCs/>
          <w:color w:val="212745" w:themeColor="text2"/>
          <w:sz w:val="20"/>
          <w:szCs w:val="20"/>
          <w:lang w:val="en-GB"/>
        </w:rPr>
      </w:pPr>
      <w:bookmarkStart w:id="254" w:name="_Toc90888749"/>
      <w:bookmarkStart w:id="255" w:name="_Toc90893523"/>
      <w:bookmarkStart w:id="256" w:name="_Toc91752529"/>
      <w:r w:rsidRPr="00B07756">
        <w:rPr>
          <w:rFonts w:eastAsia="Calibri" w:cs="Arial"/>
          <w:b/>
          <w:bCs/>
          <w:color w:val="212745" w:themeColor="text2"/>
          <w:sz w:val="20"/>
          <w:szCs w:val="20"/>
          <w:lang w:val="en-GB"/>
        </w:rPr>
        <w:t xml:space="preserve">Figure </w:t>
      </w:r>
      <w:r w:rsidRPr="00B07756">
        <w:rPr>
          <w:rFonts w:eastAsia="Calibri" w:cs="Arial"/>
          <w:b/>
          <w:bCs/>
          <w:color w:val="212745" w:themeColor="text2"/>
          <w:sz w:val="20"/>
          <w:szCs w:val="20"/>
          <w:lang w:val="en-GB"/>
        </w:rPr>
        <w:fldChar w:fldCharType="begin"/>
      </w:r>
      <w:r w:rsidRPr="00B07756">
        <w:rPr>
          <w:rFonts w:eastAsia="Calibri" w:cs="Arial"/>
          <w:b/>
          <w:bCs/>
          <w:color w:val="212745" w:themeColor="text2"/>
          <w:sz w:val="20"/>
          <w:szCs w:val="20"/>
          <w:lang w:val="en-GB"/>
        </w:rPr>
        <w:instrText xml:space="preserve"> SEQ Figure \* ARABIC </w:instrText>
      </w:r>
      <w:r w:rsidRPr="00B07756">
        <w:rPr>
          <w:rFonts w:eastAsia="Calibri" w:cs="Arial"/>
          <w:b/>
          <w:bCs/>
          <w:color w:val="212745" w:themeColor="text2"/>
          <w:sz w:val="20"/>
          <w:szCs w:val="20"/>
          <w:lang w:val="en-GB"/>
        </w:rPr>
        <w:fldChar w:fldCharType="separate"/>
      </w:r>
      <w:r w:rsidR="0073710A">
        <w:rPr>
          <w:rFonts w:eastAsia="Calibri" w:cs="Arial"/>
          <w:b/>
          <w:bCs/>
          <w:noProof/>
          <w:color w:val="212745" w:themeColor="text2"/>
          <w:sz w:val="20"/>
          <w:szCs w:val="20"/>
          <w:lang w:val="en-GB"/>
        </w:rPr>
        <w:t>45</w:t>
      </w:r>
      <w:r w:rsidRPr="00B07756">
        <w:rPr>
          <w:rFonts w:eastAsia="Calibri" w:cs="Arial"/>
          <w:b/>
          <w:bCs/>
          <w:color w:val="212745" w:themeColor="text2"/>
          <w:sz w:val="20"/>
          <w:szCs w:val="20"/>
          <w:lang w:val="en-GB"/>
        </w:rPr>
        <w:fldChar w:fldCharType="end"/>
      </w:r>
      <w:r w:rsidRPr="00B07756">
        <w:rPr>
          <w:rFonts w:eastAsia="Calibri" w:cs="Arial"/>
          <w:b/>
          <w:bCs/>
          <w:color w:val="212745" w:themeColor="text2"/>
          <w:sz w:val="20"/>
          <w:szCs w:val="20"/>
          <w:lang w:val="en-GB"/>
        </w:rPr>
        <w:t xml:space="preserve"> Greenhouse gas emissions in ESD sectors. Source: Eurostat, https://ec.europa.eu/eurostat/tgm/refreshTableAction.do?tab=table&amp;plugin=1&amp;pcode=t2020</w:t>
      </w:r>
      <w:bookmarkEnd w:id="254"/>
      <w:bookmarkEnd w:id="255"/>
      <w:bookmarkEnd w:id="256"/>
    </w:p>
    <w:p w14:paraId="2E18F810" w14:textId="77777777" w:rsidR="005664B6" w:rsidRPr="00DB35D4" w:rsidRDefault="005664B6" w:rsidP="005664B6">
      <w:pPr>
        <w:pStyle w:val="Caption"/>
        <w:jc w:val="both"/>
        <w:rPr>
          <w:rFonts w:cs="Arial"/>
          <w:b w:val="0"/>
          <w:lang w:val="en-US"/>
        </w:rPr>
      </w:pPr>
    </w:p>
    <w:p w14:paraId="5B0FFB19" w14:textId="77777777" w:rsidR="005664B6" w:rsidRPr="00DB35D4" w:rsidRDefault="005664B6" w:rsidP="005664B6">
      <w:pPr>
        <w:pStyle w:val="MAIL11"/>
      </w:pPr>
      <w:bookmarkStart w:id="257" w:name="_Toc18677153"/>
      <w:r w:rsidRPr="00DB35D4">
        <w:rPr>
          <w:rStyle w:val="MAIL11Char"/>
        </w:rPr>
        <w:lastRenderedPageBreak/>
        <w:t xml:space="preserve"> </w:t>
      </w:r>
      <w:bookmarkStart w:id="258" w:name="_Toc90892989"/>
      <w:bookmarkStart w:id="259" w:name="_Toc91752443"/>
      <w:r w:rsidRPr="003B564D">
        <w:rPr>
          <w:rStyle w:val="MAIL11Char"/>
          <w:b/>
          <w:bCs/>
        </w:rPr>
        <w:t>LULUCF</w:t>
      </w:r>
      <w:r w:rsidRPr="00DB35D4">
        <w:t xml:space="preserve"> and United Nations Framework Convention on Climate Change</w:t>
      </w:r>
      <w:bookmarkEnd w:id="257"/>
      <w:r w:rsidRPr="00DB35D4">
        <w:t xml:space="preserve"> (UNFCCC)</w:t>
      </w:r>
      <w:bookmarkEnd w:id="258"/>
      <w:bookmarkEnd w:id="259"/>
    </w:p>
    <w:p w14:paraId="0F20D88F" w14:textId="77777777" w:rsidR="005664B6" w:rsidRPr="00DB35D4" w:rsidRDefault="005664B6" w:rsidP="005664B6">
      <w:pPr>
        <w:rPr>
          <w:rFonts w:cs="Arial"/>
        </w:rPr>
      </w:pPr>
      <w:r w:rsidRPr="00DB35D4">
        <w:rPr>
          <w:rFonts w:cs="Arial"/>
        </w:rPr>
        <w:t>It is well documented that the rate of build-up of CO</w:t>
      </w:r>
      <w:r w:rsidRPr="00DB35D4">
        <w:rPr>
          <w:rFonts w:cs="Arial"/>
          <w:vertAlign w:val="subscript"/>
        </w:rPr>
        <w:t>2</w:t>
      </w:r>
      <w:r w:rsidRPr="00DB35D4">
        <w:rPr>
          <w:rFonts w:cs="Arial"/>
        </w:rPr>
        <w:t xml:space="preserve"> in the atmosphere can be reduced by taking advantage of the fact that atmospheric CO</w:t>
      </w:r>
      <w:r w:rsidRPr="00DB35D4">
        <w:rPr>
          <w:rFonts w:cs="Arial"/>
          <w:vertAlign w:val="subscript"/>
        </w:rPr>
        <w:t>2</w:t>
      </w:r>
      <w:r w:rsidRPr="00DB35D4">
        <w:rPr>
          <w:rFonts w:cs="Arial"/>
        </w:rPr>
        <w:t xml:space="preserve"> can accumulate as carbon in vegetation and soils in terrestrial ecosystems. Under the United Nations Framework Convention on Climate Change any process, activity or mechanism which removes a greenhouse gas from the atmosphere is referred to as a "sink". Human activities impact terrestrial sinks, through land use, land-use change and forestry (LULUCF) activities, consequently, the exchange of CO2 (carbon cycle) between the terrestrial biosphere system and the atmosphere is altered.</w:t>
      </w:r>
    </w:p>
    <w:p w14:paraId="7A209DB1" w14:textId="77777777" w:rsidR="005664B6" w:rsidRPr="00DB35D4" w:rsidRDefault="005664B6" w:rsidP="005664B6">
      <w:pPr>
        <w:rPr>
          <w:rFonts w:cs="Arial"/>
        </w:rPr>
      </w:pPr>
      <w:r w:rsidRPr="00DB35D4">
        <w:rPr>
          <w:rFonts w:cs="Arial"/>
        </w:rPr>
        <w:t>The role of LULUCF activities in the mitigation of climate change has long been recognized. Mitigation can be achieved through activities in the LULUCF sector that increase the removals of greenhouse gases (GHGs) from the atmosphere or decrease emissions by sources leading to an accumulation of carbon stocks. An important feature of LULUCF activities in this context is their potential reversibility hence, non-permanence of the accumulated carbon stocks.</w:t>
      </w:r>
    </w:p>
    <w:p w14:paraId="504E94E6" w14:textId="6C593C94" w:rsidR="005664B6" w:rsidRPr="00DB35D4" w:rsidRDefault="005664B6" w:rsidP="005664B6">
      <w:pPr>
        <w:rPr>
          <w:rFonts w:cs="Arial"/>
        </w:rPr>
      </w:pPr>
      <w:r w:rsidRPr="00DB35D4">
        <w:rPr>
          <w:rFonts w:cs="Arial"/>
        </w:rPr>
        <w:t>Forests present a significant global carbon stock accumulated through growth of trees and an increase in soil carbon. Estimates made for Global Forest Resources Assessment 2010 (</w:t>
      </w:r>
      <w:hyperlink r:id="rId100" w:history="1">
        <w:r w:rsidRPr="00DB35D4">
          <w:rPr>
            <w:rStyle w:val="Hyperlink"/>
            <w:rFonts w:cs="Arial"/>
          </w:rPr>
          <w:t>FRA 2015</w:t>
        </w:r>
      </w:hyperlink>
      <w:r w:rsidRPr="00DB35D4">
        <w:rPr>
          <w:rFonts w:cs="Arial"/>
        </w:rPr>
        <w:t xml:space="preserve">) show that the world's forests and other wooded lands store more than 485 gigatons (1 Gt=1 billion tones) of carbon, 260 Gt in the biomass (53 percent), 37 Gt in dead wood and litter (8 percent) and 189 Gt in soil (39 percent). While </w:t>
      </w:r>
      <w:r w:rsidRPr="00DB35D4">
        <w:rPr>
          <w:rFonts w:cs="Arial"/>
          <w:b/>
        </w:rPr>
        <w:t>sustainable management, planting and rehabilitation of forests</w:t>
      </w:r>
      <w:r w:rsidRPr="00DB35D4">
        <w:rPr>
          <w:rFonts w:cs="Arial"/>
        </w:rPr>
        <w:t xml:space="preserve"> can conserve or increase forest carbon stocks. </w:t>
      </w:r>
      <w:r w:rsidRPr="00DB35D4">
        <w:rPr>
          <w:rFonts w:cs="Arial"/>
          <w:b/>
        </w:rPr>
        <w:t>Deforestation, degradation, and poor forest management</w:t>
      </w:r>
      <w:r w:rsidRPr="00DB35D4">
        <w:rPr>
          <w:rFonts w:cs="Arial"/>
        </w:rPr>
        <w:t xml:space="preserve"> do reduce carbon stocks. For the world, </w:t>
      </w:r>
      <w:r w:rsidRPr="00DB35D4">
        <w:rPr>
          <w:rFonts w:cs="Arial"/>
          <w:b/>
        </w:rPr>
        <w:t>carbon stocks in forest biomass</w:t>
      </w:r>
      <w:r w:rsidRPr="00DB35D4">
        <w:rPr>
          <w:rFonts w:cs="Arial"/>
        </w:rPr>
        <w:t xml:space="preserve"> decreased by an estimated 0.22 Gt annually during the period 2011-2015. This was mainly because of a reduction in the global forest area. The 2019 Forest wildfires in Amazon but also in Africa and all around the world has decreased even more the carbon sinks</w:t>
      </w:r>
      <w:sdt>
        <w:sdtPr>
          <w:rPr>
            <w:rFonts w:cs="Arial"/>
          </w:rPr>
          <w:id w:val="-822267969"/>
          <w:citation/>
        </w:sdtPr>
        <w:sdtEndPr/>
        <w:sdtContent>
          <w:r w:rsidRPr="00DB35D4">
            <w:rPr>
              <w:rFonts w:cs="Arial"/>
            </w:rPr>
            <w:fldChar w:fldCharType="begin"/>
          </w:r>
          <w:r w:rsidRPr="00DB35D4">
            <w:rPr>
              <w:rFonts w:cs="Arial"/>
            </w:rPr>
            <w:instrText xml:space="preserve"> CITATION Ama \l 1033 </w:instrText>
          </w:r>
          <w:r w:rsidRPr="00DB35D4">
            <w:rPr>
              <w:rFonts w:cs="Arial"/>
            </w:rPr>
            <w:fldChar w:fldCharType="separate"/>
          </w:r>
          <w:r w:rsidR="00487700">
            <w:rPr>
              <w:rFonts w:cs="Arial"/>
              <w:noProof/>
            </w:rPr>
            <w:t xml:space="preserve"> </w:t>
          </w:r>
          <w:r w:rsidR="00487700" w:rsidRPr="00487700">
            <w:rPr>
              <w:rFonts w:cs="Arial"/>
              <w:noProof/>
            </w:rPr>
            <w:t>(Amazon rainforest fires: How it affects the world and you)</w:t>
          </w:r>
          <w:r w:rsidRPr="00DB35D4">
            <w:rPr>
              <w:rFonts w:cs="Arial"/>
            </w:rPr>
            <w:fldChar w:fldCharType="end"/>
          </w:r>
        </w:sdtContent>
      </w:sdt>
      <w:r w:rsidRPr="00DB35D4">
        <w:rPr>
          <w:rFonts w:cs="Arial"/>
        </w:rPr>
        <w:t xml:space="preserve">. </w:t>
      </w:r>
    </w:p>
    <w:p w14:paraId="71B3104C" w14:textId="77777777" w:rsidR="005664B6" w:rsidRPr="00DB35D4" w:rsidRDefault="005664B6" w:rsidP="005664B6">
      <w:pPr>
        <w:rPr>
          <w:rStyle w:val="Strong"/>
          <w:rFonts w:cs="Arial"/>
        </w:rPr>
      </w:pPr>
      <w:r w:rsidRPr="00DB35D4">
        <w:rPr>
          <w:rStyle w:val="Strong"/>
          <w:rFonts w:cs="Arial"/>
        </w:rPr>
        <w:t>Topics relating to LULUCF</w:t>
      </w:r>
    </w:p>
    <w:p w14:paraId="7D851E27" w14:textId="306109C3" w:rsidR="005664B6" w:rsidRPr="00DB35D4" w:rsidRDefault="005664B6" w:rsidP="005664B6">
      <w:pPr>
        <w:rPr>
          <w:rFonts w:cs="Arial"/>
        </w:rPr>
      </w:pPr>
      <w:r w:rsidRPr="00DB35D4">
        <w:rPr>
          <w:rFonts w:cs="Arial"/>
        </w:rPr>
        <w:t xml:space="preserve">Article 4 of the </w:t>
      </w:r>
      <w:hyperlink r:id="rId101" w:tgtFrame="_self" w:history="1">
        <w:r w:rsidRPr="00DB35D4">
          <w:rPr>
            <w:rStyle w:val="Hyperlink"/>
            <w:rFonts w:cs="Arial"/>
          </w:rPr>
          <w:t>United Nations Framework Convention on Climate Change</w:t>
        </w:r>
      </w:hyperlink>
      <w:r w:rsidRPr="00DB35D4">
        <w:rPr>
          <w:rFonts w:cs="Arial"/>
        </w:rPr>
        <w:t xml:space="preserve"> (UNFCCC) identifies commitments of all Parties, taking into account their common but differentiated responsibilities and their specific national and regional development priorities, objectives and circumstances. Article 4, paragraph 1(d) </w:t>
      </w:r>
      <w:r w:rsidRPr="00DB35D4">
        <w:rPr>
          <w:rFonts w:cs="Arial"/>
          <w:b/>
        </w:rPr>
        <w:t xml:space="preserve">identifies commitment to promote </w:t>
      </w:r>
      <w:r w:rsidRPr="00DB35D4">
        <w:rPr>
          <w:rFonts w:cs="Arial"/>
          <w:b/>
        </w:rPr>
        <w:lastRenderedPageBreak/>
        <w:t>sustainable management, and promote and cooperate in the conservation and enhancement, as appropriate, of sinks and reservoirs of all GHGs</w:t>
      </w:r>
      <w:r w:rsidRPr="00DB35D4">
        <w:rPr>
          <w:rFonts w:cs="Arial"/>
        </w:rPr>
        <w:t xml:space="preserve"> not controlled by the Montreal Protocol, including biomass, forests, and oceans as well as other terrestrial, </w:t>
      </w:r>
      <w:proofErr w:type="gramStart"/>
      <w:r w:rsidRPr="00DB35D4">
        <w:rPr>
          <w:rFonts w:cs="Arial"/>
        </w:rPr>
        <w:t>coastal</w:t>
      </w:r>
      <w:proofErr w:type="gramEnd"/>
      <w:r w:rsidRPr="00DB35D4">
        <w:rPr>
          <w:rFonts w:cs="Arial"/>
        </w:rPr>
        <w:t xml:space="preserve"> and marine ecosystems. Article 4, paragraph 1(a) identifies further commitment to develop, periodically update, </w:t>
      </w:r>
      <w:proofErr w:type="gramStart"/>
      <w:r w:rsidRPr="00DB35D4">
        <w:rPr>
          <w:rFonts w:cs="Arial"/>
        </w:rPr>
        <w:t>publish</w:t>
      </w:r>
      <w:proofErr w:type="gramEnd"/>
      <w:r w:rsidRPr="00DB35D4">
        <w:rPr>
          <w:rFonts w:cs="Arial"/>
        </w:rPr>
        <w:t xml:space="preserve"> and make available to the Conference of the Parties, in accordance with Article 12, national inventories of anthropogenic emissions by sources and removals by sinks of all greenhouse gases not controlled by the Montreal Protocol, using comparable methodologies to be agreed upon by the Conference of the Parties. This commitment applies also to inventories of GHG emissions and removals from land use change and forestry, and land use for Parties included in </w:t>
      </w:r>
      <w:r w:rsidR="00B07756">
        <w:rPr>
          <w:rFonts w:cs="Arial"/>
        </w:rPr>
        <w:t xml:space="preserve">Annex </w:t>
      </w:r>
      <w:proofErr w:type="spellStart"/>
      <w:r w:rsidR="00B07756">
        <w:rPr>
          <w:rFonts w:cs="Arial"/>
        </w:rPr>
        <w:t>III</w:t>
      </w:r>
      <w:r w:rsidRPr="00DB35D4">
        <w:rPr>
          <w:rFonts w:cs="Arial"/>
        </w:rPr>
        <w:fldChar w:fldCharType="begin"/>
      </w:r>
      <w:r w:rsidRPr="00DB35D4">
        <w:rPr>
          <w:rFonts w:cs="Arial"/>
        </w:rPr>
        <w:instrText xml:space="preserve"> REF _Ref86402883 \h  \* MERGEFORMAT </w:instrText>
      </w:r>
      <w:r w:rsidRPr="00DB35D4">
        <w:rPr>
          <w:rFonts w:cs="Arial"/>
        </w:rPr>
        <w:fldChar w:fldCharType="separate"/>
      </w:r>
      <w:r w:rsidR="0073710A">
        <w:rPr>
          <w:rFonts w:cs="Arial"/>
          <w:b/>
          <w:bCs/>
        </w:rPr>
        <w:t>Error</w:t>
      </w:r>
      <w:proofErr w:type="spellEnd"/>
      <w:r w:rsidR="0073710A">
        <w:rPr>
          <w:rFonts w:cs="Arial"/>
          <w:b/>
          <w:bCs/>
        </w:rPr>
        <w:t>! Reference source not found.</w:t>
      </w:r>
      <w:r w:rsidRPr="00DB35D4">
        <w:rPr>
          <w:rFonts w:cs="Arial"/>
        </w:rPr>
        <w:fldChar w:fldCharType="end"/>
      </w:r>
      <w:r w:rsidRPr="00DB35D4">
        <w:rPr>
          <w:rFonts w:cs="Arial"/>
        </w:rPr>
        <w:t>.</w:t>
      </w:r>
      <w:bookmarkStart w:id="260" w:name="_Toc18677154"/>
    </w:p>
    <w:p w14:paraId="76E2C9C2" w14:textId="77777777" w:rsidR="005664B6" w:rsidRPr="00DB35D4" w:rsidRDefault="005664B6" w:rsidP="009E12D8">
      <w:pPr>
        <w:pStyle w:val="MAIL111"/>
      </w:pPr>
      <w:bookmarkStart w:id="261" w:name="_Toc90892990"/>
      <w:bookmarkStart w:id="262" w:name="_Toc91752444"/>
      <w:r w:rsidRPr="00DB35D4">
        <w:t>Reporting of the LULUCF sector</w:t>
      </w:r>
      <w:bookmarkEnd w:id="260"/>
      <w:bookmarkEnd w:id="261"/>
      <w:bookmarkEnd w:id="262"/>
    </w:p>
    <w:p w14:paraId="75630099" w14:textId="69B4DA22" w:rsidR="005664B6" w:rsidRPr="00DB35D4" w:rsidRDefault="00957E16" w:rsidP="005664B6">
      <w:pPr>
        <w:rPr>
          <w:rFonts w:cs="Arial"/>
        </w:rPr>
      </w:pPr>
      <w:r w:rsidRPr="00DB35D4">
        <w:rPr>
          <w:rFonts w:cs="Arial"/>
          <w:noProof/>
          <w:lang w:val="es-ES" w:eastAsia="es-ES"/>
        </w:rPr>
        <mc:AlternateContent>
          <mc:Choice Requires="wps">
            <w:drawing>
              <wp:anchor distT="45720" distB="45720" distL="114300" distR="114300" simplePos="0" relativeHeight="251663360" behindDoc="0" locked="0" layoutInCell="1" allowOverlap="1" wp14:anchorId="6E9B4C3E" wp14:editId="735C4EEB">
                <wp:simplePos x="0" y="0"/>
                <wp:positionH relativeFrom="margin">
                  <wp:align>right</wp:align>
                </wp:positionH>
                <wp:positionV relativeFrom="paragraph">
                  <wp:posOffset>41910</wp:posOffset>
                </wp:positionV>
                <wp:extent cx="3160395" cy="3303905"/>
                <wp:effectExtent l="0" t="0" r="20955" b="10795"/>
                <wp:wrapSquare wrapText="bothSides"/>
                <wp:docPr id="3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3304309"/>
                        </a:xfrm>
                        <a:prstGeom prst="rect">
                          <a:avLst/>
                        </a:prstGeom>
                        <a:solidFill>
                          <a:srgbClr val="FFFFFF"/>
                        </a:solidFill>
                        <a:ln w="9525">
                          <a:solidFill>
                            <a:srgbClr val="000000"/>
                          </a:solidFill>
                          <a:miter lim="800000"/>
                          <a:headEnd/>
                          <a:tailEnd/>
                        </a:ln>
                      </wps:spPr>
                      <wps:txbx>
                        <w:txbxContent>
                          <w:p w14:paraId="664E4248" w14:textId="77777777" w:rsidR="00E636F7" w:rsidRPr="00343373" w:rsidRDefault="00E636F7" w:rsidP="005664B6">
                            <w:pPr>
                              <w:rPr>
                                <w:rFonts w:cs="Arial"/>
                                <w:b/>
                              </w:rPr>
                            </w:pPr>
                            <w:r w:rsidRPr="00343373">
                              <w:rPr>
                                <w:rFonts w:cs="Arial"/>
                                <w:b/>
                              </w:rPr>
                              <w:t>Box 2</w:t>
                            </w:r>
                          </w:p>
                          <w:p w14:paraId="6351BA17" w14:textId="77777777" w:rsidR="00E636F7" w:rsidRPr="00343373" w:rsidRDefault="00E636F7" w:rsidP="00B07756">
                            <w:pPr>
                              <w:spacing w:line="240" w:lineRule="auto"/>
                              <w:rPr>
                                <w:rFonts w:cs="Arial"/>
                              </w:rPr>
                            </w:pPr>
                            <w:r w:rsidRPr="00343373">
                              <w:rPr>
                                <w:rFonts w:cs="Arial"/>
                                <w:b/>
                              </w:rPr>
                              <w:t>Monitoring Reporting and Verification</w:t>
                            </w:r>
                            <w:r w:rsidRPr="00343373">
                              <w:rPr>
                                <w:rFonts w:cs="Arial"/>
                              </w:rPr>
                              <w:t xml:space="preserve">, is a triplet of actions for the proper management not only of carbon sink inventories especially in developing countries </w:t>
                            </w:r>
                            <w:sdt>
                              <w:sdtPr>
                                <w:rPr>
                                  <w:rFonts w:cs="Arial"/>
                                </w:rPr>
                                <w:id w:val="1420745812"/>
                                <w:citation/>
                              </w:sdtPr>
                              <w:sdtEndPr/>
                              <w:sdtContent>
                                <w:r w:rsidRPr="00343373">
                                  <w:rPr>
                                    <w:rFonts w:cs="Arial"/>
                                  </w:rPr>
                                  <w:fldChar w:fldCharType="begin"/>
                                </w:r>
                                <w:r w:rsidRPr="00343373">
                                  <w:rPr>
                                    <w:rFonts w:cs="Arial"/>
                                  </w:rPr>
                                  <w:instrText xml:space="preserve"> CITATION Uni14 \l 1033 </w:instrText>
                                </w:r>
                                <w:r w:rsidRPr="00343373">
                                  <w:rPr>
                                    <w:rFonts w:cs="Arial"/>
                                  </w:rPr>
                                  <w:fldChar w:fldCharType="separate"/>
                                </w:r>
                                <w:r w:rsidRPr="00343373">
                                  <w:rPr>
                                    <w:rFonts w:cs="Arial"/>
                                    <w:noProof/>
                                  </w:rPr>
                                  <w:t>(United Nations Framework Convention on Climate Change, 2014)</w:t>
                                </w:r>
                                <w:r w:rsidRPr="00343373">
                                  <w:rPr>
                                    <w:rFonts w:cs="Arial"/>
                                  </w:rPr>
                                  <w:fldChar w:fldCharType="end"/>
                                </w:r>
                              </w:sdtContent>
                            </w:sdt>
                            <w:r w:rsidRPr="00343373">
                              <w:rPr>
                                <w:rFonts w:cs="Arial"/>
                              </w:rPr>
                              <w:t xml:space="preserve"> where the mechanisms are not productive, but for all the installations that emit GHGs. The  European Union published all the regulations that the state member countries should follow to provide </w:t>
                            </w:r>
                            <w:hyperlink r:id="rId102" w:history="1">
                              <w:r w:rsidRPr="00343373">
                                <w:rPr>
                                  <w:rStyle w:val="Hyperlink"/>
                                  <w:rFonts w:cs="Arial"/>
                                </w:rPr>
                                <w:t>Monitor and Reporting</w:t>
                              </w:r>
                            </w:hyperlink>
                            <w:r w:rsidRPr="00343373">
                              <w:rPr>
                                <w:rFonts w:cs="Arial"/>
                              </w:rPr>
                              <w:t xml:space="preserve"> in their annual reports and </w:t>
                            </w:r>
                            <w:hyperlink r:id="rId103" w:history="1">
                              <w:r w:rsidRPr="00343373">
                                <w:rPr>
                                  <w:rStyle w:val="Hyperlink"/>
                                  <w:rFonts w:cs="Arial"/>
                                </w:rPr>
                                <w:t>Accreditation and Verification</w:t>
                              </w:r>
                            </w:hyperlink>
                            <w:r w:rsidRPr="00343373">
                              <w:rPr>
                                <w:rFonts w:cs="Arial"/>
                              </w:rPr>
                              <w:t xml:space="preserve"> that will certify compliance to the regulations.</w:t>
                            </w:r>
                          </w:p>
                          <w:p w14:paraId="515D00D0" w14:textId="77777777" w:rsidR="00E636F7" w:rsidRPr="00343373" w:rsidRDefault="00E636F7" w:rsidP="00B07756">
                            <w:pPr>
                              <w:spacing w:line="240" w:lineRule="auto"/>
                              <w:rPr>
                                <w:rFonts w:cs="Arial"/>
                              </w:rPr>
                            </w:pPr>
                            <w:r w:rsidRPr="00343373">
                              <w:rPr>
                                <w:rFonts w:cs="Arial"/>
                              </w:rPr>
                              <w:t>MRV plays also an important role in carbon markets. CDM and all voluntary markets should establish mechanisms to support MRV processes for all their offset projects.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B4C3E" id="_x0000_s1031" type="#_x0000_t202" style="position:absolute;left:0;text-align:left;margin-left:197.65pt;margin-top:3.3pt;width:248.85pt;height:260.15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">
                <v:textbox>
                  <w:txbxContent>
                    <w:p w14:paraId="664E4248" w14:textId="77777777" w:rsidR="00E636F7" w:rsidRPr="00343373" w:rsidRDefault="00E636F7" w:rsidP="005664B6">
                      <w:pPr>
                        <w:rPr>
                          <w:rFonts w:cs="Arial"/>
                          <w:b/>
                        </w:rPr>
                      </w:pPr>
                      <w:r w:rsidRPr="00343373">
                        <w:rPr>
                          <w:rFonts w:cs="Arial"/>
                          <w:b/>
                        </w:rPr>
                        <w:t>Box 2</w:t>
                      </w:r>
                    </w:p>
                    <w:p w14:paraId="6351BA17" w14:textId="77777777" w:rsidR="00E636F7" w:rsidRPr="00343373" w:rsidRDefault="00E636F7" w:rsidP="00B07756">
                      <w:pPr>
                        <w:spacing w:line="240" w:lineRule="auto"/>
                        <w:rPr>
                          <w:rFonts w:cs="Arial"/>
                        </w:rPr>
                      </w:pPr>
                      <w:r w:rsidRPr="00343373">
                        <w:rPr>
                          <w:rFonts w:cs="Arial"/>
                          <w:b/>
                        </w:rPr>
                        <w:t>Monitoring Reporting and Verification</w:t>
                      </w:r>
                      <w:r w:rsidRPr="00343373">
                        <w:rPr>
                          <w:rFonts w:cs="Arial"/>
                        </w:rPr>
                        <w:t xml:space="preserve">, is a triplet of actions for the proper management not only of carbon sink inventories especially in developing countries </w:t>
                      </w:r>
                      <w:sdt>
                        <w:sdtPr>
                          <w:rPr>
                            <w:rFonts w:cs="Arial"/>
                          </w:rPr>
                          <w:id w:val="1420745812"/>
                          <w:citation/>
                        </w:sdtPr>
                        <w:sdtEndPr/>
                        <w:sdtContent>
                          <w:r w:rsidRPr="00343373">
                            <w:rPr>
                              <w:rFonts w:cs="Arial"/>
                            </w:rPr>
                            <w:fldChar w:fldCharType="begin"/>
                          </w:r>
                          <w:r w:rsidRPr="00343373">
                            <w:rPr>
                              <w:rFonts w:cs="Arial"/>
                            </w:rPr>
                            <w:instrText xml:space="preserve"> CITATION Uni14 \l 1033 </w:instrText>
                          </w:r>
                          <w:r w:rsidRPr="00343373">
                            <w:rPr>
                              <w:rFonts w:cs="Arial"/>
                            </w:rPr>
                            <w:fldChar w:fldCharType="separate"/>
                          </w:r>
                          <w:r w:rsidRPr="00343373">
                            <w:rPr>
                              <w:rFonts w:cs="Arial"/>
                              <w:noProof/>
                            </w:rPr>
                            <w:t>(United Nations Framework Convention on Climate Change, 2014)</w:t>
                          </w:r>
                          <w:r w:rsidRPr="00343373">
                            <w:rPr>
                              <w:rFonts w:cs="Arial"/>
                            </w:rPr>
                            <w:fldChar w:fldCharType="end"/>
                          </w:r>
                        </w:sdtContent>
                      </w:sdt>
                      <w:r w:rsidRPr="00343373">
                        <w:rPr>
                          <w:rFonts w:cs="Arial"/>
                        </w:rPr>
                        <w:t xml:space="preserve"> where the mechanisms are not productive, but for all the installations that emit GHGs. The  European Union published all the regulations that the state member countries should follow to provide </w:t>
                      </w:r>
                      <w:hyperlink r:id="rId105" w:history="1">
                        <w:r w:rsidRPr="00343373">
                          <w:rPr>
                            <w:rStyle w:val="Hyperlink"/>
                            <w:rFonts w:cs="Arial"/>
                          </w:rPr>
                          <w:t>Monitor and Reporting</w:t>
                        </w:r>
                      </w:hyperlink>
                      <w:r w:rsidRPr="00343373">
                        <w:rPr>
                          <w:rFonts w:cs="Arial"/>
                        </w:rPr>
                        <w:t xml:space="preserve"> in their annual reports and </w:t>
                      </w:r>
                      <w:hyperlink r:id="rId106" w:history="1">
                        <w:r w:rsidRPr="00343373">
                          <w:rPr>
                            <w:rStyle w:val="Hyperlink"/>
                            <w:rFonts w:cs="Arial"/>
                          </w:rPr>
                          <w:t>Accreditation and Verification</w:t>
                        </w:r>
                      </w:hyperlink>
                      <w:r w:rsidRPr="00343373">
                        <w:rPr>
                          <w:rFonts w:cs="Arial"/>
                        </w:rPr>
                        <w:t xml:space="preserve"> that will certify compliance to the regulations.</w:t>
                      </w:r>
                    </w:p>
                    <w:p w14:paraId="515D00D0" w14:textId="77777777" w:rsidR="00E636F7" w:rsidRPr="00343373" w:rsidRDefault="00E636F7" w:rsidP="00B07756">
                      <w:pPr>
                        <w:spacing w:line="240" w:lineRule="auto"/>
                        <w:rPr>
                          <w:rFonts w:cs="Arial"/>
                        </w:rPr>
                      </w:pPr>
                      <w:r w:rsidRPr="00343373">
                        <w:rPr>
                          <w:rFonts w:cs="Arial"/>
                        </w:rPr>
                        <w:t>MRV plays also an important role in carbon markets. CDM and all voluntary markets should establish mechanisms to support MRV processes for all their offset projects.</w:t>
                      </w:r>
                    </w:p>
                  </w:txbxContent>
                </v:textbox>
                <w10:wrap type="square" anchorx="margin"/>
              </v:shape>
            </w:pict>
          </mc:Fallback>
        </mc:AlternateContent>
      </w:r>
      <w:r w:rsidR="005664B6" w:rsidRPr="00DB35D4">
        <w:rPr>
          <w:rFonts w:cs="Arial"/>
        </w:rPr>
        <w:t xml:space="preserve">The UNFCCC reporting guidelines on annual inventories for Parties included in </w:t>
      </w:r>
      <w:r w:rsidR="00B07756">
        <w:rPr>
          <w:rFonts w:cs="Arial"/>
        </w:rPr>
        <w:t xml:space="preserve">Annex III </w:t>
      </w:r>
      <w:r w:rsidR="005664B6" w:rsidRPr="00DB35D4">
        <w:rPr>
          <w:rFonts w:cs="Arial"/>
        </w:rPr>
        <w:t>to the Convention (</w:t>
      </w:r>
      <w:hyperlink r:id="rId107" w:anchor="page=2" w:tgtFrame="_blank" w:history="1">
        <w:r w:rsidR="005664B6" w:rsidRPr="00DB35D4">
          <w:rPr>
            <w:rStyle w:val="Hyperlink"/>
            <w:rFonts w:cs="Arial"/>
          </w:rPr>
          <w:t>Decision 24/CP.19</w:t>
        </w:r>
      </w:hyperlink>
      <w:r w:rsidR="005664B6" w:rsidRPr="00DB35D4">
        <w:rPr>
          <w:rFonts w:cs="Arial"/>
        </w:rPr>
        <w:t>) provide, among others, guidance on the estimation and reporting of anthropogenic emissions by sources and removals by sinks of greenhouse gases not controlled by the Montreal Protocol caused by activities relating to land use, land use change and forestry. The guidance stipulates that reporting under the UNFCC covers all anthropogenic emissions and removals from the lands included in the LULUCF sector. In principle, this approach applies a wall-to-wall comprehensive inventory of anthropogenic sources and sinks of greenhouse gases over the land units subject to activities relating to land use, land use change and forestry.</w:t>
      </w:r>
    </w:p>
    <w:p w14:paraId="721AE7CA" w14:textId="6FC5C77F" w:rsidR="005664B6" w:rsidRPr="00DB35D4" w:rsidRDefault="005664B6" w:rsidP="005664B6">
      <w:pPr>
        <w:rPr>
          <w:rFonts w:cs="Arial"/>
        </w:rPr>
      </w:pPr>
      <w:r w:rsidRPr="00DB35D4">
        <w:rPr>
          <w:rFonts w:cs="Arial"/>
        </w:rPr>
        <w:t>Depending on the reporting year, the preparation of GHG inventories that are transparent, consistent, complete, comparable, and accurate should be consistent with methodologies from the following IPCC guidance and guidelines documents</w:t>
      </w:r>
      <w:sdt>
        <w:sdtPr>
          <w:rPr>
            <w:rFonts w:cs="Arial"/>
          </w:rPr>
          <w:id w:val="-1141196294"/>
          <w:citation/>
        </w:sdtPr>
        <w:sdtEndPr/>
        <w:sdtContent>
          <w:r w:rsidRPr="00DB35D4">
            <w:rPr>
              <w:rFonts w:cs="Arial"/>
            </w:rPr>
            <w:fldChar w:fldCharType="begin"/>
          </w:r>
          <w:r w:rsidRPr="00DB35D4">
            <w:rPr>
              <w:rFonts w:cs="Arial"/>
            </w:rPr>
            <w:instrText xml:space="preserve"> CITATION Int191 \l 1033 </w:instrText>
          </w:r>
          <w:r w:rsidRPr="00DB35D4">
            <w:rPr>
              <w:rFonts w:cs="Arial"/>
            </w:rPr>
            <w:fldChar w:fldCharType="separate"/>
          </w:r>
          <w:r w:rsidR="00487700">
            <w:rPr>
              <w:rFonts w:cs="Arial"/>
              <w:noProof/>
            </w:rPr>
            <w:t xml:space="preserve"> </w:t>
          </w:r>
          <w:r w:rsidR="00487700" w:rsidRPr="00487700">
            <w:rPr>
              <w:rFonts w:cs="Arial"/>
              <w:noProof/>
            </w:rPr>
            <w:t>(Intergonvermental Panel on Climate Change, 2019)</w:t>
          </w:r>
          <w:r w:rsidRPr="00DB35D4">
            <w:rPr>
              <w:rFonts w:cs="Arial"/>
            </w:rPr>
            <w:fldChar w:fldCharType="end"/>
          </w:r>
        </w:sdtContent>
      </w:sdt>
      <w:r w:rsidRPr="00DB35D4">
        <w:rPr>
          <w:rFonts w:cs="Arial"/>
        </w:rPr>
        <w:t xml:space="preserve">. </w:t>
      </w:r>
    </w:p>
    <w:p w14:paraId="0D3B141E" w14:textId="77777777" w:rsidR="005664B6" w:rsidRPr="00DB35D4" w:rsidRDefault="005664B6" w:rsidP="005664B6">
      <w:pPr>
        <w:rPr>
          <w:rFonts w:cs="Arial"/>
        </w:rPr>
      </w:pPr>
      <w:r w:rsidRPr="00DB35D4">
        <w:rPr>
          <w:rFonts w:cs="Arial"/>
        </w:rPr>
        <w:lastRenderedPageBreak/>
        <w:t>The literature that is providing guidelines, best practice guidance is huge. Just a fraction of this literature was taken from the UNFCCC site and is provided below:</w:t>
      </w:r>
    </w:p>
    <w:p w14:paraId="2E7F6D62" w14:textId="069AD546" w:rsidR="005664B6" w:rsidRPr="00DB35D4" w:rsidRDefault="005664B6" w:rsidP="005664B6">
      <w:pPr>
        <w:pStyle w:val="NormalWeb"/>
        <w:spacing w:line="360" w:lineRule="auto"/>
        <w:jc w:val="both"/>
        <w:rPr>
          <w:rFonts w:ascii="Arial" w:hAnsi="Arial" w:cs="Arial"/>
          <w:sz w:val="22"/>
          <w:szCs w:val="22"/>
        </w:rPr>
      </w:pPr>
      <w:r w:rsidRPr="00DB35D4">
        <w:rPr>
          <w:rFonts w:ascii="Arial" w:hAnsi="Arial" w:cs="Arial"/>
          <w:sz w:val="22"/>
          <w:szCs w:val="22"/>
        </w:rPr>
        <w:t xml:space="preserve">The Intergovernmental Panel on Climate Change (IPCC) has developed in 2006 a set of guidelines for the </w:t>
      </w:r>
      <w:r w:rsidRPr="00DB35D4">
        <w:rPr>
          <w:rFonts w:ascii="Arial" w:eastAsiaTheme="minorHAnsi" w:hAnsi="Arial" w:cs="Arial"/>
          <w:sz w:val="22"/>
          <w:szCs w:val="22"/>
        </w:rPr>
        <w:t>creation</w:t>
      </w:r>
      <w:r w:rsidRPr="00DB35D4">
        <w:rPr>
          <w:rFonts w:ascii="Arial" w:hAnsi="Arial" w:cs="Arial"/>
          <w:sz w:val="22"/>
          <w:szCs w:val="22"/>
        </w:rPr>
        <w:t>,</w:t>
      </w:r>
      <w:r w:rsidRPr="00DB35D4">
        <w:rPr>
          <w:rFonts w:ascii="Arial" w:eastAsiaTheme="minorHAnsi" w:hAnsi="Arial" w:cs="Arial"/>
          <w:sz w:val="22"/>
          <w:szCs w:val="22"/>
        </w:rPr>
        <w:t xml:space="preserve"> by the UN countries</w:t>
      </w:r>
      <w:r w:rsidRPr="00DB35D4">
        <w:rPr>
          <w:rFonts w:ascii="Arial" w:hAnsi="Arial" w:cs="Arial"/>
          <w:sz w:val="22"/>
          <w:szCs w:val="22"/>
        </w:rPr>
        <w:t>,</w:t>
      </w:r>
      <w:r w:rsidRPr="00DB35D4">
        <w:rPr>
          <w:rFonts w:ascii="Arial" w:eastAsiaTheme="minorHAnsi" w:hAnsi="Arial" w:cs="Arial"/>
          <w:sz w:val="22"/>
          <w:szCs w:val="22"/>
        </w:rPr>
        <w:t xml:space="preserve"> of their GHG inventories</w:t>
      </w:r>
      <w:sdt>
        <w:sdtPr>
          <w:rPr>
            <w:rFonts w:ascii="Arial" w:hAnsi="Arial" w:cs="Arial"/>
            <w:sz w:val="22"/>
            <w:szCs w:val="22"/>
          </w:rPr>
          <w:id w:val="594908944"/>
          <w:citation/>
        </w:sdtPr>
        <w:sdtEndPr/>
        <w:sdtContent>
          <w:r w:rsidRPr="00DB35D4">
            <w:rPr>
              <w:rFonts w:ascii="Arial" w:hAnsi="Arial" w:cs="Arial"/>
              <w:sz w:val="22"/>
              <w:szCs w:val="22"/>
            </w:rPr>
            <w:fldChar w:fldCharType="begin"/>
          </w:r>
          <w:r w:rsidRPr="00DB35D4">
            <w:rPr>
              <w:rFonts w:ascii="Arial" w:hAnsi="Arial" w:cs="Arial"/>
              <w:sz w:val="22"/>
              <w:szCs w:val="22"/>
            </w:rPr>
            <w:instrText xml:space="preserve"> CITATION Int192 \l 1033 </w:instrText>
          </w:r>
          <w:r w:rsidRPr="00DB35D4">
            <w:rPr>
              <w:rFonts w:ascii="Arial" w:hAnsi="Arial" w:cs="Arial"/>
              <w:sz w:val="22"/>
              <w:szCs w:val="22"/>
            </w:rPr>
            <w:fldChar w:fldCharType="separate"/>
          </w:r>
          <w:r w:rsidR="00487700">
            <w:rPr>
              <w:rFonts w:ascii="Arial" w:hAnsi="Arial" w:cs="Arial"/>
              <w:noProof/>
              <w:sz w:val="22"/>
              <w:szCs w:val="22"/>
            </w:rPr>
            <w:t xml:space="preserve"> </w:t>
          </w:r>
          <w:r w:rsidR="00487700" w:rsidRPr="00487700">
            <w:rPr>
              <w:rFonts w:ascii="Arial" w:hAnsi="Arial" w:cs="Arial"/>
              <w:noProof/>
              <w:sz w:val="22"/>
              <w:szCs w:val="22"/>
            </w:rPr>
            <w:t>(Intergovernmental Panel on Climate Change, 2019)</w:t>
          </w:r>
          <w:r w:rsidRPr="00DB35D4">
            <w:rPr>
              <w:rFonts w:ascii="Arial" w:hAnsi="Arial" w:cs="Arial"/>
              <w:sz w:val="22"/>
              <w:szCs w:val="22"/>
            </w:rPr>
            <w:fldChar w:fldCharType="end"/>
          </w:r>
        </w:sdtContent>
      </w:sdt>
      <w:r w:rsidRPr="00DB35D4">
        <w:rPr>
          <w:rFonts w:ascii="Arial" w:eastAsiaTheme="minorHAnsi" w:hAnsi="Arial" w:cs="Arial"/>
          <w:sz w:val="22"/>
          <w:szCs w:val="22"/>
        </w:rPr>
        <w:t>.</w:t>
      </w:r>
      <w:r w:rsidRPr="00DB35D4">
        <w:rPr>
          <w:rFonts w:ascii="Arial" w:hAnsi="Arial" w:cs="Arial"/>
          <w:sz w:val="22"/>
          <w:szCs w:val="22"/>
        </w:rPr>
        <w:t xml:space="preserve"> It provides methodologies for estimating national inventories not only of the anthropogenic emissions of GHGs but also of their removals from the atmosphere through “sinks”. These guidelines have been revised in 2019 </w:t>
      </w:r>
      <w:r w:rsidRPr="00DB35D4">
        <w:rPr>
          <w:rFonts w:ascii="Arial" w:eastAsiaTheme="minorHAnsi" w:hAnsi="Arial" w:cs="Arial"/>
          <w:sz w:val="22"/>
          <w:szCs w:val="22"/>
        </w:rPr>
        <w:t xml:space="preserve">with the aim </w:t>
      </w:r>
      <w:r w:rsidRPr="00DB35D4">
        <w:rPr>
          <w:rFonts w:ascii="Arial" w:hAnsi="Arial" w:cs="Arial"/>
          <w:sz w:val="22"/>
          <w:szCs w:val="22"/>
        </w:rPr>
        <w:t>to provide</w:t>
      </w:r>
      <w:r w:rsidRPr="00DB35D4">
        <w:rPr>
          <w:rFonts w:ascii="Arial" w:eastAsiaTheme="minorHAnsi" w:hAnsi="Arial" w:cs="Arial"/>
          <w:sz w:val="22"/>
          <w:szCs w:val="22"/>
        </w:rPr>
        <w:t xml:space="preserve"> an updated and sound scientific basis for supporting the preparation and continuous improvement of national greenhouse gas inventories</w:t>
      </w:r>
      <w:sdt>
        <w:sdtPr>
          <w:rPr>
            <w:rFonts w:ascii="Arial" w:hAnsi="Arial" w:cs="Arial"/>
            <w:sz w:val="22"/>
            <w:szCs w:val="22"/>
          </w:rPr>
          <w:id w:val="-1165157444"/>
          <w:citation/>
        </w:sdtPr>
        <w:sdtEndPr/>
        <w:sdtContent>
          <w:r w:rsidRPr="00DB35D4">
            <w:rPr>
              <w:rFonts w:ascii="Arial" w:hAnsi="Arial" w:cs="Arial"/>
              <w:sz w:val="22"/>
              <w:szCs w:val="22"/>
            </w:rPr>
            <w:fldChar w:fldCharType="begin"/>
          </w:r>
          <w:r w:rsidRPr="00DB35D4">
            <w:rPr>
              <w:rFonts w:ascii="Arial" w:hAnsi="Arial" w:cs="Arial"/>
              <w:sz w:val="22"/>
              <w:szCs w:val="22"/>
            </w:rPr>
            <w:instrText xml:space="preserve"> CITATION Int \l 1033 </w:instrText>
          </w:r>
          <w:r w:rsidRPr="00DB35D4">
            <w:rPr>
              <w:rFonts w:ascii="Arial" w:hAnsi="Arial" w:cs="Arial"/>
              <w:sz w:val="22"/>
              <w:szCs w:val="22"/>
            </w:rPr>
            <w:fldChar w:fldCharType="separate"/>
          </w:r>
          <w:r w:rsidR="00487700">
            <w:rPr>
              <w:rFonts w:ascii="Arial" w:hAnsi="Arial" w:cs="Arial"/>
              <w:noProof/>
              <w:sz w:val="22"/>
              <w:szCs w:val="22"/>
            </w:rPr>
            <w:t xml:space="preserve"> </w:t>
          </w:r>
          <w:r w:rsidR="00487700" w:rsidRPr="00487700">
            <w:rPr>
              <w:rFonts w:ascii="Arial" w:hAnsi="Arial" w:cs="Arial"/>
              <w:noProof/>
              <w:sz w:val="22"/>
              <w:szCs w:val="22"/>
            </w:rPr>
            <w:t>(Intergovernmental Panel on Climate Change)</w:t>
          </w:r>
          <w:r w:rsidRPr="00DB35D4">
            <w:rPr>
              <w:rFonts w:ascii="Arial" w:hAnsi="Arial" w:cs="Arial"/>
              <w:sz w:val="22"/>
              <w:szCs w:val="22"/>
            </w:rPr>
            <w:fldChar w:fldCharType="end"/>
          </w:r>
        </w:sdtContent>
      </w:sdt>
      <w:r w:rsidRPr="00DB35D4">
        <w:rPr>
          <w:rFonts w:ascii="Arial" w:hAnsi="Arial" w:cs="Arial"/>
          <w:sz w:val="22"/>
          <w:szCs w:val="22"/>
        </w:rPr>
        <w:t>.</w:t>
      </w:r>
      <w:r w:rsidRPr="00DB35D4">
        <w:rPr>
          <w:rFonts w:ascii="Arial" w:eastAsiaTheme="minorHAnsi" w:hAnsi="Arial" w:cs="Arial"/>
          <w:sz w:val="22"/>
          <w:szCs w:val="22"/>
        </w:rPr>
        <w:t xml:space="preserve"> </w:t>
      </w:r>
      <w:r w:rsidRPr="00DB35D4">
        <w:rPr>
          <w:rFonts w:ascii="Arial" w:hAnsi="Arial" w:cs="Arial"/>
          <w:sz w:val="22"/>
          <w:szCs w:val="22"/>
        </w:rPr>
        <w:t xml:space="preserve">Additionally, IPCC provided also </w:t>
      </w:r>
      <w:hyperlink r:id="rId108" w:history="1">
        <w:r w:rsidRPr="00DB35D4">
          <w:rPr>
            <w:rStyle w:val="Hyperlink"/>
            <w:rFonts w:ascii="Arial" w:hAnsi="Arial" w:cs="Arial"/>
            <w:sz w:val="22"/>
            <w:szCs w:val="22"/>
          </w:rPr>
          <w:t>the Good Practice Guidance for LULUCF</w:t>
        </w:r>
      </w:hyperlink>
      <w:r w:rsidRPr="00DB35D4">
        <w:rPr>
          <w:rFonts w:ascii="Arial" w:hAnsi="Arial" w:cs="Arial"/>
          <w:sz w:val="22"/>
          <w:szCs w:val="22"/>
        </w:rPr>
        <w:t xml:space="preserve">. The report provides </w:t>
      </w:r>
      <w:r w:rsidRPr="00DB35D4">
        <w:rPr>
          <w:rFonts w:ascii="Arial" w:hAnsi="Arial" w:cs="Arial"/>
          <w:i/>
          <w:sz w:val="22"/>
          <w:szCs w:val="22"/>
        </w:rPr>
        <w:t>good practice guidance</w:t>
      </w:r>
      <w:r w:rsidRPr="00DB35D4">
        <w:rPr>
          <w:rFonts w:ascii="Arial" w:hAnsi="Arial" w:cs="Arial"/>
          <w:sz w:val="22"/>
          <w:szCs w:val="22"/>
        </w:rPr>
        <w:t xml:space="preserve"> to assist countries in producing inventories that are neither over nor underestimates so far as can be judged, and in which uncertainties are reduced as far as practicable. To this end, it supports the development of inventories that are transparent, documented, consistent over time, complete, comparable, assessed for uncertainties, subject to quality control and quality assurance, and efficient in the use of resources. </w:t>
      </w:r>
    </w:p>
    <w:p w14:paraId="69942210" w14:textId="428D022D" w:rsidR="005664B6" w:rsidRPr="00DB35D4" w:rsidRDefault="005664B6" w:rsidP="005664B6">
      <w:pPr>
        <w:pStyle w:val="NormalWeb"/>
        <w:spacing w:line="360" w:lineRule="auto"/>
        <w:jc w:val="both"/>
        <w:rPr>
          <w:rFonts w:ascii="Arial" w:hAnsi="Arial" w:cs="Arial"/>
          <w:sz w:val="20"/>
          <w:szCs w:val="20"/>
        </w:rPr>
      </w:pPr>
      <w:r w:rsidRPr="00DB35D4">
        <w:rPr>
          <w:rFonts w:ascii="Arial" w:hAnsi="Arial" w:cs="Arial"/>
          <w:sz w:val="22"/>
          <w:szCs w:val="22"/>
        </w:rPr>
        <w:t>This report does not revise or replace the revised 1996 IPCC Guidelines for National Greenhouse Gas Inventories but provides a reference that complements and is consistent with those guidelines</w:t>
      </w:r>
      <w:sdt>
        <w:sdtPr>
          <w:rPr>
            <w:rFonts w:ascii="Arial" w:hAnsi="Arial" w:cs="Arial"/>
            <w:sz w:val="22"/>
            <w:szCs w:val="22"/>
          </w:rPr>
          <w:id w:val="-624928431"/>
          <w:citation/>
        </w:sdtPr>
        <w:sdtEndPr/>
        <w:sdtContent>
          <w:r w:rsidRPr="00DB35D4">
            <w:rPr>
              <w:rFonts w:ascii="Arial" w:hAnsi="Arial" w:cs="Arial"/>
              <w:sz w:val="22"/>
              <w:szCs w:val="22"/>
            </w:rPr>
            <w:fldChar w:fldCharType="begin"/>
          </w:r>
          <w:r w:rsidRPr="00DB35D4">
            <w:rPr>
              <w:rFonts w:ascii="Arial" w:hAnsi="Arial" w:cs="Arial"/>
              <w:sz w:val="22"/>
              <w:szCs w:val="22"/>
            </w:rPr>
            <w:instrText xml:space="preserve"> CITATION Int193 \l 1033 </w:instrText>
          </w:r>
          <w:r w:rsidRPr="00DB35D4">
            <w:rPr>
              <w:rFonts w:ascii="Arial" w:hAnsi="Arial" w:cs="Arial"/>
              <w:sz w:val="22"/>
              <w:szCs w:val="22"/>
            </w:rPr>
            <w:fldChar w:fldCharType="separate"/>
          </w:r>
          <w:r w:rsidR="00487700">
            <w:rPr>
              <w:rFonts w:ascii="Arial" w:hAnsi="Arial" w:cs="Arial"/>
              <w:noProof/>
              <w:sz w:val="22"/>
              <w:szCs w:val="22"/>
            </w:rPr>
            <w:t xml:space="preserve"> </w:t>
          </w:r>
          <w:r w:rsidR="00487700" w:rsidRPr="00487700">
            <w:rPr>
              <w:rFonts w:ascii="Arial" w:hAnsi="Arial" w:cs="Arial"/>
              <w:noProof/>
              <w:sz w:val="22"/>
              <w:szCs w:val="22"/>
            </w:rPr>
            <w:t>(Intergovernmental Panel on Climate Change, 2019)</w:t>
          </w:r>
          <w:r w:rsidRPr="00DB35D4">
            <w:rPr>
              <w:rFonts w:ascii="Arial" w:hAnsi="Arial" w:cs="Arial"/>
              <w:sz w:val="22"/>
              <w:szCs w:val="22"/>
            </w:rPr>
            <w:fldChar w:fldCharType="end"/>
          </w:r>
        </w:sdtContent>
      </w:sdt>
      <w:r w:rsidRPr="00DB35D4">
        <w:rPr>
          <w:rFonts w:ascii="Arial" w:hAnsi="Arial" w:cs="Arial"/>
          <w:sz w:val="22"/>
          <w:szCs w:val="22"/>
        </w:rPr>
        <w:t>.</w:t>
      </w:r>
    </w:p>
    <w:p w14:paraId="01902099" w14:textId="70B25C11" w:rsidR="00957E16" w:rsidRPr="0055626A" w:rsidRDefault="005664B6" w:rsidP="0055626A">
      <w:pPr>
        <w:pStyle w:val="NormalWeb"/>
        <w:spacing w:line="360" w:lineRule="auto"/>
        <w:jc w:val="both"/>
        <w:rPr>
          <w:rFonts w:ascii="Arial" w:hAnsi="Arial" w:cs="Arial"/>
          <w:sz w:val="22"/>
          <w:szCs w:val="22"/>
        </w:rPr>
      </w:pPr>
      <w:r w:rsidRPr="00DB35D4">
        <w:rPr>
          <w:rFonts w:ascii="Arial" w:hAnsi="Arial" w:cs="Arial"/>
          <w:sz w:val="22"/>
          <w:szCs w:val="22"/>
        </w:rPr>
        <w:t>The 2013 Supplement to the 2006 IPCC Guidelines for National Greenhouse Gas Inventories: Wetlands (Wetlands Supplement) extends the content of the 2006 IPCC Guidelines by filling gaps in coverage and providing updated information reflecting scientific advances, including updating emission factors</w:t>
      </w:r>
      <w:sdt>
        <w:sdtPr>
          <w:rPr>
            <w:rFonts w:ascii="Arial" w:hAnsi="Arial" w:cs="Arial"/>
            <w:sz w:val="22"/>
            <w:szCs w:val="22"/>
          </w:rPr>
          <w:id w:val="406274867"/>
          <w:citation/>
        </w:sdtPr>
        <w:sdtEndPr/>
        <w:sdtContent>
          <w:r w:rsidRPr="00DB35D4">
            <w:rPr>
              <w:rFonts w:ascii="Arial" w:hAnsi="Arial" w:cs="Arial"/>
              <w:sz w:val="22"/>
              <w:szCs w:val="22"/>
            </w:rPr>
            <w:fldChar w:fldCharType="begin"/>
          </w:r>
          <w:r w:rsidRPr="00DB35D4">
            <w:rPr>
              <w:rFonts w:ascii="Arial" w:hAnsi="Arial" w:cs="Arial"/>
              <w:sz w:val="22"/>
              <w:szCs w:val="22"/>
            </w:rPr>
            <w:instrText xml:space="preserve"> CITATION The19 \l 1033 </w:instrText>
          </w:r>
          <w:r w:rsidRPr="00DB35D4">
            <w:rPr>
              <w:rFonts w:ascii="Arial" w:hAnsi="Arial" w:cs="Arial"/>
              <w:sz w:val="22"/>
              <w:szCs w:val="22"/>
            </w:rPr>
            <w:fldChar w:fldCharType="separate"/>
          </w:r>
          <w:r w:rsidR="00487700">
            <w:rPr>
              <w:rFonts w:ascii="Arial" w:hAnsi="Arial" w:cs="Arial"/>
              <w:noProof/>
              <w:sz w:val="22"/>
              <w:szCs w:val="22"/>
            </w:rPr>
            <w:t xml:space="preserve"> </w:t>
          </w:r>
          <w:r w:rsidR="00487700" w:rsidRPr="00487700">
            <w:rPr>
              <w:rFonts w:ascii="Arial" w:hAnsi="Arial" w:cs="Arial"/>
              <w:noProof/>
              <w:sz w:val="22"/>
              <w:szCs w:val="22"/>
            </w:rPr>
            <w:t>(The Intergovernmental Panel on Climate Change)</w:t>
          </w:r>
          <w:r w:rsidRPr="00DB35D4">
            <w:rPr>
              <w:rFonts w:ascii="Arial" w:hAnsi="Arial" w:cs="Arial"/>
              <w:sz w:val="22"/>
              <w:szCs w:val="22"/>
            </w:rPr>
            <w:fldChar w:fldCharType="end"/>
          </w:r>
        </w:sdtContent>
      </w:sdt>
      <w:r w:rsidRPr="00DB35D4">
        <w:rPr>
          <w:rFonts w:ascii="Arial" w:hAnsi="Arial" w:cs="Arial"/>
          <w:sz w:val="22"/>
          <w:szCs w:val="22"/>
        </w:rPr>
        <w:t>.</w:t>
      </w:r>
      <w:bookmarkStart w:id="263" w:name="_Toc90888847"/>
    </w:p>
    <w:p w14:paraId="587FF324" w14:textId="14D40407" w:rsidR="005664B6" w:rsidRPr="0055626A" w:rsidRDefault="005664B6" w:rsidP="00D84451">
      <w:pPr>
        <w:pStyle w:val="Caption"/>
        <w:rPr>
          <w:rFonts w:cs="Arial"/>
          <w:b w:val="0"/>
          <w:bCs w:val="0"/>
        </w:rPr>
      </w:pPr>
      <w:bookmarkStart w:id="264" w:name="_Toc91752571"/>
      <w:r w:rsidRPr="0055626A">
        <w:rPr>
          <w:rFonts w:cs="Arial"/>
        </w:rPr>
        <w:t xml:space="preserve">Table </w:t>
      </w:r>
      <w:r w:rsidRPr="0055626A">
        <w:rPr>
          <w:rFonts w:cs="Arial"/>
          <w:b w:val="0"/>
          <w:bCs w:val="0"/>
          <w:i/>
          <w:iCs/>
        </w:rPr>
        <w:fldChar w:fldCharType="begin"/>
      </w:r>
      <w:r w:rsidRPr="0055626A">
        <w:rPr>
          <w:rFonts w:cs="Arial"/>
        </w:rPr>
        <w:instrText xml:space="preserve"> SEQ Table \* ARABIC </w:instrText>
      </w:r>
      <w:r w:rsidRPr="0055626A">
        <w:rPr>
          <w:rFonts w:cs="Arial"/>
          <w:b w:val="0"/>
          <w:bCs w:val="0"/>
          <w:i/>
          <w:iCs/>
        </w:rPr>
        <w:fldChar w:fldCharType="separate"/>
      </w:r>
      <w:r w:rsidR="0073710A">
        <w:rPr>
          <w:rFonts w:cs="Arial"/>
          <w:noProof/>
        </w:rPr>
        <w:t>32</w:t>
      </w:r>
      <w:r w:rsidRPr="0055626A">
        <w:rPr>
          <w:rFonts w:cs="Arial"/>
          <w:b w:val="0"/>
          <w:bCs w:val="0"/>
          <w:i/>
          <w:iCs/>
        </w:rPr>
        <w:fldChar w:fldCharType="end"/>
      </w:r>
      <w:r w:rsidRPr="0055626A">
        <w:rPr>
          <w:rFonts w:cs="Arial"/>
        </w:rPr>
        <w:t xml:space="preserve"> </w:t>
      </w:r>
      <w:r w:rsidRPr="0055626A">
        <w:rPr>
          <w:rFonts w:cs="Arial"/>
          <w:lang w:val="en-US"/>
        </w:rPr>
        <w:t>Related decisions of UNFCCC to LULUCF</w:t>
      </w:r>
      <w:bookmarkEnd w:id="263"/>
      <w:bookmarkEnd w:id="264"/>
    </w:p>
    <w:tbl>
      <w:tblPr>
        <w:tblStyle w:val="TableGrid1"/>
        <w:tblW w:w="0" w:type="auto"/>
        <w:jc w:val="center"/>
        <w:tblLook w:val="04A0" w:firstRow="1" w:lastRow="0" w:firstColumn="1" w:lastColumn="0" w:noHBand="0" w:noVBand="1"/>
      </w:tblPr>
      <w:tblGrid>
        <w:gridCol w:w="2122"/>
        <w:gridCol w:w="6174"/>
      </w:tblGrid>
      <w:tr w:rsidR="00D84451" w:rsidRPr="00D84451" w14:paraId="45F44AC0" w14:textId="77777777" w:rsidTr="00D84451">
        <w:trPr>
          <w:jc w:val="center"/>
        </w:trPr>
        <w:tc>
          <w:tcPr>
            <w:tcW w:w="8296" w:type="dxa"/>
            <w:gridSpan w:val="2"/>
            <w:shd w:val="clear" w:color="auto" w:fill="DBE0F4"/>
          </w:tcPr>
          <w:p w14:paraId="317DE62E" w14:textId="77777777" w:rsidR="00D84451" w:rsidRPr="00D84451" w:rsidRDefault="00D84451" w:rsidP="00D84451">
            <w:pPr>
              <w:spacing w:line="240" w:lineRule="auto"/>
              <w:jc w:val="center"/>
              <w:rPr>
                <w:rFonts w:cs="Arial"/>
                <w:lang w:val="en-US"/>
              </w:rPr>
            </w:pPr>
            <w:r w:rsidRPr="00D84451">
              <w:rPr>
                <w:rFonts w:cs="Arial"/>
                <w:lang w:val="en-US"/>
              </w:rPr>
              <w:t>Related decisions of UNFCCC to LULUCF</w:t>
            </w:r>
          </w:p>
        </w:tc>
      </w:tr>
      <w:tr w:rsidR="00D84451" w:rsidRPr="00D84451" w14:paraId="74D05D7C" w14:textId="77777777" w:rsidTr="00D84451">
        <w:trPr>
          <w:jc w:val="center"/>
        </w:trPr>
        <w:tc>
          <w:tcPr>
            <w:tcW w:w="2122" w:type="dxa"/>
          </w:tcPr>
          <w:p w14:paraId="47E49200" w14:textId="77777777" w:rsidR="00D84451" w:rsidRPr="00D84451" w:rsidRDefault="003B0DE2" w:rsidP="00D84451">
            <w:pPr>
              <w:spacing w:line="240" w:lineRule="auto"/>
              <w:jc w:val="center"/>
              <w:rPr>
                <w:rFonts w:cs="Arial"/>
              </w:rPr>
            </w:pPr>
            <w:hyperlink r:id="rId109" w:anchor="page=13" w:history="1">
              <w:proofErr w:type="spellStart"/>
              <w:r w:rsidR="00D84451" w:rsidRPr="00D84451">
                <w:rPr>
                  <w:rFonts w:cs="Arial"/>
                </w:rPr>
                <w:t>Decision</w:t>
              </w:r>
              <w:proofErr w:type="spellEnd"/>
              <w:r w:rsidR="00D84451" w:rsidRPr="00D84451">
                <w:rPr>
                  <w:rFonts w:cs="Arial"/>
                </w:rPr>
                <w:t xml:space="preserve"> 18/CP.8</w:t>
              </w:r>
            </w:hyperlink>
          </w:p>
        </w:tc>
        <w:tc>
          <w:tcPr>
            <w:tcW w:w="6174" w:type="dxa"/>
          </w:tcPr>
          <w:p w14:paraId="26C1D335" w14:textId="77777777" w:rsidR="00D84451" w:rsidRPr="00D84451" w:rsidRDefault="00D84451" w:rsidP="00D84451">
            <w:pPr>
              <w:spacing w:line="240" w:lineRule="auto"/>
              <w:jc w:val="center"/>
              <w:rPr>
                <w:rFonts w:cs="Arial"/>
                <w:lang w:val="en-US"/>
              </w:rPr>
            </w:pPr>
            <w:r w:rsidRPr="00D84451">
              <w:rPr>
                <w:rFonts w:cs="Arial"/>
                <w:lang w:val="en-US"/>
              </w:rPr>
              <w:t>Guidelines for the preparation of national communications by Parties included in Annex I to the Convention</w:t>
            </w:r>
          </w:p>
        </w:tc>
      </w:tr>
      <w:tr w:rsidR="00D84451" w:rsidRPr="00D84451" w14:paraId="1632EE42" w14:textId="77777777" w:rsidTr="00D84451">
        <w:trPr>
          <w:jc w:val="center"/>
        </w:trPr>
        <w:tc>
          <w:tcPr>
            <w:tcW w:w="2122" w:type="dxa"/>
          </w:tcPr>
          <w:p w14:paraId="789F57F4" w14:textId="77777777" w:rsidR="00D84451" w:rsidRPr="00D84451" w:rsidRDefault="003B0DE2" w:rsidP="00D84451">
            <w:pPr>
              <w:spacing w:line="240" w:lineRule="auto"/>
              <w:jc w:val="center"/>
              <w:rPr>
                <w:rFonts w:cs="Arial"/>
              </w:rPr>
            </w:pPr>
            <w:hyperlink r:id="rId110" w:anchor="page=31" w:history="1">
              <w:proofErr w:type="spellStart"/>
              <w:r w:rsidR="00D84451" w:rsidRPr="00D84451">
                <w:rPr>
                  <w:rFonts w:cs="Arial"/>
                </w:rPr>
                <w:t>Decision</w:t>
              </w:r>
              <w:proofErr w:type="spellEnd"/>
              <w:r w:rsidR="00D84451" w:rsidRPr="00D84451">
                <w:rPr>
                  <w:rFonts w:cs="Arial"/>
                </w:rPr>
                <w:t xml:space="preserve"> 13/CP.9</w:t>
              </w:r>
            </w:hyperlink>
          </w:p>
        </w:tc>
        <w:tc>
          <w:tcPr>
            <w:tcW w:w="6174" w:type="dxa"/>
          </w:tcPr>
          <w:p w14:paraId="13FE19DD" w14:textId="77777777" w:rsidR="00D84451" w:rsidRPr="00D84451" w:rsidRDefault="00D84451" w:rsidP="00D84451">
            <w:pPr>
              <w:spacing w:line="240" w:lineRule="auto"/>
              <w:jc w:val="center"/>
              <w:rPr>
                <w:rFonts w:cs="Arial"/>
                <w:lang w:val="en-US"/>
              </w:rPr>
            </w:pPr>
            <w:r w:rsidRPr="00D84451">
              <w:rPr>
                <w:rFonts w:cs="Arial"/>
                <w:lang w:val="en-US"/>
              </w:rPr>
              <w:t>Good practice guidance for land use, land-use change and forestry in the preparation of national greenhouse gas inventories under the Convention</w:t>
            </w:r>
          </w:p>
        </w:tc>
      </w:tr>
      <w:tr w:rsidR="00D84451" w:rsidRPr="00D84451" w14:paraId="29FC69B0" w14:textId="77777777" w:rsidTr="00D84451">
        <w:trPr>
          <w:jc w:val="center"/>
        </w:trPr>
        <w:tc>
          <w:tcPr>
            <w:tcW w:w="2122" w:type="dxa"/>
          </w:tcPr>
          <w:p w14:paraId="3AEB0B94" w14:textId="77777777" w:rsidR="00D84451" w:rsidRPr="00D84451" w:rsidRDefault="003B0DE2" w:rsidP="00D84451">
            <w:pPr>
              <w:spacing w:line="240" w:lineRule="auto"/>
              <w:jc w:val="center"/>
              <w:rPr>
                <w:rFonts w:cs="Arial"/>
              </w:rPr>
            </w:pPr>
            <w:hyperlink r:id="rId111" w:anchor="page=2" w:history="1">
              <w:proofErr w:type="spellStart"/>
              <w:r w:rsidR="00D84451" w:rsidRPr="00D84451">
                <w:rPr>
                  <w:rFonts w:cs="Arial"/>
                </w:rPr>
                <w:t>Decision</w:t>
              </w:r>
              <w:proofErr w:type="spellEnd"/>
              <w:r w:rsidR="00D84451" w:rsidRPr="00D84451">
                <w:rPr>
                  <w:rFonts w:cs="Arial"/>
                </w:rPr>
                <w:t xml:space="preserve"> 24/CP.19</w:t>
              </w:r>
            </w:hyperlink>
          </w:p>
        </w:tc>
        <w:tc>
          <w:tcPr>
            <w:tcW w:w="6174" w:type="dxa"/>
          </w:tcPr>
          <w:p w14:paraId="6628100B" w14:textId="77777777" w:rsidR="00D84451" w:rsidRPr="00D84451" w:rsidRDefault="00D84451" w:rsidP="00D84451">
            <w:pPr>
              <w:spacing w:line="240" w:lineRule="auto"/>
              <w:jc w:val="center"/>
              <w:rPr>
                <w:rFonts w:cs="Arial"/>
                <w:lang w:val="en-US"/>
              </w:rPr>
            </w:pPr>
            <w:r w:rsidRPr="00D84451">
              <w:rPr>
                <w:rFonts w:cs="Arial"/>
                <w:lang w:val="en-US"/>
              </w:rPr>
              <w:t>Revision of the UNFCCC reporting guidelines on annual inventories for Parties included in Annex I to the Convention</w:t>
            </w:r>
          </w:p>
        </w:tc>
      </w:tr>
    </w:tbl>
    <w:p w14:paraId="03FE2A39" w14:textId="6EFE784E" w:rsidR="005664B6" w:rsidRPr="00DB35D4" w:rsidRDefault="003B0DE2" w:rsidP="005664B6">
      <w:pPr>
        <w:rPr>
          <w:rStyle w:val="Hyperlink"/>
          <w:rFonts w:cs="Arial"/>
        </w:rPr>
      </w:pPr>
      <w:hyperlink r:id="rId112" w:history="1">
        <w:r w:rsidR="005664B6" w:rsidRPr="00DB35D4">
          <w:rPr>
            <w:rStyle w:val="Hyperlink"/>
            <w:rFonts w:cs="Arial"/>
          </w:rPr>
          <w:t>LULUCF activities under the Kyoto Protocol</w:t>
        </w:r>
      </w:hyperlink>
    </w:p>
    <w:p w14:paraId="48A67312" w14:textId="77777777" w:rsidR="005664B6" w:rsidRPr="00DB35D4" w:rsidRDefault="005664B6" w:rsidP="005664B6">
      <w:pPr>
        <w:rPr>
          <w:rFonts w:cs="Arial"/>
        </w:rPr>
      </w:pPr>
      <w:r w:rsidRPr="00DB35D4">
        <w:rPr>
          <w:rFonts w:cs="Arial"/>
        </w:rPr>
        <w:t xml:space="preserve">Unlike the Convention, which includes all emissions and removals from LULUCF of a Party total emission, the Kyoto Protocol restricts the accounting of the LULUCF sector to emissions and removals from specific activities that are defined under Article 3, paragraphs 3 and </w:t>
      </w:r>
      <w:proofErr w:type="gramStart"/>
      <w:r w:rsidRPr="00DB35D4">
        <w:rPr>
          <w:rFonts w:cs="Arial"/>
        </w:rPr>
        <w:t>4,</w:t>
      </w:r>
      <w:proofErr w:type="gramEnd"/>
      <w:r w:rsidRPr="00DB35D4">
        <w:rPr>
          <w:rFonts w:cs="Arial"/>
        </w:rPr>
        <w:t xml:space="preserve"> of the Protocol. Article 3, paragraph 3, covers direct, human-induced, afforestation, reforestation, and deforestation activities. Accounting of these is mandatory: each Annex I Party must account for emissions and removals in the commitment period on lands on which these activities have occurred. Article 3, paragraph 4, activities are restricted to forest land management, cropland management, grazing land management and/or revegetation. In the second commitment period article 3, paragraph 4, activities also include wetland drainage and rewetting. Accounting of these activities differs between the first and the second commitment period. For activities that are elective each Party must choose whether to account for emissions and removals from each such activity during the commitment period.</w:t>
      </w:r>
    </w:p>
    <w:p w14:paraId="34995361" w14:textId="77777777" w:rsidR="005664B6" w:rsidRPr="00DB35D4" w:rsidRDefault="005664B6" w:rsidP="005664B6">
      <w:pPr>
        <w:rPr>
          <w:rFonts w:cs="Arial"/>
        </w:rPr>
      </w:pPr>
      <w:r w:rsidRPr="00DB35D4">
        <w:rPr>
          <w:rFonts w:cs="Arial"/>
        </w:rPr>
        <w:t>Net removals from LULUCF activities result in the issuance of additional emission allowances, called removal units or RMUs, which a Party may add to its assigned amount; Parties must account for any net emissions from LULUCF activities by cancelling Kyoto Protocol units. Calculation of the quantity of emission allowances to be issued or cancelled is subject to specific rules, which differ for each LULUCF activity.</w:t>
      </w:r>
    </w:p>
    <w:p w14:paraId="792081E8" w14:textId="77777777" w:rsidR="005664B6" w:rsidRPr="00DB35D4" w:rsidRDefault="005664B6" w:rsidP="005664B6">
      <w:pPr>
        <w:rPr>
          <w:rFonts w:cs="Arial"/>
        </w:rPr>
      </w:pPr>
      <w:r w:rsidRPr="00DB35D4">
        <w:rPr>
          <w:rFonts w:cs="Arial"/>
        </w:rPr>
        <w:t>Depending on the reported commitment period, accounting of the LULUCF activities under the Kyoto Protocol shall apply guidelines contained in the following decisions:</w:t>
      </w:r>
    </w:p>
    <w:p w14:paraId="6F24A108" w14:textId="335A4D2F" w:rsidR="005664B6" w:rsidRPr="00DB35D4" w:rsidRDefault="005664B6" w:rsidP="005664B6">
      <w:pPr>
        <w:rPr>
          <w:rFonts w:cs="Arial"/>
        </w:rPr>
      </w:pPr>
      <w:r w:rsidRPr="00DB35D4">
        <w:rPr>
          <w:rFonts w:cs="Arial"/>
        </w:rPr>
        <w:t xml:space="preserve">The annex to </w:t>
      </w:r>
      <w:hyperlink r:id="rId113" w:anchor="page=3" w:tgtFrame="_blank" w:history="1">
        <w:r w:rsidRPr="00DB35D4">
          <w:rPr>
            <w:rStyle w:val="Hyperlink"/>
            <w:rFonts w:cs="Arial"/>
          </w:rPr>
          <w:t>decision 16/CMP.1:</w:t>
        </w:r>
      </w:hyperlink>
      <w:r w:rsidRPr="00DB35D4">
        <w:rPr>
          <w:rFonts w:cs="Arial"/>
        </w:rPr>
        <w:t xml:space="preserve"> Land use, land-use change and forestry provides rules for accounting of LULUCF activities under KP in the </w:t>
      </w:r>
      <w:r w:rsidRPr="00DB35D4">
        <w:rPr>
          <w:rStyle w:val="Strong"/>
          <w:rFonts w:cs="Arial"/>
        </w:rPr>
        <w:t>first commitment period</w:t>
      </w:r>
      <w:r w:rsidRPr="00DB35D4">
        <w:rPr>
          <w:rFonts w:cs="Arial"/>
        </w:rPr>
        <w:t xml:space="preserve">. </w:t>
      </w:r>
      <w:proofErr w:type="gramStart"/>
      <w:r w:rsidRPr="00DB35D4">
        <w:rPr>
          <w:rFonts w:cs="Arial"/>
        </w:rPr>
        <w:t>In particular it</w:t>
      </w:r>
      <w:proofErr w:type="gramEnd"/>
      <w:r w:rsidRPr="00DB35D4">
        <w:rPr>
          <w:rFonts w:cs="Arial"/>
        </w:rPr>
        <w:t xml:space="preserve"> contains:</w:t>
      </w:r>
    </w:p>
    <w:p w14:paraId="6B42A491" w14:textId="77777777" w:rsidR="005664B6" w:rsidRPr="00DB35D4" w:rsidRDefault="005664B6" w:rsidP="00A01330">
      <w:pPr>
        <w:pStyle w:val="ListParagraph"/>
        <w:numPr>
          <w:ilvl w:val="0"/>
          <w:numId w:val="17"/>
        </w:numPr>
        <w:spacing w:before="0" w:after="160"/>
        <w:rPr>
          <w:rFonts w:cs="Arial"/>
        </w:rPr>
      </w:pPr>
      <w:r w:rsidRPr="00DB35D4">
        <w:rPr>
          <w:rFonts w:cs="Arial"/>
        </w:rPr>
        <w:t>Definitions (Forest, afforestation, reforestation, deforestation, revegetation, forest management, cropland management and grazing land management).</w:t>
      </w:r>
    </w:p>
    <w:p w14:paraId="76B047D5" w14:textId="77777777" w:rsidR="005664B6" w:rsidRPr="00DB35D4" w:rsidRDefault="005664B6" w:rsidP="00A01330">
      <w:pPr>
        <w:pStyle w:val="ListParagraph"/>
        <w:numPr>
          <w:ilvl w:val="0"/>
          <w:numId w:val="17"/>
        </w:numPr>
        <w:spacing w:before="0" w:after="160"/>
        <w:rPr>
          <w:rFonts w:cs="Arial"/>
        </w:rPr>
      </w:pPr>
      <w:r w:rsidRPr="00DB35D4">
        <w:rPr>
          <w:rFonts w:cs="Arial"/>
        </w:rPr>
        <w:t>Modalities, rules, and guidelines for accounting of LULUCF activities under Articles 3.3 and 3.4 of the Kyoto Protocol in the first commitment period</w:t>
      </w:r>
    </w:p>
    <w:p w14:paraId="63C0ABA4" w14:textId="77777777" w:rsidR="005664B6" w:rsidRPr="00DB35D4" w:rsidRDefault="005664B6" w:rsidP="00A01330">
      <w:pPr>
        <w:pStyle w:val="ListParagraph"/>
        <w:numPr>
          <w:ilvl w:val="0"/>
          <w:numId w:val="17"/>
        </w:numPr>
        <w:spacing w:before="0" w:after="160"/>
        <w:rPr>
          <w:rFonts w:cs="Arial"/>
        </w:rPr>
      </w:pPr>
      <w:r w:rsidRPr="00DB35D4">
        <w:rPr>
          <w:rFonts w:cs="Arial"/>
        </w:rPr>
        <w:t>Principles to govern LULUCF project activities under Article 12 of the Kyoto Protocol</w:t>
      </w:r>
    </w:p>
    <w:p w14:paraId="718596C1" w14:textId="2A4FDFDD" w:rsidR="005664B6" w:rsidRPr="00DB35D4" w:rsidRDefault="005664B6" w:rsidP="005664B6">
      <w:pPr>
        <w:rPr>
          <w:rFonts w:cs="Arial"/>
        </w:rPr>
      </w:pPr>
      <w:r w:rsidRPr="00DB35D4">
        <w:rPr>
          <w:rFonts w:cs="Arial"/>
        </w:rPr>
        <w:t xml:space="preserve">More information on accounting of LULUCF activities under the Kyoto Protocol in the first commitment period is contained in the </w:t>
      </w:r>
      <w:hyperlink r:id="rId114" w:anchor="page=90" w:history="1">
        <w:r w:rsidRPr="00DB35D4">
          <w:rPr>
            <w:rStyle w:val="Hyperlink"/>
            <w:rFonts w:cs="Arial"/>
          </w:rPr>
          <w:t>Kyoto Protocol Reference Manual</w:t>
        </w:r>
      </w:hyperlink>
      <w:r w:rsidRPr="00DB35D4">
        <w:rPr>
          <w:rFonts w:cs="Arial"/>
        </w:rPr>
        <w:t>.</w:t>
      </w:r>
    </w:p>
    <w:p w14:paraId="2CF564B3" w14:textId="554BE851" w:rsidR="005664B6" w:rsidRPr="00DB35D4" w:rsidRDefault="005664B6" w:rsidP="005664B6">
      <w:pPr>
        <w:rPr>
          <w:rFonts w:cs="Arial"/>
        </w:rPr>
      </w:pPr>
      <w:r w:rsidRPr="00DB35D4">
        <w:rPr>
          <w:rFonts w:cs="Arial"/>
        </w:rPr>
        <w:lastRenderedPageBreak/>
        <w:t xml:space="preserve">The annex to </w:t>
      </w:r>
      <w:hyperlink r:id="rId115" w:anchor="page=11" w:history="1">
        <w:r w:rsidRPr="00DB35D4">
          <w:rPr>
            <w:rStyle w:val="Hyperlink"/>
            <w:rFonts w:cs="Arial"/>
          </w:rPr>
          <w:t>decision 2/CMP.7:</w:t>
        </w:r>
      </w:hyperlink>
      <w:r w:rsidRPr="00DB35D4">
        <w:rPr>
          <w:rFonts w:cs="Arial"/>
        </w:rPr>
        <w:t xml:space="preserve"> Land use, land-use change and forestry provides rules for accounting of LULUCF activities under KP in the </w:t>
      </w:r>
      <w:r w:rsidRPr="00DB35D4">
        <w:rPr>
          <w:rStyle w:val="Strong"/>
          <w:rFonts w:cs="Arial"/>
        </w:rPr>
        <w:t>second commitment period</w:t>
      </w:r>
      <w:r w:rsidRPr="00DB35D4">
        <w:rPr>
          <w:rFonts w:cs="Arial"/>
        </w:rPr>
        <w:t xml:space="preserve">. </w:t>
      </w:r>
      <w:proofErr w:type="gramStart"/>
      <w:r w:rsidRPr="00DB35D4">
        <w:rPr>
          <w:rFonts w:cs="Arial"/>
        </w:rPr>
        <w:t>In particular it</w:t>
      </w:r>
      <w:proofErr w:type="gramEnd"/>
      <w:r w:rsidRPr="00DB35D4">
        <w:rPr>
          <w:rFonts w:cs="Arial"/>
        </w:rPr>
        <w:t xml:space="preserve"> contains:</w:t>
      </w:r>
    </w:p>
    <w:p w14:paraId="5D24E0CC" w14:textId="5C1C4CC2" w:rsidR="005664B6" w:rsidRPr="00DB35D4" w:rsidRDefault="005664B6" w:rsidP="0055626A">
      <w:pPr>
        <w:pStyle w:val="ListParagraph"/>
        <w:numPr>
          <w:ilvl w:val="0"/>
          <w:numId w:val="18"/>
        </w:numPr>
        <w:spacing w:before="0" w:after="160"/>
        <w:rPr>
          <w:rFonts w:cs="Arial"/>
        </w:rPr>
      </w:pPr>
      <w:r w:rsidRPr="00DB35D4">
        <w:rPr>
          <w:rFonts w:cs="Arial"/>
        </w:rPr>
        <w:t xml:space="preserve">Definitions (Natural disturbances and Wetland drainage and rewetting) and confirms that definitions contained in annex to </w:t>
      </w:r>
      <w:hyperlink r:id="rId116" w:anchor="page=3" w:tgtFrame="_blank" w:history="1">
        <w:r w:rsidRPr="00DB35D4">
          <w:rPr>
            <w:rStyle w:val="Hyperlink"/>
            <w:rFonts w:cs="Arial"/>
          </w:rPr>
          <w:t>decision 16/CMP.1</w:t>
        </w:r>
      </w:hyperlink>
      <w:r w:rsidRPr="00DB35D4">
        <w:rPr>
          <w:rFonts w:cs="Arial"/>
        </w:rPr>
        <w:t xml:space="preserve"> (Forest, afforestation, reforestation, deforestation, revegetation, forest management, cropland management and grazing land management) shall be the same in the second commitment period.</w:t>
      </w:r>
    </w:p>
    <w:p w14:paraId="6AD0CDAB" w14:textId="77777777" w:rsidR="005664B6" w:rsidRPr="00DB35D4" w:rsidRDefault="005664B6" w:rsidP="0055626A">
      <w:pPr>
        <w:pStyle w:val="ListParagraph"/>
        <w:numPr>
          <w:ilvl w:val="0"/>
          <w:numId w:val="18"/>
        </w:numPr>
        <w:spacing w:before="0" w:after="160"/>
        <w:rPr>
          <w:rFonts w:cs="Arial"/>
        </w:rPr>
      </w:pPr>
      <w:r w:rsidRPr="00DB35D4">
        <w:rPr>
          <w:rFonts w:cs="Arial"/>
        </w:rPr>
        <w:t>Modalities, rules, and guidelines for accounting of LULUCF activities under Articles 3.3 and 3.4 of the Kyoto Protocol in the second commitment period.</w:t>
      </w:r>
    </w:p>
    <w:p w14:paraId="676F17F9" w14:textId="77777777" w:rsidR="005664B6" w:rsidRPr="00DB35D4" w:rsidRDefault="005664B6" w:rsidP="0055626A">
      <w:pPr>
        <w:pStyle w:val="ListParagraph"/>
        <w:numPr>
          <w:ilvl w:val="0"/>
          <w:numId w:val="18"/>
        </w:numPr>
        <w:spacing w:before="0" w:after="160"/>
        <w:rPr>
          <w:rFonts w:cs="Arial"/>
        </w:rPr>
      </w:pPr>
      <w:r w:rsidRPr="00DB35D4">
        <w:rPr>
          <w:rFonts w:cs="Arial"/>
        </w:rPr>
        <w:t>Principles to govern LULUCF project activities under Article 12 of the Kyoto Protocol.</w:t>
      </w:r>
    </w:p>
    <w:p w14:paraId="2BF7993B" w14:textId="77777777" w:rsidR="005664B6" w:rsidRPr="00DB35D4" w:rsidRDefault="005664B6" w:rsidP="005664B6">
      <w:pPr>
        <w:pStyle w:val="MAIL11"/>
      </w:pPr>
      <w:bookmarkStart w:id="265" w:name="_Toc18677155"/>
      <w:bookmarkStart w:id="266" w:name="_Toc90892991"/>
      <w:bookmarkStart w:id="267" w:name="_Toc91752445"/>
      <w:r w:rsidRPr="00DB35D4">
        <w:t>LULUCF and the Paris Agreement</w:t>
      </w:r>
      <w:bookmarkEnd w:id="265"/>
      <w:bookmarkEnd w:id="266"/>
      <w:bookmarkEnd w:id="267"/>
    </w:p>
    <w:p w14:paraId="54BE23E1" w14:textId="44B98671" w:rsidR="005664B6" w:rsidRPr="00DB35D4" w:rsidRDefault="005664B6" w:rsidP="005664B6">
      <w:pPr>
        <w:rPr>
          <w:rFonts w:cs="Arial"/>
        </w:rPr>
      </w:pPr>
      <w:r w:rsidRPr="00DB35D4">
        <w:rPr>
          <w:rFonts w:cs="Arial"/>
        </w:rPr>
        <w:t>The Climate Action Tracker (</w:t>
      </w:r>
      <w:hyperlink r:id="rId117" w:history="1">
        <w:r w:rsidRPr="00DB35D4">
          <w:rPr>
            <w:rStyle w:val="Hyperlink"/>
            <w:rFonts w:cs="Arial"/>
          </w:rPr>
          <w:t>CAT</w:t>
        </w:r>
      </w:hyperlink>
      <w:r w:rsidRPr="00DB35D4">
        <w:rPr>
          <w:rFonts w:cs="Arial"/>
        </w:rPr>
        <w:t>) is an independent science-based assessment, which tracks Government emission commitments and actions. In preparation for the adoption of the Paris Agreement in December, the CAT analyzed governments’ Intended Nationally Determined Contributions (INDCs) and assessed whether they are consistent with a fair share effort to holding warming to below 2°C.</w:t>
      </w:r>
    </w:p>
    <w:p w14:paraId="1D735877" w14:textId="77777777" w:rsidR="005664B6" w:rsidRPr="00DB35D4" w:rsidRDefault="005664B6" w:rsidP="005664B6">
      <w:pPr>
        <w:rPr>
          <w:rFonts w:cs="Arial"/>
        </w:rPr>
      </w:pPr>
      <w:r w:rsidRPr="00DB35D4">
        <w:rPr>
          <w:rFonts w:cs="Arial"/>
        </w:rPr>
        <w:t>The CAT methodology for assessing and rating INDCs focuses on CO</w:t>
      </w:r>
      <w:r w:rsidRPr="00DB35D4">
        <w:rPr>
          <w:rFonts w:cs="Arial"/>
          <w:vertAlign w:val="subscript"/>
        </w:rPr>
        <w:t>2</w:t>
      </w:r>
      <w:r w:rsidRPr="00DB35D4">
        <w:rPr>
          <w:rFonts w:cs="Arial"/>
        </w:rPr>
        <w:t xml:space="preserve"> and other GHG emissions from fossil fuel combustion, industry, agriculture, and waste sources, which account for 93% of global GHG emissions in 2010. CO</w:t>
      </w:r>
      <w:r w:rsidRPr="00DB35D4">
        <w:rPr>
          <w:rFonts w:cs="Arial"/>
          <w:vertAlign w:val="subscript"/>
        </w:rPr>
        <w:t>2</w:t>
      </w:r>
      <w:r w:rsidRPr="00DB35D4">
        <w:rPr>
          <w:rFonts w:cs="Arial"/>
        </w:rPr>
        <w:t xml:space="preserve"> and other GHG emissions from land-use, land use change and forestry (LULUCF), which account for around </w:t>
      </w:r>
      <w:r w:rsidRPr="00DB35D4">
        <w:rPr>
          <w:rFonts w:cs="Arial"/>
          <w:b/>
        </w:rPr>
        <w:t>7% of global GHG emissions</w:t>
      </w:r>
      <w:r w:rsidRPr="00DB35D4">
        <w:rPr>
          <w:rFonts w:cs="Arial"/>
        </w:rPr>
        <w:t>, are not included in the effort sharing ranking system.</w:t>
      </w:r>
    </w:p>
    <w:p w14:paraId="6D158C05" w14:textId="77777777" w:rsidR="005664B6" w:rsidRPr="00DB35D4" w:rsidRDefault="005664B6" w:rsidP="005664B6">
      <w:pPr>
        <w:rPr>
          <w:rFonts w:cs="Arial"/>
        </w:rPr>
      </w:pPr>
      <w:r w:rsidRPr="00DB35D4">
        <w:rPr>
          <w:rFonts w:cs="Arial"/>
        </w:rPr>
        <w:t>In analyzing INDCs, the CAT estimates and reports both historical and likely future emissions from both broad sources of GHG emissions and, where significant, elaborates on LULUCF issues in the overall assessment of government action. This note serves to shed light on the reasoning behind this approach and why it matters when being concerned with holding warming to below 2 and 1.5°C.</w:t>
      </w:r>
    </w:p>
    <w:p w14:paraId="6EA97DE5" w14:textId="77777777" w:rsidR="005664B6" w:rsidRPr="00DB35D4" w:rsidRDefault="005664B6" w:rsidP="005664B6">
      <w:pPr>
        <w:rPr>
          <w:rFonts w:cs="Arial"/>
        </w:rPr>
      </w:pPr>
      <w:r w:rsidRPr="00DB35D4">
        <w:rPr>
          <w:rFonts w:cs="Arial"/>
        </w:rPr>
        <w:t xml:space="preserve">There are several inter-related factors that lead to the approach in which CAT rates all governments’ INDCs against their fair share contribution towards reducing emissions from fossil fuel combustion, industry, </w:t>
      </w:r>
      <w:proofErr w:type="gramStart"/>
      <w:r w:rsidRPr="00DB35D4">
        <w:rPr>
          <w:rFonts w:cs="Arial"/>
        </w:rPr>
        <w:t>agriculture</w:t>
      </w:r>
      <w:proofErr w:type="gramEnd"/>
      <w:r w:rsidRPr="00DB35D4">
        <w:rPr>
          <w:rFonts w:cs="Arial"/>
        </w:rPr>
        <w:t xml:space="preserve"> and waste sources—in effect on their contribution towards long-term decarbonization—excluding LULUCF. In summary, the CAT assesses INDCs without emissions from LULUCF because of:</w:t>
      </w:r>
    </w:p>
    <w:p w14:paraId="774FB18D" w14:textId="77777777" w:rsidR="005664B6" w:rsidRPr="00DB35D4" w:rsidRDefault="005664B6" w:rsidP="00A01330">
      <w:pPr>
        <w:pStyle w:val="ListParagraph"/>
        <w:numPr>
          <w:ilvl w:val="0"/>
          <w:numId w:val="19"/>
        </w:numPr>
        <w:spacing w:before="0" w:after="160"/>
        <w:rPr>
          <w:rFonts w:cs="Arial"/>
        </w:rPr>
      </w:pPr>
      <w:r w:rsidRPr="00DB35D4">
        <w:rPr>
          <w:rFonts w:cs="Arial"/>
        </w:rPr>
        <w:lastRenderedPageBreak/>
        <w:t>The importance of the need to decrease CO</w:t>
      </w:r>
      <w:r w:rsidRPr="00DB35D4">
        <w:rPr>
          <w:rFonts w:cs="Arial"/>
          <w:vertAlign w:val="subscript"/>
        </w:rPr>
        <w:t>2</w:t>
      </w:r>
      <w:r w:rsidRPr="00DB35D4">
        <w:rPr>
          <w:rFonts w:cs="Arial"/>
        </w:rPr>
        <w:t xml:space="preserve"> and other GHG emissions from fossil fuel combustion, industry, agriculture, and waste sources </w:t>
      </w:r>
      <w:proofErr w:type="gramStart"/>
      <w:r w:rsidRPr="00DB35D4">
        <w:rPr>
          <w:rFonts w:cs="Arial"/>
        </w:rPr>
        <w:t>in order to</w:t>
      </w:r>
      <w:proofErr w:type="gramEnd"/>
      <w:r w:rsidRPr="00DB35D4">
        <w:rPr>
          <w:rFonts w:cs="Arial"/>
        </w:rPr>
        <w:t xml:space="preserve"> meet the 1.5° and 2°C limits.</w:t>
      </w:r>
    </w:p>
    <w:p w14:paraId="475B55B3" w14:textId="77777777" w:rsidR="005664B6" w:rsidRPr="00DB35D4" w:rsidRDefault="005664B6" w:rsidP="00A01330">
      <w:pPr>
        <w:pStyle w:val="ListParagraph"/>
        <w:numPr>
          <w:ilvl w:val="0"/>
          <w:numId w:val="19"/>
        </w:numPr>
        <w:spacing w:before="0" w:after="160"/>
        <w:rPr>
          <w:rFonts w:cs="Arial"/>
        </w:rPr>
      </w:pPr>
      <w:r w:rsidRPr="00DB35D4">
        <w:rPr>
          <w:rFonts w:cs="Arial"/>
        </w:rPr>
        <w:t>Large data uncertainty around LULUCF emissions data.</w:t>
      </w:r>
    </w:p>
    <w:p w14:paraId="15F38806" w14:textId="77777777" w:rsidR="005664B6" w:rsidRPr="00DB35D4" w:rsidRDefault="005664B6" w:rsidP="00A01330">
      <w:pPr>
        <w:pStyle w:val="ListParagraph"/>
        <w:numPr>
          <w:ilvl w:val="0"/>
          <w:numId w:val="19"/>
        </w:numPr>
        <w:spacing w:before="0" w:after="160"/>
        <w:rPr>
          <w:rFonts w:cs="Arial"/>
        </w:rPr>
      </w:pPr>
      <w:r w:rsidRPr="00DB35D4">
        <w:rPr>
          <w:rFonts w:cs="Arial"/>
        </w:rPr>
        <w:t xml:space="preserve">The need to compare “like with like” between INDCs, and to disentangle diverse approaches to LULUCF accounting </w:t>
      </w:r>
      <w:proofErr w:type="gramStart"/>
      <w:r w:rsidRPr="00DB35D4">
        <w:rPr>
          <w:rFonts w:cs="Arial"/>
        </w:rPr>
        <w:t>in order to</w:t>
      </w:r>
      <w:proofErr w:type="gramEnd"/>
      <w:r w:rsidRPr="00DB35D4">
        <w:rPr>
          <w:rFonts w:cs="Arial"/>
        </w:rPr>
        <w:t xml:space="preserve"> understand trends in decarbonization.</w:t>
      </w:r>
    </w:p>
    <w:p w14:paraId="3AB61969" w14:textId="77777777" w:rsidR="005664B6" w:rsidRPr="00DB35D4" w:rsidRDefault="005664B6" w:rsidP="00A01330">
      <w:pPr>
        <w:pStyle w:val="ListParagraph"/>
        <w:numPr>
          <w:ilvl w:val="0"/>
          <w:numId w:val="19"/>
        </w:numPr>
        <w:spacing w:before="0" w:after="160"/>
        <w:rPr>
          <w:rFonts w:cs="Arial"/>
        </w:rPr>
      </w:pPr>
      <w:r w:rsidRPr="00DB35D4">
        <w:rPr>
          <w:rFonts w:cs="Arial"/>
        </w:rPr>
        <w:t>The need to increase transparency about the adequacy of targets</w:t>
      </w:r>
    </w:p>
    <w:p w14:paraId="76F992B4" w14:textId="77777777" w:rsidR="005664B6" w:rsidRPr="00DB35D4" w:rsidRDefault="005664B6" w:rsidP="005664B6">
      <w:pPr>
        <w:rPr>
          <w:rFonts w:cs="Arial"/>
        </w:rPr>
      </w:pPr>
      <w:r w:rsidRPr="00DB35D4">
        <w:rPr>
          <w:rFonts w:cs="Arial"/>
        </w:rPr>
        <w:t>Methodological constraints with fair share literature predominantly based on GHG emissions excluding LULUCF and with very different drivers and dynamics between fossil fuel and industrial GHG emissions and LULUCF.</w:t>
      </w:r>
    </w:p>
    <w:p w14:paraId="7FFDD44E" w14:textId="77777777" w:rsidR="005664B6" w:rsidRPr="00DB35D4" w:rsidRDefault="005664B6" w:rsidP="005664B6">
      <w:pPr>
        <w:pStyle w:val="MAIL11"/>
      </w:pPr>
      <w:bookmarkStart w:id="268" w:name="_Toc18677156"/>
      <w:bookmarkStart w:id="269" w:name="_Toc90892992"/>
      <w:bookmarkStart w:id="270" w:name="_Toc91752446"/>
      <w:r w:rsidRPr="00DB35D4">
        <w:t>LULUCF and CO</w:t>
      </w:r>
      <w:r w:rsidRPr="00DB35D4">
        <w:rPr>
          <w:vertAlign w:val="subscript"/>
        </w:rPr>
        <w:t>2</w:t>
      </w:r>
      <w:r w:rsidRPr="00DB35D4">
        <w:t xml:space="preserve"> Emissions in the European Union</w:t>
      </w:r>
      <w:bookmarkEnd w:id="268"/>
      <w:bookmarkEnd w:id="269"/>
      <w:bookmarkEnd w:id="270"/>
    </w:p>
    <w:p w14:paraId="47C6B091" w14:textId="77777777" w:rsidR="005664B6" w:rsidRPr="00396D88" w:rsidRDefault="005664B6" w:rsidP="005664B6">
      <w:pPr>
        <w:rPr>
          <w:rFonts w:cs="Arial"/>
        </w:rPr>
      </w:pPr>
      <w:r w:rsidRPr="00396D88">
        <w:rPr>
          <w:rFonts w:cs="Arial"/>
        </w:rPr>
        <w:t>Under EU legislation adopted in May 2018, EU Member States must ensure that greenhouse gas emissions from land use, land use change or forestry are offset by at least an equivalent removal of CO</w:t>
      </w:r>
      <w:r w:rsidRPr="00396D88">
        <w:rPr>
          <w:rFonts w:ascii="Cambria Math" w:hAnsi="Cambria Math" w:cs="Cambria Math"/>
        </w:rPr>
        <w:t>₂</w:t>
      </w:r>
      <w:r w:rsidRPr="00396D88">
        <w:rPr>
          <w:rFonts w:cs="Arial"/>
        </w:rPr>
        <w:t xml:space="preserve"> from the atmosphere in the period 2021 to 2030.</w:t>
      </w:r>
    </w:p>
    <w:p w14:paraId="2C708ACF" w14:textId="77777777" w:rsidR="005664B6" w:rsidRPr="00DB35D4" w:rsidRDefault="005664B6" w:rsidP="005664B6">
      <w:pPr>
        <w:rPr>
          <w:rFonts w:cs="Arial"/>
        </w:rPr>
      </w:pPr>
      <w:r w:rsidRPr="00DB35D4">
        <w:rPr>
          <w:rFonts w:cs="Arial"/>
        </w:rPr>
        <w:t>The Regulation on the inclusion of greenhouse gas emissions and removals from land use, land use change and forestry (LULUCF) into the 2030 climate and energy framework was adopted by the Council on 14 May 2018, following the European Parliament vote on 17 April 2018.</w:t>
      </w:r>
    </w:p>
    <w:p w14:paraId="748A02C2" w14:textId="1C678055" w:rsidR="005664B6" w:rsidRPr="00DB35D4" w:rsidRDefault="005664B6" w:rsidP="005664B6">
      <w:pPr>
        <w:rPr>
          <w:rFonts w:cs="Arial"/>
        </w:rPr>
      </w:pPr>
      <w:r w:rsidRPr="00DB35D4">
        <w:rPr>
          <w:rFonts w:cs="Arial"/>
        </w:rPr>
        <w:t xml:space="preserve">The Regulation implements the agreement between EU leaders in October 2014 that all sectors should contribute to the EU's </w:t>
      </w:r>
      <w:hyperlink r:id="rId118" w:history="1">
        <w:r w:rsidRPr="00DB35D4">
          <w:rPr>
            <w:rFonts w:cs="Arial"/>
          </w:rPr>
          <w:t>2030 emission reduction target</w:t>
        </w:r>
      </w:hyperlink>
      <w:r w:rsidRPr="00DB35D4">
        <w:rPr>
          <w:rFonts w:cs="Arial"/>
        </w:rPr>
        <w:t>, including the land use sector.</w:t>
      </w:r>
    </w:p>
    <w:p w14:paraId="6D98CB54" w14:textId="49B30A34" w:rsidR="005664B6" w:rsidRPr="00DB35D4" w:rsidRDefault="005664B6" w:rsidP="005664B6">
      <w:pPr>
        <w:rPr>
          <w:rFonts w:cs="Arial"/>
        </w:rPr>
      </w:pPr>
      <w:r w:rsidRPr="00DB35D4">
        <w:rPr>
          <w:rFonts w:cs="Arial"/>
        </w:rPr>
        <w:t xml:space="preserve">It is also in line with the </w:t>
      </w:r>
      <w:hyperlink r:id="rId119" w:history="1">
        <w:r w:rsidRPr="00DB35D4">
          <w:rPr>
            <w:rFonts w:cs="Arial"/>
          </w:rPr>
          <w:t>Paris Agreement</w:t>
        </w:r>
      </w:hyperlink>
      <w:r w:rsidRPr="00DB35D4">
        <w:rPr>
          <w:rFonts w:cs="Arial"/>
        </w:rPr>
        <w:t>, which points to the critical role of the land use sector in reaching our long-term climate mitigation objectives.</w:t>
      </w:r>
    </w:p>
    <w:p w14:paraId="19BD434A" w14:textId="77777777" w:rsidR="005664B6" w:rsidRPr="00DB35D4" w:rsidRDefault="005664B6" w:rsidP="005664B6">
      <w:pPr>
        <w:rPr>
          <w:rFonts w:cs="Arial"/>
        </w:rPr>
      </w:pPr>
      <w:r w:rsidRPr="00DB35D4">
        <w:rPr>
          <w:rFonts w:cs="Arial"/>
        </w:rPr>
        <w:t xml:space="preserve">The Regulation sets a binding commitment for each Member State to ensure that accounted </w:t>
      </w:r>
      <w:r w:rsidRPr="00DB35D4">
        <w:rPr>
          <w:rFonts w:cs="Arial"/>
          <w:b/>
          <w:bCs/>
        </w:rPr>
        <w:t>emissions from land use are entirely compensated</w:t>
      </w:r>
      <w:r w:rsidRPr="00DB35D4">
        <w:rPr>
          <w:rFonts w:cs="Arial"/>
        </w:rPr>
        <w:t xml:space="preserve"> by an equivalent removal of CO</w:t>
      </w:r>
      <w:r w:rsidRPr="00DB35D4">
        <w:rPr>
          <w:rFonts w:ascii="Cambria Math" w:hAnsi="Cambria Math" w:cs="Cambria Math"/>
        </w:rPr>
        <w:t>₂</w:t>
      </w:r>
      <w:r w:rsidRPr="00DB35D4">
        <w:rPr>
          <w:rFonts w:cs="Arial"/>
        </w:rPr>
        <w:t xml:space="preserve"> from the atmosphere through action in the sector. This is known as the </w:t>
      </w:r>
      <w:r w:rsidRPr="00DB35D4">
        <w:rPr>
          <w:rFonts w:cs="Arial"/>
          <w:b/>
          <w:bCs/>
        </w:rPr>
        <w:t>“no debit”</w:t>
      </w:r>
      <w:r w:rsidRPr="00DB35D4">
        <w:rPr>
          <w:rFonts w:cs="Arial"/>
        </w:rPr>
        <w:t xml:space="preserve"> rule.</w:t>
      </w:r>
    </w:p>
    <w:p w14:paraId="0CCB2568" w14:textId="749B581C" w:rsidR="005664B6" w:rsidRPr="00DB35D4" w:rsidRDefault="005664B6" w:rsidP="005664B6">
      <w:pPr>
        <w:rPr>
          <w:rFonts w:cs="Arial"/>
        </w:rPr>
      </w:pPr>
      <w:r w:rsidRPr="00DB35D4">
        <w:rPr>
          <w:rFonts w:cs="Arial"/>
        </w:rPr>
        <w:t xml:space="preserve">Although Member States already partly undertook this commitment individually under the </w:t>
      </w:r>
      <w:hyperlink r:id="rId120" w:history="1">
        <w:r w:rsidRPr="00DB35D4">
          <w:rPr>
            <w:rFonts w:cs="Arial"/>
          </w:rPr>
          <w:t>Kyoto Protocol</w:t>
        </w:r>
      </w:hyperlink>
      <w:r w:rsidRPr="00DB35D4">
        <w:rPr>
          <w:rFonts w:cs="Arial"/>
        </w:rPr>
        <w:t xml:space="preserve"> up to 2020, the Regulation enshrines the commitment for the </w:t>
      </w:r>
      <w:r w:rsidRPr="00DB35D4">
        <w:rPr>
          <w:rFonts w:cs="Arial"/>
          <w:bCs/>
        </w:rPr>
        <w:t>first time in EU law</w:t>
      </w:r>
      <w:r w:rsidRPr="00DB35D4">
        <w:rPr>
          <w:rFonts w:cs="Arial"/>
        </w:rPr>
        <w:t xml:space="preserve"> for the period 2021-2030.</w:t>
      </w:r>
    </w:p>
    <w:p w14:paraId="6866D11C" w14:textId="77777777" w:rsidR="005664B6" w:rsidRPr="00DB35D4" w:rsidRDefault="005664B6" w:rsidP="005664B6">
      <w:pPr>
        <w:rPr>
          <w:rFonts w:cs="Arial"/>
        </w:rPr>
      </w:pPr>
      <w:r w:rsidRPr="00DB35D4">
        <w:rPr>
          <w:rFonts w:cs="Arial"/>
        </w:rPr>
        <w:lastRenderedPageBreak/>
        <w:t xml:space="preserve">Moreover, the </w:t>
      </w:r>
      <w:r w:rsidRPr="00DB35D4">
        <w:rPr>
          <w:rFonts w:cs="Arial"/>
          <w:bCs/>
        </w:rPr>
        <w:t>scope is extended</w:t>
      </w:r>
      <w:r w:rsidRPr="00DB35D4">
        <w:rPr>
          <w:rFonts w:cs="Arial"/>
        </w:rPr>
        <w:t xml:space="preserve"> from only forests today to all land uses (and including wetlands by 2026).</w:t>
      </w:r>
    </w:p>
    <w:p w14:paraId="4B710034" w14:textId="77777777" w:rsidR="005664B6" w:rsidRPr="00DB35D4" w:rsidRDefault="005664B6" w:rsidP="005664B6">
      <w:pPr>
        <w:rPr>
          <w:rFonts w:cs="Arial"/>
        </w:rPr>
      </w:pPr>
      <w:r w:rsidRPr="00DB35D4">
        <w:rPr>
          <w:rFonts w:cs="Arial"/>
        </w:rPr>
        <w:t xml:space="preserve">The new rules provide Member States with a framework to incentivize </w:t>
      </w:r>
      <w:r w:rsidRPr="00DB35D4">
        <w:rPr>
          <w:rFonts w:cs="Arial"/>
          <w:bCs/>
        </w:rPr>
        <w:t>more climate-friendly land use</w:t>
      </w:r>
      <w:r w:rsidRPr="00DB35D4">
        <w:rPr>
          <w:rFonts w:cs="Arial"/>
        </w:rPr>
        <w:t>, without imposing new restrictions or red tape on individual actors.</w:t>
      </w:r>
    </w:p>
    <w:p w14:paraId="4921AD59" w14:textId="77777777" w:rsidR="005664B6" w:rsidRPr="00DB35D4" w:rsidRDefault="005664B6" w:rsidP="005664B6">
      <w:pPr>
        <w:rPr>
          <w:rFonts w:cs="Arial"/>
        </w:rPr>
      </w:pPr>
      <w:r w:rsidRPr="00DB35D4">
        <w:rPr>
          <w:rFonts w:cs="Arial"/>
        </w:rPr>
        <w:t xml:space="preserve">This will help </w:t>
      </w:r>
      <w:r w:rsidRPr="00DB35D4">
        <w:rPr>
          <w:rFonts w:cs="Arial"/>
          <w:b/>
          <w:bCs/>
        </w:rPr>
        <w:t>farmers</w:t>
      </w:r>
      <w:r w:rsidRPr="00DB35D4">
        <w:rPr>
          <w:rFonts w:cs="Arial"/>
        </w:rPr>
        <w:t xml:space="preserve"> to develop climate-smart agriculture practices and support </w:t>
      </w:r>
      <w:r w:rsidRPr="00DB35D4">
        <w:rPr>
          <w:rFonts w:cs="Arial"/>
          <w:b/>
          <w:bCs/>
        </w:rPr>
        <w:t xml:space="preserve">foresters </w:t>
      </w:r>
      <w:r w:rsidRPr="00DB35D4">
        <w:rPr>
          <w:rFonts w:cs="Arial"/>
        </w:rPr>
        <w:t>through greater visibility for the climate benefits of wood products, which can store carbon sequestered from the atmosphere and substitute for emission-intensive materials.</w:t>
      </w:r>
    </w:p>
    <w:p w14:paraId="2C03FCBC" w14:textId="77777777" w:rsidR="005664B6" w:rsidRPr="00DB35D4" w:rsidRDefault="005664B6" w:rsidP="005664B6">
      <w:pPr>
        <w:rPr>
          <w:rFonts w:cs="Arial"/>
        </w:rPr>
      </w:pPr>
      <w:r w:rsidRPr="00DB35D4">
        <w:rPr>
          <w:rFonts w:cs="Arial"/>
        </w:rPr>
        <w:t>Emissions of biomass used in energy will be recorded and accounted towards each Member State's 2030 climate commitments, through the correct application of accounting in LULUCF.</w:t>
      </w:r>
    </w:p>
    <w:p w14:paraId="30038420" w14:textId="77777777" w:rsidR="005664B6" w:rsidRPr="00DB35D4" w:rsidRDefault="005664B6" w:rsidP="005664B6">
      <w:pPr>
        <w:rPr>
          <w:rFonts w:cs="Arial"/>
        </w:rPr>
      </w:pPr>
      <w:r w:rsidRPr="00DB35D4">
        <w:rPr>
          <w:rFonts w:cs="Arial"/>
        </w:rPr>
        <w:t>This breakthrough addresses the earlier broad criticism that emissions from biomass in energy production were not accounted for under previous EU law.</w:t>
      </w:r>
    </w:p>
    <w:p w14:paraId="11F09293" w14:textId="77777777" w:rsidR="005664B6" w:rsidRPr="00DB35D4" w:rsidRDefault="005664B6" w:rsidP="005664B6">
      <w:pPr>
        <w:rPr>
          <w:rFonts w:cs="Arial"/>
        </w:rPr>
      </w:pPr>
      <w:r w:rsidRPr="00DB35D4">
        <w:rPr>
          <w:rFonts w:cs="Arial"/>
        </w:rPr>
        <w:t xml:space="preserve">As </w:t>
      </w:r>
      <w:r w:rsidRPr="00DB35D4">
        <w:rPr>
          <w:rFonts w:cs="Arial"/>
          <w:b/>
        </w:rPr>
        <w:t>forest</w:t>
      </w:r>
      <w:r w:rsidRPr="00DB35D4">
        <w:rPr>
          <w:rFonts w:cs="Arial"/>
        </w:rPr>
        <w:t xml:space="preserve"> management is the main source of biomass for energy and wood production, more </w:t>
      </w:r>
      <w:r w:rsidRPr="00DB35D4">
        <w:rPr>
          <w:rFonts w:cs="Arial"/>
          <w:b/>
        </w:rPr>
        <w:t>robust accounting rules and governance</w:t>
      </w:r>
      <w:r w:rsidRPr="00DB35D4">
        <w:rPr>
          <w:rFonts w:cs="Arial"/>
        </w:rPr>
        <w:t xml:space="preserve"> for forest management will provide a solid basis for Europe's future renewables policy after 2020.</w:t>
      </w:r>
    </w:p>
    <w:p w14:paraId="5533C7CD" w14:textId="75AC332C" w:rsidR="005664B6" w:rsidRPr="00DB35D4" w:rsidRDefault="005664B6" w:rsidP="005664B6">
      <w:pPr>
        <w:rPr>
          <w:rFonts w:cs="Arial"/>
        </w:rPr>
      </w:pPr>
      <w:r w:rsidRPr="00DB35D4">
        <w:rPr>
          <w:rFonts w:cs="Arial"/>
        </w:rPr>
        <w:t xml:space="preserve">The LULUCF Regulation simplifies and upgrades the current </w:t>
      </w:r>
      <w:r w:rsidRPr="00DB35D4">
        <w:rPr>
          <w:rFonts w:cs="Arial"/>
          <w:bCs/>
        </w:rPr>
        <w:t>accounting methodology</w:t>
      </w:r>
      <w:r w:rsidRPr="00DB35D4">
        <w:rPr>
          <w:rFonts w:cs="Arial"/>
        </w:rPr>
        <w:t xml:space="preserve"> under Decision No 529/2013/EU and establishes a new </w:t>
      </w:r>
      <w:r w:rsidRPr="00DB35D4">
        <w:rPr>
          <w:rFonts w:cs="Arial"/>
          <w:bCs/>
        </w:rPr>
        <w:t>EU governance process</w:t>
      </w:r>
      <w:r w:rsidRPr="00DB35D4">
        <w:rPr>
          <w:rFonts w:cs="Arial"/>
        </w:rPr>
        <w:t xml:space="preserve"> for monitoring how Member States calculate emissions and removals from actions in their forests broadens the </w:t>
      </w:r>
      <w:r w:rsidRPr="00DB35D4">
        <w:rPr>
          <w:rFonts w:cs="Arial"/>
          <w:bCs/>
        </w:rPr>
        <w:t>scope of accounting</w:t>
      </w:r>
      <w:r w:rsidRPr="00DB35D4">
        <w:rPr>
          <w:rFonts w:cs="Arial"/>
        </w:rPr>
        <w:t xml:space="preserve"> to cover all managed land within the EU, using more recent benchmarks for performance – and thereby improving accuracy of the accounts</w:t>
      </w:r>
      <w:sdt>
        <w:sdtPr>
          <w:rPr>
            <w:rFonts w:cs="Arial"/>
          </w:rPr>
          <w:id w:val="323397458"/>
          <w:citation/>
        </w:sdtPr>
        <w:sdtEndPr/>
        <w:sdtContent>
          <w:r w:rsidRPr="00DB35D4">
            <w:rPr>
              <w:rFonts w:cs="Arial"/>
            </w:rPr>
            <w:fldChar w:fldCharType="begin"/>
          </w:r>
          <w:r w:rsidRPr="00DB35D4">
            <w:rPr>
              <w:rFonts w:cs="Arial"/>
            </w:rPr>
            <w:instrText xml:space="preserve"> CITATION EUR13 \l 1033 </w:instrText>
          </w:r>
          <w:r w:rsidRPr="00DB35D4">
            <w:rPr>
              <w:rFonts w:cs="Arial"/>
            </w:rPr>
            <w:fldChar w:fldCharType="separate"/>
          </w:r>
          <w:r w:rsidR="00487700">
            <w:rPr>
              <w:rFonts w:cs="Arial"/>
              <w:noProof/>
            </w:rPr>
            <w:t xml:space="preserve"> </w:t>
          </w:r>
          <w:r w:rsidR="00487700" w:rsidRPr="00487700">
            <w:rPr>
              <w:rFonts w:cs="Arial"/>
              <w:noProof/>
            </w:rPr>
            <w:t>(EUROPEAN PARLIAMENT AND THE COUNCIL OF THE EUROPEAN UNION, 2013)</w:t>
          </w:r>
          <w:r w:rsidRPr="00DB35D4">
            <w:rPr>
              <w:rFonts w:cs="Arial"/>
            </w:rPr>
            <w:fldChar w:fldCharType="end"/>
          </w:r>
        </w:sdtContent>
      </w:sdt>
      <w:r w:rsidRPr="00DB35D4">
        <w:rPr>
          <w:rFonts w:cs="Arial"/>
        </w:rPr>
        <w:t>.</w:t>
      </w:r>
    </w:p>
    <w:p w14:paraId="3E84D85E" w14:textId="13AE92F4" w:rsidR="005664B6" w:rsidRPr="00DB35D4" w:rsidRDefault="005664B6" w:rsidP="005664B6">
      <w:pPr>
        <w:rPr>
          <w:rFonts w:cs="Arial"/>
        </w:rPr>
      </w:pPr>
      <w:r w:rsidRPr="00DB35D4">
        <w:rPr>
          <w:rFonts w:cs="Arial"/>
          <w:noProof/>
          <w:lang w:val="es-ES" w:eastAsia="es-ES"/>
        </w:rPr>
        <mc:AlternateContent>
          <mc:Choice Requires="wps">
            <w:drawing>
              <wp:anchor distT="45720" distB="45720" distL="114300" distR="114300" simplePos="0" relativeHeight="251664384" behindDoc="0" locked="0" layoutInCell="1" allowOverlap="1" wp14:anchorId="724B7648" wp14:editId="3822667C">
                <wp:simplePos x="0" y="0"/>
                <wp:positionH relativeFrom="margin">
                  <wp:align>left</wp:align>
                </wp:positionH>
                <wp:positionV relativeFrom="paragraph">
                  <wp:posOffset>2540</wp:posOffset>
                </wp:positionV>
                <wp:extent cx="3669030" cy="2126615"/>
                <wp:effectExtent l="0" t="0" r="26670" b="26035"/>
                <wp:wrapSquare wrapText="bothSides"/>
                <wp:docPr id="38"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9030" cy="2126672"/>
                        </a:xfrm>
                        <a:prstGeom prst="rect">
                          <a:avLst/>
                        </a:prstGeom>
                        <a:solidFill>
                          <a:srgbClr val="FFFFFF"/>
                        </a:solidFill>
                        <a:ln w="9525">
                          <a:solidFill>
                            <a:srgbClr val="000000"/>
                          </a:solidFill>
                          <a:miter lim="800000"/>
                          <a:headEnd/>
                          <a:tailEnd/>
                        </a:ln>
                      </wps:spPr>
                      <wps:txbx>
                        <w:txbxContent>
                          <w:p w14:paraId="0C2B059F" w14:textId="77777777" w:rsidR="00E636F7" w:rsidRPr="00343373" w:rsidRDefault="00E636F7" w:rsidP="005664B6">
                            <w:pPr>
                              <w:rPr>
                                <w:rFonts w:cs="Arial"/>
                                <w:b/>
                              </w:rPr>
                            </w:pPr>
                            <w:r w:rsidRPr="00343373">
                              <w:rPr>
                                <w:rFonts w:cs="Arial"/>
                                <w:b/>
                              </w:rPr>
                              <w:t>Box 3</w:t>
                            </w:r>
                          </w:p>
                          <w:p w14:paraId="69836054" w14:textId="6DC0A539" w:rsidR="00E636F7" w:rsidRPr="00343373" w:rsidRDefault="00E636F7" w:rsidP="00D84451">
                            <w:pPr>
                              <w:spacing w:before="0" w:after="0" w:line="240" w:lineRule="auto"/>
                              <w:rPr>
                                <w:rFonts w:cs="Arial"/>
                              </w:rPr>
                            </w:pPr>
                            <w:r w:rsidRPr="00343373">
                              <w:rPr>
                                <w:rFonts w:cs="Arial"/>
                              </w:rPr>
                              <w:t>The emissions that are covered so far within the EU ETS and the forthcoming Effort Sharing Decision are not including those coming from Agricultural and Forest activities. Their contribution to Climate Change is not negligible as it captures huge amount of CO</w:t>
                            </w:r>
                            <w:r w:rsidRPr="00343373">
                              <w:rPr>
                                <w:rFonts w:cs="Arial"/>
                                <w:vertAlign w:val="subscript"/>
                              </w:rPr>
                              <w:t>2</w:t>
                            </w:r>
                            <w:r w:rsidRPr="00343373">
                              <w:rPr>
                                <w:rFonts w:cs="Arial"/>
                              </w:rPr>
                              <w:t xml:space="preserve"> and other GHGs emissions annually. According to EUROSTAT LULUCF emissions per country and in total for the whole of Europe (and associated countries e.g., Turkey, Norway, Iceland and Lichtenstein) is quite promising (</w:t>
                            </w:r>
                            <w:r w:rsidRPr="00343373">
                              <w:rPr>
                                <w:rFonts w:cs="Arial"/>
                              </w:rPr>
                              <w:fldChar w:fldCharType="begin"/>
                            </w:r>
                            <w:r w:rsidRPr="00343373">
                              <w:rPr>
                                <w:rFonts w:cs="Arial"/>
                              </w:rPr>
                              <w:instrText xml:space="preserve"> REF _Ref86397188 \h  \* MERGEFORMAT </w:instrText>
                            </w:r>
                            <w:r w:rsidRPr="00343373">
                              <w:rPr>
                                <w:rFonts w:cs="Arial"/>
                              </w:rPr>
                            </w:r>
                            <w:r w:rsidRPr="00343373">
                              <w:rPr>
                                <w:rFonts w:cs="Arial"/>
                              </w:rPr>
                              <w:fldChar w:fldCharType="separate"/>
                            </w:r>
                            <w:r w:rsidR="0073710A" w:rsidRPr="00397EE9">
                              <w:rPr>
                                <w:rFonts w:cs="Arial"/>
                              </w:rPr>
                              <w:t xml:space="preserve">Figure </w:t>
                            </w:r>
                            <w:r w:rsidR="0073710A">
                              <w:rPr>
                                <w:rFonts w:cs="Arial"/>
                              </w:rPr>
                              <w:t>46</w:t>
                            </w:r>
                            <w:r w:rsidRPr="00343373">
                              <w:rPr>
                                <w:rFonts w:cs="Arial"/>
                              </w:rPr>
                              <w:fldChar w:fldCharType="end"/>
                            </w:r>
                            <w:r w:rsidRPr="00343373">
                              <w:rPr>
                                <w:rFonts w:cs="Arial"/>
                              </w:rPr>
                              <w:fldChar w:fldCharType="begin"/>
                            </w:r>
                            <w:r w:rsidRPr="00343373">
                              <w:rPr>
                                <w:rFonts w:cs="Arial"/>
                              </w:rPr>
                              <w:instrText xml:space="preserve"> REF _Ref86397188 \h </w:instrText>
                            </w:r>
                            <w:r>
                              <w:rPr>
                                <w:rFonts w:cs="Arial"/>
                              </w:rPr>
                              <w:instrText xml:space="preserve"> \* MERGEFORMAT </w:instrText>
                            </w:r>
                            <w:r w:rsidRPr="00343373">
                              <w:rPr>
                                <w:rFonts w:cs="Arial"/>
                              </w:rPr>
                            </w:r>
                            <w:r w:rsidRPr="00343373">
                              <w:rPr>
                                <w:rFonts w:cs="Arial"/>
                              </w:rPr>
                              <w:fldChar w:fldCharType="separate"/>
                            </w:r>
                            <w:r w:rsidR="0073710A" w:rsidRPr="0073710A">
                              <w:rPr>
                                <w:rFonts w:cs="Arial"/>
                                <w:sz w:val="20"/>
                                <w:szCs w:val="20"/>
                              </w:rPr>
                              <w:t xml:space="preserve">Figure </w:t>
                            </w:r>
                            <w:r w:rsidR="0073710A">
                              <w:rPr>
                                <w:rFonts w:cs="Arial"/>
                                <w:noProof/>
                              </w:rPr>
                              <w:t>46</w:t>
                            </w:r>
                            <w:r w:rsidRPr="00343373">
                              <w:rPr>
                                <w:rFonts w:cs="Arial"/>
                              </w:rPr>
                              <w:fldChar w:fldCharType="end"/>
                            </w:r>
                            <w:r w:rsidRPr="00343373">
                              <w:rPr>
                                <w:rFonts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B7648" id="_x0000_s1032" type="#_x0000_t202" style="position:absolute;left:0;text-align:left;margin-left:0;margin-top:.2pt;width:288.9pt;height:167.4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">
                <v:textbox>
                  <w:txbxContent>
                    <w:p w14:paraId="0C2B059F" w14:textId="77777777" w:rsidR="00E636F7" w:rsidRPr="00343373" w:rsidRDefault="00E636F7" w:rsidP="005664B6">
                      <w:pPr>
                        <w:rPr>
                          <w:rFonts w:cs="Arial"/>
                          <w:b/>
                        </w:rPr>
                      </w:pPr>
                      <w:r w:rsidRPr="00343373">
                        <w:rPr>
                          <w:rFonts w:cs="Arial"/>
                          <w:b/>
                        </w:rPr>
                        <w:t>Box 3</w:t>
                      </w:r>
                    </w:p>
                    <w:p w14:paraId="69836054" w14:textId="6DC0A539" w:rsidR="00E636F7" w:rsidRPr="00343373" w:rsidRDefault="00E636F7" w:rsidP="00D84451">
                      <w:pPr>
                        <w:spacing w:before="0" w:after="0" w:line="240" w:lineRule="auto"/>
                        <w:rPr>
                          <w:rFonts w:cs="Arial"/>
                        </w:rPr>
                      </w:pPr>
                      <w:r w:rsidRPr="00343373">
                        <w:rPr>
                          <w:rFonts w:cs="Arial"/>
                        </w:rPr>
                        <w:t>The emissions that are covered so far within the EU ETS and the forthcoming Effort Sharing Decision are not including those coming from Agricultural and Forest activities. Their contribution to Climate Change is not negligible as it captures huge amount of CO</w:t>
                      </w:r>
                      <w:r w:rsidRPr="00343373">
                        <w:rPr>
                          <w:rFonts w:cs="Arial"/>
                          <w:vertAlign w:val="subscript"/>
                        </w:rPr>
                        <w:t>2</w:t>
                      </w:r>
                      <w:r w:rsidRPr="00343373">
                        <w:rPr>
                          <w:rFonts w:cs="Arial"/>
                        </w:rPr>
                        <w:t xml:space="preserve"> and other GHGs emissions annually. According to EUROSTAT LULUCF emissions per country and in total for the whole of Europe (and associated countries e.g., Turkey, Norway, Iceland and Lichtenstein) is quite promising (</w:t>
                      </w:r>
                      <w:r w:rsidRPr="00343373">
                        <w:rPr>
                          <w:rFonts w:cs="Arial"/>
                        </w:rPr>
                        <w:fldChar w:fldCharType="begin"/>
                      </w:r>
                      <w:r w:rsidRPr="00343373">
                        <w:rPr>
                          <w:rFonts w:cs="Arial"/>
                        </w:rPr>
                        <w:instrText xml:space="preserve"> REF _Ref86397188 \h  \* MERGEFORMAT </w:instrText>
                      </w:r>
                      <w:r w:rsidRPr="00343373">
                        <w:rPr>
                          <w:rFonts w:cs="Arial"/>
                        </w:rPr>
                      </w:r>
                      <w:r w:rsidRPr="00343373">
                        <w:rPr>
                          <w:rFonts w:cs="Arial"/>
                        </w:rPr>
                        <w:fldChar w:fldCharType="separate"/>
                      </w:r>
                      <w:r w:rsidR="0073710A" w:rsidRPr="00397EE9">
                        <w:rPr>
                          <w:rFonts w:cs="Arial"/>
                        </w:rPr>
                        <w:t xml:space="preserve">Figure </w:t>
                      </w:r>
                      <w:r w:rsidR="0073710A">
                        <w:rPr>
                          <w:rFonts w:cs="Arial"/>
                        </w:rPr>
                        <w:t>46</w:t>
                      </w:r>
                      <w:r w:rsidRPr="00343373">
                        <w:rPr>
                          <w:rFonts w:cs="Arial"/>
                        </w:rPr>
                        <w:fldChar w:fldCharType="end"/>
                      </w:r>
                      <w:r w:rsidRPr="00343373">
                        <w:rPr>
                          <w:rFonts w:cs="Arial"/>
                        </w:rPr>
                        <w:fldChar w:fldCharType="begin"/>
                      </w:r>
                      <w:r w:rsidRPr="00343373">
                        <w:rPr>
                          <w:rFonts w:cs="Arial"/>
                        </w:rPr>
                        <w:instrText xml:space="preserve"> REF _Ref86397188 \h </w:instrText>
                      </w:r>
                      <w:r>
                        <w:rPr>
                          <w:rFonts w:cs="Arial"/>
                        </w:rPr>
                        <w:instrText xml:space="preserve"> \* MERGEFORMAT </w:instrText>
                      </w:r>
                      <w:r w:rsidRPr="00343373">
                        <w:rPr>
                          <w:rFonts w:cs="Arial"/>
                        </w:rPr>
                      </w:r>
                      <w:r w:rsidRPr="00343373">
                        <w:rPr>
                          <w:rFonts w:cs="Arial"/>
                        </w:rPr>
                        <w:fldChar w:fldCharType="separate"/>
                      </w:r>
                      <w:r w:rsidR="0073710A" w:rsidRPr="0073710A">
                        <w:rPr>
                          <w:rFonts w:cs="Arial"/>
                          <w:sz w:val="20"/>
                          <w:szCs w:val="20"/>
                        </w:rPr>
                        <w:t xml:space="preserve">Figure </w:t>
                      </w:r>
                      <w:r w:rsidR="0073710A">
                        <w:rPr>
                          <w:rFonts w:cs="Arial"/>
                          <w:noProof/>
                        </w:rPr>
                        <w:t>46</w:t>
                      </w:r>
                      <w:r w:rsidRPr="00343373">
                        <w:rPr>
                          <w:rFonts w:cs="Arial"/>
                        </w:rPr>
                        <w:fldChar w:fldCharType="end"/>
                      </w:r>
                      <w:r w:rsidRPr="00343373">
                        <w:rPr>
                          <w:rFonts w:cs="Arial"/>
                        </w:rPr>
                        <w:t>).</w:t>
                      </w:r>
                    </w:p>
                  </w:txbxContent>
                </v:textbox>
                <w10:wrap type="square" anchorx="margin"/>
              </v:shape>
            </w:pict>
          </mc:Fallback>
        </mc:AlternateContent>
      </w:r>
      <w:r w:rsidRPr="00DB35D4">
        <w:rPr>
          <w:rFonts w:cs="Arial"/>
        </w:rPr>
        <w:t xml:space="preserve">The Regulation allows some flexibility for Member States. For instance, if a Member State has net emissions from land use and forestry, they can </w:t>
      </w:r>
      <w:r w:rsidRPr="00DB35D4">
        <w:rPr>
          <w:rFonts w:cs="Arial"/>
          <w:bCs/>
        </w:rPr>
        <w:t>use allocations</w:t>
      </w:r>
      <w:r w:rsidRPr="00DB35D4">
        <w:rPr>
          <w:rFonts w:cs="Arial"/>
        </w:rPr>
        <w:t xml:space="preserve"> from the </w:t>
      </w:r>
      <w:hyperlink r:id="rId121" w:history="1">
        <w:r w:rsidRPr="00DB35D4">
          <w:rPr>
            <w:rFonts w:cs="Arial"/>
          </w:rPr>
          <w:t>Effort Sharing Regulation</w:t>
        </w:r>
      </w:hyperlink>
      <w:r w:rsidRPr="00DB35D4">
        <w:rPr>
          <w:rFonts w:cs="Arial"/>
        </w:rPr>
        <w:t xml:space="preserve"> to </w:t>
      </w:r>
      <w:r w:rsidRPr="00DB35D4">
        <w:rPr>
          <w:rFonts w:cs="Arial"/>
        </w:rPr>
        <w:lastRenderedPageBreak/>
        <w:t>satisfy the "no debit" commitment. </w:t>
      </w:r>
    </w:p>
    <w:p w14:paraId="096D6046" w14:textId="77777777" w:rsidR="005664B6" w:rsidRPr="00DB35D4" w:rsidRDefault="005664B6" w:rsidP="005664B6">
      <w:pPr>
        <w:rPr>
          <w:rFonts w:cs="Arial"/>
        </w:rPr>
      </w:pPr>
      <w:r w:rsidRPr="00DB35D4">
        <w:rPr>
          <w:rFonts w:cs="Arial"/>
        </w:rPr>
        <w:t xml:space="preserve">Moreover, Member States can </w:t>
      </w:r>
      <w:r w:rsidRPr="00DB35D4">
        <w:rPr>
          <w:rFonts w:cs="Arial"/>
          <w:bCs/>
        </w:rPr>
        <w:t>buy and sell net removals</w:t>
      </w:r>
      <w:r w:rsidRPr="00DB35D4">
        <w:rPr>
          <w:rFonts w:cs="Arial"/>
        </w:rPr>
        <w:t xml:space="preserve"> from and to other Member States. This can encourage Member States to increase CO</w:t>
      </w:r>
      <w:r w:rsidRPr="00DB35D4">
        <w:rPr>
          <w:rFonts w:ascii="Cambria Math" w:hAnsi="Cambria Math" w:cs="Cambria Math"/>
        </w:rPr>
        <w:t>₂</w:t>
      </w:r>
      <w:r w:rsidRPr="00DB35D4">
        <w:rPr>
          <w:rFonts w:cs="Arial"/>
        </w:rPr>
        <w:t xml:space="preserve"> removals beyond their own commitment.</w:t>
      </w:r>
    </w:p>
    <w:p w14:paraId="441313E7" w14:textId="77777777" w:rsidR="005664B6" w:rsidRPr="00DB35D4" w:rsidRDefault="005664B6" w:rsidP="005664B6">
      <w:pPr>
        <w:rPr>
          <w:rFonts w:cs="Arial"/>
        </w:rPr>
      </w:pPr>
      <w:r w:rsidRPr="00DB35D4">
        <w:rPr>
          <w:rFonts w:cs="Arial"/>
        </w:rPr>
        <w:t xml:space="preserve">On the other hand, a Member State may choose to </w:t>
      </w:r>
      <w:r w:rsidRPr="00DB35D4">
        <w:rPr>
          <w:rFonts w:cs="Arial"/>
          <w:bCs/>
        </w:rPr>
        <w:t>enhance removals or reduce emissions</w:t>
      </w:r>
      <w:r w:rsidRPr="00DB35D4">
        <w:rPr>
          <w:rFonts w:cs="Arial"/>
          <w:b/>
          <w:bCs/>
        </w:rPr>
        <w:t xml:space="preserve"> </w:t>
      </w:r>
      <w:r w:rsidRPr="00DB35D4">
        <w:rPr>
          <w:rFonts w:cs="Arial"/>
        </w:rPr>
        <w:t>in the LULUCF sector, thereby helping compliance of the agriculture sector in the Effort Sharing Regulation where emissions from fertilizer and livestock are accounted.</w:t>
      </w:r>
    </w:p>
    <w:p w14:paraId="2AEF60C8" w14:textId="77777777" w:rsidR="005664B6" w:rsidRPr="00DB35D4" w:rsidRDefault="005664B6" w:rsidP="005664B6">
      <w:pPr>
        <w:keepNext/>
        <w:jc w:val="center"/>
        <w:rPr>
          <w:rFonts w:cs="Arial"/>
        </w:rPr>
      </w:pPr>
      <w:r w:rsidRPr="00DB35D4">
        <w:rPr>
          <w:rFonts w:cs="Arial"/>
          <w:noProof/>
          <w:lang w:val="es-ES" w:eastAsia="es-ES"/>
        </w:rPr>
        <w:drawing>
          <wp:inline distT="0" distB="0" distL="0" distR="0" wp14:anchorId="74726D46" wp14:editId="7AA4CD71">
            <wp:extent cx="5588597" cy="5167745"/>
            <wp:effectExtent l="0" t="0" r="0" b="0"/>
            <wp:docPr id="49" name="Εικόνα 4" descr="Εικόνα που περιέχει πίνακας&#10;&#10;Περιγραφή που δημιουργήθηκε αυτόματα">
              <a:extLst xmlns:a="http://schemas.openxmlformats.org/drawingml/2006/main">
                <a:ext uri="{FF2B5EF4-FFF2-40B4-BE49-F238E27FC236}">
                  <a16:creationId xmlns:a16="http://schemas.microsoft.com/office/drawing/2014/main" id="{230CF21D-9712-4FA0-A25F-B2E48CBC73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Εικόνα 4" descr="Εικόνα που περιέχει πίνακας&#10;&#10;Περιγραφή που δημιουργήθηκε αυτόματα">
                      <a:extLst>
                        <a:ext uri="{FF2B5EF4-FFF2-40B4-BE49-F238E27FC236}">
                          <a16:creationId xmlns:a16="http://schemas.microsoft.com/office/drawing/2014/main" id="{230CF21D-9712-4FA0-A25F-B2E48CBC733B}"/>
                        </a:ext>
                      </a:extLst>
                    </pic:cNvPr>
                    <pic:cNvPicPr>
                      <a:picLocks noChangeAspect="1"/>
                    </pic:cNvPicPr>
                  </pic:nvPicPr>
                  <pic:blipFill rotWithShape="1">
                    <a:blip r:embed="rId122"/>
                    <a:srcRect t="14306" r="54461" b="10833"/>
                    <a:stretch/>
                  </pic:blipFill>
                  <pic:spPr bwMode="auto">
                    <a:xfrm>
                      <a:off x="0" y="0"/>
                      <a:ext cx="5609660" cy="5187222"/>
                    </a:xfrm>
                    <a:prstGeom prst="rect">
                      <a:avLst/>
                    </a:prstGeom>
                    <a:ln>
                      <a:noFill/>
                    </a:ln>
                    <a:extLst>
                      <a:ext uri="{53640926-AAD7-44D8-BBD7-CCE9431645EC}">
                        <a14:shadowObscured xmlns:a14="http://schemas.microsoft.com/office/drawing/2010/main"/>
                      </a:ext>
                    </a:extLst>
                  </pic:spPr>
                </pic:pic>
              </a:graphicData>
            </a:graphic>
          </wp:inline>
        </w:drawing>
      </w:r>
    </w:p>
    <w:p w14:paraId="3C60A6A8" w14:textId="2162D1EA" w:rsidR="005664B6" w:rsidRPr="00397EE9" w:rsidRDefault="005664B6" w:rsidP="00D84451">
      <w:pPr>
        <w:pStyle w:val="Caption"/>
        <w:rPr>
          <w:rFonts w:cs="Arial"/>
          <w:b w:val="0"/>
          <w:bCs w:val="0"/>
        </w:rPr>
      </w:pPr>
      <w:bookmarkStart w:id="271" w:name="_Ref86397188"/>
      <w:bookmarkStart w:id="272" w:name="_Toc90888750"/>
      <w:bookmarkStart w:id="273" w:name="_Toc90893524"/>
      <w:bookmarkStart w:id="274" w:name="_Toc91752530"/>
      <w:r w:rsidRPr="00397EE9">
        <w:rPr>
          <w:rFonts w:cs="Arial"/>
        </w:rPr>
        <w:t xml:space="preserve">Figure </w:t>
      </w:r>
      <w:r w:rsidRPr="00397EE9">
        <w:rPr>
          <w:rFonts w:cs="Arial"/>
          <w:b w:val="0"/>
          <w:bCs w:val="0"/>
          <w:i/>
          <w:iCs/>
        </w:rPr>
        <w:fldChar w:fldCharType="begin"/>
      </w:r>
      <w:r w:rsidRPr="00397EE9">
        <w:rPr>
          <w:rFonts w:cs="Arial"/>
        </w:rPr>
        <w:instrText xml:space="preserve"> SEQ Figure \* ARABIC </w:instrText>
      </w:r>
      <w:r w:rsidRPr="00397EE9">
        <w:rPr>
          <w:rFonts w:cs="Arial"/>
          <w:b w:val="0"/>
          <w:bCs w:val="0"/>
          <w:i/>
          <w:iCs/>
        </w:rPr>
        <w:fldChar w:fldCharType="separate"/>
      </w:r>
      <w:r w:rsidR="0073710A">
        <w:rPr>
          <w:rFonts w:cs="Arial"/>
          <w:noProof/>
        </w:rPr>
        <w:t>46</w:t>
      </w:r>
      <w:r w:rsidRPr="00397EE9">
        <w:rPr>
          <w:rFonts w:cs="Arial"/>
          <w:b w:val="0"/>
          <w:bCs w:val="0"/>
          <w:i/>
          <w:iCs/>
        </w:rPr>
        <w:fldChar w:fldCharType="end"/>
      </w:r>
      <w:bookmarkEnd w:id="271"/>
      <w:r w:rsidRPr="00397EE9">
        <w:rPr>
          <w:rFonts w:cs="Arial"/>
        </w:rPr>
        <w:t xml:space="preserve"> Gas CO2 Emissions LULUCF</w:t>
      </w:r>
      <w:bookmarkEnd w:id="272"/>
      <w:bookmarkEnd w:id="273"/>
      <w:bookmarkEnd w:id="274"/>
    </w:p>
    <w:p w14:paraId="282B2D5D" w14:textId="013F097B" w:rsidR="003B564D" w:rsidRDefault="003B564D">
      <w:pPr>
        <w:spacing w:line="300" w:lineRule="exact"/>
        <w:jc w:val="left"/>
        <w:rPr>
          <w:rFonts w:cs="Arial"/>
        </w:rPr>
      </w:pPr>
      <w:r>
        <w:rPr>
          <w:rFonts w:cs="Arial"/>
        </w:rPr>
        <w:br w:type="page"/>
      </w:r>
    </w:p>
    <w:p w14:paraId="1B780E3F" w14:textId="50F236AC" w:rsidR="005664B6" w:rsidRPr="00397EE9" w:rsidRDefault="005664B6" w:rsidP="00397EE9">
      <w:pPr>
        <w:pStyle w:val="Caption"/>
        <w:rPr>
          <w:rFonts w:cs="Arial"/>
          <w:b w:val="0"/>
          <w:bCs w:val="0"/>
        </w:rPr>
      </w:pPr>
      <w:bookmarkStart w:id="275" w:name="_Toc90888848"/>
      <w:bookmarkStart w:id="276" w:name="_Toc91752572"/>
      <w:r w:rsidRPr="00397EE9">
        <w:rPr>
          <w:rFonts w:cs="Arial"/>
        </w:rPr>
        <w:lastRenderedPageBreak/>
        <w:t xml:space="preserve">Table </w:t>
      </w:r>
      <w:r w:rsidRPr="00397EE9">
        <w:rPr>
          <w:rFonts w:cs="Arial"/>
          <w:b w:val="0"/>
          <w:bCs w:val="0"/>
          <w:i/>
          <w:iCs/>
        </w:rPr>
        <w:fldChar w:fldCharType="begin"/>
      </w:r>
      <w:r w:rsidRPr="00397EE9">
        <w:rPr>
          <w:rFonts w:cs="Arial"/>
        </w:rPr>
        <w:instrText xml:space="preserve"> SEQ Table \* ARABIC </w:instrText>
      </w:r>
      <w:r w:rsidRPr="00397EE9">
        <w:rPr>
          <w:rFonts w:cs="Arial"/>
          <w:b w:val="0"/>
          <w:bCs w:val="0"/>
          <w:i/>
          <w:iCs/>
        </w:rPr>
        <w:fldChar w:fldCharType="separate"/>
      </w:r>
      <w:r w:rsidR="0073710A">
        <w:rPr>
          <w:rFonts w:cs="Arial"/>
          <w:noProof/>
        </w:rPr>
        <w:t>33</w:t>
      </w:r>
      <w:r w:rsidRPr="00397EE9">
        <w:rPr>
          <w:rFonts w:cs="Arial"/>
          <w:b w:val="0"/>
          <w:bCs w:val="0"/>
          <w:i/>
          <w:iCs/>
        </w:rPr>
        <w:fldChar w:fldCharType="end"/>
      </w:r>
      <w:r w:rsidRPr="00397EE9">
        <w:rPr>
          <w:rFonts w:cs="Arial"/>
        </w:rPr>
        <w:t xml:space="preserve"> EU Legislation and related documents</w:t>
      </w:r>
      <w:bookmarkEnd w:id="275"/>
      <w:bookmarkEnd w:id="276"/>
    </w:p>
    <w:tbl>
      <w:tblPr>
        <w:tblStyle w:val="TableGrid2"/>
        <w:tblW w:w="0" w:type="auto"/>
        <w:tblLook w:val="04A0" w:firstRow="1" w:lastRow="0" w:firstColumn="1" w:lastColumn="0" w:noHBand="0" w:noVBand="1"/>
      </w:tblPr>
      <w:tblGrid>
        <w:gridCol w:w="2830"/>
        <w:gridCol w:w="5466"/>
      </w:tblGrid>
      <w:tr w:rsidR="00D84451" w:rsidRPr="00D84451" w14:paraId="3A16331D" w14:textId="77777777" w:rsidTr="0022057B">
        <w:trPr>
          <w:tblHeader/>
        </w:trPr>
        <w:tc>
          <w:tcPr>
            <w:tcW w:w="8296" w:type="dxa"/>
            <w:gridSpan w:val="2"/>
            <w:shd w:val="clear" w:color="auto" w:fill="DBE0F4"/>
          </w:tcPr>
          <w:p w14:paraId="1D00930E" w14:textId="77777777" w:rsidR="00D84451" w:rsidRPr="00D84451" w:rsidRDefault="00D84451" w:rsidP="00D84451">
            <w:pPr>
              <w:jc w:val="center"/>
              <w:rPr>
                <w:rFonts w:cs="Arial"/>
                <w:lang w:val="en-US"/>
              </w:rPr>
            </w:pPr>
            <w:r w:rsidRPr="00D84451">
              <w:rPr>
                <w:rFonts w:cs="Arial"/>
                <w:lang w:val="en-US"/>
              </w:rPr>
              <w:t>EU Legislation and related documents</w:t>
            </w:r>
          </w:p>
        </w:tc>
      </w:tr>
      <w:tr w:rsidR="00D84451" w:rsidRPr="00D84451" w14:paraId="7CCADC32" w14:textId="77777777" w:rsidTr="0022057B">
        <w:tc>
          <w:tcPr>
            <w:tcW w:w="2830" w:type="dxa"/>
          </w:tcPr>
          <w:p w14:paraId="00B3ADC4" w14:textId="77777777" w:rsidR="00D84451" w:rsidRPr="00D84451" w:rsidRDefault="00D84451" w:rsidP="00D84451">
            <w:pPr>
              <w:rPr>
                <w:rFonts w:cs="Arial"/>
                <w:lang w:val="en-US"/>
              </w:rPr>
            </w:pPr>
            <w:r w:rsidRPr="00D84451">
              <w:rPr>
                <w:rFonts w:cs="Arial"/>
                <w:lang w:val="en-US"/>
              </w:rPr>
              <w:t>18/06/2019 - SWD/2019/213</w:t>
            </w:r>
          </w:p>
        </w:tc>
        <w:tc>
          <w:tcPr>
            <w:tcW w:w="5466" w:type="dxa"/>
          </w:tcPr>
          <w:p w14:paraId="081DDD99" w14:textId="77777777" w:rsidR="00D84451" w:rsidRPr="00D84451" w:rsidRDefault="003B0DE2" w:rsidP="00D84451">
            <w:pPr>
              <w:rPr>
                <w:rFonts w:cs="Arial"/>
                <w:lang w:val="en-US"/>
              </w:rPr>
            </w:pPr>
            <w:hyperlink r:id="rId123" w:history="1">
              <w:r w:rsidR="00D84451" w:rsidRPr="00D84451">
                <w:rPr>
                  <w:rFonts w:cs="Arial"/>
                  <w:color w:val="0000FF"/>
                  <w:u w:val="single"/>
                  <w:lang w:val="en-US"/>
                </w:rPr>
                <w:t>Commission staff working document: Assessment of the National Forestry Accounting Plans, accompanying the document Communication from the Commission: United in delivering the Energy Union and Climate Action - Setting the foundations for a successful clean energy transition</w:t>
              </w:r>
            </w:hyperlink>
          </w:p>
        </w:tc>
      </w:tr>
      <w:tr w:rsidR="00D84451" w:rsidRPr="00D84451" w14:paraId="28735E68" w14:textId="77777777" w:rsidTr="0022057B">
        <w:tc>
          <w:tcPr>
            <w:tcW w:w="2830" w:type="dxa"/>
          </w:tcPr>
          <w:p w14:paraId="0D6E568D" w14:textId="77777777" w:rsidR="00D84451" w:rsidRPr="00D84451" w:rsidRDefault="00D84451" w:rsidP="00D84451">
            <w:pPr>
              <w:rPr>
                <w:rFonts w:cs="Arial"/>
                <w:lang w:val="en-US"/>
              </w:rPr>
            </w:pPr>
            <w:r w:rsidRPr="00D84451">
              <w:rPr>
                <w:rFonts w:cs="Arial"/>
                <w:lang w:val="en-US"/>
              </w:rPr>
              <w:t>19/06/2018 - Regulation (EU) 2018/841</w:t>
            </w:r>
          </w:p>
        </w:tc>
        <w:tc>
          <w:tcPr>
            <w:tcW w:w="5466" w:type="dxa"/>
          </w:tcPr>
          <w:p w14:paraId="5CFB1C23" w14:textId="77777777" w:rsidR="00D84451" w:rsidRPr="00D84451" w:rsidRDefault="003B0DE2" w:rsidP="00D84451">
            <w:pPr>
              <w:rPr>
                <w:rFonts w:cs="Arial"/>
                <w:lang w:val="en-US"/>
              </w:rPr>
            </w:pPr>
            <w:hyperlink r:id="rId124" w:history="1">
              <w:r w:rsidR="00D84451" w:rsidRPr="00D84451">
                <w:rPr>
                  <w:rFonts w:cs="Arial"/>
                  <w:color w:val="0000FF"/>
                  <w:u w:val="single"/>
                  <w:lang w:val="en-US"/>
                </w:rPr>
                <w:t>Inclusion of greenhouse gas emissions and removals from land use, land use change and forestry in the 2030 climate and energy framework, and amending Regulation (EU) No 525/2013 and Decision No 529/2013/EU</w:t>
              </w:r>
            </w:hyperlink>
          </w:p>
        </w:tc>
      </w:tr>
      <w:tr w:rsidR="00D84451" w:rsidRPr="00D84451" w14:paraId="48DE987A" w14:textId="77777777" w:rsidTr="0022057B">
        <w:tc>
          <w:tcPr>
            <w:tcW w:w="2830" w:type="dxa"/>
          </w:tcPr>
          <w:p w14:paraId="6CF980A3" w14:textId="77777777" w:rsidR="00D84451" w:rsidRPr="00D84451" w:rsidRDefault="00D84451" w:rsidP="00D84451">
            <w:pPr>
              <w:rPr>
                <w:rFonts w:cs="Arial"/>
                <w:lang w:val="en-US"/>
              </w:rPr>
            </w:pPr>
            <w:r w:rsidRPr="00D84451">
              <w:rPr>
                <w:rFonts w:cs="Arial"/>
                <w:lang w:val="en-US"/>
              </w:rPr>
              <w:t>21/05/2013 – Decision No 529/2013/EU</w:t>
            </w:r>
          </w:p>
        </w:tc>
        <w:tc>
          <w:tcPr>
            <w:tcW w:w="5466" w:type="dxa"/>
          </w:tcPr>
          <w:p w14:paraId="3AC8EAA5" w14:textId="77777777" w:rsidR="00D84451" w:rsidRPr="00D84451" w:rsidRDefault="003B0DE2" w:rsidP="00D84451">
            <w:pPr>
              <w:rPr>
                <w:rFonts w:cs="Arial"/>
                <w:lang w:val="en-US"/>
              </w:rPr>
            </w:pPr>
            <w:hyperlink r:id="rId125" w:history="1">
              <w:r w:rsidR="00D84451" w:rsidRPr="00D84451">
                <w:rPr>
                  <w:rFonts w:cs="Arial"/>
                  <w:color w:val="0000FF"/>
                  <w:u w:val="single"/>
                  <w:lang w:val="en-US"/>
                </w:rPr>
                <w:t>Accounting rules on greenhouse gas emissions and removals resulting from activities relating to land use, land-use change and forestry and on information concerning actions relating to those activities</w:t>
              </w:r>
            </w:hyperlink>
          </w:p>
        </w:tc>
      </w:tr>
      <w:tr w:rsidR="00D84451" w:rsidRPr="00D84451" w14:paraId="721DAFCE" w14:textId="77777777" w:rsidTr="0022057B">
        <w:tc>
          <w:tcPr>
            <w:tcW w:w="2830" w:type="dxa"/>
          </w:tcPr>
          <w:p w14:paraId="1E8C66AD" w14:textId="77777777" w:rsidR="00D84451" w:rsidRPr="00D84451" w:rsidRDefault="00D84451" w:rsidP="00D84451">
            <w:pPr>
              <w:rPr>
                <w:rFonts w:cs="Arial"/>
                <w:lang w:val="en-US"/>
              </w:rPr>
            </w:pPr>
            <w:r w:rsidRPr="00D84451">
              <w:rPr>
                <w:rFonts w:cs="Arial"/>
                <w:lang w:val="en-US"/>
              </w:rPr>
              <w:t>20/07/2016 - COM/2016/479</w:t>
            </w:r>
          </w:p>
        </w:tc>
        <w:tc>
          <w:tcPr>
            <w:tcW w:w="5466" w:type="dxa"/>
          </w:tcPr>
          <w:p w14:paraId="0B4BB2F9" w14:textId="77777777" w:rsidR="00D84451" w:rsidRPr="00D84451" w:rsidRDefault="003B0DE2" w:rsidP="00D84451">
            <w:pPr>
              <w:rPr>
                <w:rFonts w:cs="Arial"/>
                <w:lang w:val="en-US"/>
              </w:rPr>
            </w:pPr>
            <w:hyperlink r:id="rId126" w:history="1">
              <w:r w:rsidR="00D84451" w:rsidRPr="00D84451">
                <w:rPr>
                  <w:rFonts w:cs="Arial"/>
                  <w:color w:val="0000FF"/>
                  <w:u w:val="single"/>
                  <w:lang w:val="en-US"/>
                </w:rPr>
                <w:t>Proposal on the inclusion of greenhouse gas emissions and removals from land use, land use change and forestry into the 2030 climate and energy framework and amending Regulation No 525/2013 of the European Parliament and the Council on a mechanism for monitoring and reporting greenhouse gas emissions and other information relevant to climate change</w:t>
              </w:r>
            </w:hyperlink>
          </w:p>
        </w:tc>
      </w:tr>
      <w:tr w:rsidR="00D84451" w:rsidRPr="00D84451" w14:paraId="23180E49" w14:textId="77777777" w:rsidTr="0022057B">
        <w:tc>
          <w:tcPr>
            <w:tcW w:w="2830" w:type="dxa"/>
          </w:tcPr>
          <w:p w14:paraId="77EE5843" w14:textId="77777777" w:rsidR="00D84451" w:rsidRPr="00D84451" w:rsidRDefault="00D84451" w:rsidP="00D84451">
            <w:pPr>
              <w:rPr>
                <w:rFonts w:cs="Arial"/>
                <w:lang w:val="en-US"/>
              </w:rPr>
            </w:pPr>
            <w:r w:rsidRPr="00D84451">
              <w:rPr>
                <w:rFonts w:cs="Arial"/>
                <w:lang w:val="en-US"/>
              </w:rPr>
              <w:t>20/07/2016 - SWD/2016/246</w:t>
            </w:r>
          </w:p>
        </w:tc>
        <w:tc>
          <w:tcPr>
            <w:tcW w:w="5466" w:type="dxa"/>
          </w:tcPr>
          <w:p w14:paraId="0DBCE7DF" w14:textId="77777777" w:rsidR="00D84451" w:rsidRPr="00D84451" w:rsidRDefault="003B0DE2" w:rsidP="00D84451">
            <w:pPr>
              <w:rPr>
                <w:rFonts w:cs="Arial"/>
                <w:lang w:val="en-US"/>
              </w:rPr>
            </w:pPr>
            <w:hyperlink r:id="rId127" w:history="1">
              <w:r w:rsidR="00D84451" w:rsidRPr="00D84451">
                <w:rPr>
                  <w:rFonts w:cs="Arial"/>
                  <w:color w:val="0000FF"/>
                  <w:u w:val="single"/>
                  <w:lang w:val="en-US"/>
                </w:rPr>
                <w:t>Executive Summary of Impact Assessment</w:t>
              </w:r>
            </w:hyperlink>
          </w:p>
        </w:tc>
      </w:tr>
      <w:tr w:rsidR="00D84451" w:rsidRPr="00D84451" w14:paraId="4E2A2018" w14:textId="77777777" w:rsidTr="0022057B">
        <w:tc>
          <w:tcPr>
            <w:tcW w:w="2830" w:type="dxa"/>
          </w:tcPr>
          <w:p w14:paraId="6CE8C9CD" w14:textId="77777777" w:rsidR="00D84451" w:rsidRPr="00D84451" w:rsidRDefault="00D84451" w:rsidP="00D84451">
            <w:pPr>
              <w:rPr>
                <w:rFonts w:cs="Arial"/>
                <w:lang w:val="en-US"/>
              </w:rPr>
            </w:pPr>
            <w:r w:rsidRPr="00D84451">
              <w:rPr>
                <w:rFonts w:cs="Arial"/>
                <w:lang w:val="en-US"/>
              </w:rPr>
              <w:t>20/07/2016 - SWD/2016/249</w:t>
            </w:r>
          </w:p>
        </w:tc>
        <w:tc>
          <w:tcPr>
            <w:tcW w:w="5466" w:type="dxa"/>
          </w:tcPr>
          <w:p w14:paraId="3992C206" w14:textId="77777777" w:rsidR="00D84451" w:rsidRPr="00D84451" w:rsidRDefault="003B0DE2" w:rsidP="00D84451">
            <w:pPr>
              <w:rPr>
                <w:rFonts w:cs="Arial"/>
                <w:lang w:val="en-US"/>
              </w:rPr>
            </w:pPr>
            <w:hyperlink r:id="rId128" w:history="1">
              <w:r w:rsidR="00D84451" w:rsidRPr="00D84451">
                <w:rPr>
                  <w:rFonts w:cs="Arial"/>
                  <w:color w:val="0000FF"/>
                  <w:u w:val="single"/>
                  <w:lang w:val="en-US"/>
                </w:rPr>
                <w:t>Impact Assessment</w:t>
              </w:r>
            </w:hyperlink>
          </w:p>
        </w:tc>
      </w:tr>
      <w:tr w:rsidR="00D84451" w:rsidRPr="00D84451" w14:paraId="734EDF8A" w14:textId="77777777" w:rsidTr="0022057B">
        <w:tc>
          <w:tcPr>
            <w:tcW w:w="2830" w:type="dxa"/>
          </w:tcPr>
          <w:p w14:paraId="411E103C" w14:textId="77777777" w:rsidR="00D84451" w:rsidRPr="00D84451" w:rsidRDefault="00D84451" w:rsidP="00D84451">
            <w:pPr>
              <w:rPr>
                <w:rFonts w:cs="Arial"/>
                <w:lang w:val="en-US"/>
              </w:rPr>
            </w:pPr>
            <w:r w:rsidRPr="00D84451">
              <w:rPr>
                <w:rFonts w:cs="Arial"/>
                <w:lang w:val="en-US"/>
              </w:rPr>
              <w:t>12/03/2012 - COM/2012/93</w:t>
            </w:r>
          </w:p>
        </w:tc>
        <w:tc>
          <w:tcPr>
            <w:tcW w:w="5466" w:type="dxa"/>
          </w:tcPr>
          <w:p w14:paraId="3961ADA2" w14:textId="77777777" w:rsidR="00D84451" w:rsidRPr="00D84451" w:rsidRDefault="003B0DE2" w:rsidP="00D84451">
            <w:pPr>
              <w:rPr>
                <w:rFonts w:cs="Arial"/>
                <w:lang w:val="en-US"/>
              </w:rPr>
            </w:pPr>
            <w:hyperlink r:id="rId129" w:history="1">
              <w:r w:rsidR="00D84451" w:rsidRPr="00D84451">
                <w:rPr>
                  <w:rFonts w:cs="Arial"/>
                  <w:color w:val="0000FF"/>
                  <w:u w:val="single"/>
                  <w:lang w:val="en-US"/>
                </w:rPr>
                <w:t>Proposal for a Decision on accounting rules and action plans on greenhouse gas emissions and removals resulting from activities related to land use, land use change and forestry</w:t>
              </w:r>
            </w:hyperlink>
          </w:p>
        </w:tc>
      </w:tr>
      <w:tr w:rsidR="00D84451" w:rsidRPr="00D84451" w14:paraId="63A6ED29" w14:textId="77777777" w:rsidTr="0022057B">
        <w:tc>
          <w:tcPr>
            <w:tcW w:w="2830" w:type="dxa"/>
          </w:tcPr>
          <w:p w14:paraId="33E29A1C" w14:textId="77777777" w:rsidR="00D84451" w:rsidRPr="00D84451" w:rsidRDefault="00D84451" w:rsidP="00D84451">
            <w:pPr>
              <w:rPr>
                <w:rFonts w:cs="Arial"/>
                <w:lang w:val="en-US"/>
              </w:rPr>
            </w:pPr>
            <w:r w:rsidRPr="00D84451">
              <w:rPr>
                <w:rFonts w:cs="Arial"/>
                <w:lang w:val="en-US"/>
              </w:rPr>
              <w:lastRenderedPageBreak/>
              <w:t>12/03/2012 - COM/2012/94</w:t>
            </w:r>
          </w:p>
        </w:tc>
        <w:tc>
          <w:tcPr>
            <w:tcW w:w="5466" w:type="dxa"/>
          </w:tcPr>
          <w:p w14:paraId="173EEA15" w14:textId="77777777" w:rsidR="00D84451" w:rsidRPr="00D84451" w:rsidRDefault="003B0DE2" w:rsidP="00D84451">
            <w:pPr>
              <w:rPr>
                <w:rFonts w:cs="Arial"/>
                <w:lang w:val="en-US"/>
              </w:rPr>
            </w:pPr>
            <w:hyperlink r:id="rId130" w:history="1">
              <w:r w:rsidR="00D84451" w:rsidRPr="00D84451">
                <w:rPr>
                  <w:rFonts w:cs="Arial"/>
                  <w:color w:val="0000FF"/>
                  <w:u w:val="single"/>
                  <w:lang w:val="en-US"/>
                </w:rPr>
                <w:t>Communication on accounting for land use, land use change and forestry (LULUCF) in the Union's climate change commitments</w:t>
              </w:r>
            </w:hyperlink>
          </w:p>
        </w:tc>
      </w:tr>
      <w:tr w:rsidR="00D84451" w:rsidRPr="00D84451" w14:paraId="19B51BFF" w14:textId="77777777" w:rsidTr="0022057B">
        <w:tc>
          <w:tcPr>
            <w:tcW w:w="2830" w:type="dxa"/>
          </w:tcPr>
          <w:p w14:paraId="15E52D51" w14:textId="77777777" w:rsidR="00D84451" w:rsidRPr="00D84451" w:rsidRDefault="00D84451" w:rsidP="00D84451">
            <w:pPr>
              <w:rPr>
                <w:rFonts w:cs="Arial"/>
                <w:lang w:val="en-US"/>
              </w:rPr>
            </w:pPr>
            <w:r w:rsidRPr="00D84451">
              <w:rPr>
                <w:rFonts w:cs="Arial"/>
                <w:lang w:val="en-US"/>
              </w:rPr>
              <w:t>12/03/2012 - SWD/2012/41</w:t>
            </w:r>
          </w:p>
        </w:tc>
        <w:tc>
          <w:tcPr>
            <w:tcW w:w="5466" w:type="dxa"/>
          </w:tcPr>
          <w:p w14:paraId="140833BA" w14:textId="77777777" w:rsidR="00D84451" w:rsidRPr="00D84451" w:rsidRDefault="003B0DE2" w:rsidP="00D84451">
            <w:pPr>
              <w:rPr>
                <w:rFonts w:cs="Arial"/>
                <w:lang w:val="en-US"/>
              </w:rPr>
            </w:pPr>
            <w:hyperlink r:id="rId131" w:history="1">
              <w:r w:rsidR="00D84451" w:rsidRPr="00D84451">
                <w:rPr>
                  <w:rFonts w:cs="Arial"/>
                  <w:color w:val="0000FF"/>
                  <w:u w:val="single"/>
                  <w:lang w:val="en-US"/>
                </w:rPr>
                <w:t>Impact Assessment on the role of land use, land use change and forestry (LULUCF) in the EU's climate change commitments</w:t>
              </w:r>
            </w:hyperlink>
          </w:p>
        </w:tc>
      </w:tr>
      <w:tr w:rsidR="00D84451" w:rsidRPr="00D84451" w14:paraId="30B4431C" w14:textId="77777777" w:rsidTr="0022057B">
        <w:tc>
          <w:tcPr>
            <w:tcW w:w="2830" w:type="dxa"/>
          </w:tcPr>
          <w:p w14:paraId="53FFCCAB" w14:textId="77777777" w:rsidR="00D84451" w:rsidRPr="00D84451" w:rsidRDefault="00D84451" w:rsidP="00D84451">
            <w:pPr>
              <w:rPr>
                <w:rFonts w:cs="Arial"/>
                <w:lang w:val="en-US"/>
              </w:rPr>
            </w:pPr>
            <w:r w:rsidRPr="00D84451">
              <w:rPr>
                <w:rFonts w:cs="Arial"/>
                <w:lang w:val="en-US"/>
              </w:rPr>
              <w:t>12/03/2012 - SWD/2012/40</w:t>
            </w:r>
          </w:p>
        </w:tc>
        <w:tc>
          <w:tcPr>
            <w:tcW w:w="5466" w:type="dxa"/>
          </w:tcPr>
          <w:p w14:paraId="175B9D75" w14:textId="77777777" w:rsidR="00D84451" w:rsidRPr="00D84451" w:rsidRDefault="003B0DE2" w:rsidP="00D84451">
            <w:pPr>
              <w:rPr>
                <w:rFonts w:cs="Arial"/>
                <w:lang w:val="en-US"/>
              </w:rPr>
            </w:pPr>
            <w:hyperlink r:id="rId132" w:history="1">
              <w:r w:rsidR="00D84451" w:rsidRPr="00D84451">
                <w:rPr>
                  <w:rFonts w:cs="Arial"/>
                  <w:color w:val="0000FF"/>
                  <w:u w:val="single"/>
                  <w:lang w:val="en-US"/>
                </w:rPr>
                <w:t>Executive summary of the impact assessment on the role of land use, land use change and forestry (LULUCF) in the EU's climate change commitments</w:t>
              </w:r>
            </w:hyperlink>
          </w:p>
        </w:tc>
      </w:tr>
      <w:tr w:rsidR="00D84451" w:rsidRPr="00D84451" w14:paraId="6C03D76E" w14:textId="77777777" w:rsidTr="0022057B">
        <w:tc>
          <w:tcPr>
            <w:tcW w:w="2830" w:type="dxa"/>
          </w:tcPr>
          <w:p w14:paraId="0E7F4618" w14:textId="77777777" w:rsidR="00D84451" w:rsidRPr="00D84451" w:rsidRDefault="00D84451" w:rsidP="00D84451">
            <w:pPr>
              <w:rPr>
                <w:rFonts w:cs="Arial"/>
                <w:lang w:val="en-US"/>
              </w:rPr>
            </w:pPr>
            <w:r w:rsidRPr="00D84451">
              <w:rPr>
                <w:rFonts w:cs="Arial"/>
                <w:lang w:val="en-US"/>
              </w:rPr>
              <w:t>12/03/2012 - Press Release</w:t>
            </w:r>
          </w:p>
        </w:tc>
        <w:tc>
          <w:tcPr>
            <w:tcW w:w="5466" w:type="dxa"/>
          </w:tcPr>
          <w:p w14:paraId="43B0ADAE" w14:textId="77777777" w:rsidR="00D84451" w:rsidRPr="00D84451" w:rsidRDefault="003B0DE2" w:rsidP="00D84451">
            <w:pPr>
              <w:rPr>
                <w:rFonts w:cs="Arial"/>
                <w:lang w:val="en-US"/>
              </w:rPr>
            </w:pPr>
            <w:hyperlink r:id="rId133" w:history="1">
              <w:r w:rsidR="00D84451" w:rsidRPr="00D84451">
                <w:rPr>
                  <w:rFonts w:cs="Arial"/>
                  <w:color w:val="0000FF"/>
                  <w:u w:val="single"/>
                  <w:lang w:val="en-US"/>
                </w:rPr>
                <w:t>Commission proposes to improve common greenhouse gas accounting rules for forestry and agriculture</w:t>
              </w:r>
            </w:hyperlink>
          </w:p>
        </w:tc>
      </w:tr>
      <w:tr w:rsidR="00D84451" w:rsidRPr="00D84451" w14:paraId="3ADFB0A3" w14:textId="77777777" w:rsidTr="0022057B">
        <w:tc>
          <w:tcPr>
            <w:tcW w:w="2830" w:type="dxa"/>
          </w:tcPr>
          <w:p w14:paraId="6A6C9463" w14:textId="77777777" w:rsidR="00D84451" w:rsidRPr="00D84451" w:rsidRDefault="00D84451" w:rsidP="00D84451">
            <w:pPr>
              <w:rPr>
                <w:rFonts w:cs="Arial"/>
                <w:lang w:val="en-US"/>
              </w:rPr>
            </w:pPr>
            <w:r w:rsidRPr="00D84451">
              <w:rPr>
                <w:rFonts w:cs="Arial"/>
                <w:lang w:val="en-US"/>
              </w:rPr>
              <w:t>12/03/2012 - MEMO/12/176</w:t>
            </w:r>
          </w:p>
        </w:tc>
        <w:tc>
          <w:tcPr>
            <w:tcW w:w="5466" w:type="dxa"/>
          </w:tcPr>
          <w:p w14:paraId="62859CDD" w14:textId="77777777" w:rsidR="00D84451" w:rsidRPr="00D84451" w:rsidRDefault="003B0DE2" w:rsidP="00D84451">
            <w:pPr>
              <w:rPr>
                <w:rFonts w:cs="Arial"/>
                <w:lang w:val="en-US"/>
              </w:rPr>
            </w:pPr>
            <w:hyperlink r:id="rId134" w:history="1">
              <w:r w:rsidR="00D84451" w:rsidRPr="00D84451">
                <w:rPr>
                  <w:rFonts w:cs="Arial"/>
                  <w:color w:val="0000FF"/>
                  <w:u w:val="single"/>
                  <w:lang w:val="en-US"/>
                </w:rPr>
                <w:t>Q&amp;A on accounting rules and action plans on greenhouse gas emissions and removals resulting from activities related to land use, land use change and forestry (LULUCF)</w:t>
              </w:r>
            </w:hyperlink>
          </w:p>
        </w:tc>
      </w:tr>
      <w:tr w:rsidR="00D84451" w:rsidRPr="00D84451" w14:paraId="21ECC217" w14:textId="77777777" w:rsidTr="0022057B">
        <w:tc>
          <w:tcPr>
            <w:tcW w:w="2830" w:type="dxa"/>
          </w:tcPr>
          <w:p w14:paraId="32883BB3" w14:textId="77777777" w:rsidR="00D84451" w:rsidRPr="00D84451" w:rsidRDefault="00D84451" w:rsidP="00D84451">
            <w:pPr>
              <w:rPr>
                <w:rFonts w:cs="Arial"/>
                <w:lang w:val="en-US"/>
              </w:rPr>
            </w:pPr>
            <w:r w:rsidRPr="00D84451">
              <w:rPr>
                <w:rFonts w:cs="Arial"/>
                <w:lang w:val="en-US"/>
              </w:rPr>
              <w:t>24/07/2018</w:t>
            </w:r>
          </w:p>
        </w:tc>
        <w:tc>
          <w:tcPr>
            <w:tcW w:w="5466" w:type="dxa"/>
          </w:tcPr>
          <w:p w14:paraId="2F671DBE" w14:textId="77777777" w:rsidR="00D84451" w:rsidRPr="00D84451" w:rsidRDefault="003B0DE2" w:rsidP="00D84451">
            <w:pPr>
              <w:rPr>
                <w:rFonts w:cs="Arial"/>
                <w:lang w:val="en-US"/>
              </w:rPr>
            </w:pPr>
            <w:hyperlink r:id="rId135" w:history="1">
              <w:r w:rsidR="00D84451" w:rsidRPr="00D84451">
                <w:rPr>
                  <w:rFonts w:cs="Arial"/>
                  <w:color w:val="0000FF"/>
                  <w:u w:val="single"/>
                  <w:lang w:val="en-US"/>
                </w:rPr>
                <w:t>Guidance on developing and reporting Forest Reference Levels in accordance with Regulation (EU) 2018/841</w:t>
              </w:r>
            </w:hyperlink>
          </w:p>
        </w:tc>
      </w:tr>
      <w:tr w:rsidR="00D84451" w:rsidRPr="00D84451" w14:paraId="302D692B" w14:textId="77777777" w:rsidTr="0022057B">
        <w:tc>
          <w:tcPr>
            <w:tcW w:w="2830" w:type="dxa"/>
          </w:tcPr>
          <w:p w14:paraId="12DEAB73" w14:textId="77777777" w:rsidR="00D84451" w:rsidRPr="00D84451" w:rsidRDefault="00D84451" w:rsidP="00D84451">
            <w:pPr>
              <w:rPr>
                <w:rFonts w:cs="Arial"/>
                <w:lang w:val="en-US"/>
              </w:rPr>
            </w:pPr>
            <w:r w:rsidRPr="00D84451">
              <w:rPr>
                <w:rFonts w:cs="Arial"/>
                <w:lang w:val="en-US"/>
              </w:rPr>
              <w:t>11/2011</w:t>
            </w:r>
          </w:p>
        </w:tc>
        <w:tc>
          <w:tcPr>
            <w:tcW w:w="5466" w:type="dxa"/>
          </w:tcPr>
          <w:p w14:paraId="03640C02" w14:textId="77777777" w:rsidR="00D84451" w:rsidRPr="00D84451" w:rsidRDefault="003B0DE2" w:rsidP="00D84451">
            <w:pPr>
              <w:rPr>
                <w:rFonts w:cs="Arial"/>
                <w:lang w:val="en-US"/>
              </w:rPr>
            </w:pPr>
            <w:hyperlink r:id="rId136" w:history="1">
              <w:r w:rsidR="00D84451" w:rsidRPr="00D84451">
                <w:rPr>
                  <w:rFonts w:cs="Arial"/>
                  <w:color w:val="0000FF"/>
                  <w:u w:val="single"/>
                  <w:lang w:val="en-US"/>
                </w:rPr>
                <w:t>Policy options for including LULUCF in the EU reduction commitment and policy instruments for increasing GHG mitigation efforts in the LULUCF and agriculture sectors - Synthesis report</w:t>
              </w:r>
            </w:hyperlink>
          </w:p>
        </w:tc>
      </w:tr>
      <w:tr w:rsidR="00D84451" w:rsidRPr="00D84451" w14:paraId="6086DBB1" w14:textId="77777777" w:rsidTr="0022057B">
        <w:tc>
          <w:tcPr>
            <w:tcW w:w="2830" w:type="dxa"/>
          </w:tcPr>
          <w:p w14:paraId="59285230" w14:textId="77777777" w:rsidR="00D84451" w:rsidRPr="00D84451" w:rsidRDefault="00D84451" w:rsidP="00D84451">
            <w:pPr>
              <w:rPr>
                <w:rFonts w:cs="Arial"/>
                <w:lang w:val="en-US"/>
              </w:rPr>
            </w:pPr>
            <w:r w:rsidRPr="00D84451">
              <w:rPr>
                <w:rFonts w:cs="Arial"/>
                <w:lang w:val="en-US"/>
              </w:rPr>
              <w:t>10/09/2010</w:t>
            </w:r>
          </w:p>
        </w:tc>
        <w:tc>
          <w:tcPr>
            <w:tcW w:w="5466" w:type="dxa"/>
          </w:tcPr>
          <w:p w14:paraId="7AE5E4C9" w14:textId="77777777" w:rsidR="00D84451" w:rsidRPr="00D84451" w:rsidRDefault="003B0DE2" w:rsidP="00D84451">
            <w:pPr>
              <w:rPr>
                <w:rFonts w:cs="Arial"/>
                <w:lang w:val="en-US"/>
              </w:rPr>
            </w:pPr>
            <w:hyperlink r:id="rId137" w:history="1">
              <w:r w:rsidR="00D84451" w:rsidRPr="00D84451">
                <w:rPr>
                  <w:rFonts w:cs="Arial"/>
                  <w:color w:val="0000FF"/>
                  <w:u w:val="single"/>
                  <w:lang w:val="en-US"/>
                </w:rPr>
                <w:t>Public consultation on the role of EU agriculture and forestry in achieving the EU's climate change commitments</w:t>
              </w:r>
            </w:hyperlink>
          </w:p>
        </w:tc>
      </w:tr>
      <w:tr w:rsidR="00D84451" w:rsidRPr="00D84451" w14:paraId="7800F591" w14:textId="77777777" w:rsidTr="0022057B">
        <w:tc>
          <w:tcPr>
            <w:tcW w:w="2830" w:type="dxa"/>
          </w:tcPr>
          <w:p w14:paraId="30A70C10" w14:textId="77777777" w:rsidR="00D84451" w:rsidRPr="00D84451" w:rsidRDefault="00D84451" w:rsidP="00D84451">
            <w:pPr>
              <w:rPr>
                <w:rFonts w:cs="Arial"/>
                <w:lang w:val="en-US"/>
              </w:rPr>
            </w:pPr>
          </w:p>
        </w:tc>
        <w:tc>
          <w:tcPr>
            <w:tcW w:w="5466" w:type="dxa"/>
          </w:tcPr>
          <w:p w14:paraId="138697D5" w14:textId="77777777" w:rsidR="00D84451" w:rsidRPr="00D84451" w:rsidRDefault="003B0DE2" w:rsidP="00D84451">
            <w:pPr>
              <w:rPr>
                <w:rFonts w:cs="Arial"/>
                <w:lang w:val="en-US"/>
              </w:rPr>
            </w:pPr>
            <w:hyperlink r:id="rId138" w:history="1">
              <w:r w:rsidR="00D84451" w:rsidRPr="00D84451">
                <w:rPr>
                  <w:rFonts w:cs="Arial"/>
                  <w:color w:val="0000FF"/>
                  <w:u w:val="single"/>
                  <w:lang w:val="en-US"/>
                </w:rPr>
                <w:t>Mainstreaming climate change into rural development policy post 2013</w:t>
              </w:r>
            </w:hyperlink>
          </w:p>
          <w:p w14:paraId="2D7B8DF0" w14:textId="77777777" w:rsidR="00D84451" w:rsidRPr="00D84451" w:rsidRDefault="00D84451" w:rsidP="00D84451">
            <w:pPr>
              <w:rPr>
                <w:rFonts w:cs="Arial"/>
                <w:lang w:val="en-US"/>
              </w:rPr>
            </w:pPr>
          </w:p>
        </w:tc>
      </w:tr>
      <w:tr w:rsidR="00D84451" w:rsidRPr="00D84451" w14:paraId="4D570D91" w14:textId="77777777" w:rsidTr="0022057B">
        <w:tc>
          <w:tcPr>
            <w:tcW w:w="2830" w:type="dxa"/>
          </w:tcPr>
          <w:p w14:paraId="57D9C385" w14:textId="77777777" w:rsidR="00D84451" w:rsidRPr="00D84451" w:rsidRDefault="00D84451" w:rsidP="00D84451">
            <w:pPr>
              <w:rPr>
                <w:rFonts w:cs="Arial"/>
                <w:lang w:val="en-US"/>
              </w:rPr>
            </w:pPr>
          </w:p>
        </w:tc>
        <w:tc>
          <w:tcPr>
            <w:tcW w:w="5466" w:type="dxa"/>
          </w:tcPr>
          <w:p w14:paraId="582EAB4B" w14:textId="77777777" w:rsidR="00D84451" w:rsidRPr="00D84451" w:rsidRDefault="003B0DE2" w:rsidP="00D84451">
            <w:pPr>
              <w:rPr>
                <w:rFonts w:cs="Arial"/>
                <w:lang w:val="en-US"/>
              </w:rPr>
            </w:pPr>
            <w:hyperlink r:id="rId139" w:history="1">
              <w:r w:rsidR="00D84451" w:rsidRPr="00D84451">
                <w:rPr>
                  <w:rFonts w:cs="Arial"/>
                  <w:color w:val="0000FF"/>
                  <w:u w:val="single"/>
                  <w:lang w:val="en-US"/>
                </w:rPr>
                <w:t>Agriculture and LULUCF in the 2030</w:t>
              </w:r>
            </w:hyperlink>
          </w:p>
          <w:p w14:paraId="116E3E41" w14:textId="77777777" w:rsidR="00D84451" w:rsidRPr="00D84451" w:rsidRDefault="00D84451" w:rsidP="00D84451">
            <w:pPr>
              <w:rPr>
                <w:rFonts w:cs="Arial"/>
                <w:lang w:val="en-US"/>
              </w:rPr>
            </w:pPr>
          </w:p>
        </w:tc>
      </w:tr>
    </w:tbl>
    <w:p w14:paraId="3301DBF9" w14:textId="77777777" w:rsidR="005664B6" w:rsidRPr="00DB35D4" w:rsidRDefault="005664B6" w:rsidP="005664B6">
      <w:pPr>
        <w:rPr>
          <w:rFonts w:cs="Arial"/>
        </w:rPr>
      </w:pPr>
    </w:p>
    <w:p w14:paraId="6960B3E6" w14:textId="77777777" w:rsidR="005664B6" w:rsidRPr="009C6F24" w:rsidRDefault="005664B6" w:rsidP="005D4B20">
      <w:pPr>
        <w:pStyle w:val="MAIL1"/>
      </w:pPr>
      <w:bookmarkStart w:id="277" w:name="_Toc18677157"/>
      <w:bookmarkStart w:id="278" w:name="_Toc90892993"/>
      <w:bookmarkStart w:id="279" w:name="_Toc91752447"/>
      <w:r w:rsidRPr="005D4B20">
        <w:rPr>
          <w:rStyle w:val="MAIL1Char"/>
          <w:b/>
          <w:bCs/>
          <w:smallCaps/>
        </w:rPr>
        <w:lastRenderedPageBreak/>
        <w:t>Internationa</w:t>
      </w:r>
      <w:r w:rsidRPr="005D4B20">
        <w:t>l and national carbon accounting standards in the LULUCF sector</w:t>
      </w:r>
      <w:bookmarkEnd w:id="277"/>
      <w:bookmarkEnd w:id="278"/>
      <w:bookmarkEnd w:id="279"/>
    </w:p>
    <w:p w14:paraId="3DE27398" w14:textId="15932AB4" w:rsidR="005664B6" w:rsidRPr="00DB35D4" w:rsidRDefault="005664B6" w:rsidP="005664B6">
      <w:pPr>
        <w:pStyle w:val="NormalWeb"/>
        <w:spacing w:line="360" w:lineRule="auto"/>
        <w:jc w:val="both"/>
        <w:rPr>
          <w:rFonts w:ascii="Arial" w:hAnsi="Arial" w:cs="Arial"/>
          <w:sz w:val="22"/>
          <w:szCs w:val="22"/>
        </w:rPr>
      </w:pPr>
      <w:r w:rsidRPr="00DB35D4">
        <w:rPr>
          <w:rFonts w:ascii="Arial" w:hAnsi="Arial" w:cs="Arial"/>
          <w:sz w:val="22"/>
          <w:szCs w:val="22"/>
        </w:rPr>
        <w:t xml:space="preserve">Carbon accounting collects information relevant for an organization (either this is a Party of UN or a big company/polluter) and its links to society and the natural environment in the context of climate. Climate accounting thus includes greenhouse gas and carbon accounts which document the extent of the effects and problems, help to create </w:t>
      </w:r>
      <w:proofErr w:type="gramStart"/>
      <w:r w:rsidRPr="00DB35D4">
        <w:rPr>
          <w:rFonts w:ascii="Arial" w:hAnsi="Arial" w:cs="Arial"/>
          <w:sz w:val="22"/>
          <w:szCs w:val="22"/>
        </w:rPr>
        <w:t>awareness</w:t>
      </w:r>
      <w:proofErr w:type="gramEnd"/>
      <w:r w:rsidRPr="00DB35D4">
        <w:rPr>
          <w:rFonts w:ascii="Arial" w:hAnsi="Arial" w:cs="Arial"/>
          <w:sz w:val="22"/>
          <w:szCs w:val="22"/>
        </w:rPr>
        <w:t xml:space="preserve"> and provide reference points for political, economic and corporate accounts. In this view entities can take account of their climate change impacts (i.e., of the ‘bad’ effects contributing to un-sustainability), which provide direction for improvement measures and for planning, implementing, and accounting for how effective their mitigation measures are</w:t>
      </w:r>
      <w:sdt>
        <w:sdtPr>
          <w:rPr>
            <w:rFonts w:ascii="Arial" w:hAnsi="Arial" w:cs="Arial"/>
            <w:sz w:val="22"/>
            <w:szCs w:val="22"/>
          </w:rPr>
          <w:id w:val="1699435879"/>
          <w:citation/>
        </w:sdtPr>
        <w:sdtEndPr/>
        <w:sdtContent>
          <w:r w:rsidRPr="00DB35D4">
            <w:rPr>
              <w:rFonts w:ascii="Arial" w:hAnsi="Arial" w:cs="Arial"/>
              <w:sz w:val="22"/>
              <w:szCs w:val="22"/>
            </w:rPr>
            <w:fldChar w:fldCharType="begin"/>
          </w:r>
          <w:r w:rsidRPr="00DB35D4">
            <w:rPr>
              <w:rFonts w:ascii="Arial" w:hAnsi="Arial" w:cs="Arial"/>
              <w:sz w:val="22"/>
              <w:szCs w:val="22"/>
            </w:rPr>
            <w:instrText xml:space="preserve"> CITATION Sch15 \l 1033 </w:instrText>
          </w:r>
          <w:r w:rsidRPr="00DB35D4">
            <w:rPr>
              <w:rFonts w:ascii="Arial" w:hAnsi="Arial" w:cs="Arial"/>
              <w:sz w:val="22"/>
              <w:szCs w:val="22"/>
            </w:rPr>
            <w:fldChar w:fldCharType="separate"/>
          </w:r>
          <w:r w:rsidR="00487700">
            <w:rPr>
              <w:rFonts w:ascii="Arial" w:hAnsi="Arial" w:cs="Arial"/>
              <w:noProof/>
              <w:sz w:val="22"/>
              <w:szCs w:val="22"/>
            </w:rPr>
            <w:t xml:space="preserve"> </w:t>
          </w:r>
          <w:r w:rsidR="00487700" w:rsidRPr="00487700">
            <w:rPr>
              <w:rFonts w:ascii="Arial" w:hAnsi="Arial" w:cs="Arial"/>
              <w:noProof/>
              <w:sz w:val="22"/>
              <w:szCs w:val="22"/>
            </w:rPr>
            <w:t>(Schaltegger, Zvezdov, Guenther, Csutora , &amp; Alvarez, 2015)</w:t>
          </w:r>
          <w:r w:rsidRPr="00DB35D4">
            <w:rPr>
              <w:rFonts w:ascii="Arial" w:hAnsi="Arial" w:cs="Arial"/>
              <w:sz w:val="22"/>
              <w:szCs w:val="22"/>
            </w:rPr>
            <w:fldChar w:fldCharType="end"/>
          </w:r>
        </w:sdtContent>
      </w:sdt>
      <w:r w:rsidRPr="00DB35D4">
        <w:rPr>
          <w:rFonts w:ascii="Arial" w:hAnsi="Arial" w:cs="Arial"/>
          <w:sz w:val="22"/>
          <w:szCs w:val="22"/>
        </w:rPr>
        <w:t>.</w:t>
      </w:r>
    </w:p>
    <w:p w14:paraId="33795D6B" w14:textId="77777777" w:rsidR="005664B6" w:rsidRDefault="005664B6" w:rsidP="005664B6">
      <w:pPr>
        <w:pStyle w:val="MAIL11"/>
      </w:pPr>
      <w:bookmarkStart w:id="280" w:name="_Toc90892994"/>
      <w:bookmarkStart w:id="281" w:name="_Toc91752448"/>
      <w:r w:rsidRPr="009B3BBA">
        <w:t>Carbon accounting under UNFCCC</w:t>
      </w:r>
      <w:bookmarkEnd w:id="280"/>
      <w:bookmarkEnd w:id="281"/>
    </w:p>
    <w:p w14:paraId="5201AB7C" w14:textId="77777777" w:rsidR="005664B6" w:rsidRPr="00DB35D4" w:rsidRDefault="005664B6" w:rsidP="005664B6">
      <w:pPr>
        <w:pStyle w:val="NormalWeb"/>
        <w:spacing w:line="360" w:lineRule="auto"/>
        <w:jc w:val="both"/>
        <w:rPr>
          <w:rFonts w:ascii="Arial" w:hAnsi="Arial" w:cs="Arial"/>
          <w:sz w:val="22"/>
          <w:szCs w:val="22"/>
        </w:rPr>
      </w:pPr>
      <w:r w:rsidRPr="00DB35D4">
        <w:rPr>
          <w:rFonts w:ascii="Arial" w:hAnsi="Arial" w:cs="Arial"/>
          <w:sz w:val="22"/>
          <w:szCs w:val="22"/>
        </w:rPr>
        <w:t>The basic step to account CO</w:t>
      </w:r>
      <w:r w:rsidRPr="00DB35D4">
        <w:rPr>
          <w:rFonts w:ascii="Arial" w:hAnsi="Arial" w:cs="Arial"/>
          <w:sz w:val="22"/>
          <w:szCs w:val="22"/>
          <w:vertAlign w:val="subscript"/>
        </w:rPr>
        <w:t>2</w:t>
      </w:r>
      <w:r w:rsidRPr="00DB35D4">
        <w:rPr>
          <w:rFonts w:ascii="Arial" w:hAnsi="Arial" w:cs="Arial"/>
          <w:sz w:val="22"/>
          <w:szCs w:val="22"/>
        </w:rPr>
        <w:t xml:space="preserve"> and other GHG emissions and their removal from the atmosphere is set by the UNFCCC regulations in 2006 and recently the </w:t>
      </w:r>
      <w:r w:rsidRPr="00DB35D4">
        <w:rPr>
          <w:rFonts w:ascii="Arial" w:hAnsi="Arial" w:cs="Arial"/>
          <w:i/>
          <w:iCs/>
          <w:sz w:val="22"/>
          <w:szCs w:val="22"/>
        </w:rPr>
        <w:t>2019 Refinement to the 2006 IPCC Guidelines for National Greenhouse Gas Inventories</w:t>
      </w:r>
      <w:r w:rsidRPr="00DB35D4">
        <w:rPr>
          <w:rFonts w:ascii="Arial" w:hAnsi="Arial" w:cs="Arial"/>
          <w:sz w:val="22"/>
          <w:szCs w:val="22"/>
        </w:rPr>
        <w:t xml:space="preserve"> (</w:t>
      </w:r>
      <w:r w:rsidRPr="00DB35D4">
        <w:rPr>
          <w:rFonts w:ascii="Arial" w:hAnsi="Arial" w:cs="Arial"/>
          <w:i/>
          <w:iCs/>
          <w:sz w:val="22"/>
          <w:szCs w:val="22"/>
        </w:rPr>
        <w:t>2019 Refinement</w:t>
      </w:r>
      <w:r w:rsidRPr="00DB35D4">
        <w:rPr>
          <w:rFonts w:ascii="Arial" w:hAnsi="Arial" w:cs="Arial"/>
          <w:sz w:val="22"/>
          <w:szCs w:val="22"/>
        </w:rPr>
        <w:t>) was prepared by the Intergovernmental Panel on Climate Change (IPCC) Task Force on National Greenhouse Gas Inventories in accordance with the decision taken at the 44</w:t>
      </w:r>
      <w:r w:rsidRPr="00DB35D4">
        <w:rPr>
          <w:rFonts w:ascii="Arial" w:hAnsi="Arial" w:cs="Arial"/>
          <w:sz w:val="22"/>
          <w:szCs w:val="22"/>
          <w:vertAlign w:val="superscript"/>
        </w:rPr>
        <w:t>th</w:t>
      </w:r>
      <w:r w:rsidRPr="00DB35D4">
        <w:rPr>
          <w:rFonts w:ascii="Arial" w:hAnsi="Arial" w:cs="Arial"/>
          <w:sz w:val="22"/>
          <w:szCs w:val="22"/>
        </w:rPr>
        <w:t xml:space="preserve"> Session of IPCC in Bangkok, Thailand, in October 2016. The 2019 Refinement was adopted and accepted at the 49th Session of the IPCC in May 2019.</w:t>
      </w:r>
    </w:p>
    <w:p w14:paraId="251C972E" w14:textId="77777777" w:rsidR="005664B6" w:rsidRPr="00DB35D4" w:rsidRDefault="005664B6" w:rsidP="005664B6">
      <w:pPr>
        <w:pStyle w:val="NormalWeb"/>
        <w:spacing w:line="360" w:lineRule="auto"/>
        <w:jc w:val="both"/>
        <w:rPr>
          <w:rFonts w:ascii="Arial" w:hAnsi="Arial" w:cs="Arial"/>
          <w:sz w:val="22"/>
          <w:szCs w:val="22"/>
        </w:rPr>
      </w:pPr>
      <w:r w:rsidRPr="00DB35D4">
        <w:rPr>
          <w:rFonts w:ascii="Arial" w:hAnsi="Arial" w:cs="Arial"/>
          <w:sz w:val="22"/>
          <w:szCs w:val="22"/>
        </w:rPr>
        <w:t xml:space="preserve">The refinement of the </w:t>
      </w:r>
      <w:r w:rsidRPr="00DB35D4">
        <w:rPr>
          <w:rFonts w:ascii="Arial" w:hAnsi="Arial" w:cs="Arial"/>
          <w:i/>
          <w:iCs/>
          <w:sz w:val="22"/>
          <w:szCs w:val="22"/>
        </w:rPr>
        <w:t xml:space="preserve">2006 IPCC Guidelines </w:t>
      </w:r>
      <w:r w:rsidRPr="00DB35D4">
        <w:rPr>
          <w:rFonts w:ascii="Arial" w:hAnsi="Arial" w:cs="Arial"/>
          <w:sz w:val="22"/>
          <w:szCs w:val="22"/>
        </w:rPr>
        <w:t xml:space="preserve">was developed </w:t>
      </w:r>
      <w:proofErr w:type="gramStart"/>
      <w:r w:rsidRPr="00DB35D4">
        <w:rPr>
          <w:rFonts w:ascii="Arial" w:hAnsi="Arial" w:cs="Arial"/>
          <w:sz w:val="22"/>
          <w:szCs w:val="22"/>
        </w:rPr>
        <w:t>in order to</w:t>
      </w:r>
      <w:proofErr w:type="gramEnd"/>
      <w:r w:rsidRPr="00DB35D4">
        <w:rPr>
          <w:rFonts w:ascii="Arial" w:hAnsi="Arial" w:cs="Arial"/>
          <w:sz w:val="22"/>
          <w:szCs w:val="22"/>
        </w:rPr>
        <w:t xml:space="preserve"> provide an updated and sound scientific basis for supporting the preparation and continuous improvement of national greenhouse gas inventories of emissions by sources and removals by sinks, considering scientific and other technical advances that had matured sufficiently since 2006.</w:t>
      </w:r>
    </w:p>
    <w:p w14:paraId="54E07F19" w14:textId="77777777" w:rsidR="005664B6" w:rsidRPr="00DB35D4" w:rsidRDefault="005664B6" w:rsidP="005664B6">
      <w:pPr>
        <w:pStyle w:val="NormalWeb"/>
        <w:spacing w:line="360" w:lineRule="auto"/>
        <w:jc w:val="both"/>
        <w:rPr>
          <w:rFonts w:ascii="Arial" w:hAnsi="Arial" w:cs="Arial"/>
          <w:sz w:val="22"/>
          <w:szCs w:val="22"/>
        </w:rPr>
      </w:pPr>
      <w:r w:rsidRPr="00DB35D4">
        <w:rPr>
          <w:rFonts w:ascii="Arial" w:hAnsi="Arial" w:cs="Arial"/>
          <w:sz w:val="22"/>
          <w:szCs w:val="22"/>
        </w:rPr>
        <w:t xml:space="preserve">The </w:t>
      </w:r>
      <w:r w:rsidRPr="00DB35D4">
        <w:rPr>
          <w:rFonts w:ascii="Arial" w:hAnsi="Arial" w:cs="Arial"/>
          <w:i/>
          <w:iCs/>
          <w:sz w:val="22"/>
          <w:szCs w:val="22"/>
        </w:rPr>
        <w:t>2019 Refinement</w:t>
      </w:r>
      <w:r w:rsidRPr="00DB35D4">
        <w:rPr>
          <w:rFonts w:ascii="Arial" w:hAnsi="Arial" w:cs="Arial"/>
          <w:sz w:val="22"/>
          <w:szCs w:val="22"/>
        </w:rPr>
        <w:t xml:space="preserve"> has built upon the work of the previous IPCC GHG inventory guidelines as well as on inventory experts’ experiences in using the IPCC inventory guidelines and the contribution of over 280 experts worldwide.</w:t>
      </w:r>
    </w:p>
    <w:p w14:paraId="4378D58C" w14:textId="44280F04" w:rsidR="005664B6" w:rsidRPr="00DB35D4" w:rsidRDefault="005664B6" w:rsidP="005664B6">
      <w:pPr>
        <w:pStyle w:val="NormalWeb"/>
        <w:spacing w:line="360" w:lineRule="auto"/>
        <w:jc w:val="both"/>
        <w:rPr>
          <w:rFonts w:ascii="Arial" w:hAnsi="Arial" w:cs="Arial"/>
          <w:sz w:val="22"/>
          <w:szCs w:val="22"/>
        </w:rPr>
      </w:pPr>
      <w:r w:rsidRPr="00DB35D4">
        <w:rPr>
          <w:rFonts w:ascii="Arial" w:hAnsi="Arial" w:cs="Arial"/>
          <w:sz w:val="22"/>
          <w:szCs w:val="22"/>
        </w:rPr>
        <w:t xml:space="preserve">The advanced version of the overview chapter and the underlying chapters of the </w:t>
      </w:r>
      <w:r w:rsidRPr="00DB35D4">
        <w:rPr>
          <w:rFonts w:ascii="Arial" w:hAnsi="Arial" w:cs="Arial"/>
          <w:i/>
          <w:iCs/>
          <w:sz w:val="22"/>
          <w:szCs w:val="22"/>
        </w:rPr>
        <w:t>2019 Refinement</w:t>
      </w:r>
      <w:r w:rsidRPr="00DB35D4">
        <w:rPr>
          <w:rFonts w:ascii="Arial" w:hAnsi="Arial" w:cs="Arial"/>
          <w:sz w:val="22"/>
          <w:szCs w:val="22"/>
        </w:rPr>
        <w:t xml:space="preserve"> including the glossary as adopted/accepted on 12 May 2019 are available  on the </w:t>
      </w:r>
      <w:hyperlink r:id="rId140" w:tgtFrame="_self" w:history="1">
        <w:r w:rsidRPr="00DB35D4">
          <w:rPr>
            <w:rStyle w:val="Hyperlink"/>
            <w:rFonts w:ascii="Arial" w:hAnsi="Arial" w:cs="Arial"/>
            <w:sz w:val="22"/>
            <w:szCs w:val="22"/>
          </w:rPr>
          <w:t>TFI website</w:t>
        </w:r>
      </w:hyperlink>
      <w:r w:rsidRPr="00DB35D4">
        <w:rPr>
          <w:rFonts w:ascii="Arial" w:hAnsi="Arial" w:cs="Arial"/>
          <w:sz w:val="22"/>
          <w:szCs w:val="22"/>
        </w:rPr>
        <w:t>.</w:t>
      </w:r>
    </w:p>
    <w:p w14:paraId="0DA5322E" w14:textId="77777777" w:rsidR="005664B6" w:rsidRPr="00DB35D4" w:rsidRDefault="005664B6" w:rsidP="005664B6">
      <w:pPr>
        <w:pStyle w:val="NormalWeb"/>
        <w:spacing w:line="360" w:lineRule="auto"/>
        <w:jc w:val="both"/>
        <w:rPr>
          <w:rFonts w:ascii="Arial" w:hAnsi="Arial" w:cs="Arial"/>
          <w:sz w:val="22"/>
          <w:szCs w:val="22"/>
        </w:rPr>
      </w:pPr>
      <w:r w:rsidRPr="00DB35D4">
        <w:rPr>
          <w:rFonts w:ascii="Arial" w:hAnsi="Arial" w:cs="Arial"/>
          <w:sz w:val="22"/>
          <w:szCs w:val="22"/>
        </w:rPr>
        <w:lastRenderedPageBreak/>
        <w:t xml:space="preserve">The structure of the 2019 Refinement is the same as that of the </w:t>
      </w:r>
      <w:r w:rsidRPr="00DB35D4">
        <w:rPr>
          <w:rFonts w:ascii="Arial" w:hAnsi="Arial" w:cs="Arial"/>
          <w:i/>
          <w:sz w:val="22"/>
          <w:szCs w:val="22"/>
        </w:rPr>
        <w:t xml:space="preserve">2006 IPCC Guidelines </w:t>
      </w:r>
      <w:r w:rsidRPr="00DB35D4">
        <w:rPr>
          <w:rFonts w:ascii="Arial" w:hAnsi="Arial" w:cs="Arial"/>
          <w:sz w:val="22"/>
          <w:szCs w:val="22"/>
        </w:rPr>
        <w:t>to make it easier for inventory compilers to use the new 2019 Refinement based on the 2006 IPCC Guidelines. It comprises of an Overview Chapter and the following five volumes.</w:t>
      </w:r>
    </w:p>
    <w:p w14:paraId="1582CBC8" w14:textId="77777777" w:rsidR="005664B6" w:rsidRPr="00DB35D4" w:rsidRDefault="005664B6" w:rsidP="00A01330">
      <w:pPr>
        <w:pStyle w:val="NormalWeb"/>
        <w:numPr>
          <w:ilvl w:val="0"/>
          <w:numId w:val="42"/>
        </w:numPr>
        <w:spacing w:line="360" w:lineRule="auto"/>
        <w:jc w:val="both"/>
        <w:rPr>
          <w:rFonts w:ascii="Arial" w:hAnsi="Arial" w:cs="Arial"/>
          <w:sz w:val="22"/>
          <w:szCs w:val="22"/>
        </w:rPr>
      </w:pPr>
      <w:r w:rsidRPr="00DB35D4">
        <w:rPr>
          <w:rFonts w:ascii="Arial" w:hAnsi="Arial" w:cs="Arial"/>
          <w:sz w:val="22"/>
          <w:szCs w:val="22"/>
        </w:rPr>
        <w:t>Volume 1: General Guidance and Repo</w:t>
      </w:r>
    </w:p>
    <w:p w14:paraId="55D06C8E" w14:textId="77777777" w:rsidR="005664B6" w:rsidRPr="00DB35D4" w:rsidRDefault="005664B6" w:rsidP="00A01330">
      <w:pPr>
        <w:pStyle w:val="NormalWeb"/>
        <w:numPr>
          <w:ilvl w:val="0"/>
          <w:numId w:val="42"/>
        </w:numPr>
        <w:spacing w:line="360" w:lineRule="auto"/>
        <w:jc w:val="both"/>
        <w:rPr>
          <w:rFonts w:ascii="Arial" w:hAnsi="Arial" w:cs="Arial"/>
          <w:sz w:val="22"/>
          <w:szCs w:val="22"/>
        </w:rPr>
      </w:pPr>
      <w:r w:rsidRPr="00DB35D4">
        <w:rPr>
          <w:rFonts w:ascii="Arial" w:hAnsi="Arial" w:cs="Arial"/>
          <w:sz w:val="22"/>
          <w:szCs w:val="22"/>
        </w:rPr>
        <w:t>Volume 3: Industrial Processes and Product Use (IPPU)</w:t>
      </w:r>
    </w:p>
    <w:p w14:paraId="37E16691" w14:textId="77777777" w:rsidR="005664B6" w:rsidRPr="00DB35D4" w:rsidRDefault="005664B6" w:rsidP="00A01330">
      <w:pPr>
        <w:pStyle w:val="NormalWeb"/>
        <w:numPr>
          <w:ilvl w:val="0"/>
          <w:numId w:val="42"/>
        </w:numPr>
        <w:spacing w:line="360" w:lineRule="auto"/>
        <w:jc w:val="both"/>
        <w:rPr>
          <w:rFonts w:ascii="Arial" w:hAnsi="Arial" w:cs="Arial"/>
          <w:b/>
          <w:sz w:val="22"/>
          <w:szCs w:val="22"/>
        </w:rPr>
      </w:pPr>
      <w:r w:rsidRPr="00DB35D4">
        <w:rPr>
          <w:rFonts w:ascii="Arial" w:hAnsi="Arial" w:cs="Arial"/>
          <w:b/>
          <w:sz w:val="22"/>
          <w:szCs w:val="22"/>
        </w:rPr>
        <w:t>Volume 4: Agriculture, Forestry and Other Land Use (AFOLU)</w:t>
      </w:r>
    </w:p>
    <w:p w14:paraId="5D28A07E" w14:textId="77777777" w:rsidR="005664B6" w:rsidRPr="00DB35D4" w:rsidRDefault="005664B6" w:rsidP="00A01330">
      <w:pPr>
        <w:pStyle w:val="NormalWeb"/>
        <w:numPr>
          <w:ilvl w:val="0"/>
          <w:numId w:val="42"/>
        </w:numPr>
        <w:spacing w:line="360" w:lineRule="auto"/>
        <w:jc w:val="both"/>
        <w:rPr>
          <w:rFonts w:ascii="Arial" w:hAnsi="Arial" w:cs="Arial"/>
          <w:sz w:val="22"/>
          <w:szCs w:val="22"/>
        </w:rPr>
      </w:pPr>
      <w:r w:rsidRPr="00DB35D4">
        <w:rPr>
          <w:rFonts w:ascii="Arial" w:hAnsi="Arial" w:cs="Arial"/>
          <w:sz w:val="22"/>
          <w:szCs w:val="22"/>
        </w:rPr>
        <w:t>Volume 5: Waste</w:t>
      </w:r>
    </w:p>
    <w:p w14:paraId="7AA1D71D" w14:textId="77777777" w:rsidR="005664B6" w:rsidRPr="00DB35D4" w:rsidRDefault="005664B6" w:rsidP="00A01330">
      <w:pPr>
        <w:pStyle w:val="NormalWeb"/>
        <w:numPr>
          <w:ilvl w:val="0"/>
          <w:numId w:val="42"/>
        </w:numPr>
        <w:spacing w:line="360" w:lineRule="auto"/>
        <w:jc w:val="both"/>
        <w:rPr>
          <w:rFonts w:ascii="Arial" w:hAnsi="Arial" w:cs="Arial"/>
          <w:sz w:val="22"/>
          <w:szCs w:val="22"/>
        </w:rPr>
      </w:pPr>
      <w:r w:rsidRPr="00DB35D4">
        <w:rPr>
          <w:rFonts w:ascii="Arial" w:hAnsi="Arial" w:cs="Arial"/>
          <w:sz w:val="22"/>
          <w:szCs w:val="22"/>
        </w:rPr>
        <w:t>Volume 2: Energy</w:t>
      </w:r>
    </w:p>
    <w:p w14:paraId="2DC66F78" w14:textId="4B25F491" w:rsidR="005664B6" w:rsidRPr="00DB35D4" w:rsidRDefault="005664B6" w:rsidP="005664B6">
      <w:pPr>
        <w:pStyle w:val="NormalWeb"/>
        <w:spacing w:line="360" w:lineRule="auto"/>
        <w:jc w:val="both"/>
        <w:rPr>
          <w:rFonts w:ascii="Arial" w:hAnsi="Arial" w:cs="Arial"/>
          <w:sz w:val="22"/>
          <w:szCs w:val="22"/>
        </w:rPr>
      </w:pPr>
      <w:r w:rsidRPr="00DB35D4">
        <w:rPr>
          <w:rFonts w:ascii="Arial" w:hAnsi="Arial" w:cs="Arial"/>
          <w:sz w:val="22"/>
          <w:szCs w:val="22"/>
        </w:rPr>
        <w:t>Volume 4 is closely connected with LULUCF and is consisting of an introduction, 12 chapters and 2 annexes. In the Guidelines document, the AFOLU term is used instead of the LULUCF term.</w:t>
      </w:r>
    </w:p>
    <w:p w14:paraId="30AF12DB" w14:textId="77777777" w:rsidR="005664B6" w:rsidRPr="00DB35D4" w:rsidRDefault="005664B6" w:rsidP="005664B6">
      <w:pPr>
        <w:rPr>
          <w:rFonts w:cs="Arial"/>
        </w:rPr>
      </w:pPr>
      <w:r w:rsidRPr="00DB35D4">
        <w:rPr>
          <w:rFonts w:cs="Arial"/>
        </w:rPr>
        <w:t xml:space="preserve">Greenhouse gas fluxes in the AFOLU Sector can be estimated in two ways: 1) as net changes in C stocks over time (used for most CO2 fluxes) and 2) directly as gas flux rates to and from the atmosphere (used for estimating non-CO2 emissions and some CO2 emissions and removals). The use of C stock changes to estimate CO2 emissions and removals, is </w:t>
      </w:r>
      <w:proofErr w:type="gramStart"/>
      <w:r w:rsidRPr="00DB35D4">
        <w:rPr>
          <w:rFonts w:cs="Arial"/>
        </w:rPr>
        <w:t>based on the fact that</w:t>
      </w:r>
      <w:proofErr w:type="gramEnd"/>
      <w:r w:rsidRPr="00DB35D4">
        <w:rPr>
          <w:rFonts w:cs="Arial"/>
        </w:rPr>
        <w:t xml:space="preserve"> changes in ecosystem Carbon stocks are predominately (but not exclusively) through CO2 exchange between the land surface and the atmosphere (i.e., other Carbon transfer process such as leaching are assumed to be negligible). Hence, increases in total Carbon stocks over time are equated with a net removal of CO2 from the atmosphere and decreases in total Carbon stocks (less transfers to other pools such as harvested wood products) are equated with net emission of CO2. Non-CO2 emissions are largely a product of microbiological processes (i.e., within soils, animal digestive tracts and manure) and combustion of organic materials. Emission and removal processes in the AFOLU are described for the major ecosystem stocks and processes, organized by ecosystem components, i.e., 1) biomass, 2) dead organic matter, 3) soils and 4) livestock. </w:t>
      </w:r>
    </w:p>
    <w:p w14:paraId="4773213E" w14:textId="77777777" w:rsidR="005664B6" w:rsidRPr="00DB35D4" w:rsidRDefault="005664B6" w:rsidP="005664B6">
      <w:pPr>
        <w:rPr>
          <w:rFonts w:cs="Arial"/>
        </w:rPr>
      </w:pPr>
      <w:r w:rsidRPr="00DB35D4">
        <w:rPr>
          <w:rFonts w:cs="Arial"/>
        </w:rPr>
        <w:t>To prepare inventories for the AFOLU Sector, emissions and removals of CO</w:t>
      </w:r>
      <w:r w:rsidRPr="00DB35D4">
        <w:rPr>
          <w:rFonts w:cs="Arial"/>
          <w:vertAlign w:val="subscript"/>
        </w:rPr>
        <w:t>2</w:t>
      </w:r>
      <w:r w:rsidRPr="00DB35D4">
        <w:rPr>
          <w:rFonts w:cs="Arial"/>
        </w:rPr>
        <w:t xml:space="preserve"> and non-CO</w:t>
      </w:r>
      <w:r w:rsidRPr="00DB35D4">
        <w:rPr>
          <w:rFonts w:cs="Arial"/>
          <w:vertAlign w:val="subscript"/>
        </w:rPr>
        <w:t>2</w:t>
      </w:r>
      <w:r w:rsidRPr="00DB35D4">
        <w:rPr>
          <w:rFonts w:cs="Arial"/>
        </w:rPr>
        <w:t xml:space="preserve"> greenhouse gases are estimated separately for each of six land-use categories. Other CO</w:t>
      </w:r>
      <w:r w:rsidRPr="00DB35D4">
        <w:rPr>
          <w:rFonts w:cs="Arial"/>
          <w:vertAlign w:val="subscript"/>
        </w:rPr>
        <w:t>2</w:t>
      </w:r>
      <w:r w:rsidRPr="00DB35D4">
        <w:rPr>
          <w:rFonts w:cs="Arial"/>
        </w:rPr>
        <w:t xml:space="preserve"> emission and non-CO</w:t>
      </w:r>
      <w:r w:rsidRPr="00DB35D4">
        <w:rPr>
          <w:rFonts w:cs="Arial"/>
          <w:vertAlign w:val="subscript"/>
        </w:rPr>
        <w:t>2</w:t>
      </w:r>
      <w:r w:rsidRPr="00DB35D4">
        <w:rPr>
          <w:rFonts w:cs="Arial"/>
        </w:rPr>
        <w:t xml:space="preserve"> categories, such as livestock related emissions, emissions from soil Nitrogen management, soil liming emissions and harvested wood products, may be estimated at the national scale, since often only aggregate data are </w:t>
      </w:r>
      <w:r w:rsidRPr="00DB35D4">
        <w:rPr>
          <w:rFonts w:cs="Arial"/>
        </w:rPr>
        <w:lastRenderedPageBreak/>
        <w:t>available. However, they can be broken out according to land-use category if data are available.</w:t>
      </w:r>
    </w:p>
    <w:p w14:paraId="26CF1E84" w14:textId="77777777" w:rsidR="005664B6" w:rsidRPr="00DB35D4" w:rsidRDefault="005664B6" w:rsidP="005664B6">
      <w:pPr>
        <w:rPr>
          <w:rFonts w:cs="Arial"/>
        </w:rPr>
      </w:pPr>
      <w:r w:rsidRPr="00DB35D4">
        <w:rPr>
          <w:rFonts w:cs="Arial"/>
        </w:rPr>
        <w:t xml:space="preserve">The six land-use categories in the 2006 IPCC Guidelines are: </w:t>
      </w:r>
    </w:p>
    <w:p w14:paraId="72D2835E" w14:textId="77777777" w:rsidR="005664B6" w:rsidRPr="00DB35D4" w:rsidRDefault="005664B6" w:rsidP="00A01330">
      <w:pPr>
        <w:pStyle w:val="ListParagraph"/>
        <w:numPr>
          <w:ilvl w:val="0"/>
          <w:numId w:val="45"/>
        </w:numPr>
        <w:spacing w:before="0" w:after="160"/>
        <w:rPr>
          <w:rFonts w:cs="Arial"/>
        </w:rPr>
      </w:pPr>
      <w:r w:rsidRPr="00DB35D4">
        <w:rPr>
          <w:rFonts w:cs="Arial"/>
        </w:rPr>
        <w:t>Forest Land</w:t>
      </w:r>
    </w:p>
    <w:p w14:paraId="1106B00D" w14:textId="77777777" w:rsidR="005664B6" w:rsidRPr="00DB35D4" w:rsidRDefault="005664B6" w:rsidP="00A01330">
      <w:pPr>
        <w:pStyle w:val="ListParagraph"/>
        <w:numPr>
          <w:ilvl w:val="0"/>
          <w:numId w:val="45"/>
        </w:numPr>
        <w:spacing w:before="0" w:after="160"/>
        <w:rPr>
          <w:rFonts w:cs="Arial"/>
        </w:rPr>
      </w:pPr>
      <w:r w:rsidRPr="00DB35D4">
        <w:rPr>
          <w:rFonts w:cs="Arial"/>
        </w:rPr>
        <w:t xml:space="preserve">Cropland </w:t>
      </w:r>
    </w:p>
    <w:p w14:paraId="489CA2C9" w14:textId="77777777" w:rsidR="005664B6" w:rsidRPr="00DB35D4" w:rsidRDefault="005664B6" w:rsidP="00A01330">
      <w:pPr>
        <w:pStyle w:val="ListParagraph"/>
        <w:numPr>
          <w:ilvl w:val="0"/>
          <w:numId w:val="45"/>
        </w:numPr>
        <w:spacing w:before="0" w:after="160"/>
        <w:rPr>
          <w:rFonts w:cs="Arial"/>
        </w:rPr>
      </w:pPr>
      <w:r w:rsidRPr="00DB35D4">
        <w:rPr>
          <w:rFonts w:cs="Arial"/>
        </w:rPr>
        <w:t xml:space="preserve">Grassland </w:t>
      </w:r>
    </w:p>
    <w:p w14:paraId="3C1DDE79" w14:textId="77777777" w:rsidR="005664B6" w:rsidRPr="00DB35D4" w:rsidRDefault="005664B6" w:rsidP="00A01330">
      <w:pPr>
        <w:pStyle w:val="ListParagraph"/>
        <w:numPr>
          <w:ilvl w:val="0"/>
          <w:numId w:val="45"/>
        </w:numPr>
        <w:spacing w:before="0" w:after="160"/>
        <w:rPr>
          <w:rFonts w:cs="Arial"/>
        </w:rPr>
      </w:pPr>
      <w:r w:rsidRPr="00DB35D4">
        <w:rPr>
          <w:rFonts w:cs="Arial"/>
        </w:rPr>
        <w:t xml:space="preserve">Wetlands </w:t>
      </w:r>
    </w:p>
    <w:p w14:paraId="60EC9F8C" w14:textId="77777777" w:rsidR="005664B6" w:rsidRPr="00DB35D4" w:rsidRDefault="005664B6" w:rsidP="00A01330">
      <w:pPr>
        <w:pStyle w:val="ListParagraph"/>
        <w:numPr>
          <w:ilvl w:val="0"/>
          <w:numId w:val="45"/>
        </w:numPr>
        <w:spacing w:before="0" w:after="160"/>
        <w:rPr>
          <w:rFonts w:cs="Arial"/>
        </w:rPr>
      </w:pPr>
      <w:r w:rsidRPr="00DB35D4">
        <w:rPr>
          <w:rFonts w:cs="Arial"/>
        </w:rPr>
        <w:t xml:space="preserve">Settlements </w:t>
      </w:r>
    </w:p>
    <w:p w14:paraId="70B1A4A9" w14:textId="77777777" w:rsidR="005664B6" w:rsidRPr="00DB35D4" w:rsidRDefault="005664B6" w:rsidP="00A01330">
      <w:pPr>
        <w:pStyle w:val="ListParagraph"/>
        <w:numPr>
          <w:ilvl w:val="0"/>
          <w:numId w:val="45"/>
        </w:numPr>
        <w:spacing w:before="0" w:after="160"/>
        <w:rPr>
          <w:rFonts w:cs="Arial"/>
        </w:rPr>
      </w:pPr>
      <w:r w:rsidRPr="00DB35D4">
        <w:rPr>
          <w:rFonts w:cs="Arial"/>
        </w:rPr>
        <w:t>Other Land (which can include Marginal Lands)</w:t>
      </w:r>
    </w:p>
    <w:p w14:paraId="6A06C953" w14:textId="77777777" w:rsidR="005664B6" w:rsidRPr="00DB35D4" w:rsidRDefault="005664B6" w:rsidP="005664B6">
      <w:pPr>
        <w:rPr>
          <w:rFonts w:cs="Arial"/>
        </w:rPr>
      </w:pPr>
      <w:r w:rsidRPr="00DB35D4">
        <w:rPr>
          <w:rFonts w:cs="Arial"/>
        </w:rPr>
        <w:t>The main steps to prepare an inventory estimate is given in the introductory document:</w:t>
      </w:r>
    </w:p>
    <w:p w14:paraId="21665E94" w14:textId="77777777" w:rsidR="005664B6" w:rsidRPr="00DB35D4" w:rsidRDefault="005664B6" w:rsidP="00A01330">
      <w:pPr>
        <w:pStyle w:val="ListParagraph"/>
        <w:numPr>
          <w:ilvl w:val="0"/>
          <w:numId w:val="20"/>
        </w:numPr>
        <w:spacing w:before="0" w:after="160"/>
        <w:rPr>
          <w:rFonts w:cs="Arial"/>
        </w:rPr>
      </w:pPr>
      <w:r w:rsidRPr="00DB35D4">
        <w:rPr>
          <w:rFonts w:cs="Arial"/>
        </w:rPr>
        <w:t xml:space="preserve">Divide all land into managed and unmanaged. </w:t>
      </w:r>
    </w:p>
    <w:p w14:paraId="6F471D0B" w14:textId="77777777" w:rsidR="005664B6" w:rsidRPr="00DB35D4" w:rsidRDefault="005664B6" w:rsidP="00A01330">
      <w:pPr>
        <w:pStyle w:val="ListParagraph"/>
        <w:numPr>
          <w:ilvl w:val="0"/>
          <w:numId w:val="20"/>
        </w:numPr>
        <w:spacing w:before="0" w:after="160"/>
        <w:rPr>
          <w:rFonts w:cs="Arial"/>
        </w:rPr>
      </w:pPr>
      <w:r w:rsidRPr="00DB35D4">
        <w:rPr>
          <w:rFonts w:cs="Arial"/>
        </w:rPr>
        <w:t>Develop a national land classification system applicable to all six land-use categories (Forest Land, Cropland, Grassland, Wetlands, Settlements and Other Land) and further subdivide by climate, soil type and/or ecological regions (i.e., strata) appropriate for the country.</w:t>
      </w:r>
    </w:p>
    <w:p w14:paraId="16322190" w14:textId="77777777" w:rsidR="005664B6" w:rsidRPr="00DB35D4" w:rsidRDefault="005664B6" w:rsidP="00A01330">
      <w:pPr>
        <w:pStyle w:val="ListParagraph"/>
        <w:numPr>
          <w:ilvl w:val="0"/>
          <w:numId w:val="20"/>
        </w:numPr>
        <w:spacing w:before="0" w:after="160"/>
        <w:rPr>
          <w:rFonts w:cs="Arial"/>
        </w:rPr>
      </w:pPr>
      <w:r w:rsidRPr="00DB35D4">
        <w:rPr>
          <w:rFonts w:cs="Arial"/>
        </w:rPr>
        <w:t xml:space="preserve">Compile data on the area of land and the change in area of land in each land-use category (by category) if available. Categorize land area by specific management systems defined for each land-use category (by category), which is based on combinations of management practices (e.g., tillage and fertilizer management in Croplands). This categorization provides the basis for assigning emission factors and stock change factors, required for a particular estimation approach. </w:t>
      </w:r>
    </w:p>
    <w:p w14:paraId="1C3E60D0" w14:textId="77777777" w:rsidR="005664B6" w:rsidRPr="00DB35D4" w:rsidRDefault="005664B6" w:rsidP="00A01330">
      <w:pPr>
        <w:pStyle w:val="ListParagraph"/>
        <w:numPr>
          <w:ilvl w:val="0"/>
          <w:numId w:val="20"/>
        </w:numPr>
        <w:spacing w:before="0" w:after="160"/>
        <w:rPr>
          <w:rFonts w:cs="Arial"/>
        </w:rPr>
      </w:pPr>
      <w:r w:rsidRPr="00DB35D4">
        <w:rPr>
          <w:rFonts w:cs="Arial"/>
        </w:rPr>
        <w:t xml:space="preserve">Compile national-level statistics for livestock, manure management systems, soil N management, crop yields, biochar Carbon, liming and urea application. </w:t>
      </w:r>
    </w:p>
    <w:p w14:paraId="2014DAB0" w14:textId="77777777" w:rsidR="005664B6" w:rsidRPr="00DB35D4" w:rsidRDefault="005664B6" w:rsidP="00A01330">
      <w:pPr>
        <w:pStyle w:val="ListParagraph"/>
        <w:numPr>
          <w:ilvl w:val="0"/>
          <w:numId w:val="20"/>
        </w:numPr>
        <w:spacing w:before="0" w:after="160"/>
        <w:rPr>
          <w:rFonts w:cs="Arial"/>
        </w:rPr>
      </w:pPr>
      <w:r w:rsidRPr="00DB35D4">
        <w:rPr>
          <w:rFonts w:cs="Arial"/>
        </w:rPr>
        <w:t>Estimate CO</w:t>
      </w:r>
      <w:r w:rsidRPr="00535026">
        <w:rPr>
          <w:rFonts w:cs="Arial"/>
          <w:vertAlign w:val="subscript"/>
        </w:rPr>
        <w:t>2</w:t>
      </w:r>
      <w:r w:rsidRPr="00DB35D4">
        <w:rPr>
          <w:rFonts w:cs="Arial"/>
        </w:rPr>
        <w:t xml:space="preserve"> emissions and removals and non-CO</w:t>
      </w:r>
      <w:r w:rsidRPr="00535026">
        <w:rPr>
          <w:rFonts w:cs="Arial"/>
          <w:vertAlign w:val="subscript"/>
        </w:rPr>
        <w:t>2</w:t>
      </w:r>
      <w:r w:rsidRPr="00DB35D4">
        <w:rPr>
          <w:rFonts w:cs="Arial"/>
        </w:rPr>
        <w:t xml:space="preserve"> emissions at the appropriate tier level in support of a key category analysis. </w:t>
      </w:r>
    </w:p>
    <w:p w14:paraId="5B166495" w14:textId="77777777" w:rsidR="005664B6" w:rsidRPr="00DB35D4" w:rsidRDefault="005664B6" w:rsidP="00A01330">
      <w:pPr>
        <w:pStyle w:val="ListParagraph"/>
        <w:numPr>
          <w:ilvl w:val="0"/>
          <w:numId w:val="20"/>
        </w:numPr>
        <w:spacing w:before="0" w:after="160"/>
        <w:rPr>
          <w:rFonts w:cs="Arial"/>
        </w:rPr>
      </w:pPr>
      <w:r w:rsidRPr="00DB35D4">
        <w:rPr>
          <w:rFonts w:cs="Arial"/>
        </w:rPr>
        <w:t xml:space="preserve">Estimate uncertainties and complete QA/QC procedures (which are initiated at Step 1) using the methods provided in Volume 1 Chapter 6, along with additional guidance provided in Chapters 2 to 12 of this Volume. </w:t>
      </w:r>
    </w:p>
    <w:p w14:paraId="051D8F62" w14:textId="77777777" w:rsidR="005664B6" w:rsidRPr="00DB35D4" w:rsidRDefault="005664B6" w:rsidP="00A01330">
      <w:pPr>
        <w:pStyle w:val="ListParagraph"/>
        <w:numPr>
          <w:ilvl w:val="0"/>
          <w:numId w:val="20"/>
        </w:numPr>
        <w:spacing w:before="0" w:after="160"/>
        <w:rPr>
          <w:rFonts w:cs="Arial"/>
        </w:rPr>
      </w:pPr>
      <w:r w:rsidRPr="00DB35D4">
        <w:rPr>
          <w:rFonts w:cs="Arial"/>
        </w:rPr>
        <w:t>Sum CO</w:t>
      </w:r>
      <w:r w:rsidRPr="00535026">
        <w:rPr>
          <w:rFonts w:cs="Arial"/>
          <w:vertAlign w:val="subscript"/>
        </w:rPr>
        <w:t>2</w:t>
      </w:r>
      <w:r w:rsidRPr="00DB35D4">
        <w:rPr>
          <w:rFonts w:cs="Arial"/>
        </w:rPr>
        <w:t xml:space="preserve"> emissions and removals and non-CO</w:t>
      </w:r>
      <w:r w:rsidRPr="00535026">
        <w:rPr>
          <w:rFonts w:cs="Arial"/>
          <w:vertAlign w:val="subscript"/>
        </w:rPr>
        <w:t xml:space="preserve">2 </w:t>
      </w:r>
      <w:r w:rsidRPr="00DB35D4">
        <w:rPr>
          <w:rFonts w:cs="Arial"/>
        </w:rPr>
        <w:t xml:space="preserve">emissions over the inventory period for each source category by land use and stratum, as well as emissions from livestock, manure, and Nitrogen management (if not analyzed separately for each land-use category). </w:t>
      </w:r>
    </w:p>
    <w:p w14:paraId="5A12619D" w14:textId="77777777" w:rsidR="005664B6" w:rsidRPr="00DB35D4" w:rsidRDefault="005664B6" w:rsidP="00A01330">
      <w:pPr>
        <w:pStyle w:val="ListParagraph"/>
        <w:numPr>
          <w:ilvl w:val="0"/>
          <w:numId w:val="20"/>
        </w:numPr>
        <w:spacing w:before="0" w:after="160"/>
        <w:rPr>
          <w:rFonts w:cs="Arial"/>
        </w:rPr>
      </w:pPr>
      <w:r w:rsidRPr="00DB35D4">
        <w:rPr>
          <w:rFonts w:cs="Arial"/>
        </w:rPr>
        <w:lastRenderedPageBreak/>
        <w:t xml:space="preserve">Transcribe summary information into reporting tables, converting Carbon stock changes to emissions or removals of </w:t>
      </w:r>
      <w:proofErr w:type="gramStart"/>
      <w:r w:rsidRPr="00DB35D4">
        <w:rPr>
          <w:rFonts w:cs="Arial"/>
        </w:rPr>
        <w:t>CO</w:t>
      </w:r>
      <w:r w:rsidRPr="00535026">
        <w:rPr>
          <w:rFonts w:cs="Arial"/>
          <w:vertAlign w:val="subscript"/>
        </w:rPr>
        <w:t>2</w:t>
      </w:r>
      <w:proofErr w:type="gramEnd"/>
      <w:r w:rsidRPr="00DB35D4">
        <w:rPr>
          <w:rFonts w:cs="Arial"/>
        </w:rPr>
        <w:t xml:space="preserve"> and entering non-CO</w:t>
      </w:r>
      <w:r w:rsidRPr="00535026">
        <w:rPr>
          <w:rFonts w:cs="Arial"/>
          <w:vertAlign w:val="subscript"/>
        </w:rPr>
        <w:t>2</w:t>
      </w:r>
      <w:r w:rsidRPr="00DB35D4">
        <w:rPr>
          <w:rFonts w:cs="Arial"/>
        </w:rPr>
        <w:t xml:space="preserve"> greenhouse gas emissions, by land-use categories, if available. </w:t>
      </w:r>
    </w:p>
    <w:p w14:paraId="0E37BB06" w14:textId="77777777" w:rsidR="005664B6" w:rsidRPr="00DB35D4" w:rsidRDefault="005664B6" w:rsidP="00A01330">
      <w:pPr>
        <w:pStyle w:val="ListParagraph"/>
        <w:numPr>
          <w:ilvl w:val="0"/>
          <w:numId w:val="20"/>
        </w:numPr>
        <w:spacing w:before="0" w:after="160"/>
        <w:rPr>
          <w:rFonts w:cs="Arial"/>
        </w:rPr>
      </w:pPr>
      <w:r w:rsidRPr="00DB35D4">
        <w:rPr>
          <w:rFonts w:cs="Arial"/>
        </w:rPr>
        <w:t xml:space="preserve">Document and archive all information used to produce an inventory, including activity and other input data, emission factors, sources of data and metadata documentation, methods descriptions and model software or code, QA/QC procedures and reports, in addition to the results for each source category. </w:t>
      </w:r>
    </w:p>
    <w:p w14:paraId="0B0E99BE" w14:textId="77777777" w:rsidR="005664B6" w:rsidRPr="00DB35D4" w:rsidRDefault="005664B6" w:rsidP="00A01330">
      <w:pPr>
        <w:pStyle w:val="ListParagraph"/>
        <w:numPr>
          <w:ilvl w:val="0"/>
          <w:numId w:val="20"/>
        </w:numPr>
        <w:spacing w:before="0" w:after="160"/>
        <w:rPr>
          <w:rFonts w:cs="Arial"/>
          <w:color w:val="000000"/>
        </w:rPr>
      </w:pPr>
      <w:r w:rsidRPr="00DB35D4">
        <w:rPr>
          <w:rFonts w:cs="Arial"/>
        </w:rPr>
        <w:t xml:space="preserve">Set priorities for future inventories in AFOLU Sector based on completeness of current inventories, uncertainties, and issues arising during QA/QC. Revise key category analysis based on the newly completed inventory to aid in decisions regarding future priorities. </w:t>
      </w:r>
    </w:p>
    <w:p w14:paraId="4A2CC937" w14:textId="77777777" w:rsidR="005664B6" w:rsidRDefault="005664B6" w:rsidP="005664B6">
      <w:pPr>
        <w:pStyle w:val="MAIL11"/>
      </w:pPr>
      <w:bookmarkStart w:id="282" w:name="_Toc90892995"/>
      <w:bookmarkStart w:id="283" w:name="_Toc91752449"/>
      <w:r w:rsidRPr="009B3BBA">
        <w:t>EU carbon accounting</w:t>
      </w:r>
      <w:bookmarkEnd w:id="282"/>
      <w:bookmarkEnd w:id="283"/>
    </w:p>
    <w:p w14:paraId="33302FDA" w14:textId="77777777" w:rsidR="005664B6" w:rsidRPr="00DB35D4" w:rsidRDefault="005664B6" w:rsidP="00E91166">
      <w:pPr>
        <w:pStyle w:val="NormalWeb"/>
        <w:spacing w:before="120" w:beforeAutospacing="0" w:after="120" w:afterAutospacing="0" w:line="360" w:lineRule="auto"/>
        <w:jc w:val="both"/>
        <w:rPr>
          <w:rFonts w:ascii="Arial" w:hAnsi="Arial" w:cs="Arial"/>
          <w:sz w:val="22"/>
          <w:szCs w:val="22"/>
        </w:rPr>
      </w:pPr>
      <w:r w:rsidRPr="00DB35D4">
        <w:rPr>
          <w:rFonts w:ascii="Arial" w:hAnsi="Arial" w:cs="Arial"/>
          <w:sz w:val="22"/>
          <w:szCs w:val="22"/>
        </w:rPr>
        <w:t>As parties to the UNFCCC and its Kyoto Protocol, the EU and its member countries are required to report to the UN:</w:t>
      </w:r>
    </w:p>
    <w:p w14:paraId="5AA8951C" w14:textId="77777777" w:rsidR="005664B6" w:rsidRPr="00DB35D4" w:rsidRDefault="005664B6" w:rsidP="00E91166">
      <w:pPr>
        <w:numPr>
          <w:ilvl w:val="0"/>
          <w:numId w:val="21"/>
        </w:numPr>
        <w:rPr>
          <w:rFonts w:cs="Arial"/>
        </w:rPr>
      </w:pPr>
      <w:r w:rsidRPr="00DB35D4">
        <w:rPr>
          <w:rFonts w:cs="Arial"/>
          <w:b/>
          <w:bCs/>
        </w:rPr>
        <w:t>annually</w:t>
      </w:r>
      <w:r w:rsidRPr="00DB35D4">
        <w:rPr>
          <w:rFonts w:cs="Arial"/>
        </w:rPr>
        <w:t xml:space="preserve"> on their greenhouse </w:t>
      </w:r>
      <w:r w:rsidRPr="00DB35D4">
        <w:rPr>
          <w:rFonts w:cs="Arial"/>
          <w:b/>
          <w:bCs/>
        </w:rPr>
        <w:t xml:space="preserve">emissions </w:t>
      </w:r>
      <w:r w:rsidRPr="00DB35D4">
        <w:rPr>
          <w:rFonts w:cs="Arial"/>
        </w:rPr>
        <w:t>('greenhouse gas inventories').</w:t>
      </w:r>
    </w:p>
    <w:p w14:paraId="106D47FD" w14:textId="77777777" w:rsidR="005664B6" w:rsidRPr="00DB35D4" w:rsidRDefault="005664B6" w:rsidP="00E91166">
      <w:pPr>
        <w:numPr>
          <w:ilvl w:val="0"/>
          <w:numId w:val="21"/>
        </w:numPr>
        <w:rPr>
          <w:rFonts w:cs="Arial"/>
        </w:rPr>
      </w:pPr>
      <w:r w:rsidRPr="00DB35D4">
        <w:rPr>
          <w:rFonts w:cs="Arial"/>
          <w:b/>
          <w:bCs/>
        </w:rPr>
        <w:t>regularly</w:t>
      </w:r>
      <w:r w:rsidRPr="00DB35D4">
        <w:rPr>
          <w:rFonts w:cs="Arial"/>
        </w:rPr>
        <w:t xml:space="preserve"> on their climate change </w:t>
      </w:r>
      <w:r w:rsidRPr="00DB35D4">
        <w:rPr>
          <w:rFonts w:cs="Arial"/>
          <w:b/>
          <w:bCs/>
        </w:rPr>
        <w:t xml:space="preserve">policies &amp; measures </w:t>
      </w:r>
      <w:r w:rsidRPr="00DB35D4">
        <w:rPr>
          <w:rFonts w:cs="Arial"/>
        </w:rPr>
        <w:t xml:space="preserve">and </w:t>
      </w:r>
      <w:r w:rsidRPr="00DB35D4">
        <w:rPr>
          <w:rFonts w:cs="Arial"/>
          <w:b/>
          <w:bCs/>
        </w:rPr>
        <w:t xml:space="preserve">progress </w:t>
      </w:r>
      <w:r w:rsidRPr="00DB35D4">
        <w:rPr>
          <w:rFonts w:cs="Arial"/>
        </w:rPr>
        <w:t>towards the targets ('biennial reports' and 'national communications').</w:t>
      </w:r>
    </w:p>
    <w:p w14:paraId="4B6F6F34" w14:textId="77777777" w:rsidR="005664B6" w:rsidRPr="00DB35D4" w:rsidRDefault="005664B6" w:rsidP="00E91166">
      <w:pPr>
        <w:pStyle w:val="NormalWeb"/>
        <w:spacing w:before="120" w:beforeAutospacing="0" w:after="120" w:afterAutospacing="0" w:line="360" w:lineRule="auto"/>
        <w:jc w:val="both"/>
        <w:rPr>
          <w:rFonts w:ascii="Arial" w:hAnsi="Arial" w:cs="Arial"/>
          <w:sz w:val="22"/>
          <w:szCs w:val="22"/>
        </w:rPr>
      </w:pPr>
      <w:r w:rsidRPr="00DB35D4">
        <w:rPr>
          <w:rFonts w:ascii="Arial" w:hAnsi="Arial" w:cs="Arial"/>
          <w:sz w:val="22"/>
          <w:szCs w:val="22"/>
        </w:rPr>
        <w:t xml:space="preserve">All EU countries are required to monitor their emissions under the EU's greenhouse gas monitoring mechanism, which sets the EU's own internal reporting rules </w:t>
      </w:r>
      <w:proofErr w:type="gramStart"/>
      <w:r w:rsidRPr="00DB35D4">
        <w:rPr>
          <w:rFonts w:ascii="Arial" w:hAnsi="Arial" w:cs="Arial"/>
          <w:sz w:val="22"/>
          <w:szCs w:val="22"/>
        </w:rPr>
        <w:t>on the basis of</w:t>
      </w:r>
      <w:proofErr w:type="gramEnd"/>
      <w:r w:rsidRPr="00DB35D4">
        <w:rPr>
          <w:rFonts w:ascii="Arial" w:hAnsi="Arial" w:cs="Arial"/>
          <w:sz w:val="22"/>
          <w:szCs w:val="22"/>
        </w:rPr>
        <w:t xml:space="preserve"> internationally agreed obligations.</w:t>
      </w:r>
    </w:p>
    <w:p w14:paraId="0D0A03DF" w14:textId="77777777" w:rsidR="005664B6" w:rsidRPr="00DB35D4" w:rsidRDefault="005664B6" w:rsidP="00E91166">
      <w:pPr>
        <w:pStyle w:val="NormalWeb"/>
        <w:spacing w:before="120" w:beforeAutospacing="0" w:after="120" w:afterAutospacing="0" w:line="360" w:lineRule="auto"/>
        <w:jc w:val="both"/>
        <w:rPr>
          <w:rFonts w:ascii="Arial" w:hAnsi="Arial" w:cs="Arial"/>
          <w:sz w:val="22"/>
          <w:szCs w:val="22"/>
        </w:rPr>
      </w:pPr>
      <w:r w:rsidRPr="00DB35D4">
        <w:rPr>
          <w:rFonts w:ascii="Arial" w:hAnsi="Arial" w:cs="Arial"/>
          <w:sz w:val="22"/>
          <w:szCs w:val="22"/>
        </w:rPr>
        <w:t>The reporting covers:</w:t>
      </w:r>
    </w:p>
    <w:p w14:paraId="54433DA7" w14:textId="77777777" w:rsidR="005664B6" w:rsidRPr="00DB35D4" w:rsidRDefault="005664B6" w:rsidP="00A01330">
      <w:pPr>
        <w:numPr>
          <w:ilvl w:val="0"/>
          <w:numId w:val="22"/>
        </w:numPr>
        <w:spacing w:before="100" w:beforeAutospacing="1" w:after="100" w:afterAutospacing="1"/>
        <w:rPr>
          <w:rFonts w:cs="Arial"/>
        </w:rPr>
      </w:pPr>
      <w:r w:rsidRPr="00DB35D4">
        <w:rPr>
          <w:rFonts w:cs="Arial"/>
        </w:rPr>
        <w:t xml:space="preserve">emissions of </w:t>
      </w:r>
      <w:r w:rsidRPr="00DB35D4">
        <w:rPr>
          <w:rFonts w:cs="Arial"/>
          <w:b/>
          <w:bCs/>
        </w:rPr>
        <w:t>7 greenhouse gases</w:t>
      </w:r>
      <w:r w:rsidRPr="00DB35D4">
        <w:rPr>
          <w:rFonts w:cs="Arial"/>
        </w:rPr>
        <w:t xml:space="preserve"> (the greenhouse gas inventory) from all sectors: energy, industrial processes, land use, land use change &amp; forestry (LULUCF), waste, agriculture, etc.</w:t>
      </w:r>
    </w:p>
    <w:p w14:paraId="32A11FFD" w14:textId="77777777" w:rsidR="005664B6" w:rsidRPr="00DB35D4" w:rsidRDefault="005664B6" w:rsidP="00A01330">
      <w:pPr>
        <w:numPr>
          <w:ilvl w:val="0"/>
          <w:numId w:val="22"/>
        </w:numPr>
        <w:spacing w:before="100" w:beforeAutospacing="1" w:after="100" w:afterAutospacing="1"/>
        <w:rPr>
          <w:rFonts w:cs="Arial"/>
        </w:rPr>
      </w:pPr>
      <w:r w:rsidRPr="00DB35D4">
        <w:rPr>
          <w:rFonts w:cs="Arial"/>
          <w:b/>
          <w:bCs/>
        </w:rPr>
        <w:t xml:space="preserve">projections, policies &amp; measures </w:t>
      </w:r>
      <w:r w:rsidRPr="00DB35D4">
        <w:rPr>
          <w:rFonts w:cs="Arial"/>
        </w:rPr>
        <w:t>to cut greenhouse emissions</w:t>
      </w:r>
    </w:p>
    <w:p w14:paraId="6A54EB19" w14:textId="77777777" w:rsidR="005664B6" w:rsidRPr="00DB35D4" w:rsidRDefault="005664B6" w:rsidP="00A01330">
      <w:pPr>
        <w:numPr>
          <w:ilvl w:val="0"/>
          <w:numId w:val="22"/>
        </w:numPr>
        <w:spacing w:before="100" w:beforeAutospacing="1" w:after="100" w:afterAutospacing="1"/>
        <w:rPr>
          <w:rFonts w:cs="Arial"/>
        </w:rPr>
      </w:pPr>
      <w:r w:rsidRPr="00DB35D4">
        <w:rPr>
          <w:rFonts w:cs="Arial"/>
        </w:rPr>
        <w:t xml:space="preserve">national </w:t>
      </w:r>
      <w:r w:rsidRPr="00DB35D4">
        <w:rPr>
          <w:rFonts w:cs="Arial"/>
          <w:b/>
          <w:bCs/>
        </w:rPr>
        <w:t>measures to adapt</w:t>
      </w:r>
      <w:r w:rsidRPr="00DB35D4">
        <w:rPr>
          <w:rFonts w:cs="Arial"/>
        </w:rPr>
        <w:t xml:space="preserve"> to climate change.</w:t>
      </w:r>
    </w:p>
    <w:p w14:paraId="56CC1524" w14:textId="77777777" w:rsidR="005664B6" w:rsidRPr="00DB35D4" w:rsidRDefault="005664B6" w:rsidP="00A01330">
      <w:pPr>
        <w:numPr>
          <w:ilvl w:val="0"/>
          <w:numId w:val="22"/>
        </w:numPr>
        <w:spacing w:before="100" w:beforeAutospacing="1" w:after="100" w:afterAutospacing="1"/>
        <w:rPr>
          <w:rFonts w:cs="Arial"/>
        </w:rPr>
      </w:pPr>
      <w:r w:rsidRPr="00DB35D4">
        <w:rPr>
          <w:rFonts w:cs="Arial"/>
          <w:b/>
          <w:bCs/>
        </w:rPr>
        <w:t>low-carbon strategies</w:t>
      </w:r>
    </w:p>
    <w:p w14:paraId="6E53F7F7" w14:textId="77777777" w:rsidR="005664B6" w:rsidRPr="00DB35D4" w:rsidRDefault="005664B6" w:rsidP="00A01330">
      <w:pPr>
        <w:numPr>
          <w:ilvl w:val="0"/>
          <w:numId w:val="22"/>
        </w:numPr>
        <w:spacing w:before="100" w:beforeAutospacing="1" w:after="100" w:afterAutospacing="1"/>
        <w:rPr>
          <w:rFonts w:cs="Arial"/>
        </w:rPr>
      </w:pPr>
      <w:r w:rsidRPr="00DB35D4">
        <w:rPr>
          <w:rFonts w:cs="Arial"/>
        </w:rPr>
        <w:t xml:space="preserve">financial &amp; technical </w:t>
      </w:r>
      <w:r w:rsidRPr="00DB35D4">
        <w:rPr>
          <w:rStyle w:val="Strong"/>
          <w:rFonts w:cs="Arial"/>
        </w:rPr>
        <w:t>support for developing countries</w:t>
      </w:r>
      <w:r w:rsidRPr="00DB35D4">
        <w:rPr>
          <w:rFonts w:cs="Arial"/>
        </w:rPr>
        <w:t>, and similar commitments under the 2009 Copenhagen Accord and 2010 Cancún Agreements</w:t>
      </w:r>
    </w:p>
    <w:p w14:paraId="265CC288" w14:textId="77777777" w:rsidR="005664B6" w:rsidRPr="00DB35D4" w:rsidRDefault="005664B6" w:rsidP="00A01330">
      <w:pPr>
        <w:numPr>
          <w:ilvl w:val="0"/>
          <w:numId w:val="22"/>
        </w:numPr>
        <w:spacing w:before="100" w:beforeAutospacing="1" w:after="100" w:afterAutospacing="1"/>
        <w:rPr>
          <w:rFonts w:cs="Arial"/>
        </w:rPr>
      </w:pPr>
      <w:r w:rsidRPr="00DB35D4">
        <w:rPr>
          <w:rFonts w:cs="Arial"/>
        </w:rPr>
        <w:t xml:space="preserve">national governments' use of revenues (estimated at around €11bn in 2013) from the </w:t>
      </w:r>
      <w:r w:rsidRPr="00DB35D4">
        <w:rPr>
          <w:rFonts w:cs="Arial"/>
          <w:b/>
          <w:bCs/>
        </w:rPr>
        <w:t>auctioning of allowances</w:t>
      </w:r>
      <w:r w:rsidRPr="00DB35D4">
        <w:rPr>
          <w:rFonts w:cs="Arial"/>
        </w:rPr>
        <w:t xml:space="preserve"> in the EU emissions trading system (</w:t>
      </w:r>
      <w:r w:rsidRPr="00DB35D4">
        <w:rPr>
          <w:rFonts w:cs="Arial"/>
          <w:i/>
          <w:iCs/>
        </w:rPr>
        <w:t xml:space="preserve">they have </w:t>
      </w:r>
      <w:r w:rsidRPr="00DB35D4">
        <w:rPr>
          <w:rFonts w:cs="Arial"/>
          <w:i/>
          <w:iCs/>
        </w:rPr>
        <w:lastRenderedPageBreak/>
        <w:t>committed to spend at least half of these revenues on climate measures in the EU and abroad</w:t>
      </w:r>
      <w:r w:rsidRPr="00DB35D4">
        <w:rPr>
          <w:rFonts w:cs="Arial"/>
        </w:rPr>
        <w:t>)</w:t>
      </w:r>
    </w:p>
    <w:p w14:paraId="4F9FA25D" w14:textId="77777777" w:rsidR="005664B6" w:rsidRPr="00DB35D4" w:rsidRDefault="005664B6" w:rsidP="005664B6">
      <w:pPr>
        <w:rPr>
          <w:rFonts w:cs="Arial"/>
          <w:b/>
        </w:rPr>
      </w:pPr>
      <w:r w:rsidRPr="00DB35D4">
        <w:rPr>
          <w:rFonts w:cs="Arial"/>
          <w:b/>
        </w:rPr>
        <w:t>Greenhouse gas inventories</w:t>
      </w:r>
    </w:p>
    <w:p w14:paraId="3A24A426" w14:textId="77777777" w:rsidR="005664B6" w:rsidRPr="00DB35D4" w:rsidRDefault="005664B6" w:rsidP="00E91166">
      <w:pPr>
        <w:pStyle w:val="NormalWeb"/>
        <w:spacing w:before="120" w:beforeAutospacing="0" w:after="120" w:afterAutospacing="0" w:line="360" w:lineRule="auto"/>
        <w:jc w:val="both"/>
        <w:rPr>
          <w:rFonts w:ascii="Arial" w:hAnsi="Arial" w:cs="Arial"/>
          <w:sz w:val="22"/>
          <w:szCs w:val="22"/>
        </w:rPr>
      </w:pPr>
      <w:r w:rsidRPr="00DB35D4">
        <w:rPr>
          <w:rFonts w:ascii="Arial" w:hAnsi="Arial" w:cs="Arial"/>
          <w:sz w:val="22"/>
          <w:szCs w:val="22"/>
        </w:rPr>
        <w:t xml:space="preserve">The EU's </w:t>
      </w:r>
      <w:r w:rsidRPr="00DB35D4">
        <w:rPr>
          <w:rFonts w:ascii="Arial" w:hAnsi="Arial" w:cs="Arial"/>
          <w:b/>
          <w:bCs/>
          <w:sz w:val="22"/>
          <w:szCs w:val="22"/>
        </w:rPr>
        <w:t xml:space="preserve">greenhouse gas inventory </w:t>
      </w:r>
      <w:r w:rsidRPr="00DB35D4">
        <w:rPr>
          <w:rFonts w:ascii="Arial" w:hAnsi="Arial" w:cs="Arial"/>
          <w:sz w:val="22"/>
          <w:szCs w:val="22"/>
        </w:rPr>
        <w:t>is prepared by the European Commission, closely assisted by the European Environment Agency each spring.</w:t>
      </w:r>
    </w:p>
    <w:p w14:paraId="2ABA21E5" w14:textId="77777777" w:rsidR="005664B6" w:rsidRPr="00DB35D4" w:rsidRDefault="005664B6" w:rsidP="00E91166">
      <w:pPr>
        <w:pStyle w:val="NormalWeb"/>
        <w:spacing w:before="120" w:beforeAutospacing="0" w:after="120" w:afterAutospacing="0" w:line="360" w:lineRule="auto"/>
        <w:jc w:val="both"/>
        <w:rPr>
          <w:rFonts w:ascii="Arial" w:hAnsi="Arial" w:cs="Arial"/>
          <w:sz w:val="22"/>
          <w:szCs w:val="22"/>
        </w:rPr>
      </w:pPr>
      <w:r w:rsidRPr="00DB35D4">
        <w:rPr>
          <w:rFonts w:ascii="Arial" w:hAnsi="Arial" w:cs="Arial"/>
          <w:sz w:val="22"/>
          <w:szCs w:val="22"/>
        </w:rPr>
        <w:t xml:space="preserve">The period covered by the inventory starts in the base year (mostly 1990) and runs up </w:t>
      </w:r>
      <w:r w:rsidRPr="00DB35D4">
        <w:rPr>
          <w:rFonts w:ascii="Arial" w:hAnsi="Arial" w:cs="Arial"/>
          <w:b/>
          <w:bCs/>
          <w:sz w:val="22"/>
          <w:szCs w:val="22"/>
        </w:rPr>
        <w:t xml:space="preserve">until 2 years before the current year </w:t>
      </w:r>
      <w:r w:rsidRPr="00DB35D4">
        <w:rPr>
          <w:rFonts w:ascii="Arial" w:hAnsi="Arial" w:cs="Arial"/>
          <w:sz w:val="22"/>
          <w:szCs w:val="22"/>
        </w:rPr>
        <w:t>(i.e., in 2014 the inventories cover emissions up to 2012).</w:t>
      </w:r>
    </w:p>
    <w:p w14:paraId="74018E66" w14:textId="77777777" w:rsidR="00E91166" w:rsidRDefault="005664B6" w:rsidP="00E91166">
      <w:pPr>
        <w:pStyle w:val="NormalWeb"/>
        <w:spacing w:before="120" w:beforeAutospacing="0" w:after="120" w:afterAutospacing="0" w:line="360" w:lineRule="auto"/>
        <w:jc w:val="both"/>
        <w:rPr>
          <w:rFonts w:ascii="Arial" w:hAnsi="Arial" w:cs="Arial"/>
          <w:sz w:val="20"/>
          <w:szCs w:val="20"/>
        </w:rPr>
      </w:pPr>
      <w:r w:rsidRPr="00DB35D4">
        <w:rPr>
          <w:rFonts w:ascii="Arial" w:hAnsi="Arial" w:cs="Arial"/>
          <w:sz w:val="22"/>
          <w:szCs w:val="22"/>
        </w:rPr>
        <w:t xml:space="preserve">The EU inventory is a </w:t>
      </w:r>
      <w:r w:rsidRPr="00DB35D4">
        <w:rPr>
          <w:rFonts w:ascii="Arial" w:hAnsi="Arial" w:cs="Arial"/>
          <w:b/>
          <w:bCs/>
          <w:sz w:val="22"/>
          <w:szCs w:val="22"/>
        </w:rPr>
        <w:t>compilation of national inventories</w:t>
      </w:r>
      <w:r w:rsidRPr="00DB35D4">
        <w:rPr>
          <w:rFonts w:ascii="Arial" w:hAnsi="Arial" w:cs="Arial"/>
          <w:sz w:val="22"/>
          <w:szCs w:val="22"/>
        </w:rPr>
        <w:t>, based on the emissions reported under the EU greenhouse gas monitoring mechanism</w:t>
      </w:r>
      <w:r w:rsidRPr="00E91166">
        <w:rPr>
          <w:rFonts w:ascii="Arial" w:hAnsi="Arial" w:cs="Arial"/>
          <w:sz w:val="20"/>
          <w:szCs w:val="20"/>
        </w:rPr>
        <w:t>.</w:t>
      </w:r>
    </w:p>
    <w:p w14:paraId="0CAF9F26" w14:textId="07F8EF50" w:rsidR="005664B6" w:rsidRPr="00E91166" w:rsidRDefault="005664B6" w:rsidP="00E91166">
      <w:pPr>
        <w:pStyle w:val="NormalWeb"/>
        <w:spacing w:before="120" w:beforeAutospacing="0" w:after="120" w:afterAutospacing="0" w:line="360" w:lineRule="auto"/>
        <w:jc w:val="center"/>
        <w:rPr>
          <w:rFonts w:ascii="Arial" w:hAnsi="Arial" w:cs="Arial"/>
          <w:sz w:val="20"/>
          <w:szCs w:val="20"/>
        </w:rPr>
      </w:pPr>
      <w:r w:rsidRPr="00E91166">
        <w:rPr>
          <w:rFonts w:ascii="Arial" w:hAnsi="Arial" w:cs="Arial"/>
          <w:noProof/>
          <w:sz w:val="20"/>
          <w:szCs w:val="20"/>
          <w:lang w:val="es-ES" w:eastAsia="es-ES"/>
        </w:rPr>
        <w:drawing>
          <wp:inline distT="0" distB="0" distL="0" distR="0" wp14:anchorId="2650676E" wp14:editId="39D03350">
            <wp:extent cx="4433455" cy="4988783"/>
            <wp:effectExtent l="0" t="0" r="5715" b="2540"/>
            <wp:docPr id="52" name="Εικόνα 38" descr="Εικόνα που περιέχει κείμενο, στιγμιότυπο οθόνης, φορητός υπολογιστής, υπολογιστή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Εικόνα 331" descr="Εικόνα που περιέχει κείμενο, στιγμιότυπο οθόνης, φορητός υπολογιστής, υπολογιστής&#10;&#10;Περιγραφή που δημιουργήθηκε αυτόματα"/>
                    <pic:cNvPicPr/>
                  </pic:nvPicPr>
                  <pic:blipFill rotWithShape="1">
                    <a:blip r:embed="rId141"/>
                    <a:srcRect l="41433" t="49168" r="22978" b="6337"/>
                    <a:stretch/>
                  </pic:blipFill>
                  <pic:spPr bwMode="auto">
                    <a:xfrm>
                      <a:off x="0" y="0"/>
                      <a:ext cx="4443394" cy="4999967"/>
                    </a:xfrm>
                    <a:prstGeom prst="rect">
                      <a:avLst/>
                    </a:prstGeom>
                    <a:ln>
                      <a:noFill/>
                    </a:ln>
                    <a:extLst>
                      <a:ext uri="{53640926-AAD7-44D8-BBD7-CCE9431645EC}">
                        <a14:shadowObscured xmlns:a14="http://schemas.microsoft.com/office/drawing/2010/main"/>
                      </a:ext>
                    </a:extLst>
                  </pic:spPr>
                </pic:pic>
              </a:graphicData>
            </a:graphic>
          </wp:inline>
        </w:drawing>
      </w:r>
    </w:p>
    <w:p w14:paraId="487927E8" w14:textId="3C152932" w:rsidR="005664B6" w:rsidRPr="00E91166" w:rsidRDefault="005664B6" w:rsidP="00E91166">
      <w:pPr>
        <w:pStyle w:val="Caption"/>
        <w:rPr>
          <w:rFonts w:cs="Arial"/>
          <w:lang w:val="en-US"/>
        </w:rPr>
      </w:pPr>
      <w:bookmarkStart w:id="284" w:name="_Ref86397674"/>
      <w:bookmarkStart w:id="285" w:name="_Toc90888751"/>
      <w:bookmarkStart w:id="286" w:name="_Toc90893525"/>
      <w:bookmarkStart w:id="287" w:name="_Toc91752531"/>
      <w:r w:rsidRPr="00E91166">
        <w:rPr>
          <w:rFonts w:cs="Arial"/>
          <w:lang w:val="en-US"/>
        </w:rPr>
        <w:t xml:space="preserve">Figure </w:t>
      </w:r>
      <w:r w:rsidRPr="00E91166">
        <w:rPr>
          <w:rFonts w:cs="Arial"/>
          <w:b w:val="0"/>
          <w:bCs w:val="0"/>
          <w:i/>
          <w:iCs/>
        </w:rPr>
        <w:fldChar w:fldCharType="begin"/>
      </w:r>
      <w:r w:rsidRPr="00E91166">
        <w:rPr>
          <w:rFonts w:cs="Arial"/>
          <w:lang w:val="en-US"/>
        </w:rPr>
        <w:instrText xml:space="preserve"> SEQ Figure \* ARABIC </w:instrText>
      </w:r>
      <w:r w:rsidRPr="00E91166">
        <w:rPr>
          <w:rFonts w:cs="Arial"/>
          <w:b w:val="0"/>
          <w:bCs w:val="0"/>
          <w:i/>
          <w:iCs/>
        </w:rPr>
        <w:fldChar w:fldCharType="separate"/>
      </w:r>
      <w:r w:rsidR="0073710A">
        <w:rPr>
          <w:rFonts w:cs="Arial"/>
          <w:noProof/>
          <w:lang w:val="en-US"/>
        </w:rPr>
        <w:t>47</w:t>
      </w:r>
      <w:r w:rsidRPr="00E91166">
        <w:rPr>
          <w:rFonts w:cs="Arial"/>
          <w:b w:val="0"/>
          <w:bCs w:val="0"/>
          <w:i/>
          <w:iCs/>
        </w:rPr>
        <w:fldChar w:fldCharType="end"/>
      </w:r>
      <w:bookmarkEnd w:id="284"/>
      <w:r w:rsidRPr="00E91166">
        <w:rPr>
          <w:rFonts w:cs="Arial"/>
        </w:rPr>
        <w:t xml:space="preserve"> Diagram demonstrating the structure for the preparation of annual reports on GHG emission and their removals. Source: </w:t>
      </w:r>
      <w:sdt>
        <w:sdtPr>
          <w:rPr>
            <w:rFonts w:cs="Arial"/>
            <w:b w:val="0"/>
            <w:bCs w:val="0"/>
            <w:i/>
            <w:iCs/>
          </w:rPr>
          <w:id w:val="260418779"/>
          <w:citation/>
        </w:sdtPr>
        <w:sdtEndPr/>
        <w:sdtContent>
          <w:r w:rsidRPr="00E91166">
            <w:rPr>
              <w:rFonts w:cs="Arial"/>
              <w:b w:val="0"/>
              <w:bCs w:val="0"/>
              <w:i/>
              <w:iCs/>
            </w:rPr>
            <w:fldChar w:fldCharType="begin"/>
          </w:r>
          <w:r w:rsidRPr="00E91166">
            <w:rPr>
              <w:rFonts w:cs="Arial"/>
            </w:rPr>
            <w:instrText xml:space="preserve">CITATION Eur \l 1033 </w:instrText>
          </w:r>
          <w:r w:rsidRPr="00E91166">
            <w:rPr>
              <w:rFonts w:cs="Arial"/>
              <w:b w:val="0"/>
              <w:bCs w:val="0"/>
              <w:i/>
              <w:iCs/>
            </w:rPr>
            <w:fldChar w:fldCharType="separate"/>
          </w:r>
          <w:r w:rsidR="00487700" w:rsidRPr="00E91166">
            <w:rPr>
              <w:rFonts w:cs="Arial"/>
              <w:noProof/>
            </w:rPr>
            <w:t>(European Union, 2013)</w:t>
          </w:r>
          <w:r w:rsidRPr="00E91166">
            <w:rPr>
              <w:rFonts w:cs="Arial"/>
              <w:b w:val="0"/>
              <w:bCs w:val="0"/>
              <w:i/>
              <w:iCs/>
            </w:rPr>
            <w:fldChar w:fldCharType="end"/>
          </w:r>
        </w:sdtContent>
      </w:sdt>
      <w:bookmarkEnd w:id="285"/>
      <w:bookmarkEnd w:id="286"/>
      <w:bookmarkEnd w:id="287"/>
    </w:p>
    <w:p w14:paraId="7E0A43F3" w14:textId="77777777" w:rsidR="005664B6" w:rsidRPr="00DB35D4" w:rsidRDefault="005664B6" w:rsidP="005664B6">
      <w:pPr>
        <w:rPr>
          <w:rStyle w:val="Strong"/>
          <w:rFonts w:cs="Arial"/>
        </w:rPr>
      </w:pPr>
      <w:r w:rsidRPr="00DB35D4">
        <w:rPr>
          <w:rStyle w:val="Strong"/>
          <w:rFonts w:cs="Arial"/>
        </w:rPr>
        <w:lastRenderedPageBreak/>
        <w:t>EU inventory system &amp; quality assurance in the LULUCF sector</w:t>
      </w:r>
    </w:p>
    <w:p w14:paraId="6ADDB3FE" w14:textId="42010E73" w:rsidR="005664B6" w:rsidRPr="00CE02FB" w:rsidRDefault="005664B6" w:rsidP="005664B6">
      <w:pPr>
        <w:rPr>
          <w:rStyle w:val="Strong"/>
          <w:rFonts w:cs="Arial"/>
          <w:b w:val="0"/>
          <w:bCs w:val="0"/>
        </w:rPr>
      </w:pPr>
      <w:r w:rsidRPr="00D84451">
        <w:rPr>
          <w:rStyle w:val="Strong"/>
          <w:rFonts w:cs="Arial"/>
          <w:b w:val="0"/>
          <w:bCs w:val="0"/>
        </w:rPr>
        <w:t>European Union is promoting the use of special accounting procedures for annually reporting with Quality Assurance and Quality Control approaches for all carbon emissions and their removals in all state members</w:t>
      </w:r>
      <w:sdt>
        <w:sdtPr>
          <w:rPr>
            <w:rStyle w:val="Strong"/>
            <w:rFonts w:cs="Arial"/>
            <w:b w:val="0"/>
            <w:bCs w:val="0"/>
          </w:rPr>
          <w:id w:val="1165755350"/>
          <w:citation/>
        </w:sdtPr>
        <w:sdtEndPr>
          <w:rPr>
            <w:rStyle w:val="Strong"/>
            <w:b/>
            <w:bCs/>
          </w:rPr>
        </w:sdtEndPr>
        <w:sdtContent>
          <w:r w:rsidRPr="00D84451">
            <w:rPr>
              <w:rStyle w:val="Strong"/>
              <w:rFonts w:cs="Arial"/>
            </w:rPr>
            <w:fldChar w:fldCharType="begin"/>
          </w:r>
          <w:r w:rsidRPr="00D84451">
            <w:rPr>
              <w:rStyle w:val="Strong"/>
              <w:rFonts w:cs="Arial"/>
            </w:rPr>
            <w:instrText xml:space="preserve"> CITATION Eur \l 1033 </w:instrText>
          </w:r>
          <w:r w:rsidRPr="00D84451">
            <w:rPr>
              <w:rStyle w:val="Strong"/>
              <w:rFonts w:cs="Arial"/>
            </w:rPr>
            <w:fldChar w:fldCharType="separate"/>
          </w:r>
          <w:r w:rsidR="00487700" w:rsidRPr="00D84451">
            <w:rPr>
              <w:rStyle w:val="Strong"/>
              <w:rFonts w:cs="Arial"/>
              <w:noProof/>
            </w:rPr>
            <w:t xml:space="preserve"> </w:t>
          </w:r>
          <w:r w:rsidR="00487700" w:rsidRPr="00D84451">
            <w:rPr>
              <w:rFonts w:cs="Arial"/>
              <w:noProof/>
            </w:rPr>
            <w:t>(European Union, 2013)</w:t>
          </w:r>
          <w:r w:rsidRPr="00D84451">
            <w:rPr>
              <w:rStyle w:val="Strong"/>
              <w:rFonts w:cs="Arial"/>
            </w:rPr>
            <w:fldChar w:fldCharType="end"/>
          </w:r>
        </w:sdtContent>
      </w:sdt>
      <w:r w:rsidRPr="00D84451">
        <w:rPr>
          <w:rStyle w:val="Strong"/>
          <w:rFonts w:cs="Arial"/>
          <w:b w:val="0"/>
          <w:bCs w:val="0"/>
        </w:rPr>
        <w:t>. Within the document</w:t>
      </w:r>
      <w:r w:rsidRPr="00D84451">
        <w:rPr>
          <w:rStyle w:val="Strong"/>
          <w:rFonts w:cs="Arial"/>
        </w:rPr>
        <w:t xml:space="preserve"> </w:t>
      </w:r>
      <w:sdt>
        <w:sdtPr>
          <w:rPr>
            <w:rStyle w:val="Strong"/>
            <w:rFonts w:cs="Arial"/>
          </w:rPr>
          <w:id w:val="917990070"/>
          <w:citation/>
        </w:sdtPr>
        <w:sdtEndPr>
          <w:rPr>
            <w:rStyle w:val="Strong"/>
          </w:rPr>
        </w:sdtEndPr>
        <w:sdtContent>
          <w:r w:rsidRPr="00D84451">
            <w:rPr>
              <w:rStyle w:val="Strong"/>
              <w:rFonts w:cs="Arial"/>
            </w:rPr>
            <w:fldChar w:fldCharType="begin"/>
          </w:r>
          <w:r w:rsidRPr="00D84451">
            <w:rPr>
              <w:rStyle w:val="Strong"/>
              <w:rFonts w:cs="Arial"/>
            </w:rPr>
            <w:instrText xml:space="preserve"> CITATION Eur \l 1033 </w:instrText>
          </w:r>
          <w:r w:rsidRPr="00D84451">
            <w:rPr>
              <w:rStyle w:val="Strong"/>
              <w:rFonts w:cs="Arial"/>
            </w:rPr>
            <w:fldChar w:fldCharType="separate"/>
          </w:r>
          <w:r w:rsidR="00487700" w:rsidRPr="00D84451">
            <w:rPr>
              <w:rFonts w:cs="Arial"/>
              <w:noProof/>
            </w:rPr>
            <w:t>(European Union, 2013)</w:t>
          </w:r>
          <w:r w:rsidRPr="00D84451">
            <w:rPr>
              <w:rStyle w:val="Strong"/>
              <w:rFonts w:cs="Arial"/>
            </w:rPr>
            <w:fldChar w:fldCharType="end"/>
          </w:r>
        </w:sdtContent>
      </w:sdt>
      <w:r w:rsidRPr="00D84451">
        <w:rPr>
          <w:rStyle w:val="Strong"/>
          <w:rFonts w:cs="Arial"/>
          <w:b w:val="0"/>
          <w:bCs w:val="0"/>
        </w:rPr>
        <w:t xml:space="preserve">, that was published in 2013, a clear structure is </w:t>
      </w:r>
      <w:r w:rsidRPr="00CE02FB">
        <w:rPr>
          <w:rStyle w:val="Strong"/>
          <w:rFonts w:cs="Arial"/>
          <w:b w:val="0"/>
          <w:bCs w:val="0"/>
        </w:rPr>
        <w:t>followed to support QA/QC (</w:t>
      </w:r>
      <w:r w:rsidRPr="00D84451">
        <w:rPr>
          <w:rFonts w:cs="Arial"/>
        </w:rPr>
        <w:fldChar w:fldCharType="begin"/>
      </w:r>
      <w:r w:rsidRPr="00D84451">
        <w:rPr>
          <w:rFonts w:cs="Arial"/>
        </w:rPr>
        <w:instrText xml:space="preserve"> REF _Ref86397674 \h  \* MERGEFORMAT </w:instrText>
      </w:r>
      <w:r w:rsidRPr="00D84451">
        <w:rPr>
          <w:rFonts w:cs="Arial"/>
        </w:rPr>
      </w:r>
      <w:r w:rsidRPr="00D84451">
        <w:rPr>
          <w:rFonts w:cs="Arial"/>
        </w:rPr>
        <w:fldChar w:fldCharType="separate"/>
      </w:r>
      <w:r w:rsidR="0073710A" w:rsidRPr="00E91166">
        <w:rPr>
          <w:rFonts w:cs="Arial"/>
        </w:rPr>
        <w:t xml:space="preserve">Figure </w:t>
      </w:r>
      <w:r w:rsidR="0073710A">
        <w:rPr>
          <w:rFonts w:cs="Arial"/>
        </w:rPr>
        <w:t>47</w:t>
      </w:r>
      <w:r w:rsidRPr="00D84451">
        <w:rPr>
          <w:rFonts w:cs="Arial"/>
        </w:rPr>
        <w:fldChar w:fldCharType="end"/>
      </w:r>
      <w:r w:rsidRPr="00D84451">
        <w:rPr>
          <w:rFonts w:cs="Arial"/>
        </w:rPr>
        <w:t>)</w:t>
      </w:r>
      <w:r w:rsidRPr="00D84451">
        <w:rPr>
          <w:rStyle w:val="Strong"/>
          <w:rFonts w:cs="Arial"/>
        </w:rPr>
        <w:t xml:space="preserve"> </w:t>
      </w:r>
      <w:r w:rsidRPr="00CE02FB">
        <w:rPr>
          <w:rStyle w:val="Strong"/>
          <w:rFonts w:cs="Arial"/>
          <w:b w:val="0"/>
          <w:bCs w:val="0"/>
        </w:rPr>
        <w:t xml:space="preserve">and more specifically several articles are referred to LULCF sector: </w:t>
      </w:r>
    </w:p>
    <w:p w14:paraId="564EF4B5" w14:textId="77777777" w:rsidR="005664B6" w:rsidRPr="00DB35D4" w:rsidRDefault="005664B6" w:rsidP="005664B6">
      <w:pPr>
        <w:rPr>
          <w:rFonts w:cs="Arial"/>
          <w:lang w:eastAsia="el-GR"/>
        </w:rPr>
      </w:pPr>
      <w:r w:rsidRPr="00DB35D4">
        <w:rPr>
          <w:rFonts w:cs="Arial"/>
          <w:lang w:eastAsia="el-GR"/>
        </w:rPr>
        <w:t>(Article 8) The Commission’s DG ESTAT and DG JRC are also involved in the process of inventory preparation, with their respective roles related to energy statistics for ESTAT and LULUCF and agriculture for JRC. DG ESTAT assists DG CLIMA and cooperates with the EEA in quality assurance and quality control activities of the Union inventory as described in the QA/QC program, focusing on activity data, in particular energy data. DG ESTAT compiles annual estimates of the Union CO2 emissions from fossil fuels using the IPCC Reference Approach, based on the ESTAT energy balance data. ESTAT collects energy data from EU Member States under Regulation (EC) No 1099/2008 of the European Parliament and of the Council of 22 October 2008 on energy statistics. The specific activities of DG ESTAT are outlined in its annual statistical work program. `</w:t>
      </w:r>
    </w:p>
    <w:p w14:paraId="2E0EB113" w14:textId="77777777" w:rsidR="005664B6" w:rsidRPr="00DB35D4" w:rsidRDefault="005664B6" w:rsidP="005664B6">
      <w:pPr>
        <w:rPr>
          <w:rFonts w:cs="Arial"/>
          <w:lang w:eastAsia="el-GR"/>
        </w:rPr>
      </w:pPr>
      <w:r w:rsidRPr="00DB35D4">
        <w:rPr>
          <w:rFonts w:cs="Arial"/>
          <w:lang w:eastAsia="el-GR"/>
        </w:rPr>
        <w:t xml:space="preserve">(Article 9) DG JRC assists DG CLIMA and cooperates with the EEA in quality assurance and quality control activities of the Union inventory, focusing on the sectors of land use, land-use change and forestry (LULUCF) and agriculture. JRC performs these activities in close cooperation with the Member States and the research community. The specific activities of DG JRC are outlined in its annual management plan. </w:t>
      </w:r>
    </w:p>
    <w:p w14:paraId="04AC0045" w14:textId="77777777" w:rsidR="005664B6" w:rsidRPr="00DB35D4" w:rsidRDefault="005664B6" w:rsidP="005664B6">
      <w:pPr>
        <w:rPr>
          <w:rFonts w:cs="Arial"/>
          <w:lang w:eastAsia="el-GR"/>
        </w:rPr>
      </w:pPr>
      <w:r w:rsidRPr="00DB35D4">
        <w:rPr>
          <w:rFonts w:cs="Arial"/>
          <w:lang w:eastAsia="el-GR"/>
        </w:rPr>
        <w:t>(Article 60)</w:t>
      </w:r>
      <w:r w:rsidRPr="00DB35D4" w:rsidDel="00F63E7D">
        <w:rPr>
          <w:rFonts w:cs="Arial"/>
          <w:lang w:eastAsia="el-GR"/>
        </w:rPr>
        <w:t xml:space="preserve"> </w:t>
      </w:r>
      <w:r w:rsidRPr="00DB35D4">
        <w:rPr>
          <w:rFonts w:cs="Arial"/>
          <w:lang w:eastAsia="el-GR"/>
        </w:rPr>
        <w:t xml:space="preserve">DG JRC assists in the improvement of methodologies for the LULUCF and agriculture sectors. It does so by comparing methodologies used among the Member States for estimating emissions and removals from LULUCF and agriculture and by providing EU-wide emissions and removals estimates obtained using various models/methods with a focus on LULUCF. In performing these activities DG JRC interacts closely with the Member States and the research community. The results of these activities are made available to Member States in the period between May and December to assist Member States in the compilation of their national inventories for the subsequent year. In addition, JRC provides the EDGAR estimates as an independent reference for checking the completeness, transparency, correctness, and comparability between the EU Member </w:t>
      </w:r>
      <w:proofErr w:type="spellStart"/>
      <w:r w:rsidRPr="00DB35D4">
        <w:rPr>
          <w:rFonts w:cs="Arial"/>
          <w:lang w:eastAsia="el-GR"/>
        </w:rPr>
        <w:t>Statesʼ</w:t>
      </w:r>
      <w:proofErr w:type="spellEnd"/>
      <w:r w:rsidRPr="00DB35D4">
        <w:rPr>
          <w:rFonts w:cs="Arial"/>
          <w:lang w:eastAsia="el-GR"/>
        </w:rPr>
        <w:t xml:space="preserve"> inventories. JRC annually issues a CO2 report with the full estimate of CO2 emissions for the year before (X-1), using International Energy </w:t>
      </w:r>
      <w:r w:rsidRPr="00DB35D4">
        <w:rPr>
          <w:rFonts w:cs="Arial"/>
          <w:lang w:eastAsia="el-GR"/>
        </w:rPr>
        <w:lastRenderedPageBreak/>
        <w:t xml:space="preserve">Agency (IEA) and British Petroleum (BP) statistics and industrial and World Bank data for the most important sectors (e.g., cement). </w:t>
      </w:r>
    </w:p>
    <w:p w14:paraId="55930CCA" w14:textId="4542B977" w:rsidR="005664B6" w:rsidRPr="00DB35D4" w:rsidRDefault="005664B6" w:rsidP="005664B6">
      <w:pPr>
        <w:rPr>
          <w:rFonts w:cs="Arial"/>
          <w:b/>
          <w:iCs/>
        </w:rPr>
      </w:pPr>
      <w:r w:rsidRPr="00DB35D4">
        <w:rPr>
          <w:rStyle w:val="Strong"/>
          <w:rFonts w:cs="Arial"/>
        </w:rPr>
        <w:t xml:space="preserve">The EU document </w:t>
      </w:r>
      <w:sdt>
        <w:sdtPr>
          <w:rPr>
            <w:rStyle w:val="Strong"/>
            <w:rFonts w:cs="Arial"/>
            <w:b w:val="0"/>
          </w:rPr>
          <w:id w:val="2035842738"/>
          <w:citation/>
        </w:sdtPr>
        <w:sdtEndPr>
          <w:rPr>
            <w:rStyle w:val="Strong"/>
          </w:rPr>
        </w:sdtEndPr>
        <w:sdtContent>
          <w:r w:rsidRPr="00DB35D4">
            <w:rPr>
              <w:rStyle w:val="Strong"/>
              <w:rFonts w:cs="Arial"/>
              <w:b w:val="0"/>
            </w:rPr>
            <w:fldChar w:fldCharType="begin"/>
          </w:r>
          <w:r w:rsidRPr="00DB35D4">
            <w:rPr>
              <w:rStyle w:val="Strong"/>
              <w:rFonts w:cs="Arial"/>
            </w:rPr>
            <w:instrText xml:space="preserve"> CITATION Eur \l 1033 </w:instrText>
          </w:r>
          <w:r w:rsidRPr="00DB35D4">
            <w:rPr>
              <w:rStyle w:val="Strong"/>
              <w:rFonts w:cs="Arial"/>
              <w:b w:val="0"/>
            </w:rPr>
            <w:fldChar w:fldCharType="separate"/>
          </w:r>
          <w:r w:rsidR="00487700" w:rsidRPr="00487700">
            <w:rPr>
              <w:rFonts w:cs="Arial"/>
              <w:noProof/>
            </w:rPr>
            <w:t>(European Union, 2013)</w:t>
          </w:r>
          <w:r w:rsidRPr="00DB35D4">
            <w:rPr>
              <w:rStyle w:val="Strong"/>
              <w:rFonts w:cs="Arial"/>
              <w:b w:val="0"/>
            </w:rPr>
            <w:fldChar w:fldCharType="end"/>
          </w:r>
        </w:sdtContent>
      </w:sdt>
      <w:r w:rsidRPr="00DB35D4">
        <w:rPr>
          <w:rStyle w:val="Strong"/>
          <w:rFonts w:cs="Arial"/>
        </w:rPr>
        <w:t xml:space="preserve"> is adopting the UNFCCC 2006 guidelines</w:t>
      </w:r>
      <w:sdt>
        <w:sdtPr>
          <w:rPr>
            <w:rStyle w:val="Strong"/>
            <w:rFonts w:cs="Arial"/>
            <w:b w:val="0"/>
          </w:rPr>
          <w:id w:val="749237010"/>
          <w:citation/>
        </w:sdtPr>
        <w:sdtEndPr>
          <w:rPr>
            <w:rStyle w:val="Strong"/>
          </w:rPr>
        </w:sdtEndPr>
        <w:sdtContent>
          <w:r w:rsidRPr="00DB35D4">
            <w:rPr>
              <w:rStyle w:val="Strong"/>
              <w:rFonts w:cs="Arial"/>
              <w:b w:val="0"/>
            </w:rPr>
            <w:fldChar w:fldCharType="begin"/>
          </w:r>
          <w:r w:rsidRPr="00DB35D4">
            <w:rPr>
              <w:rStyle w:val="Strong"/>
              <w:rFonts w:cs="Arial"/>
            </w:rPr>
            <w:instrText xml:space="preserve"> CITATION Int1 \l 1033 </w:instrText>
          </w:r>
          <w:r w:rsidRPr="00DB35D4">
            <w:rPr>
              <w:rStyle w:val="Strong"/>
              <w:rFonts w:cs="Arial"/>
              <w:b w:val="0"/>
            </w:rPr>
            <w:fldChar w:fldCharType="separate"/>
          </w:r>
          <w:r w:rsidR="00487700">
            <w:rPr>
              <w:rStyle w:val="Strong"/>
              <w:rFonts w:cs="Arial"/>
              <w:noProof/>
            </w:rPr>
            <w:t xml:space="preserve"> </w:t>
          </w:r>
          <w:r w:rsidR="00487700" w:rsidRPr="00487700">
            <w:rPr>
              <w:rFonts w:cs="Arial"/>
              <w:noProof/>
            </w:rPr>
            <w:t>(Intergovernmental Panel on Climate Change, n.d.)</w:t>
          </w:r>
          <w:r w:rsidRPr="00DB35D4">
            <w:rPr>
              <w:rStyle w:val="Strong"/>
              <w:rFonts w:cs="Arial"/>
              <w:b w:val="0"/>
            </w:rPr>
            <w:fldChar w:fldCharType="end"/>
          </w:r>
        </w:sdtContent>
      </w:sdt>
      <w:r w:rsidRPr="00DB35D4">
        <w:rPr>
          <w:rStyle w:val="Strong"/>
          <w:rFonts w:cs="Arial"/>
        </w:rPr>
        <w:t xml:space="preserve"> for the preparation of GHG emission and removal inventories and probably it will adopt in the near future the revised guidelines</w:t>
      </w:r>
      <w:sdt>
        <w:sdtPr>
          <w:rPr>
            <w:rStyle w:val="Strong"/>
            <w:rFonts w:cs="Arial"/>
            <w:b w:val="0"/>
          </w:rPr>
          <w:id w:val="649948733"/>
          <w:citation/>
        </w:sdtPr>
        <w:sdtEndPr>
          <w:rPr>
            <w:rStyle w:val="Strong"/>
          </w:rPr>
        </w:sdtEndPr>
        <w:sdtContent>
          <w:r w:rsidRPr="00DB35D4">
            <w:rPr>
              <w:rStyle w:val="Strong"/>
              <w:rFonts w:cs="Arial"/>
              <w:b w:val="0"/>
            </w:rPr>
            <w:fldChar w:fldCharType="begin"/>
          </w:r>
          <w:r w:rsidRPr="00DB35D4">
            <w:rPr>
              <w:rStyle w:val="Strong"/>
              <w:rFonts w:cs="Arial"/>
            </w:rPr>
            <w:instrText xml:space="preserve"> CITATION Int \l 1033 </w:instrText>
          </w:r>
          <w:r w:rsidRPr="00DB35D4">
            <w:rPr>
              <w:rStyle w:val="Strong"/>
              <w:rFonts w:cs="Arial"/>
              <w:b w:val="0"/>
            </w:rPr>
            <w:fldChar w:fldCharType="separate"/>
          </w:r>
          <w:r w:rsidR="00487700">
            <w:rPr>
              <w:rStyle w:val="Strong"/>
              <w:rFonts w:cs="Arial"/>
              <w:noProof/>
            </w:rPr>
            <w:t xml:space="preserve"> </w:t>
          </w:r>
          <w:r w:rsidR="00487700" w:rsidRPr="00487700">
            <w:rPr>
              <w:rFonts w:cs="Arial"/>
              <w:noProof/>
            </w:rPr>
            <w:t>(Intergovernmental Panel on Climate Change)</w:t>
          </w:r>
          <w:r w:rsidRPr="00DB35D4">
            <w:rPr>
              <w:rStyle w:val="Strong"/>
              <w:rFonts w:cs="Arial"/>
              <w:b w:val="0"/>
            </w:rPr>
            <w:fldChar w:fldCharType="end"/>
          </w:r>
        </w:sdtContent>
      </w:sdt>
      <w:r w:rsidRPr="00DB35D4">
        <w:rPr>
          <w:rStyle w:val="Strong"/>
          <w:rFonts w:cs="Arial"/>
        </w:rPr>
        <w:t>.</w:t>
      </w:r>
    </w:p>
    <w:p w14:paraId="055E844B" w14:textId="583800E5" w:rsidR="005664B6" w:rsidRPr="00E91166" w:rsidRDefault="005664B6" w:rsidP="00B56C88">
      <w:pPr>
        <w:pStyle w:val="Caption"/>
        <w:keepNext/>
        <w:rPr>
          <w:rFonts w:cs="Arial"/>
          <w:b w:val="0"/>
          <w:bCs w:val="0"/>
        </w:rPr>
      </w:pPr>
      <w:bookmarkStart w:id="288" w:name="_Toc90888849"/>
      <w:bookmarkStart w:id="289" w:name="_Toc91752573"/>
      <w:r w:rsidRPr="00E91166">
        <w:rPr>
          <w:rFonts w:cs="Arial"/>
        </w:rPr>
        <w:t xml:space="preserve">Table </w:t>
      </w:r>
      <w:r w:rsidRPr="00E91166">
        <w:rPr>
          <w:rFonts w:cs="Arial"/>
          <w:b w:val="0"/>
          <w:bCs w:val="0"/>
          <w:i/>
          <w:iCs/>
        </w:rPr>
        <w:fldChar w:fldCharType="begin"/>
      </w:r>
      <w:r w:rsidRPr="00E91166">
        <w:rPr>
          <w:rFonts w:cs="Arial"/>
        </w:rPr>
        <w:instrText xml:space="preserve"> SEQ Table \* ARABIC </w:instrText>
      </w:r>
      <w:r w:rsidRPr="00E91166">
        <w:rPr>
          <w:rFonts w:cs="Arial"/>
          <w:b w:val="0"/>
          <w:bCs w:val="0"/>
          <w:i/>
          <w:iCs/>
        </w:rPr>
        <w:fldChar w:fldCharType="separate"/>
      </w:r>
      <w:r w:rsidR="0073710A">
        <w:rPr>
          <w:rFonts w:cs="Arial"/>
          <w:noProof/>
        </w:rPr>
        <w:t>34</w:t>
      </w:r>
      <w:r w:rsidRPr="00E91166">
        <w:rPr>
          <w:rFonts w:cs="Arial"/>
          <w:b w:val="0"/>
          <w:bCs w:val="0"/>
          <w:i/>
          <w:iCs/>
        </w:rPr>
        <w:fldChar w:fldCharType="end"/>
      </w:r>
      <w:r w:rsidRPr="00E91166">
        <w:rPr>
          <w:rFonts w:cs="Arial"/>
        </w:rPr>
        <w:t xml:space="preserve"> EU Legislation on Reporting</w:t>
      </w:r>
      <w:bookmarkEnd w:id="288"/>
      <w:bookmarkEnd w:id="289"/>
    </w:p>
    <w:tbl>
      <w:tblPr>
        <w:tblStyle w:val="TableGrid3"/>
        <w:tblW w:w="0" w:type="auto"/>
        <w:tblLook w:val="04A0" w:firstRow="1" w:lastRow="0" w:firstColumn="1" w:lastColumn="0" w:noHBand="0" w:noVBand="1"/>
      </w:tblPr>
      <w:tblGrid>
        <w:gridCol w:w="2547"/>
        <w:gridCol w:w="5749"/>
      </w:tblGrid>
      <w:tr w:rsidR="00CE02FB" w:rsidRPr="00CE02FB" w14:paraId="43E45A1A" w14:textId="77777777" w:rsidTr="0022057B">
        <w:tc>
          <w:tcPr>
            <w:tcW w:w="8296" w:type="dxa"/>
            <w:gridSpan w:val="2"/>
            <w:shd w:val="clear" w:color="auto" w:fill="DBE0F4"/>
          </w:tcPr>
          <w:p w14:paraId="627F2CBE" w14:textId="77777777" w:rsidR="00CE02FB" w:rsidRPr="00CE02FB" w:rsidRDefault="00CE02FB" w:rsidP="00CE02FB">
            <w:pPr>
              <w:spacing w:before="100" w:beforeAutospacing="1" w:after="100" w:afterAutospacing="1"/>
              <w:jc w:val="center"/>
              <w:rPr>
                <w:rFonts w:cs="Arial"/>
                <w:lang w:val="en-US"/>
              </w:rPr>
            </w:pPr>
            <w:r w:rsidRPr="00CE02FB">
              <w:rPr>
                <w:rFonts w:cs="Arial"/>
                <w:iCs/>
                <w:lang w:val="en-US"/>
              </w:rPr>
              <w:t>EU Legislation on Reporting</w:t>
            </w:r>
          </w:p>
        </w:tc>
      </w:tr>
      <w:tr w:rsidR="00CE02FB" w:rsidRPr="00CE02FB" w14:paraId="521D6C55" w14:textId="77777777" w:rsidTr="0022057B">
        <w:tc>
          <w:tcPr>
            <w:tcW w:w="2547" w:type="dxa"/>
          </w:tcPr>
          <w:p w14:paraId="2A61728F" w14:textId="77777777" w:rsidR="00CE02FB" w:rsidRPr="00CE02FB" w:rsidRDefault="00CE02FB" w:rsidP="00CE02FB">
            <w:pPr>
              <w:spacing w:before="100" w:beforeAutospacing="1" w:after="100" w:afterAutospacing="1"/>
              <w:ind w:left="30"/>
              <w:rPr>
                <w:rFonts w:cs="Arial"/>
                <w:lang w:val="en-US"/>
              </w:rPr>
            </w:pPr>
            <w:r w:rsidRPr="00CE02FB">
              <w:rPr>
                <w:rFonts w:cs="Arial"/>
                <w:lang w:val="en-US"/>
              </w:rPr>
              <w:t>Regulation 525/2013</w:t>
            </w:r>
          </w:p>
        </w:tc>
        <w:tc>
          <w:tcPr>
            <w:tcW w:w="5749" w:type="dxa"/>
          </w:tcPr>
          <w:p w14:paraId="7774ACFD" w14:textId="77777777" w:rsidR="00CE02FB" w:rsidRPr="00CE02FB" w:rsidRDefault="003B0DE2" w:rsidP="00CE02FB">
            <w:pPr>
              <w:spacing w:before="100" w:beforeAutospacing="1" w:after="100" w:afterAutospacing="1"/>
              <w:rPr>
                <w:rFonts w:cs="Arial"/>
                <w:lang w:val="en-US"/>
              </w:rPr>
            </w:pPr>
            <w:hyperlink r:id="rId142" w:history="1">
              <w:r w:rsidR="00CE02FB" w:rsidRPr="00CE02FB">
                <w:rPr>
                  <w:rFonts w:cs="Arial"/>
                  <w:color w:val="0000FF"/>
                  <w:u w:val="single"/>
                  <w:lang w:val="en-US"/>
                </w:rPr>
                <w:t xml:space="preserve">Greenhouse gas monitoring mechanism </w:t>
              </w:r>
            </w:hyperlink>
          </w:p>
        </w:tc>
      </w:tr>
      <w:tr w:rsidR="00CE02FB" w:rsidRPr="00CE02FB" w14:paraId="5CB8B6C7" w14:textId="77777777" w:rsidTr="0022057B">
        <w:tc>
          <w:tcPr>
            <w:tcW w:w="2547" w:type="dxa"/>
          </w:tcPr>
          <w:p w14:paraId="4DD1CD9F" w14:textId="77777777" w:rsidR="00CE02FB" w:rsidRPr="00CE02FB" w:rsidRDefault="00CE02FB" w:rsidP="00CE02FB">
            <w:pPr>
              <w:spacing w:before="100" w:beforeAutospacing="1" w:after="100" w:afterAutospacing="1"/>
              <w:ind w:left="30"/>
              <w:rPr>
                <w:rFonts w:cs="Arial"/>
                <w:lang w:val="en-US"/>
              </w:rPr>
            </w:pPr>
            <w:r w:rsidRPr="00CE02FB">
              <w:rPr>
                <w:rFonts w:cs="Arial"/>
                <w:lang w:val="en-US"/>
              </w:rPr>
              <w:t>Regulation 749/2014</w:t>
            </w:r>
          </w:p>
        </w:tc>
        <w:tc>
          <w:tcPr>
            <w:tcW w:w="5749" w:type="dxa"/>
          </w:tcPr>
          <w:p w14:paraId="04CA3750" w14:textId="77777777" w:rsidR="00CE02FB" w:rsidRPr="00CE02FB" w:rsidRDefault="003B0DE2" w:rsidP="00CE02FB">
            <w:pPr>
              <w:spacing w:before="100" w:beforeAutospacing="1" w:after="100" w:afterAutospacing="1"/>
              <w:rPr>
                <w:rFonts w:eastAsia="Times New Roman" w:cs="Arial"/>
                <w:lang w:val="en-US" w:eastAsia="el-GR"/>
              </w:rPr>
            </w:pPr>
            <w:hyperlink r:id="rId143" w:history="1">
              <w:r w:rsidR="00CE02FB" w:rsidRPr="00CE02FB">
                <w:rPr>
                  <w:rFonts w:eastAsia="Times New Roman" w:cs="Arial"/>
                  <w:color w:val="0000FF"/>
                  <w:u w:val="single"/>
                  <w:lang w:val="en-US" w:eastAsia="el-GR"/>
                </w:rPr>
                <w:t>Requirements for national reporting under Regulation 525/2013</w:t>
              </w:r>
            </w:hyperlink>
          </w:p>
        </w:tc>
      </w:tr>
      <w:tr w:rsidR="00CE02FB" w:rsidRPr="00CE02FB" w14:paraId="354163B6" w14:textId="77777777" w:rsidTr="0022057B">
        <w:trPr>
          <w:trHeight w:val="604"/>
        </w:trPr>
        <w:tc>
          <w:tcPr>
            <w:tcW w:w="2547" w:type="dxa"/>
          </w:tcPr>
          <w:p w14:paraId="3548CB68" w14:textId="77777777" w:rsidR="00CE02FB" w:rsidRPr="00CE02FB" w:rsidRDefault="00CE02FB" w:rsidP="00CE02FB">
            <w:pPr>
              <w:spacing w:before="100" w:beforeAutospacing="1" w:after="100" w:afterAutospacing="1"/>
              <w:ind w:left="30"/>
              <w:rPr>
                <w:rFonts w:cs="Arial"/>
                <w:lang w:val="en-US"/>
              </w:rPr>
            </w:pPr>
            <w:r w:rsidRPr="00CE02FB">
              <w:rPr>
                <w:rFonts w:cs="Arial"/>
                <w:lang w:val="en-US"/>
              </w:rPr>
              <w:t>Regulation 666/2014</w:t>
            </w:r>
          </w:p>
        </w:tc>
        <w:tc>
          <w:tcPr>
            <w:tcW w:w="5749" w:type="dxa"/>
          </w:tcPr>
          <w:p w14:paraId="44B029D3" w14:textId="77777777" w:rsidR="00CE02FB" w:rsidRPr="00CE02FB" w:rsidRDefault="003B0DE2" w:rsidP="00CE02FB">
            <w:pPr>
              <w:spacing w:before="100" w:beforeAutospacing="1" w:after="100" w:afterAutospacing="1"/>
              <w:rPr>
                <w:rFonts w:cs="Arial"/>
                <w:lang w:val="en-US"/>
              </w:rPr>
            </w:pPr>
            <w:hyperlink r:id="rId144" w:history="1">
              <w:r w:rsidR="00CE02FB" w:rsidRPr="00CE02FB">
                <w:rPr>
                  <w:rFonts w:cs="Arial"/>
                  <w:color w:val="0000FF"/>
                  <w:u w:val="single"/>
                  <w:lang w:val="en-US"/>
                </w:rPr>
                <w:t xml:space="preserve"> Requirements for the EU inventory system under Regulation 525/2013</w:t>
              </w:r>
            </w:hyperlink>
          </w:p>
        </w:tc>
      </w:tr>
    </w:tbl>
    <w:p w14:paraId="56C27F0F" w14:textId="77777777" w:rsidR="005664B6" w:rsidRDefault="005664B6" w:rsidP="005664B6">
      <w:pPr>
        <w:pStyle w:val="MAIL11"/>
        <w:rPr>
          <w:lang w:eastAsia="el-GR"/>
        </w:rPr>
      </w:pPr>
      <w:bookmarkStart w:id="290" w:name="_Toc90892996"/>
      <w:bookmarkStart w:id="291" w:name="_Toc91752450"/>
      <w:r w:rsidRPr="009B3BBA">
        <w:rPr>
          <w:lang w:eastAsia="el-GR"/>
        </w:rPr>
        <w:t>Accounting emissions under the CDM</w:t>
      </w:r>
      <w:bookmarkEnd w:id="290"/>
      <w:bookmarkEnd w:id="291"/>
    </w:p>
    <w:p w14:paraId="7E915550" w14:textId="5674CEC3" w:rsidR="005664B6" w:rsidRPr="00DB35D4" w:rsidRDefault="005664B6" w:rsidP="005664B6">
      <w:pPr>
        <w:rPr>
          <w:rFonts w:eastAsia="Times New Roman" w:cs="Arial"/>
          <w:lang w:eastAsia="el-GR"/>
        </w:rPr>
      </w:pPr>
      <w:r w:rsidRPr="00DB35D4">
        <w:rPr>
          <w:rFonts w:cs="Arial"/>
          <w:lang w:eastAsia="el-GR"/>
        </w:rPr>
        <w:t>The basic concept of the Monitoring Reporting and Verification (MRV) was taken from the MRV Manual for CDM Program of Activities that was financed by the KFW-managed “</w:t>
      </w:r>
      <w:proofErr w:type="spellStart"/>
      <w:r w:rsidRPr="00DB35D4">
        <w:rPr>
          <w:rFonts w:cs="Arial"/>
          <w:lang w:eastAsia="el-GR"/>
        </w:rPr>
        <w:t>PoA</w:t>
      </w:r>
      <w:proofErr w:type="spellEnd"/>
      <w:r w:rsidRPr="00DB35D4">
        <w:rPr>
          <w:rFonts w:cs="Arial"/>
          <w:lang w:eastAsia="el-GR"/>
        </w:rPr>
        <w:t xml:space="preserve"> Support Centre” and contributes to the expanded use and implementation of the </w:t>
      </w:r>
      <w:proofErr w:type="spellStart"/>
      <w:r w:rsidRPr="00DB35D4">
        <w:rPr>
          <w:rFonts w:cs="Arial"/>
          <w:lang w:eastAsia="el-GR"/>
        </w:rPr>
        <w:t>PoA</w:t>
      </w:r>
      <w:proofErr w:type="spellEnd"/>
      <w:r w:rsidRPr="00DB35D4">
        <w:rPr>
          <w:rFonts w:cs="Arial"/>
          <w:lang w:eastAsia="el-GR"/>
        </w:rPr>
        <w:t xml:space="preserve"> approach funded by the German Federal Ministry for the Environment, Nature Conservation and Nuclear Safety</w:t>
      </w:r>
      <w:sdt>
        <w:sdtPr>
          <w:rPr>
            <w:rFonts w:cs="Arial"/>
            <w:lang w:eastAsia="el-GR"/>
          </w:rPr>
          <w:id w:val="-517847060"/>
          <w:citation/>
        </w:sdtPr>
        <w:sdtEndPr/>
        <w:sdtContent>
          <w:r w:rsidRPr="00DB35D4">
            <w:rPr>
              <w:rFonts w:cs="Arial"/>
              <w:lang w:eastAsia="el-GR"/>
            </w:rPr>
            <w:fldChar w:fldCharType="begin"/>
          </w:r>
          <w:r w:rsidRPr="00DB35D4">
            <w:rPr>
              <w:rFonts w:cs="Arial"/>
              <w:lang w:eastAsia="el-GR"/>
            </w:rPr>
            <w:instrText xml:space="preserve"> CITATION Aal13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(Aalders &amp; Lehmann, 2013)</w:t>
          </w:r>
          <w:r w:rsidRPr="00DB35D4">
            <w:rPr>
              <w:rFonts w:cs="Arial"/>
              <w:lang w:eastAsia="el-GR"/>
            </w:rPr>
            <w:fldChar w:fldCharType="end"/>
          </w:r>
        </w:sdtContent>
      </w:sdt>
      <w:r w:rsidRPr="00DB35D4">
        <w:rPr>
          <w:rFonts w:cs="Arial"/>
          <w:lang w:eastAsia="el-GR"/>
        </w:rPr>
        <w:t>.</w:t>
      </w:r>
    </w:p>
    <w:p w14:paraId="2882C95D" w14:textId="77777777" w:rsidR="005664B6" w:rsidRPr="00DB35D4" w:rsidRDefault="005664B6" w:rsidP="005664B6">
      <w:pPr>
        <w:rPr>
          <w:rFonts w:cs="Arial"/>
        </w:rPr>
      </w:pPr>
      <w:r w:rsidRPr="00DB35D4">
        <w:rPr>
          <w:rFonts w:cs="Arial"/>
        </w:rPr>
        <w:t xml:space="preserve">In the climate change negotiations, there is sometimes a different usage for the terminology of MRV, in some of the negotiation text MRV stands for Measuring, Reporting &amp;Verification. </w:t>
      </w:r>
    </w:p>
    <w:p w14:paraId="3C73AC75" w14:textId="77777777" w:rsidR="005664B6" w:rsidRPr="00DB35D4" w:rsidRDefault="005664B6" w:rsidP="005664B6">
      <w:pPr>
        <w:rPr>
          <w:rFonts w:cs="Arial"/>
        </w:rPr>
      </w:pPr>
      <w:r w:rsidRPr="00DB35D4">
        <w:rPr>
          <w:rFonts w:cs="Arial"/>
        </w:rPr>
        <w:t>The more common use of MRV is Monitoring, Reporting &amp; Verification. This is because the word “monitoring” represents more a system in which measurements are being made, where the word “measuring” relates generally only to the actual measuring itself. Within this publication MRV will always refer to Monitoring, Reporting &amp;Verification.</w:t>
      </w:r>
    </w:p>
    <w:p w14:paraId="3CABDCC5" w14:textId="77777777" w:rsidR="005664B6" w:rsidRPr="00DB35D4" w:rsidRDefault="005664B6" w:rsidP="005664B6">
      <w:pPr>
        <w:rPr>
          <w:rFonts w:cs="Arial"/>
        </w:rPr>
      </w:pPr>
      <w:r w:rsidRPr="00DB35D4">
        <w:rPr>
          <w:rFonts w:cs="Arial"/>
        </w:rPr>
        <w:t>The 3 steps (Monitoring, Reporting and Verifications) of a Program of Activities (</w:t>
      </w:r>
      <w:proofErr w:type="spellStart"/>
      <w:proofErr w:type="gramStart"/>
      <w:r w:rsidRPr="00DB35D4">
        <w:rPr>
          <w:rFonts w:cs="Arial"/>
        </w:rPr>
        <w:t>PoA</w:t>
      </w:r>
      <w:proofErr w:type="spellEnd"/>
      <w:r w:rsidRPr="00DB35D4">
        <w:rPr>
          <w:rFonts w:cs="Arial"/>
        </w:rPr>
        <w:t xml:space="preserve"> )are</w:t>
      </w:r>
      <w:proofErr w:type="gramEnd"/>
      <w:r w:rsidRPr="00DB35D4">
        <w:rPr>
          <w:rFonts w:cs="Arial"/>
        </w:rPr>
        <w:t xml:space="preserve"> described below in sort:</w:t>
      </w:r>
    </w:p>
    <w:p w14:paraId="28414A5C" w14:textId="77777777" w:rsidR="005664B6" w:rsidRPr="00DB35D4" w:rsidRDefault="005664B6" w:rsidP="005664B6">
      <w:pPr>
        <w:rPr>
          <w:rFonts w:cs="Arial"/>
          <w:b/>
        </w:rPr>
      </w:pPr>
      <w:r w:rsidRPr="00DB35D4">
        <w:rPr>
          <w:rFonts w:cs="Arial"/>
          <w:b/>
        </w:rPr>
        <w:t>Monitoring</w:t>
      </w:r>
    </w:p>
    <w:p w14:paraId="6BCE6843" w14:textId="77777777" w:rsidR="005664B6" w:rsidRPr="00DB35D4" w:rsidRDefault="005664B6" w:rsidP="005664B6">
      <w:pPr>
        <w:rPr>
          <w:rFonts w:cs="Arial"/>
        </w:rPr>
      </w:pPr>
      <w:r w:rsidRPr="00DB35D4">
        <w:rPr>
          <w:rFonts w:cs="Arial"/>
        </w:rPr>
        <w:t xml:space="preserve">A CDM project standard requires that project participants shall develop a monitoring plan in the Project Design Document (PDD) for monitoring of all parameters used to calculate </w:t>
      </w:r>
      <w:r w:rsidRPr="00DB35D4">
        <w:rPr>
          <w:rFonts w:cs="Arial"/>
        </w:rPr>
        <w:lastRenderedPageBreak/>
        <w:t>baseline, project, and leakage emissions as well as other relevant parameters required by the applied methodology. The monitoring plan shall among others define:</w:t>
      </w:r>
    </w:p>
    <w:p w14:paraId="6882BF0F" w14:textId="77777777" w:rsidR="005664B6" w:rsidRPr="00DB35D4" w:rsidRDefault="005664B6" w:rsidP="00A01330">
      <w:pPr>
        <w:pStyle w:val="ListParagraph"/>
        <w:numPr>
          <w:ilvl w:val="0"/>
          <w:numId w:val="24"/>
        </w:numPr>
        <w:spacing w:before="0" w:after="160"/>
        <w:rPr>
          <w:rFonts w:cs="Arial"/>
        </w:rPr>
      </w:pPr>
      <w:r w:rsidRPr="00DB35D4">
        <w:rPr>
          <w:rFonts w:cs="Arial"/>
        </w:rPr>
        <w:t xml:space="preserve">operational and management structure </w:t>
      </w:r>
    </w:p>
    <w:p w14:paraId="7AE891DD" w14:textId="77777777" w:rsidR="005664B6" w:rsidRPr="00DB35D4" w:rsidRDefault="005664B6" w:rsidP="00A01330">
      <w:pPr>
        <w:pStyle w:val="ListParagraph"/>
        <w:numPr>
          <w:ilvl w:val="0"/>
          <w:numId w:val="24"/>
        </w:numPr>
        <w:spacing w:before="0" w:after="160"/>
        <w:rPr>
          <w:rFonts w:cs="Arial"/>
        </w:rPr>
      </w:pPr>
      <w:r w:rsidRPr="00DB35D4">
        <w:rPr>
          <w:rFonts w:cs="Arial"/>
        </w:rPr>
        <w:t xml:space="preserve">definition of responsibilities and institutional arrangements </w:t>
      </w:r>
    </w:p>
    <w:p w14:paraId="4730CF4F" w14:textId="77777777" w:rsidR="005664B6" w:rsidRPr="00DB35D4" w:rsidRDefault="005664B6" w:rsidP="00A01330">
      <w:pPr>
        <w:pStyle w:val="ListParagraph"/>
        <w:numPr>
          <w:ilvl w:val="0"/>
          <w:numId w:val="24"/>
        </w:numPr>
        <w:spacing w:before="0" w:after="160"/>
        <w:rPr>
          <w:rFonts w:cs="Arial"/>
        </w:rPr>
      </w:pPr>
      <w:r w:rsidRPr="00DB35D4">
        <w:rPr>
          <w:rFonts w:cs="Arial"/>
        </w:rPr>
        <w:t>quality assurance and quality control processes</w:t>
      </w:r>
    </w:p>
    <w:p w14:paraId="368DE5A3" w14:textId="77777777" w:rsidR="005664B6" w:rsidRPr="00DB35D4" w:rsidRDefault="005664B6" w:rsidP="00A01330">
      <w:pPr>
        <w:pStyle w:val="ListParagraph"/>
        <w:numPr>
          <w:ilvl w:val="0"/>
          <w:numId w:val="24"/>
        </w:numPr>
        <w:spacing w:before="0" w:after="160"/>
        <w:rPr>
          <w:rFonts w:cs="Arial"/>
        </w:rPr>
      </w:pPr>
      <w:r w:rsidRPr="00DB35D4">
        <w:rPr>
          <w:rFonts w:cs="Arial"/>
        </w:rPr>
        <w:t>uncertainty levels, methods, and the associated accuracy level</w:t>
      </w:r>
    </w:p>
    <w:p w14:paraId="7CAF732E" w14:textId="77777777" w:rsidR="005664B6" w:rsidRPr="00DB35D4" w:rsidRDefault="005664B6" w:rsidP="00A01330">
      <w:pPr>
        <w:pStyle w:val="ListParagraph"/>
        <w:numPr>
          <w:ilvl w:val="0"/>
          <w:numId w:val="24"/>
        </w:numPr>
        <w:spacing w:before="0" w:after="160"/>
        <w:rPr>
          <w:rFonts w:cs="Arial"/>
        </w:rPr>
      </w:pPr>
      <w:r w:rsidRPr="00DB35D4">
        <w:rPr>
          <w:rFonts w:cs="Arial"/>
        </w:rPr>
        <w:t>specifications of the calibration frequency</w:t>
      </w:r>
    </w:p>
    <w:p w14:paraId="71E2AB29" w14:textId="77777777" w:rsidR="005664B6" w:rsidRPr="00DB35D4" w:rsidRDefault="005664B6" w:rsidP="005664B6">
      <w:pPr>
        <w:rPr>
          <w:rFonts w:cs="Arial"/>
          <w:bCs/>
        </w:rPr>
      </w:pPr>
      <w:r w:rsidRPr="00DB35D4">
        <w:rPr>
          <w:rFonts w:cs="Arial"/>
          <w:b/>
        </w:rPr>
        <w:t>Report</w:t>
      </w:r>
      <w:r w:rsidRPr="00DB35D4">
        <w:rPr>
          <w:rFonts w:cs="Arial"/>
        </w:rPr>
        <w:t xml:space="preserve"> Monitoring </w:t>
      </w:r>
    </w:p>
    <w:p w14:paraId="1FCD430D" w14:textId="77777777" w:rsidR="005664B6" w:rsidRPr="00DB35D4" w:rsidRDefault="005664B6" w:rsidP="005664B6">
      <w:pPr>
        <w:rPr>
          <w:rFonts w:cs="Arial"/>
        </w:rPr>
      </w:pPr>
      <w:r w:rsidRPr="00DB35D4">
        <w:rPr>
          <w:rFonts w:cs="Arial"/>
        </w:rPr>
        <w:t>After the project is implemented project participants shall provide information on how data and parameters have been monitored for all parameters required by the applied methodology and the registered monitoring plan for the monitoring period in question.</w:t>
      </w:r>
    </w:p>
    <w:p w14:paraId="209206A4" w14:textId="77777777" w:rsidR="005664B6" w:rsidRPr="00DB35D4" w:rsidRDefault="005664B6" w:rsidP="005664B6">
      <w:pPr>
        <w:rPr>
          <w:rFonts w:cs="Arial"/>
        </w:rPr>
      </w:pPr>
      <w:r w:rsidRPr="00DB35D4">
        <w:rPr>
          <w:rFonts w:cs="Arial"/>
        </w:rPr>
        <w:t>The report should:</w:t>
      </w:r>
    </w:p>
    <w:p w14:paraId="1D158EE8" w14:textId="77777777" w:rsidR="005664B6" w:rsidRPr="00DB35D4" w:rsidRDefault="005664B6" w:rsidP="00A01330">
      <w:pPr>
        <w:pStyle w:val="ListParagraph"/>
        <w:numPr>
          <w:ilvl w:val="0"/>
          <w:numId w:val="25"/>
        </w:numPr>
        <w:spacing w:before="0" w:after="160"/>
        <w:rPr>
          <w:rFonts w:cs="Arial"/>
        </w:rPr>
      </w:pPr>
      <w:r w:rsidRPr="00DB35D4">
        <w:rPr>
          <w:rFonts w:cs="Arial"/>
        </w:rPr>
        <w:t>Provide the values of the monitored parameter</w:t>
      </w:r>
    </w:p>
    <w:p w14:paraId="5F181F24" w14:textId="77777777" w:rsidR="005664B6" w:rsidRPr="00DB35D4" w:rsidRDefault="005664B6" w:rsidP="00A01330">
      <w:pPr>
        <w:pStyle w:val="ListParagraph"/>
        <w:numPr>
          <w:ilvl w:val="0"/>
          <w:numId w:val="25"/>
        </w:numPr>
        <w:spacing w:before="0" w:after="160"/>
        <w:rPr>
          <w:rFonts w:cs="Arial"/>
        </w:rPr>
      </w:pPr>
      <w:r w:rsidRPr="00DB35D4">
        <w:rPr>
          <w:rFonts w:cs="Arial"/>
        </w:rPr>
        <w:t xml:space="preserve">Describe the equipment used to </w:t>
      </w:r>
    </w:p>
    <w:p w14:paraId="3B6F7F25" w14:textId="77777777" w:rsidR="005664B6" w:rsidRPr="00DB35D4" w:rsidRDefault="005664B6" w:rsidP="00A01330">
      <w:pPr>
        <w:pStyle w:val="ListParagraph"/>
        <w:numPr>
          <w:ilvl w:val="0"/>
          <w:numId w:val="25"/>
        </w:numPr>
        <w:spacing w:before="0" w:after="160"/>
        <w:rPr>
          <w:rFonts w:cs="Arial"/>
        </w:rPr>
      </w:pPr>
      <w:r w:rsidRPr="00DB35D4">
        <w:rPr>
          <w:rFonts w:cs="Arial"/>
        </w:rPr>
        <w:t>Describe how the parameters are measured/calculated and the measurements frequency</w:t>
      </w:r>
    </w:p>
    <w:p w14:paraId="3F6D8AD4" w14:textId="77777777" w:rsidR="005664B6" w:rsidRPr="00DB35D4" w:rsidRDefault="005664B6" w:rsidP="00A01330">
      <w:pPr>
        <w:pStyle w:val="ListParagraph"/>
        <w:numPr>
          <w:ilvl w:val="0"/>
          <w:numId w:val="25"/>
        </w:numPr>
        <w:spacing w:before="0" w:after="160"/>
        <w:rPr>
          <w:rFonts w:cs="Arial"/>
        </w:rPr>
      </w:pPr>
      <w:r w:rsidRPr="00DB35D4">
        <w:rPr>
          <w:rFonts w:cs="Arial"/>
        </w:rPr>
        <w:t xml:space="preserve">Provide and/or identify the source of data </w:t>
      </w:r>
    </w:p>
    <w:p w14:paraId="6873BF6E" w14:textId="77777777" w:rsidR="005664B6" w:rsidRPr="00DB35D4" w:rsidRDefault="005664B6" w:rsidP="00A01330">
      <w:pPr>
        <w:pStyle w:val="ListParagraph"/>
        <w:numPr>
          <w:ilvl w:val="0"/>
          <w:numId w:val="25"/>
        </w:numPr>
        <w:spacing w:before="0" w:after="160"/>
        <w:rPr>
          <w:rFonts w:cs="Arial"/>
        </w:rPr>
      </w:pPr>
      <w:r w:rsidRPr="00DB35D4">
        <w:rPr>
          <w:rFonts w:cs="Arial"/>
        </w:rPr>
        <w:t xml:space="preserve">Provide the calculation method </w:t>
      </w:r>
    </w:p>
    <w:p w14:paraId="3B83C5B0" w14:textId="77777777" w:rsidR="005664B6" w:rsidRPr="00DB35D4" w:rsidRDefault="005664B6" w:rsidP="00A01330">
      <w:pPr>
        <w:pStyle w:val="ListParagraph"/>
        <w:numPr>
          <w:ilvl w:val="0"/>
          <w:numId w:val="25"/>
        </w:numPr>
        <w:spacing w:before="0" w:after="160"/>
        <w:rPr>
          <w:rFonts w:cs="Arial"/>
        </w:rPr>
      </w:pPr>
      <w:r w:rsidRPr="00DB35D4">
        <w:rPr>
          <w:rFonts w:cs="Arial"/>
        </w:rPr>
        <w:t xml:space="preserve">Describe the QA/QC procedures </w:t>
      </w:r>
    </w:p>
    <w:p w14:paraId="4943CBE6" w14:textId="77777777" w:rsidR="005664B6" w:rsidRPr="00DB35D4" w:rsidRDefault="005664B6" w:rsidP="00A01330">
      <w:pPr>
        <w:pStyle w:val="ListParagraph"/>
        <w:numPr>
          <w:ilvl w:val="0"/>
          <w:numId w:val="25"/>
        </w:numPr>
        <w:spacing w:before="0" w:after="160"/>
        <w:rPr>
          <w:rFonts w:cs="Arial"/>
        </w:rPr>
      </w:pPr>
      <w:r w:rsidRPr="00DB35D4">
        <w:rPr>
          <w:rFonts w:cs="Arial"/>
        </w:rPr>
        <w:t xml:space="preserve">Provide information about appropriate emission factors, IPCC default values </w:t>
      </w:r>
    </w:p>
    <w:p w14:paraId="48F22406" w14:textId="77777777" w:rsidR="005664B6" w:rsidRPr="00DB35D4" w:rsidRDefault="005664B6" w:rsidP="00A01330">
      <w:pPr>
        <w:pStyle w:val="ListParagraph"/>
        <w:numPr>
          <w:ilvl w:val="0"/>
          <w:numId w:val="25"/>
        </w:numPr>
        <w:spacing w:before="0" w:after="160"/>
        <w:rPr>
          <w:rFonts w:cs="Arial"/>
        </w:rPr>
      </w:pPr>
      <w:r w:rsidRPr="00DB35D4">
        <w:rPr>
          <w:rFonts w:cs="Arial"/>
        </w:rPr>
        <w:t xml:space="preserve">and any other reference values </w:t>
      </w:r>
    </w:p>
    <w:p w14:paraId="0C5CE27C" w14:textId="77777777" w:rsidR="005664B6" w:rsidRPr="00DB35D4" w:rsidRDefault="005664B6" w:rsidP="005664B6">
      <w:pPr>
        <w:rPr>
          <w:rFonts w:cs="Arial"/>
        </w:rPr>
      </w:pPr>
      <w:r w:rsidRPr="00DB35D4">
        <w:rPr>
          <w:rFonts w:cs="Arial"/>
          <w:b/>
        </w:rPr>
        <w:t xml:space="preserve">Verification </w:t>
      </w:r>
      <w:r w:rsidRPr="00DB35D4">
        <w:rPr>
          <w:rFonts w:cs="Arial"/>
        </w:rPr>
        <w:t xml:space="preserve">of </w:t>
      </w:r>
      <w:proofErr w:type="spellStart"/>
      <w:r w:rsidRPr="00DB35D4">
        <w:rPr>
          <w:rFonts w:cs="Arial"/>
        </w:rPr>
        <w:t>PoAs</w:t>
      </w:r>
      <w:proofErr w:type="spellEnd"/>
    </w:p>
    <w:p w14:paraId="62695C87" w14:textId="77777777" w:rsidR="005664B6" w:rsidRPr="00DB35D4" w:rsidRDefault="005664B6" w:rsidP="005664B6">
      <w:pPr>
        <w:rPr>
          <w:rFonts w:cs="Arial"/>
        </w:rPr>
      </w:pPr>
      <w:r w:rsidRPr="00DB35D4">
        <w:rPr>
          <w:rFonts w:cs="Arial"/>
        </w:rPr>
        <w:t>A Designated Operational Entity (DOE) is an independent auditor accredited by the CDM Executive Board (CDM EB) to validate project proposals or verify whether implemented projects have achieved planned greenhouse gas emission reductions.</w:t>
      </w:r>
    </w:p>
    <w:p w14:paraId="7F0F8AB2" w14:textId="77777777" w:rsidR="005664B6" w:rsidRPr="00DB35D4" w:rsidRDefault="005664B6" w:rsidP="005664B6">
      <w:pPr>
        <w:rPr>
          <w:rFonts w:cs="Arial"/>
        </w:rPr>
      </w:pPr>
      <w:r w:rsidRPr="00DB35D4">
        <w:rPr>
          <w:rFonts w:cs="Arial"/>
        </w:rPr>
        <w:t xml:space="preserve">The requirements for verification of stand-alone CDM project activities apply equally to </w:t>
      </w:r>
      <w:proofErr w:type="spellStart"/>
      <w:r w:rsidRPr="00DB35D4">
        <w:rPr>
          <w:rFonts w:cs="Arial"/>
        </w:rPr>
        <w:t>PoAs</w:t>
      </w:r>
      <w:proofErr w:type="spellEnd"/>
      <w:r w:rsidRPr="00DB35D4">
        <w:rPr>
          <w:rFonts w:cs="Arial"/>
        </w:rPr>
        <w:t xml:space="preserve">. Verification of </w:t>
      </w:r>
      <w:proofErr w:type="spellStart"/>
      <w:r w:rsidRPr="00DB35D4">
        <w:rPr>
          <w:rFonts w:cs="Arial"/>
        </w:rPr>
        <w:t>PoAs</w:t>
      </w:r>
      <w:proofErr w:type="spellEnd"/>
      <w:r w:rsidRPr="00DB35D4">
        <w:rPr>
          <w:rFonts w:cs="Arial"/>
        </w:rPr>
        <w:t xml:space="preserve"> will also have to assess the </w:t>
      </w:r>
      <w:proofErr w:type="spellStart"/>
      <w:r w:rsidRPr="00DB35D4">
        <w:rPr>
          <w:rFonts w:cs="Arial"/>
        </w:rPr>
        <w:t>PoA</w:t>
      </w:r>
      <w:proofErr w:type="spellEnd"/>
      <w:r w:rsidRPr="00DB35D4">
        <w:rPr>
          <w:rFonts w:cs="Arial"/>
        </w:rPr>
        <w:t xml:space="preserve"> specific requirements.</w:t>
      </w:r>
    </w:p>
    <w:p w14:paraId="1248BED6" w14:textId="77777777" w:rsidR="005664B6" w:rsidRPr="00DB35D4" w:rsidRDefault="005664B6" w:rsidP="005664B6">
      <w:pPr>
        <w:rPr>
          <w:rFonts w:cs="Arial"/>
        </w:rPr>
      </w:pPr>
      <w:r w:rsidRPr="00DB35D4">
        <w:rPr>
          <w:rFonts w:cs="Arial"/>
        </w:rPr>
        <w:t xml:space="preserve">There are elements in the verification of </w:t>
      </w:r>
      <w:proofErr w:type="spellStart"/>
      <w:r w:rsidRPr="00DB35D4">
        <w:rPr>
          <w:rFonts w:cs="Arial"/>
        </w:rPr>
        <w:t>PoAs</w:t>
      </w:r>
      <w:proofErr w:type="spellEnd"/>
      <w:r w:rsidRPr="00DB35D4">
        <w:rPr>
          <w:rFonts w:cs="Arial"/>
        </w:rPr>
        <w:t xml:space="preserve"> that are in addition to the elements typically assessed as part of the verification of a stand-alone CDM project activity. </w:t>
      </w:r>
    </w:p>
    <w:p w14:paraId="0BCDC813" w14:textId="77777777" w:rsidR="005664B6" w:rsidRPr="00DB35D4" w:rsidRDefault="005664B6" w:rsidP="005664B6">
      <w:pPr>
        <w:rPr>
          <w:rFonts w:cs="Arial"/>
        </w:rPr>
      </w:pPr>
      <w:r w:rsidRPr="00DB35D4">
        <w:rPr>
          <w:rFonts w:cs="Arial"/>
        </w:rPr>
        <w:t>These additional elements are twofold and further as:</w:t>
      </w:r>
    </w:p>
    <w:p w14:paraId="70813A72" w14:textId="77777777" w:rsidR="005664B6" w:rsidRPr="00DB35D4" w:rsidRDefault="005664B6" w:rsidP="00A01330">
      <w:pPr>
        <w:pStyle w:val="ListParagraph"/>
        <w:numPr>
          <w:ilvl w:val="0"/>
          <w:numId w:val="26"/>
        </w:numPr>
        <w:spacing w:before="0" w:after="160"/>
        <w:rPr>
          <w:rFonts w:cs="Arial"/>
        </w:rPr>
      </w:pPr>
      <w:r w:rsidRPr="00DB35D4">
        <w:rPr>
          <w:rFonts w:cs="Arial"/>
        </w:rPr>
        <w:lastRenderedPageBreak/>
        <w:t xml:space="preserve">the DOE needs to assess the management system of the </w:t>
      </w:r>
      <w:proofErr w:type="spellStart"/>
      <w:r w:rsidRPr="00DB35D4">
        <w:rPr>
          <w:rFonts w:cs="Arial"/>
        </w:rPr>
        <w:t>PoA</w:t>
      </w:r>
      <w:proofErr w:type="spellEnd"/>
      <w:r w:rsidRPr="00DB35D4">
        <w:rPr>
          <w:rFonts w:cs="Arial"/>
        </w:rPr>
        <w:t xml:space="preserve"> as the CME in a </w:t>
      </w:r>
      <w:proofErr w:type="spellStart"/>
      <w:r w:rsidRPr="00DB35D4">
        <w:rPr>
          <w:rFonts w:cs="Arial"/>
        </w:rPr>
        <w:t>PoA</w:t>
      </w:r>
      <w:proofErr w:type="spellEnd"/>
      <w:r w:rsidRPr="00DB35D4">
        <w:rPr>
          <w:rFonts w:cs="Arial"/>
        </w:rPr>
        <w:t xml:space="preserve"> has specific responsibilities and shall develop and implement a management system</w:t>
      </w:r>
    </w:p>
    <w:p w14:paraId="28AC1470" w14:textId="77777777" w:rsidR="005664B6" w:rsidRPr="00DB35D4" w:rsidRDefault="005664B6" w:rsidP="00A01330">
      <w:pPr>
        <w:pStyle w:val="ListParagraph"/>
        <w:numPr>
          <w:ilvl w:val="0"/>
          <w:numId w:val="26"/>
        </w:numPr>
        <w:spacing w:before="0" w:after="160"/>
        <w:rPr>
          <w:rFonts w:cs="Arial"/>
        </w:rPr>
      </w:pPr>
      <w:r w:rsidRPr="00DB35D4">
        <w:rPr>
          <w:rFonts w:cs="Arial"/>
        </w:rPr>
        <w:t>there is a level of complexity that is typically not encountered by a DOE in the verification of a stand-alone CDM project activity</w:t>
      </w:r>
    </w:p>
    <w:p w14:paraId="6C98CB40" w14:textId="77777777" w:rsidR="005664B6" w:rsidRDefault="005664B6" w:rsidP="005664B6">
      <w:pPr>
        <w:pStyle w:val="MAIL11"/>
        <w:rPr>
          <w:lang w:eastAsia="el-GR"/>
        </w:rPr>
      </w:pPr>
      <w:bookmarkStart w:id="292" w:name="_Toc90892997"/>
      <w:bookmarkStart w:id="293" w:name="_Toc91752451"/>
      <w:r>
        <w:rPr>
          <w:lang w:eastAsia="el-GR"/>
        </w:rPr>
        <w:t>Voluntary Markets Accounting Standards</w:t>
      </w:r>
      <w:bookmarkEnd w:id="292"/>
      <w:bookmarkEnd w:id="293"/>
    </w:p>
    <w:p w14:paraId="3CBA49CA" w14:textId="77777777" w:rsidR="005664B6" w:rsidRPr="00DB35D4" w:rsidRDefault="005664B6" w:rsidP="005664B6">
      <w:pPr>
        <w:rPr>
          <w:rFonts w:cs="Arial"/>
          <w:lang w:eastAsia="el-GR"/>
        </w:rPr>
      </w:pPr>
      <w:r w:rsidRPr="00DB35D4">
        <w:rPr>
          <w:rFonts w:cs="Arial"/>
          <w:lang w:eastAsia="el-GR"/>
        </w:rPr>
        <w:t xml:space="preserve">Below the reader can find short description of the </w:t>
      </w:r>
      <w:proofErr w:type="gramStart"/>
      <w:r w:rsidRPr="00DB35D4">
        <w:rPr>
          <w:rFonts w:cs="Arial"/>
          <w:lang w:eastAsia="el-GR"/>
        </w:rPr>
        <w:t>most commonly used</w:t>
      </w:r>
      <w:proofErr w:type="gramEnd"/>
      <w:r w:rsidRPr="00DB35D4">
        <w:rPr>
          <w:rFonts w:cs="Arial"/>
          <w:lang w:eastAsia="el-GR"/>
        </w:rPr>
        <w:t xml:space="preserve"> voluntary carbon accounting standards especially those that are closely connected with LULUCF:</w:t>
      </w:r>
    </w:p>
    <w:p w14:paraId="51ADA7D1" w14:textId="77777777" w:rsidR="005664B6" w:rsidRPr="00DB35D4" w:rsidRDefault="005664B6" w:rsidP="009E12D8">
      <w:pPr>
        <w:pStyle w:val="MAIL111"/>
      </w:pPr>
      <w:bookmarkStart w:id="294" w:name="_Toc18677160"/>
      <w:bookmarkStart w:id="295" w:name="_Toc90892998"/>
      <w:bookmarkStart w:id="296" w:name="_Toc91752452"/>
      <w:r w:rsidRPr="00DB35D4">
        <w:t>ACR</w:t>
      </w:r>
      <w:bookmarkEnd w:id="294"/>
      <w:bookmarkEnd w:id="295"/>
      <w:bookmarkEnd w:id="296"/>
    </w:p>
    <w:p w14:paraId="0E0BEA2D" w14:textId="77777777" w:rsidR="005664B6" w:rsidRPr="00DB35D4" w:rsidRDefault="005664B6" w:rsidP="005664B6">
      <w:pPr>
        <w:rPr>
          <w:rFonts w:cs="Arial"/>
          <w:lang w:eastAsia="el-GR"/>
        </w:rPr>
      </w:pPr>
      <w:r w:rsidRPr="00DB35D4">
        <w:rPr>
          <w:rFonts w:cs="Arial"/>
          <w:lang w:eastAsia="el-GR"/>
        </w:rPr>
        <w:t xml:space="preserve">The American Carbon Registry®, a nonprofit enterprise of </w:t>
      </w:r>
      <w:proofErr w:type="spellStart"/>
      <w:r w:rsidRPr="00DB35D4">
        <w:rPr>
          <w:rFonts w:cs="Arial"/>
          <w:lang w:eastAsia="el-GR"/>
        </w:rPr>
        <w:t>Winrock</w:t>
      </w:r>
      <w:proofErr w:type="spellEnd"/>
      <w:r w:rsidRPr="00DB35D4">
        <w:rPr>
          <w:rFonts w:cs="Arial"/>
          <w:lang w:eastAsia="el-GR"/>
        </w:rPr>
        <w:t xml:space="preserve"> International, is a leading carbon offset program that operates in both the voluntary and the regulated carbon markets. Founded in 1996 as the first private voluntary GHG registry in the world, ACR has two decades of unparalleled carbon market experience in the development of rigorous, science-based offset standards and methodologies as well as operational experience in the oversight of offset project verification, registration, offset issuance, and retirement reporting.</w:t>
      </w:r>
    </w:p>
    <w:p w14:paraId="7A236D60" w14:textId="6B7A701F" w:rsidR="005664B6" w:rsidRPr="00DB35D4" w:rsidRDefault="005664B6" w:rsidP="005664B6">
      <w:pPr>
        <w:rPr>
          <w:rFonts w:cs="Arial"/>
          <w:lang w:eastAsia="el-GR"/>
        </w:rPr>
      </w:pPr>
      <w:r w:rsidRPr="00DB35D4">
        <w:rPr>
          <w:rFonts w:cs="Arial"/>
          <w:lang w:eastAsia="el-GR"/>
        </w:rPr>
        <w:t>ACR operates a transparent online registry system for members to register projects and record the issuance, transfer, and retirement of serialized, project-based, and independently verified offsets. ACR’s registry system records transactions directly negotiated between buyers and sellers; it is not an exchange. Offset transactions take place outside of ACR, over the counter or on exchanges, and are tracked on ACR through the unique serial numbers assigned to every offset</w:t>
      </w:r>
      <w:sdt>
        <w:sdtPr>
          <w:rPr>
            <w:rFonts w:cs="Arial"/>
            <w:lang w:eastAsia="el-GR"/>
          </w:rPr>
          <w:id w:val="2138215051"/>
          <w:citation/>
        </w:sdtPr>
        <w:sdtEndPr/>
        <w:sdtContent>
          <w:r w:rsidRPr="00DB35D4">
            <w:rPr>
              <w:rFonts w:cs="Arial"/>
              <w:lang w:eastAsia="el-GR"/>
            </w:rPr>
            <w:fldChar w:fldCharType="begin"/>
          </w:r>
          <w:r w:rsidRPr="00DB35D4">
            <w:rPr>
              <w:rFonts w:cs="Arial"/>
              <w:lang w:eastAsia="el-GR"/>
            </w:rPr>
            <w:instrText xml:space="preserve"> CITATION AME19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(AMERICAN CARBON REGISTRY , 2019)</w:t>
          </w:r>
          <w:r w:rsidRPr="00DB35D4">
            <w:rPr>
              <w:rFonts w:cs="Arial"/>
              <w:lang w:eastAsia="el-GR"/>
            </w:rPr>
            <w:fldChar w:fldCharType="end"/>
          </w:r>
        </w:sdtContent>
      </w:sdt>
      <w:r w:rsidRPr="00DB35D4">
        <w:rPr>
          <w:rFonts w:cs="Arial"/>
          <w:lang w:eastAsia="el-GR"/>
        </w:rPr>
        <w:t>.</w:t>
      </w:r>
    </w:p>
    <w:p w14:paraId="3C280272" w14:textId="77777777" w:rsidR="005664B6" w:rsidRPr="00DB35D4" w:rsidRDefault="005664B6" w:rsidP="005664B6">
      <w:pPr>
        <w:rPr>
          <w:rFonts w:cs="Arial"/>
          <w:lang w:eastAsia="el-GR"/>
        </w:rPr>
      </w:pPr>
      <w:r w:rsidRPr="00DB35D4">
        <w:rPr>
          <w:rFonts w:cs="Arial"/>
          <w:lang w:eastAsia="el-GR"/>
        </w:rPr>
        <w:t>ACR’s objectives are to:</w:t>
      </w:r>
    </w:p>
    <w:p w14:paraId="65F2B1F1" w14:textId="77777777" w:rsidR="005664B6" w:rsidRPr="00DB35D4" w:rsidRDefault="005664B6" w:rsidP="00A01330">
      <w:pPr>
        <w:pStyle w:val="ListParagraph"/>
        <w:numPr>
          <w:ilvl w:val="0"/>
          <w:numId w:val="27"/>
        </w:numPr>
        <w:spacing w:before="0" w:after="160"/>
        <w:rPr>
          <w:rFonts w:cs="Arial"/>
          <w:lang w:eastAsia="el-GR"/>
        </w:rPr>
      </w:pPr>
      <w:r w:rsidRPr="00DB35D4">
        <w:rPr>
          <w:rFonts w:cs="Arial"/>
          <w:lang w:eastAsia="el-GR"/>
        </w:rPr>
        <w:t xml:space="preserve">Encourage action to manage GHG </w:t>
      </w:r>
      <w:proofErr w:type="gramStart"/>
      <w:r w:rsidRPr="00DB35D4">
        <w:rPr>
          <w:rFonts w:cs="Arial"/>
          <w:lang w:eastAsia="el-GR"/>
        </w:rPr>
        <w:t>emissions;</w:t>
      </w:r>
      <w:proofErr w:type="gramEnd"/>
    </w:p>
    <w:p w14:paraId="2AA16549" w14:textId="77777777" w:rsidR="005664B6" w:rsidRPr="00DB35D4" w:rsidRDefault="005664B6" w:rsidP="00A01330">
      <w:pPr>
        <w:pStyle w:val="ListParagraph"/>
        <w:numPr>
          <w:ilvl w:val="0"/>
          <w:numId w:val="27"/>
        </w:numPr>
        <w:spacing w:before="0" w:after="160"/>
        <w:rPr>
          <w:rFonts w:cs="Arial"/>
          <w:lang w:eastAsia="el-GR"/>
        </w:rPr>
      </w:pPr>
      <w:r w:rsidRPr="00DB35D4">
        <w:rPr>
          <w:rFonts w:cs="Arial"/>
          <w:lang w:eastAsia="el-GR"/>
        </w:rPr>
        <w:t xml:space="preserve">Provide guidance, transparent infrastructure, and science-based standards to foster high-quality reductions in GHG </w:t>
      </w:r>
      <w:proofErr w:type="gramStart"/>
      <w:r w:rsidRPr="00DB35D4">
        <w:rPr>
          <w:rFonts w:cs="Arial"/>
          <w:lang w:eastAsia="el-GR"/>
        </w:rPr>
        <w:t>emissions;</w:t>
      </w:r>
      <w:proofErr w:type="gramEnd"/>
    </w:p>
    <w:p w14:paraId="0CB7693B" w14:textId="77777777" w:rsidR="005664B6" w:rsidRPr="00DB35D4" w:rsidRDefault="005664B6" w:rsidP="00A01330">
      <w:pPr>
        <w:pStyle w:val="ListParagraph"/>
        <w:numPr>
          <w:ilvl w:val="0"/>
          <w:numId w:val="27"/>
        </w:numPr>
        <w:spacing w:before="0" w:after="160"/>
        <w:rPr>
          <w:rFonts w:cs="Arial"/>
          <w:lang w:eastAsia="el-GR"/>
        </w:rPr>
      </w:pPr>
      <w:r w:rsidRPr="00DB35D4">
        <w:rPr>
          <w:rFonts w:cs="Arial"/>
          <w:lang w:eastAsia="el-GR"/>
        </w:rPr>
        <w:t xml:space="preserve">Support best practices in project-level GHG </w:t>
      </w:r>
      <w:proofErr w:type="gramStart"/>
      <w:r w:rsidRPr="00DB35D4">
        <w:rPr>
          <w:rFonts w:cs="Arial"/>
          <w:lang w:eastAsia="el-GR"/>
        </w:rPr>
        <w:t>accounting;</w:t>
      </w:r>
      <w:proofErr w:type="gramEnd"/>
    </w:p>
    <w:p w14:paraId="734CA963" w14:textId="77777777" w:rsidR="005664B6" w:rsidRPr="00DB35D4" w:rsidRDefault="005664B6" w:rsidP="00A01330">
      <w:pPr>
        <w:pStyle w:val="ListParagraph"/>
        <w:numPr>
          <w:ilvl w:val="0"/>
          <w:numId w:val="27"/>
        </w:numPr>
        <w:spacing w:before="0" w:after="160"/>
        <w:rPr>
          <w:rFonts w:cs="Arial"/>
          <w:lang w:eastAsia="el-GR"/>
        </w:rPr>
      </w:pPr>
      <w:r w:rsidRPr="00DB35D4">
        <w:rPr>
          <w:rFonts w:cs="Arial"/>
          <w:lang w:eastAsia="el-GR"/>
        </w:rPr>
        <w:t xml:space="preserve">Commercialize innovative new </w:t>
      </w:r>
      <w:proofErr w:type="gramStart"/>
      <w:r w:rsidRPr="00DB35D4">
        <w:rPr>
          <w:rFonts w:cs="Arial"/>
          <w:lang w:eastAsia="el-GR"/>
        </w:rPr>
        <w:t>methodologies;</w:t>
      </w:r>
      <w:proofErr w:type="gramEnd"/>
    </w:p>
    <w:p w14:paraId="5F0B3A91" w14:textId="77777777" w:rsidR="005664B6" w:rsidRPr="00DB35D4" w:rsidRDefault="005664B6" w:rsidP="00A01330">
      <w:pPr>
        <w:pStyle w:val="ListParagraph"/>
        <w:numPr>
          <w:ilvl w:val="0"/>
          <w:numId w:val="27"/>
        </w:numPr>
        <w:spacing w:before="0" w:after="160"/>
        <w:rPr>
          <w:rFonts w:cs="Arial"/>
          <w:lang w:eastAsia="el-GR"/>
        </w:rPr>
      </w:pPr>
      <w:r w:rsidRPr="00DB35D4">
        <w:rPr>
          <w:rFonts w:cs="Arial"/>
          <w:lang w:eastAsia="el-GR"/>
        </w:rPr>
        <w:t>Encourage broad adoption of practices that mitigate climate change with significant</w:t>
      </w:r>
    </w:p>
    <w:p w14:paraId="4CD2B367" w14:textId="77777777" w:rsidR="005664B6" w:rsidRPr="00DB35D4" w:rsidRDefault="005664B6" w:rsidP="00A01330">
      <w:pPr>
        <w:pStyle w:val="ListParagraph"/>
        <w:numPr>
          <w:ilvl w:val="0"/>
          <w:numId w:val="27"/>
        </w:numPr>
        <w:spacing w:before="0" w:after="160"/>
        <w:rPr>
          <w:rFonts w:cs="Arial"/>
          <w:lang w:eastAsia="el-GR"/>
        </w:rPr>
      </w:pPr>
      <w:r w:rsidRPr="00DB35D4">
        <w:rPr>
          <w:rFonts w:cs="Arial"/>
          <w:lang w:eastAsia="el-GR"/>
        </w:rPr>
        <w:t>community, economic, and environmental benefits</w:t>
      </w:r>
    </w:p>
    <w:p w14:paraId="4A395161" w14:textId="77777777" w:rsidR="005664B6" w:rsidRPr="00DB35D4" w:rsidRDefault="005664B6" w:rsidP="00A01330">
      <w:pPr>
        <w:pStyle w:val="ListParagraph"/>
        <w:numPr>
          <w:ilvl w:val="0"/>
          <w:numId w:val="27"/>
        </w:numPr>
        <w:spacing w:before="0" w:after="160"/>
        <w:rPr>
          <w:rFonts w:cs="Arial"/>
          <w:lang w:eastAsia="el-GR"/>
        </w:rPr>
      </w:pPr>
      <w:r w:rsidRPr="00DB35D4">
        <w:rPr>
          <w:rFonts w:cs="Arial"/>
          <w:lang w:eastAsia="el-GR"/>
        </w:rPr>
        <w:lastRenderedPageBreak/>
        <w:t>Enhance public confidence in market-based action for GHG reduction and</w:t>
      </w:r>
    </w:p>
    <w:p w14:paraId="13F3E3B6" w14:textId="77777777" w:rsidR="005664B6" w:rsidRPr="00DB35D4" w:rsidRDefault="005664B6" w:rsidP="00A01330">
      <w:pPr>
        <w:pStyle w:val="ListParagraph"/>
        <w:numPr>
          <w:ilvl w:val="0"/>
          <w:numId w:val="27"/>
        </w:numPr>
        <w:spacing w:before="0" w:after="160"/>
        <w:rPr>
          <w:rFonts w:cs="Arial"/>
          <w:lang w:eastAsia="el-GR"/>
        </w:rPr>
      </w:pPr>
      <w:r w:rsidRPr="00DB35D4">
        <w:rPr>
          <w:rFonts w:cs="Arial"/>
          <w:lang w:eastAsia="el-GR"/>
        </w:rPr>
        <w:t>Support convergence of international and U.S. carbon markets.</w:t>
      </w:r>
    </w:p>
    <w:p w14:paraId="0E737F0F" w14:textId="3FDF7FA1" w:rsidR="005664B6" w:rsidRPr="00DB35D4" w:rsidRDefault="005664B6" w:rsidP="005664B6">
      <w:pPr>
        <w:rPr>
          <w:rFonts w:cs="Arial"/>
          <w:lang w:eastAsia="el-GR"/>
        </w:rPr>
      </w:pPr>
      <w:r w:rsidRPr="00DB35D4">
        <w:rPr>
          <w:rFonts w:cs="Arial"/>
          <w:lang w:eastAsia="el-GR"/>
        </w:rPr>
        <w:t xml:space="preserve">Among the methodologies that have been approved within the ACS certain are strongly connected with LULUCF and more specifically with degraded lands </w:t>
      </w:r>
      <w:sdt>
        <w:sdtPr>
          <w:rPr>
            <w:rFonts w:cs="Arial"/>
            <w:lang w:eastAsia="el-GR"/>
          </w:rPr>
          <w:id w:val="2111471203"/>
          <w:citation/>
        </w:sdtPr>
        <w:sdtEndPr/>
        <w:sdtContent>
          <w:r w:rsidRPr="00DB35D4">
            <w:rPr>
              <w:rFonts w:cs="Arial"/>
              <w:lang w:eastAsia="el-GR"/>
            </w:rPr>
            <w:fldChar w:fldCharType="begin"/>
          </w:r>
          <w:r w:rsidRPr="00DB35D4">
            <w:rPr>
              <w:rFonts w:cs="Arial"/>
              <w:lang w:eastAsia="el-GR"/>
            </w:rPr>
            <w:instrText xml:space="preserve">CITATION Cqa19 \l 1033 </w:instrText>
          </w:r>
          <w:r w:rsidRPr="00DB35D4">
            <w:rPr>
              <w:rFonts w:cs="Arial"/>
              <w:lang w:eastAsia="el-GR"/>
            </w:rPr>
            <w:fldChar w:fldCharType="separate"/>
          </w:r>
          <w:r w:rsidR="00487700" w:rsidRPr="00487700">
            <w:rPr>
              <w:rFonts w:cs="Arial"/>
              <w:noProof/>
              <w:lang w:eastAsia="el-GR"/>
            </w:rPr>
            <w:t>(Carbon Accounting Standard, 2019)</w:t>
          </w:r>
          <w:r w:rsidRPr="00DB35D4">
            <w:rPr>
              <w:rFonts w:cs="Arial"/>
              <w:lang w:eastAsia="el-GR"/>
            </w:rPr>
            <w:fldChar w:fldCharType="end"/>
          </w:r>
        </w:sdtContent>
      </w:sdt>
      <w:r w:rsidRPr="00DB35D4">
        <w:rPr>
          <w:rFonts w:cs="Arial"/>
          <w:lang w:eastAsia="el-GR"/>
        </w:rPr>
        <w:t>(Table 4)</w:t>
      </w:r>
    </w:p>
    <w:p w14:paraId="7FDE0FED" w14:textId="3AB90474" w:rsidR="005664B6" w:rsidRPr="00E91166" w:rsidRDefault="005664B6" w:rsidP="00E91166">
      <w:pPr>
        <w:pStyle w:val="Caption"/>
        <w:keepNext/>
        <w:rPr>
          <w:rFonts w:cs="Arial"/>
          <w:b w:val="0"/>
          <w:bCs w:val="0"/>
        </w:rPr>
      </w:pPr>
      <w:bookmarkStart w:id="297" w:name="_Toc90888850"/>
      <w:bookmarkStart w:id="298" w:name="_Toc91752574"/>
      <w:r w:rsidRPr="00E91166">
        <w:rPr>
          <w:rFonts w:cs="Arial"/>
        </w:rPr>
        <w:t xml:space="preserve">Table </w:t>
      </w:r>
      <w:r w:rsidRPr="00E91166">
        <w:rPr>
          <w:rFonts w:cs="Arial"/>
          <w:b w:val="0"/>
          <w:bCs w:val="0"/>
          <w:i/>
          <w:iCs/>
        </w:rPr>
        <w:fldChar w:fldCharType="begin"/>
      </w:r>
      <w:r w:rsidRPr="00E91166">
        <w:rPr>
          <w:rFonts w:cs="Arial"/>
        </w:rPr>
        <w:instrText xml:space="preserve"> SEQ Table \* ARABIC </w:instrText>
      </w:r>
      <w:r w:rsidRPr="00E91166">
        <w:rPr>
          <w:rFonts w:cs="Arial"/>
          <w:b w:val="0"/>
          <w:bCs w:val="0"/>
          <w:i/>
          <w:iCs/>
        </w:rPr>
        <w:fldChar w:fldCharType="separate"/>
      </w:r>
      <w:r w:rsidR="0073710A">
        <w:rPr>
          <w:rFonts w:cs="Arial"/>
          <w:noProof/>
        </w:rPr>
        <w:t>35</w:t>
      </w:r>
      <w:r w:rsidRPr="00E91166">
        <w:rPr>
          <w:rFonts w:cs="Arial"/>
          <w:b w:val="0"/>
          <w:bCs w:val="0"/>
          <w:i/>
          <w:iCs/>
        </w:rPr>
        <w:fldChar w:fldCharType="end"/>
      </w:r>
      <w:r w:rsidRPr="00E91166">
        <w:rPr>
          <w:rFonts w:cs="Arial"/>
        </w:rPr>
        <w:t xml:space="preserve"> Methodologies of ACR</w:t>
      </w:r>
      <w:bookmarkEnd w:id="297"/>
      <w:bookmarkEnd w:id="298"/>
    </w:p>
    <w:tbl>
      <w:tblPr>
        <w:tblStyle w:val="10"/>
        <w:tblW w:w="7273" w:type="dxa"/>
        <w:jc w:val="center"/>
        <w:tblLook w:val="04A0" w:firstRow="1" w:lastRow="0" w:firstColumn="1" w:lastColumn="0" w:noHBand="0" w:noVBand="1"/>
      </w:tblPr>
      <w:tblGrid>
        <w:gridCol w:w="6250"/>
        <w:gridCol w:w="1023"/>
      </w:tblGrid>
      <w:tr w:rsidR="00B56C88" w:rsidRPr="00B56C88" w14:paraId="3D2D9B6D" w14:textId="77777777" w:rsidTr="00B56C88">
        <w:trPr>
          <w:trHeight w:val="287"/>
          <w:jc w:val="center"/>
        </w:trPr>
        <w:tc>
          <w:tcPr>
            <w:tcW w:w="6250" w:type="dxa"/>
            <w:shd w:val="clear" w:color="auto" w:fill="DBE0F4"/>
            <w:noWrap/>
            <w:hideMark/>
          </w:tcPr>
          <w:p w14:paraId="65A84B96" w14:textId="77777777" w:rsidR="00B56C88" w:rsidRPr="00B56C88" w:rsidRDefault="00B56C88" w:rsidP="00B56C88">
            <w:pPr>
              <w:jc w:val="center"/>
              <w:rPr>
                <w:rFonts w:eastAsia="Times New Roman" w:cs="Arial"/>
                <w:b/>
                <w:color w:val="000000"/>
                <w:lang w:eastAsia="el-GR"/>
              </w:rPr>
            </w:pPr>
            <w:r w:rsidRPr="00B56C88">
              <w:rPr>
                <w:rFonts w:eastAsia="Times New Roman" w:cs="Arial"/>
                <w:b/>
                <w:color w:val="000000"/>
                <w:lang w:eastAsia="el-GR"/>
              </w:rPr>
              <w:t>Methodology title</w:t>
            </w:r>
          </w:p>
        </w:tc>
        <w:tc>
          <w:tcPr>
            <w:tcW w:w="1023" w:type="dxa"/>
            <w:shd w:val="clear" w:color="auto" w:fill="DBE0F4"/>
            <w:noWrap/>
            <w:hideMark/>
          </w:tcPr>
          <w:p w14:paraId="0468A278" w14:textId="77777777" w:rsidR="00B56C88" w:rsidRPr="00B56C88" w:rsidRDefault="00B56C88" w:rsidP="00B56C88">
            <w:pPr>
              <w:jc w:val="center"/>
              <w:rPr>
                <w:rFonts w:eastAsia="Times New Roman" w:cs="Arial"/>
                <w:b/>
                <w:color w:val="000000"/>
                <w:lang w:eastAsia="el-GR"/>
              </w:rPr>
            </w:pPr>
            <w:r w:rsidRPr="00B56C88">
              <w:rPr>
                <w:rFonts w:eastAsia="Times New Roman" w:cs="Arial"/>
                <w:b/>
                <w:color w:val="000000"/>
                <w:lang w:eastAsia="el-GR"/>
              </w:rPr>
              <w:t>Version</w:t>
            </w:r>
          </w:p>
        </w:tc>
      </w:tr>
      <w:tr w:rsidR="00B56C88" w:rsidRPr="00B56C88" w14:paraId="1505BAA2" w14:textId="77777777" w:rsidTr="00B56C88">
        <w:trPr>
          <w:trHeight w:val="574"/>
          <w:jc w:val="center"/>
        </w:trPr>
        <w:tc>
          <w:tcPr>
            <w:tcW w:w="6250" w:type="dxa"/>
            <w:noWrap/>
            <w:hideMark/>
          </w:tcPr>
          <w:p w14:paraId="19B08987" w14:textId="77777777" w:rsidR="00B56C88" w:rsidRPr="00B56C88" w:rsidRDefault="00B56C88" w:rsidP="00B56C88">
            <w:pPr>
              <w:jc w:val="left"/>
              <w:rPr>
                <w:rFonts w:eastAsia="Times New Roman" w:cs="Arial"/>
                <w:b/>
                <w:color w:val="FF0000"/>
                <w:lang w:eastAsia="el-GR"/>
              </w:rPr>
            </w:pPr>
            <w:r w:rsidRPr="00B56C88">
              <w:rPr>
                <w:rFonts w:eastAsia="Times New Roman" w:cs="Arial"/>
                <w:b/>
                <w:lang w:eastAsia="el-GR"/>
              </w:rPr>
              <w:t>Afforestation and Reforestation of Degraded Lands</w:t>
            </w:r>
          </w:p>
        </w:tc>
        <w:tc>
          <w:tcPr>
            <w:tcW w:w="1023" w:type="dxa"/>
            <w:hideMark/>
          </w:tcPr>
          <w:p w14:paraId="2498CD39"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1.2</w:t>
            </w:r>
          </w:p>
        </w:tc>
      </w:tr>
      <w:tr w:rsidR="00B56C88" w:rsidRPr="00B56C88" w14:paraId="7DD9F0D8" w14:textId="77777777" w:rsidTr="00B56C88">
        <w:trPr>
          <w:trHeight w:val="574"/>
          <w:jc w:val="center"/>
        </w:trPr>
        <w:tc>
          <w:tcPr>
            <w:tcW w:w="6250" w:type="dxa"/>
            <w:noWrap/>
            <w:hideMark/>
          </w:tcPr>
          <w:p w14:paraId="17D591CD"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Avoided Conversion of Grasslands and Shrublands to Crop Production</w:t>
            </w:r>
          </w:p>
        </w:tc>
        <w:tc>
          <w:tcPr>
            <w:tcW w:w="1023" w:type="dxa"/>
            <w:hideMark/>
          </w:tcPr>
          <w:p w14:paraId="77471ABE"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1</w:t>
            </w:r>
          </w:p>
        </w:tc>
      </w:tr>
      <w:tr w:rsidR="00B56C88" w:rsidRPr="00B56C88" w14:paraId="77ED5697" w14:textId="77777777" w:rsidTr="00B56C88">
        <w:trPr>
          <w:trHeight w:val="574"/>
          <w:jc w:val="center"/>
        </w:trPr>
        <w:tc>
          <w:tcPr>
            <w:tcW w:w="6250" w:type="dxa"/>
            <w:noWrap/>
            <w:hideMark/>
          </w:tcPr>
          <w:p w14:paraId="2CF97832"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Compost Additions to Grazed Grasslands</w:t>
            </w:r>
          </w:p>
        </w:tc>
        <w:tc>
          <w:tcPr>
            <w:tcW w:w="1023" w:type="dxa"/>
            <w:hideMark/>
          </w:tcPr>
          <w:p w14:paraId="7984D507"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1</w:t>
            </w:r>
          </w:p>
        </w:tc>
      </w:tr>
      <w:tr w:rsidR="00B56C88" w:rsidRPr="00B56C88" w14:paraId="756D7D53" w14:textId="77777777" w:rsidTr="00B56C88">
        <w:trPr>
          <w:trHeight w:val="574"/>
          <w:jc w:val="center"/>
        </w:trPr>
        <w:tc>
          <w:tcPr>
            <w:tcW w:w="6250" w:type="dxa"/>
            <w:noWrap/>
            <w:hideMark/>
          </w:tcPr>
          <w:p w14:paraId="671FD22B"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Improved Forest Management (IFM) for Non-Federal U.S. Forestlands</w:t>
            </w:r>
          </w:p>
        </w:tc>
        <w:tc>
          <w:tcPr>
            <w:tcW w:w="1023" w:type="dxa"/>
            <w:hideMark/>
          </w:tcPr>
          <w:p w14:paraId="4ACEAA71"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1.3</w:t>
            </w:r>
          </w:p>
        </w:tc>
      </w:tr>
      <w:tr w:rsidR="00B56C88" w:rsidRPr="00B56C88" w14:paraId="0ACD3D3A" w14:textId="77777777" w:rsidTr="00B56C88">
        <w:trPr>
          <w:trHeight w:val="574"/>
          <w:jc w:val="center"/>
        </w:trPr>
        <w:tc>
          <w:tcPr>
            <w:tcW w:w="6250" w:type="dxa"/>
            <w:noWrap/>
            <w:hideMark/>
          </w:tcPr>
          <w:p w14:paraId="046DD5E9"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Restoration of California Deltaic and Coastal Wetlands</w:t>
            </w:r>
          </w:p>
        </w:tc>
        <w:tc>
          <w:tcPr>
            <w:tcW w:w="1023" w:type="dxa"/>
            <w:hideMark/>
          </w:tcPr>
          <w:p w14:paraId="04B40FC2"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1.1</w:t>
            </w:r>
          </w:p>
        </w:tc>
      </w:tr>
      <w:tr w:rsidR="00B56C88" w:rsidRPr="00B56C88" w14:paraId="7DC7D412" w14:textId="77777777" w:rsidTr="00B56C88">
        <w:trPr>
          <w:trHeight w:val="574"/>
          <w:jc w:val="center"/>
        </w:trPr>
        <w:tc>
          <w:tcPr>
            <w:tcW w:w="6250" w:type="dxa"/>
            <w:noWrap/>
            <w:hideMark/>
          </w:tcPr>
          <w:p w14:paraId="7EB292F0"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Restoration of Degraded Wetlands of the Mississippi Delta</w:t>
            </w:r>
          </w:p>
        </w:tc>
        <w:tc>
          <w:tcPr>
            <w:tcW w:w="1023" w:type="dxa"/>
            <w:hideMark/>
          </w:tcPr>
          <w:p w14:paraId="23BBFC39"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2</w:t>
            </w:r>
          </w:p>
        </w:tc>
      </w:tr>
      <w:tr w:rsidR="00B56C88" w:rsidRPr="00B56C88" w14:paraId="6D250119" w14:textId="77777777" w:rsidTr="00B56C88">
        <w:trPr>
          <w:trHeight w:val="574"/>
          <w:jc w:val="center"/>
        </w:trPr>
        <w:tc>
          <w:tcPr>
            <w:tcW w:w="6250" w:type="dxa"/>
            <w:noWrap/>
            <w:hideMark/>
          </w:tcPr>
          <w:p w14:paraId="761FADAC"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 xml:space="preserve">Restoration of </w:t>
            </w:r>
            <w:proofErr w:type="spellStart"/>
            <w:r w:rsidRPr="00B56C88">
              <w:rPr>
                <w:rFonts w:eastAsia="Times New Roman" w:cs="Arial"/>
                <w:color w:val="000000"/>
                <w:lang w:eastAsia="el-GR"/>
              </w:rPr>
              <w:t>Pocosin</w:t>
            </w:r>
            <w:proofErr w:type="spellEnd"/>
            <w:r w:rsidRPr="00B56C88">
              <w:rPr>
                <w:rFonts w:eastAsia="Times New Roman" w:cs="Arial"/>
                <w:color w:val="000000"/>
                <w:lang w:eastAsia="el-GR"/>
              </w:rPr>
              <w:t xml:space="preserve"> Wetlands </w:t>
            </w:r>
          </w:p>
        </w:tc>
        <w:tc>
          <w:tcPr>
            <w:tcW w:w="1023" w:type="dxa"/>
            <w:hideMark/>
          </w:tcPr>
          <w:p w14:paraId="3856987F" w14:textId="77777777" w:rsidR="00B56C88" w:rsidRPr="00B56C88" w:rsidRDefault="00B56C88" w:rsidP="00B56C88">
            <w:pPr>
              <w:jc w:val="left"/>
              <w:rPr>
                <w:rFonts w:eastAsia="Times New Roman" w:cs="Arial"/>
                <w:color w:val="000000"/>
                <w:lang w:eastAsia="el-GR"/>
              </w:rPr>
            </w:pPr>
            <w:r w:rsidRPr="00B56C88">
              <w:rPr>
                <w:rFonts w:eastAsia="Times New Roman" w:cs="Arial"/>
                <w:color w:val="000000"/>
                <w:lang w:eastAsia="el-GR"/>
              </w:rPr>
              <w:t>1</w:t>
            </w:r>
          </w:p>
        </w:tc>
      </w:tr>
    </w:tbl>
    <w:p w14:paraId="4A136183" w14:textId="58E2725E" w:rsidR="005664B6" w:rsidRPr="00DB35D4" w:rsidRDefault="005664B6" w:rsidP="005664B6">
      <w:pPr>
        <w:rPr>
          <w:rFonts w:cs="Arial"/>
          <w:lang w:eastAsia="el-GR"/>
        </w:rPr>
      </w:pPr>
      <w:r w:rsidRPr="00DB35D4">
        <w:rPr>
          <w:rFonts w:cs="Arial"/>
          <w:lang w:eastAsia="el-GR"/>
        </w:rPr>
        <w:t>ACR registers offset projects from around the globe in a wide range of project types including among others, projects of certain type</w:t>
      </w:r>
      <w:sdt>
        <w:sdtPr>
          <w:rPr>
            <w:rFonts w:cs="Arial"/>
            <w:lang w:eastAsia="el-GR"/>
          </w:rPr>
          <w:id w:val="501854283"/>
          <w:citation/>
        </w:sdtPr>
        <w:sdtEndPr/>
        <w:sdtContent>
          <w:r w:rsidRPr="00DB35D4">
            <w:rPr>
              <w:rFonts w:cs="Arial"/>
              <w:lang w:eastAsia="el-GR"/>
            </w:rPr>
            <w:fldChar w:fldCharType="begin"/>
          </w:r>
          <w:r w:rsidRPr="00DB35D4">
            <w:rPr>
              <w:rFonts w:cs="Arial"/>
              <w:lang w:eastAsia="el-GR"/>
            </w:rPr>
            <w:instrText xml:space="preserve"> CITATION Ame19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(American Carbon Registry, 2019)</w:t>
          </w:r>
          <w:r w:rsidRPr="00DB35D4">
            <w:rPr>
              <w:rFonts w:cs="Arial"/>
              <w:lang w:eastAsia="el-GR"/>
            </w:rPr>
            <w:fldChar w:fldCharType="end"/>
          </w:r>
        </w:sdtContent>
      </w:sdt>
      <w:r w:rsidRPr="00DB35D4">
        <w:rPr>
          <w:rFonts w:cs="Arial"/>
          <w:lang w:eastAsia="el-GR"/>
        </w:rPr>
        <w:t>:  </w:t>
      </w:r>
    </w:p>
    <w:p w14:paraId="6490AB04" w14:textId="77777777" w:rsidR="005664B6" w:rsidRPr="00DB35D4" w:rsidRDefault="005664B6" w:rsidP="00A01330">
      <w:pPr>
        <w:pStyle w:val="ListParagraph"/>
        <w:numPr>
          <w:ilvl w:val="0"/>
          <w:numId w:val="43"/>
        </w:numPr>
        <w:spacing w:before="0" w:after="160"/>
        <w:rPr>
          <w:rFonts w:cs="Arial"/>
          <w:b/>
          <w:lang w:eastAsia="el-GR"/>
        </w:rPr>
      </w:pPr>
      <w:r w:rsidRPr="00DB35D4">
        <w:rPr>
          <w:rFonts w:cs="Arial"/>
          <w:b/>
          <w:lang w:eastAsia="el-GR"/>
        </w:rPr>
        <w:t>Afforestation / Reforestation (A/R)</w:t>
      </w:r>
    </w:p>
    <w:p w14:paraId="1CFD9CC9" w14:textId="77777777" w:rsidR="005664B6" w:rsidRPr="00DB35D4" w:rsidRDefault="005664B6" w:rsidP="00A01330">
      <w:pPr>
        <w:pStyle w:val="ListParagraph"/>
        <w:numPr>
          <w:ilvl w:val="0"/>
          <w:numId w:val="43"/>
        </w:numPr>
        <w:spacing w:before="0" w:after="160"/>
        <w:rPr>
          <w:rFonts w:cs="Arial"/>
          <w:b/>
          <w:lang w:eastAsia="el-GR"/>
        </w:rPr>
      </w:pPr>
      <w:r w:rsidRPr="00DB35D4">
        <w:rPr>
          <w:rFonts w:cs="Arial"/>
          <w:b/>
          <w:lang w:eastAsia="el-GR"/>
        </w:rPr>
        <w:t>Improved Forest Management (IFM)</w:t>
      </w:r>
    </w:p>
    <w:p w14:paraId="487486D0" w14:textId="77777777" w:rsidR="005664B6" w:rsidRPr="00DB35D4" w:rsidRDefault="005664B6" w:rsidP="00A01330">
      <w:pPr>
        <w:pStyle w:val="ListParagraph"/>
        <w:numPr>
          <w:ilvl w:val="0"/>
          <w:numId w:val="43"/>
        </w:numPr>
        <w:spacing w:before="0" w:after="160"/>
        <w:rPr>
          <w:rFonts w:cs="Arial"/>
          <w:b/>
          <w:lang w:eastAsia="el-GR"/>
        </w:rPr>
      </w:pPr>
      <w:r w:rsidRPr="00DB35D4">
        <w:rPr>
          <w:rFonts w:cs="Arial"/>
          <w:b/>
          <w:lang w:eastAsia="el-GR"/>
        </w:rPr>
        <w:t>Reduced Emissions from Deforestation and Degradation (REDD)</w:t>
      </w:r>
    </w:p>
    <w:p w14:paraId="3964B174" w14:textId="77777777" w:rsidR="005664B6" w:rsidRPr="00DB35D4" w:rsidRDefault="005664B6" w:rsidP="00A01330">
      <w:pPr>
        <w:pStyle w:val="ListParagraph"/>
        <w:numPr>
          <w:ilvl w:val="0"/>
          <w:numId w:val="43"/>
        </w:numPr>
        <w:spacing w:before="0" w:after="160"/>
        <w:rPr>
          <w:rFonts w:cs="Arial"/>
          <w:b/>
          <w:lang w:eastAsia="el-GR"/>
        </w:rPr>
      </w:pPr>
      <w:r w:rsidRPr="00DB35D4">
        <w:rPr>
          <w:rFonts w:cs="Arial"/>
          <w:b/>
          <w:lang w:eastAsia="el-GR"/>
        </w:rPr>
        <w:t>Wetland Restoration</w:t>
      </w:r>
    </w:p>
    <w:p w14:paraId="66F88B73" w14:textId="77777777" w:rsidR="005664B6" w:rsidRPr="00DB35D4" w:rsidRDefault="005664B6" w:rsidP="00A01330">
      <w:pPr>
        <w:pStyle w:val="ListParagraph"/>
        <w:numPr>
          <w:ilvl w:val="0"/>
          <w:numId w:val="43"/>
        </w:numPr>
        <w:spacing w:before="0" w:after="160"/>
        <w:rPr>
          <w:rFonts w:cs="Arial"/>
          <w:b/>
          <w:lang w:eastAsia="el-GR"/>
        </w:rPr>
      </w:pPr>
      <w:r w:rsidRPr="00DB35D4">
        <w:rPr>
          <w:rFonts w:cs="Arial"/>
          <w:b/>
          <w:lang w:eastAsia="el-GR"/>
        </w:rPr>
        <w:t>Fertilizer Management</w:t>
      </w:r>
    </w:p>
    <w:p w14:paraId="680AB296" w14:textId="77777777" w:rsidR="005664B6" w:rsidRPr="00DB35D4" w:rsidRDefault="005664B6" w:rsidP="00A01330">
      <w:pPr>
        <w:pStyle w:val="ListParagraph"/>
        <w:numPr>
          <w:ilvl w:val="0"/>
          <w:numId w:val="43"/>
        </w:numPr>
        <w:spacing w:before="0" w:after="160"/>
        <w:rPr>
          <w:rFonts w:cs="Arial"/>
          <w:b/>
          <w:lang w:eastAsia="el-GR"/>
        </w:rPr>
      </w:pPr>
      <w:r w:rsidRPr="00DB35D4">
        <w:rPr>
          <w:rFonts w:cs="Arial"/>
          <w:b/>
          <w:lang w:eastAsia="el-GR"/>
        </w:rPr>
        <w:t>Avoided Conversion of Grasslands &amp; Rangelands</w:t>
      </w:r>
    </w:p>
    <w:p w14:paraId="7D720F56" w14:textId="77777777" w:rsidR="005664B6" w:rsidRPr="00DB35D4" w:rsidRDefault="005664B6" w:rsidP="00A01330">
      <w:pPr>
        <w:pStyle w:val="ListParagraph"/>
        <w:numPr>
          <w:ilvl w:val="0"/>
          <w:numId w:val="43"/>
        </w:numPr>
        <w:spacing w:before="0" w:after="160"/>
        <w:rPr>
          <w:rFonts w:cs="Arial"/>
          <w:lang w:eastAsia="el-GR"/>
        </w:rPr>
      </w:pPr>
      <w:r w:rsidRPr="00DB35D4">
        <w:rPr>
          <w:rFonts w:cs="Arial"/>
          <w:lang w:eastAsia="el-GR"/>
        </w:rPr>
        <w:t>Rice Production</w:t>
      </w:r>
    </w:p>
    <w:p w14:paraId="1BC35732" w14:textId="77777777" w:rsidR="005664B6" w:rsidRPr="00DB35D4" w:rsidRDefault="005664B6" w:rsidP="00A01330">
      <w:pPr>
        <w:pStyle w:val="ListParagraph"/>
        <w:numPr>
          <w:ilvl w:val="0"/>
          <w:numId w:val="43"/>
        </w:numPr>
        <w:spacing w:before="0" w:after="160"/>
        <w:rPr>
          <w:rFonts w:cs="Arial"/>
          <w:lang w:eastAsia="el-GR"/>
        </w:rPr>
      </w:pPr>
      <w:r w:rsidRPr="00DB35D4">
        <w:rPr>
          <w:rFonts w:cs="Arial"/>
          <w:lang w:eastAsia="el-GR"/>
        </w:rPr>
        <w:t>Livestock Waste Management</w:t>
      </w:r>
    </w:p>
    <w:p w14:paraId="2FF4E3DE" w14:textId="77777777" w:rsidR="005664B6" w:rsidRPr="00DB35D4" w:rsidRDefault="005664B6" w:rsidP="00A01330">
      <w:pPr>
        <w:pStyle w:val="ListParagraph"/>
        <w:numPr>
          <w:ilvl w:val="0"/>
          <w:numId w:val="43"/>
        </w:numPr>
        <w:spacing w:before="0" w:after="160"/>
        <w:rPr>
          <w:rFonts w:cs="Arial"/>
          <w:lang w:eastAsia="el-GR"/>
        </w:rPr>
      </w:pPr>
      <w:r w:rsidRPr="00DB35D4">
        <w:rPr>
          <w:rFonts w:cs="Arial"/>
          <w:lang w:eastAsia="el-GR"/>
        </w:rPr>
        <w:t>Improved Cookstoves</w:t>
      </w:r>
    </w:p>
    <w:p w14:paraId="60D69928" w14:textId="77777777" w:rsidR="005664B6" w:rsidRPr="00DB35D4" w:rsidRDefault="005664B6" w:rsidP="00A01330">
      <w:pPr>
        <w:pStyle w:val="ListParagraph"/>
        <w:numPr>
          <w:ilvl w:val="0"/>
          <w:numId w:val="43"/>
        </w:numPr>
        <w:spacing w:before="0" w:after="160"/>
        <w:rPr>
          <w:rFonts w:cs="Arial"/>
          <w:lang w:eastAsia="el-GR"/>
        </w:rPr>
      </w:pPr>
      <w:r w:rsidRPr="00DB35D4">
        <w:rPr>
          <w:rFonts w:cs="Arial"/>
          <w:lang w:eastAsia="el-GR"/>
        </w:rPr>
        <w:t>Water Purification</w:t>
      </w:r>
    </w:p>
    <w:p w14:paraId="23BE87BF" w14:textId="77777777" w:rsidR="005664B6" w:rsidRPr="00DB35D4" w:rsidRDefault="005664B6" w:rsidP="00A01330">
      <w:pPr>
        <w:pStyle w:val="ListParagraph"/>
        <w:numPr>
          <w:ilvl w:val="0"/>
          <w:numId w:val="43"/>
        </w:numPr>
        <w:spacing w:before="0" w:after="160"/>
        <w:rPr>
          <w:rFonts w:cs="Arial"/>
          <w:lang w:eastAsia="el-GR"/>
        </w:rPr>
      </w:pPr>
      <w:r w:rsidRPr="00DB35D4">
        <w:rPr>
          <w:rFonts w:cs="Arial"/>
          <w:lang w:eastAsia="el-GR"/>
        </w:rPr>
        <w:t>Destruction of Ozone Depleting Substances (ODS)</w:t>
      </w:r>
    </w:p>
    <w:p w14:paraId="5F6A79A9" w14:textId="77777777" w:rsidR="005664B6" w:rsidRPr="00DB35D4" w:rsidRDefault="005664B6" w:rsidP="00A01330">
      <w:pPr>
        <w:pStyle w:val="ListParagraph"/>
        <w:numPr>
          <w:ilvl w:val="0"/>
          <w:numId w:val="43"/>
        </w:numPr>
        <w:spacing w:before="0" w:after="160"/>
        <w:rPr>
          <w:rFonts w:cs="Arial"/>
          <w:lang w:eastAsia="el-GR"/>
        </w:rPr>
      </w:pPr>
      <w:r w:rsidRPr="00DB35D4">
        <w:rPr>
          <w:rFonts w:cs="Arial"/>
          <w:lang w:eastAsia="el-GR"/>
        </w:rPr>
        <w:lastRenderedPageBreak/>
        <w:t>Fugitive Methane Emissions</w:t>
      </w:r>
    </w:p>
    <w:p w14:paraId="12CA28FB" w14:textId="77777777" w:rsidR="005664B6" w:rsidRPr="00DB35D4" w:rsidRDefault="005664B6" w:rsidP="00A01330">
      <w:pPr>
        <w:pStyle w:val="ListParagraph"/>
        <w:numPr>
          <w:ilvl w:val="0"/>
          <w:numId w:val="43"/>
        </w:numPr>
        <w:spacing w:before="0" w:after="160"/>
        <w:rPr>
          <w:rFonts w:cs="Arial"/>
          <w:lang w:eastAsia="el-GR"/>
        </w:rPr>
      </w:pPr>
      <w:r w:rsidRPr="00DB35D4">
        <w:rPr>
          <w:rFonts w:cs="Arial"/>
          <w:lang w:eastAsia="el-GR"/>
        </w:rPr>
        <w:t>Transport / Fleet Efficiency</w:t>
      </w:r>
    </w:p>
    <w:p w14:paraId="7092DDD4" w14:textId="77777777" w:rsidR="005664B6" w:rsidRPr="00DB35D4" w:rsidRDefault="005664B6" w:rsidP="00A01330">
      <w:pPr>
        <w:pStyle w:val="ListParagraph"/>
        <w:numPr>
          <w:ilvl w:val="0"/>
          <w:numId w:val="43"/>
        </w:numPr>
        <w:spacing w:before="0" w:after="160"/>
        <w:rPr>
          <w:rFonts w:cs="Arial"/>
          <w:lang w:eastAsia="el-GR"/>
        </w:rPr>
      </w:pPr>
      <w:r w:rsidRPr="00DB35D4">
        <w:rPr>
          <w:rFonts w:cs="Arial"/>
          <w:lang w:eastAsia="el-GR"/>
        </w:rPr>
        <w:t>Landfill Gas Capture &amp; Combustion</w:t>
      </w:r>
    </w:p>
    <w:p w14:paraId="4D54F424" w14:textId="77777777" w:rsidR="005664B6" w:rsidRPr="00DB35D4" w:rsidRDefault="005664B6" w:rsidP="00A01330">
      <w:pPr>
        <w:pStyle w:val="ListParagraph"/>
        <w:numPr>
          <w:ilvl w:val="0"/>
          <w:numId w:val="43"/>
        </w:numPr>
        <w:spacing w:before="0" w:after="160"/>
        <w:rPr>
          <w:rFonts w:cs="Arial"/>
          <w:lang w:eastAsia="el-GR"/>
        </w:rPr>
      </w:pPr>
      <w:r w:rsidRPr="00DB35D4">
        <w:rPr>
          <w:rFonts w:cs="Arial"/>
          <w:lang w:eastAsia="el-GR"/>
        </w:rPr>
        <w:t>Renewable Energy and Energy Efficiency</w:t>
      </w:r>
    </w:p>
    <w:p w14:paraId="4F26F918" w14:textId="36154007" w:rsidR="005664B6" w:rsidRPr="00DB35D4" w:rsidRDefault="005664B6" w:rsidP="005664B6">
      <w:pPr>
        <w:rPr>
          <w:rFonts w:cs="Arial"/>
          <w:b/>
        </w:rPr>
      </w:pPr>
      <w:r w:rsidRPr="00DB35D4">
        <w:rPr>
          <w:rFonts w:cs="Arial"/>
          <w:b/>
        </w:rPr>
        <w:t xml:space="preserve">Site: </w:t>
      </w:r>
      <w:hyperlink r:id="rId145" w:history="1">
        <w:r w:rsidRPr="00DB35D4">
          <w:rPr>
            <w:rStyle w:val="Hyperlink"/>
            <w:rFonts w:cs="Arial"/>
            <w:b/>
          </w:rPr>
          <w:t>americancarbonregistry.org</w:t>
        </w:r>
      </w:hyperlink>
    </w:p>
    <w:p w14:paraId="252EFCC4" w14:textId="77777777" w:rsidR="005664B6" w:rsidRPr="00DB35D4" w:rsidRDefault="005664B6" w:rsidP="009E12D8">
      <w:pPr>
        <w:pStyle w:val="MAIL111"/>
      </w:pPr>
      <w:bookmarkStart w:id="299" w:name="_Toc18677168"/>
      <w:bookmarkStart w:id="300" w:name="_Toc90892999"/>
      <w:bookmarkStart w:id="301" w:name="_Toc91752453"/>
      <w:r w:rsidRPr="00DB35D4">
        <w:t>Plan Vivo</w:t>
      </w:r>
      <w:bookmarkEnd w:id="299"/>
      <w:bookmarkEnd w:id="300"/>
      <w:bookmarkEnd w:id="301"/>
      <w:r w:rsidRPr="00DB35D4">
        <w:t xml:space="preserve"> </w:t>
      </w:r>
    </w:p>
    <w:p w14:paraId="16A3A606" w14:textId="2314F8CD" w:rsidR="005664B6" w:rsidRPr="00DB35D4" w:rsidRDefault="005664B6" w:rsidP="005664B6">
      <w:pPr>
        <w:rPr>
          <w:rFonts w:cs="Arial"/>
        </w:rPr>
      </w:pPr>
      <w:r w:rsidRPr="00DB35D4">
        <w:rPr>
          <w:rFonts w:cs="Arial"/>
        </w:rPr>
        <w:t xml:space="preserve">The Plan Vivo Standard requires the use of approved approaches for estimating emissions and removals from the baseline scenario, and project intervention, and for emissions from leakage. If a suitable approved approach is not available, projects can develop or adopt their own approaches for estimating emissions and removals and submit these to the Plan Vivo Foundation for approval, either separately or in the relevant sections of the PDD. </w:t>
      </w:r>
      <w:r w:rsidRPr="00DB35D4">
        <w:rPr>
          <w:rFonts w:cs="Arial"/>
          <w:b/>
        </w:rPr>
        <w:t>Methodologies</w:t>
      </w:r>
      <w:r w:rsidRPr="00DB35D4">
        <w:rPr>
          <w:rFonts w:cs="Arial"/>
        </w:rPr>
        <w:t xml:space="preserve"> developed for other standards can be considered, although it should be noted that Plan Vivo projects are encouraged to make use of simple, low-cost approaches where possible. Methodologies from other standards can be complex and costly to implement, with the aim of providing precise estimates of all emission reductions and removals. Many of these methodologies can prove impractical when applied to smaller scale projects, and the use of simpler methods, with conservative assumptions, can often reduce cost and complexity without the risk of over-estimating benefits. A full list of approved approaches and a template that should be used when submitting new approaches can be found in Plan </w:t>
      </w:r>
      <w:proofErr w:type="spellStart"/>
      <w:r w:rsidRPr="00DB35D4">
        <w:rPr>
          <w:rFonts w:cs="Arial"/>
        </w:rPr>
        <w:t>Vivo’s</w:t>
      </w:r>
      <w:proofErr w:type="spellEnd"/>
      <w:r w:rsidRPr="00DB35D4">
        <w:rPr>
          <w:rFonts w:cs="Arial"/>
        </w:rPr>
        <w:t xml:space="preserve"> official site. Approved approaches should include clear applicability criteria describing the conditions under which the approach can be used. When adopting an approved approach for estimating emissions and removals, care should be taken to ensure that the project area, baseline scenario and project intervention meet all of the applicability criteria specified for the approach</w:t>
      </w:r>
      <w:sdt>
        <w:sdtPr>
          <w:rPr>
            <w:rFonts w:cs="Arial"/>
          </w:rPr>
          <w:id w:val="-369235076"/>
          <w:citation/>
        </w:sdtPr>
        <w:sdtEndPr/>
        <w:sdtContent>
          <w:r w:rsidRPr="00DB35D4">
            <w:rPr>
              <w:rFonts w:cs="Arial"/>
            </w:rPr>
            <w:fldChar w:fldCharType="begin"/>
          </w:r>
          <w:r w:rsidRPr="00DB35D4">
            <w:rPr>
              <w:rFonts w:cs="Arial"/>
            </w:rPr>
            <w:instrText xml:space="preserve"> CITATION Nic17 \l 1033 </w:instrText>
          </w:r>
          <w:r w:rsidRPr="00DB35D4">
            <w:rPr>
              <w:rFonts w:cs="Arial"/>
            </w:rPr>
            <w:fldChar w:fldCharType="separate"/>
          </w:r>
          <w:r w:rsidR="00487700">
            <w:rPr>
              <w:rFonts w:cs="Arial"/>
              <w:noProof/>
            </w:rPr>
            <w:t xml:space="preserve"> </w:t>
          </w:r>
          <w:r w:rsidR="00487700" w:rsidRPr="00487700">
            <w:rPr>
              <w:rFonts w:cs="Arial"/>
              <w:noProof/>
            </w:rPr>
            <w:t>(Berry, 2017)</w:t>
          </w:r>
          <w:r w:rsidRPr="00DB35D4">
            <w:rPr>
              <w:rFonts w:cs="Arial"/>
            </w:rPr>
            <w:fldChar w:fldCharType="end"/>
          </w:r>
        </w:sdtContent>
      </w:sdt>
      <w:r w:rsidRPr="00DB35D4">
        <w:rPr>
          <w:rFonts w:cs="Arial"/>
        </w:rPr>
        <w:t>,</w:t>
      </w:r>
      <w:sdt>
        <w:sdtPr>
          <w:rPr>
            <w:rFonts w:cs="Arial"/>
          </w:rPr>
          <w:id w:val="1635975091"/>
          <w:citation/>
        </w:sdtPr>
        <w:sdtEndPr/>
        <w:sdtContent>
          <w:r w:rsidRPr="00DB35D4">
            <w:rPr>
              <w:rFonts w:cs="Arial"/>
            </w:rPr>
            <w:fldChar w:fldCharType="begin"/>
          </w:r>
          <w:r w:rsidRPr="00DB35D4">
            <w:rPr>
              <w:rFonts w:cs="Arial"/>
            </w:rPr>
            <w:instrText xml:space="preserve"> CITATION Pla13 \l 1033 </w:instrText>
          </w:r>
          <w:r w:rsidRPr="00DB35D4">
            <w:rPr>
              <w:rFonts w:cs="Arial"/>
            </w:rPr>
            <w:fldChar w:fldCharType="separate"/>
          </w:r>
          <w:r w:rsidR="00487700">
            <w:rPr>
              <w:rFonts w:cs="Arial"/>
              <w:noProof/>
            </w:rPr>
            <w:t xml:space="preserve"> </w:t>
          </w:r>
          <w:r w:rsidR="00487700" w:rsidRPr="00487700">
            <w:rPr>
              <w:rFonts w:cs="Arial"/>
              <w:noProof/>
            </w:rPr>
            <w:t>(Plan Vivo, 2013)</w:t>
          </w:r>
          <w:r w:rsidRPr="00DB35D4">
            <w:rPr>
              <w:rFonts w:cs="Arial"/>
            </w:rPr>
            <w:fldChar w:fldCharType="end"/>
          </w:r>
        </w:sdtContent>
      </w:sdt>
      <w:r w:rsidRPr="00DB35D4">
        <w:rPr>
          <w:rFonts w:cs="Arial"/>
        </w:rPr>
        <w:t>.</w:t>
      </w:r>
    </w:p>
    <w:p w14:paraId="1F24FE36" w14:textId="77777777" w:rsidR="005664B6" w:rsidRPr="00DB35D4" w:rsidRDefault="005664B6" w:rsidP="005664B6">
      <w:pPr>
        <w:rPr>
          <w:rFonts w:cs="Arial"/>
        </w:rPr>
      </w:pPr>
      <w:r w:rsidRPr="00DB35D4">
        <w:rPr>
          <w:rFonts w:cs="Arial"/>
        </w:rPr>
        <w:t xml:space="preserve">Plan Vivo is designing and implementing Projects to contribute to 5 core Sustainable Development Goals (SDGs) due to the ethical principles laid out in the Plan Vivo Standard. By contributing to the core SDGs, Plan Vivo projects are committed into a Pathway to Impact, delivering long-term impacts in terms of poverty alleviation, food security, economic growth, </w:t>
      </w:r>
      <w:r w:rsidRPr="00DB35D4">
        <w:rPr>
          <w:rFonts w:cs="Arial"/>
          <w:b/>
        </w:rPr>
        <w:t>climate action</w:t>
      </w:r>
      <w:r w:rsidRPr="00DB35D4">
        <w:rPr>
          <w:rFonts w:cs="Arial"/>
        </w:rPr>
        <w:t xml:space="preserve"> and biodiversity protection. More specifically they contribute with Projects to SDG 13 (</w:t>
      </w:r>
      <w:r w:rsidRPr="00DB35D4">
        <w:rPr>
          <w:rFonts w:cs="Arial"/>
          <w:b/>
        </w:rPr>
        <w:t>Urgent Action to Combat Climate Change</w:t>
      </w:r>
      <w:r w:rsidRPr="00DB35D4">
        <w:rPr>
          <w:rFonts w:cs="Arial"/>
        </w:rPr>
        <w:t xml:space="preserve">) and more specifically to </w:t>
      </w:r>
      <w:r w:rsidRPr="00DB35D4">
        <w:rPr>
          <w:rFonts w:cs="Arial"/>
          <w:b/>
        </w:rPr>
        <w:t>Reforestation</w:t>
      </w:r>
      <w:r w:rsidRPr="00DB35D4">
        <w:rPr>
          <w:rFonts w:cs="Arial"/>
        </w:rPr>
        <w:t>, </w:t>
      </w:r>
      <w:r w:rsidRPr="00DB35D4">
        <w:rPr>
          <w:rFonts w:cs="Arial"/>
          <w:b/>
        </w:rPr>
        <w:t>afforestation</w:t>
      </w:r>
      <w:r w:rsidRPr="00DB35D4">
        <w:rPr>
          <w:rFonts w:cs="Arial"/>
        </w:rPr>
        <w:t xml:space="preserve">, </w:t>
      </w:r>
      <w:r w:rsidRPr="00DB35D4">
        <w:rPr>
          <w:rFonts w:cs="Arial"/>
          <w:b/>
        </w:rPr>
        <w:t>agroforestry</w:t>
      </w:r>
      <w:r w:rsidRPr="00DB35D4">
        <w:rPr>
          <w:rFonts w:cs="Arial"/>
        </w:rPr>
        <w:t xml:space="preserve"> and the </w:t>
      </w:r>
      <w:r w:rsidRPr="00DB35D4">
        <w:rPr>
          <w:rFonts w:cs="Arial"/>
          <w:b/>
        </w:rPr>
        <w:t>protection and management of forests</w:t>
      </w:r>
      <w:r w:rsidRPr="00DB35D4">
        <w:rPr>
          <w:rFonts w:cs="Arial"/>
        </w:rPr>
        <w:t xml:space="preserve"> for the mitigation of climate change threats and impacts. </w:t>
      </w:r>
      <w:r w:rsidRPr="00DB35D4">
        <w:rPr>
          <w:rFonts w:cs="Arial"/>
        </w:rPr>
        <w:lastRenderedPageBreak/>
        <w:t>By using scientifically rigorous peer-reviews and third-party validation and verification, it is ensured that Plan Vivo projects’ carbon models are robust and conservative.</w:t>
      </w:r>
    </w:p>
    <w:p w14:paraId="693922C6" w14:textId="3AA2E901" w:rsidR="005664B6" w:rsidRPr="00DB35D4" w:rsidRDefault="005664B6" w:rsidP="005664B6">
      <w:pPr>
        <w:rPr>
          <w:rFonts w:cs="Arial"/>
          <w:b/>
        </w:rPr>
      </w:pPr>
      <w:r w:rsidRPr="00DB35D4">
        <w:rPr>
          <w:rFonts w:cs="Arial"/>
          <w:b/>
        </w:rPr>
        <w:t xml:space="preserve">Site: </w:t>
      </w:r>
      <w:hyperlink r:id="rId146" w:history="1">
        <w:r w:rsidRPr="00DB35D4">
          <w:rPr>
            <w:rStyle w:val="Hyperlink"/>
            <w:rFonts w:cs="Arial"/>
            <w:b/>
          </w:rPr>
          <w:t>www.planvivo.org</w:t>
        </w:r>
      </w:hyperlink>
    </w:p>
    <w:p w14:paraId="4FF7F8DE" w14:textId="77777777" w:rsidR="005664B6" w:rsidRPr="00DB35D4" w:rsidRDefault="005664B6" w:rsidP="009E12D8">
      <w:pPr>
        <w:pStyle w:val="MAIL111"/>
      </w:pPr>
      <w:bookmarkStart w:id="302" w:name="_Toc18677169"/>
      <w:bookmarkStart w:id="303" w:name="_Toc90893000"/>
      <w:bookmarkStart w:id="304" w:name="_Toc91752454"/>
      <w:r w:rsidRPr="00DB35D4">
        <w:t>VERRA (old VCR) Standard</w:t>
      </w:r>
      <w:bookmarkEnd w:id="302"/>
      <w:bookmarkEnd w:id="303"/>
      <w:bookmarkEnd w:id="304"/>
    </w:p>
    <w:p w14:paraId="77134EE9" w14:textId="77777777" w:rsidR="005664B6" w:rsidRPr="00DB35D4" w:rsidRDefault="005664B6" w:rsidP="005664B6">
      <w:pPr>
        <w:rPr>
          <w:rFonts w:cs="Arial"/>
        </w:rPr>
      </w:pPr>
      <w:r w:rsidRPr="00DB35D4">
        <w:rPr>
          <w:rFonts w:cs="Arial"/>
        </w:rPr>
        <w:t xml:space="preserve">VERRA develops and manages standards and frameworks to vet environmental and sustainable development efforts, build their capacity and enable funding for sustaining and scaling up their benefits. VERRA works closely with civil society, governments, and the private sector to develop novel frameworks and enable results on the ground. </w:t>
      </w:r>
    </w:p>
    <w:p w14:paraId="3AC740EC" w14:textId="77777777" w:rsidR="005664B6" w:rsidRPr="00DB35D4" w:rsidRDefault="005664B6" w:rsidP="005664B6">
      <w:pPr>
        <w:rPr>
          <w:rFonts w:cs="Arial"/>
        </w:rPr>
      </w:pPr>
      <w:r w:rsidRPr="00DB35D4">
        <w:rPr>
          <w:rFonts w:cs="Arial"/>
        </w:rPr>
        <w:t>All our programs undergo extensive stakeholder consultation and expert review, and draw from four key components: standard, independent assessment, accounting methodologies, and registry.</w:t>
      </w:r>
    </w:p>
    <w:p w14:paraId="09127661" w14:textId="7343B197" w:rsidR="005664B6" w:rsidRPr="00DB35D4" w:rsidRDefault="005664B6" w:rsidP="005664B6">
      <w:pPr>
        <w:rPr>
          <w:rFonts w:cs="Arial"/>
          <w:lang w:eastAsia="el-GR"/>
        </w:rPr>
      </w:pPr>
      <w:r w:rsidRPr="00DB35D4">
        <w:rPr>
          <w:rFonts w:cs="Arial"/>
          <w:lang w:eastAsia="el-GR"/>
        </w:rPr>
        <w:t>According to VERRA an accounting voluntary market standard should set out detailed procedures, methodologies for quantifying the real greenhouse gas (GHG) benefits of a project and provide guidance to help project developers determine project boundaries, set baselines, assess additionality, and ultimately quantify the GHG emissions that were reduced or removed. Methodologies developed under the </w:t>
      </w:r>
      <w:hyperlink r:id="rId147" w:tgtFrame="_blank" w:history="1">
        <w:r w:rsidRPr="00DB35D4">
          <w:rPr>
            <w:rFonts w:cs="Arial"/>
            <w:lang w:eastAsia="el-GR"/>
          </w:rPr>
          <w:t>United Nations Clean Development Mechanism</w:t>
        </w:r>
      </w:hyperlink>
      <w:r w:rsidRPr="00DB35D4">
        <w:rPr>
          <w:rFonts w:cs="Arial"/>
          <w:lang w:eastAsia="el-GR"/>
        </w:rPr>
        <w:t> can be used for projects and programs registering with other accounting standards. The most recent and updated valid version of a methodology must always be used. From time to time, a methodology may be revised, withdrawn, or put on hold</w:t>
      </w:r>
      <w:sdt>
        <w:sdtPr>
          <w:rPr>
            <w:rFonts w:cs="Arial"/>
            <w:lang w:eastAsia="el-GR"/>
          </w:rPr>
          <w:id w:val="151959891"/>
          <w:citation/>
        </w:sdtPr>
        <w:sdtEndPr/>
        <w:sdtContent>
          <w:r w:rsidRPr="00DB35D4">
            <w:rPr>
              <w:rFonts w:cs="Arial"/>
              <w:lang w:eastAsia="el-GR"/>
            </w:rPr>
            <w:fldChar w:fldCharType="begin"/>
          </w:r>
          <w:r w:rsidRPr="00DB35D4">
            <w:rPr>
              <w:rFonts w:cs="Arial"/>
              <w:lang w:eastAsia="el-GR"/>
            </w:rPr>
            <w:instrText xml:space="preserve"> CITATION Ver19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(Verra, 2019)</w:t>
          </w:r>
          <w:r w:rsidRPr="00DB35D4">
            <w:rPr>
              <w:rFonts w:cs="Arial"/>
              <w:lang w:eastAsia="el-GR"/>
            </w:rPr>
            <w:fldChar w:fldCharType="end"/>
          </w:r>
        </w:sdtContent>
      </w:sdt>
      <w:r w:rsidRPr="00DB35D4">
        <w:rPr>
          <w:rFonts w:cs="Arial"/>
          <w:lang w:eastAsia="el-GR"/>
        </w:rPr>
        <w:t>.</w:t>
      </w:r>
    </w:p>
    <w:p w14:paraId="24541625" w14:textId="7371F86A" w:rsidR="005664B6" w:rsidRPr="00DB35D4" w:rsidRDefault="005664B6" w:rsidP="005664B6">
      <w:pPr>
        <w:rPr>
          <w:rFonts w:cs="Arial"/>
        </w:rPr>
      </w:pPr>
      <w:r w:rsidRPr="00DB35D4">
        <w:rPr>
          <w:rFonts w:cs="Arial"/>
        </w:rPr>
        <w:t xml:space="preserve">Since November 2014 all standards introduced by the </w:t>
      </w:r>
      <w:hyperlink r:id="rId148" w:history="1">
        <w:r w:rsidRPr="00DB35D4">
          <w:rPr>
            <w:rStyle w:val="Hyperlink"/>
            <w:rFonts w:cs="Arial"/>
          </w:rPr>
          <w:t>Climate, Community and Biodiversity Standards</w:t>
        </w:r>
      </w:hyperlink>
      <w:r w:rsidRPr="00DB35D4">
        <w:rPr>
          <w:rFonts w:cs="Arial"/>
        </w:rPr>
        <w:t xml:space="preserve"> are managed now by the Verra. </w:t>
      </w:r>
    </w:p>
    <w:p w14:paraId="48E2580A" w14:textId="77777777" w:rsidR="005664B6" w:rsidRPr="00DB35D4" w:rsidRDefault="005664B6" w:rsidP="005664B6">
      <w:pPr>
        <w:rPr>
          <w:rFonts w:cs="Arial"/>
          <w:lang w:eastAsia="el-GR"/>
        </w:rPr>
      </w:pPr>
      <w:r w:rsidRPr="00DB35D4">
        <w:rPr>
          <w:rFonts w:cs="Arial"/>
          <w:lang w:eastAsia="el-GR"/>
        </w:rPr>
        <w:t>Approved Methodologies are divided for different sectors. The separate methodologies per sector are:</w:t>
      </w:r>
    </w:p>
    <w:p w14:paraId="2E58663A" w14:textId="77777777" w:rsidR="005664B6" w:rsidRPr="00DB35D4" w:rsidRDefault="005664B6" w:rsidP="00A01330">
      <w:pPr>
        <w:pStyle w:val="ListParagraph"/>
        <w:numPr>
          <w:ilvl w:val="0"/>
          <w:numId w:val="44"/>
        </w:numPr>
        <w:spacing w:before="0" w:after="160"/>
        <w:jc w:val="left"/>
        <w:rPr>
          <w:rFonts w:cs="Arial"/>
          <w:lang w:eastAsia="el-GR"/>
        </w:rPr>
      </w:pPr>
      <w:r w:rsidRPr="00DB35D4">
        <w:rPr>
          <w:rFonts w:cs="Arial"/>
          <w:lang w:eastAsia="el-GR"/>
        </w:rPr>
        <w:t>Energy</w:t>
      </w:r>
    </w:p>
    <w:p w14:paraId="10569CCF" w14:textId="77777777" w:rsidR="005664B6" w:rsidRPr="00DB35D4" w:rsidRDefault="005664B6" w:rsidP="00A01330">
      <w:pPr>
        <w:pStyle w:val="ListParagraph"/>
        <w:numPr>
          <w:ilvl w:val="0"/>
          <w:numId w:val="44"/>
        </w:numPr>
        <w:spacing w:before="0" w:after="160"/>
        <w:jc w:val="left"/>
        <w:rPr>
          <w:rFonts w:cs="Arial"/>
          <w:lang w:eastAsia="el-GR"/>
        </w:rPr>
      </w:pPr>
      <w:r w:rsidRPr="00DB35D4">
        <w:rPr>
          <w:rFonts w:cs="Arial"/>
          <w:lang w:eastAsia="el-GR"/>
        </w:rPr>
        <w:t>Industrial Processing</w:t>
      </w:r>
    </w:p>
    <w:p w14:paraId="65CA6D97" w14:textId="77777777" w:rsidR="005664B6" w:rsidRPr="00DB35D4" w:rsidRDefault="005664B6" w:rsidP="00A01330">
      <w:pPr>
        <w:pStyle w:val="ListParagraph"/>
        <w:numPr>
          <w:ilvl w:val="0"/>
          <w:numId w:val="44"/>
        </w:numPr>
        <w:spacing w:before="0" w:after="160"/>
        <w:jc w:val="left"/>
        <w:rPr>
          <w:rFonts w:cs="Arial"/>
          <w:lang w:eastAsia="el-GR"/>
        </w:rPr>
      </w:pPr>
      <w:r w:rsidRPr="00DB35D4">
        <w:rPr>
          <w:rFonts w:cs="Arial"/>
          <w:lang w:eastAsia="el-GR"/>
        </w:rPr>
        <w:t>Construction</w:t>
      </w:r>
    </w:p>
    <w:p w14:paraId="21DB2322" w14:textId="77777777" w:rsidR="005664B6" w:rsidRPr="00DB35D4" w:rsidRDefault="005664B6" w:rsidP="00A01330">
      <w:pPr>
        <w:pStyle w:val="ListParagraph"/>
        <w:numPr>
          <w:ilvl w:val="0"/>
          <w:numId w:val="44"/>
        </w:numPr>
        <w:spacing w:before="0" w:after="160"/>
        <w:jc w:val="left"/>
        <w:rPr>
          <w:rFonts w:cs="Arial"/>
          <w:lang w:eastAsia="el-GR"/>
        </w:rPr>
      </w:pPr>
      <w:r w:rsidRPr="00DB35D4">
        <w:rPr>
          <w:rFonts w:cs="Arial"/>
          <w:lang w:eastAsia="el-GR"/>
        </w:rPr>
        <w:t>Transport</w:t>
      </w:r>
    </w:p>
    <w:p w14:paraId="6EDF8AB1" w14:textId="77777777" w:rsidR="005664B6" w:rsidRPr="00DB35D4" w:rsidRDefault="005664B6" w:rsidP="00A01330">
      <w:pPr>
        <w:pStyle w:val="ListParagraph"/>
        <w:numPr>
          <w:ilvl w:val="0"/>
          <w:numId w:val="44"/>
        </w:numPr>
        <w:spacing w:before="0" w:after="160"/>
        <w:jc w:val="left"/>
        <w:rPr>
          <w:rFonts w:cs="Arial"/>
          <w:lang w:eastAsia="el-GR"/>
        </w:rPr>
      </w:pPr>
      <w:r w:rsidRPr="00DB35D4">
        <w:rPr>
          <w:rFonts w:cs="Arial"/>
          <w:lang w:eastAsia="el-GR"/>
        </w:rPr>
        <w:t>Waste</w:t>
      </w:r>
    </w:p>
    <w:p w14:paraId="10D8A31D" w14:textId="77777777" w:rsidR="005664B6" w:rsidRPr="00DB35D4" w:rsidRDefault="005664B6" w:rsidP="00A01330">
      <w:pPr>
        <w:pStyle w:val="ListParagraph"/>
        <w:numPr>
          <w:ilvl w:val="0"/>
          <w:numId w:val="44"/>
        </w:numPr>
        <w:spacing w:before="0" w:after="160"/>
        <w:jc w:val="left"/>
        <w:rPr>
          <w:rFonts w:cs="Arial"/>
          <w:lang w:eastAsia="el-GR"/>
        </w:rPr>
      </w:pPr>
      <w:r w:rsidRPr="00DB35D4">
        <w:rPr>
          <w:rFonts w:cs="Arial"/>
          <w:lang w:eastAsia="el-GR"/>
        </w:rPr>
        <w:t>Mining</w:t>
      </w:r>
    </w:p>
    <w:p w14:paraId="61F637EB" w14:textId="77777777" w:rsidR="005664B6" w:rsidRPr="00DB35D4" w:rsidRDefault="005664B6" w:rsidP="00A01330">
      <w:pPr>
        <w:pStyle w:val="ListParagraph"/>
        <w:numPr>
          <w:ilvl w:val="0"/>
          <w:numId w:val="44"/>
        </w:numPr>
        <w:spacing w:before="0" w:after="160"/>
        <w:jc w:val="left"/>
        <w:rPr>
          <w:rFonts w:cs="Arial"/>
          <w:b/>
          <w:lang w:eastAsia="el-GR"/>
        </w:rPr>
      </w:pPr>
      <w:r w:rsidRPr="00DB35D4">
        <w:rPr>
          <w:rFonts w:cs="Arial"/>
          <w:b/>
          <w:lang w:eastAsia="el-GR"/>
        </w:rPr>
        <w:t>Agriculture</w:t>
      </w:r>
    </w:p>
    <w:p w14:paraId="3DCC2EE7" w14:textId="77777777" w:rsidR="005664B6" w:rsidRPr="00DB35D4" w:rsidRDefault="005664B6" w:rsidP="00A01330">
      <w:pPr>
        <w:pStyle w:val="ListParagraph"/>
        <w:numPr>
          <w:ilvl w:val="0"/>
          <w:numId w:val="44"/>
        </w:numPr>
        <w:spacing w:before="0" w:after="160"/>
        <w:jc w:val="left"/>
        <w:rPr>
          <w:rFonts w:cs="Arial"/>
          <w:b/>
          <w:lang w:eastAsia="el-GR"/>
        </w:rPr>
      </w:pPr>
      <w:r w:rsidRPr="00DB35D4">
        <w:rPr>
          <w:rFonts w:cs="Arial"/>
          <w:b/>
          <w:lang w:eastAsia="el-GR"/>
        </w:rPr>
        <w:t>Forestry</w:t>
      </w:r>
    </w:p>
    <w:p w14:paraId="5D302969" w14:textId="77777777" w:rsidR="005664B6" w:rsidRPr="00DB35D4" w:rsidRDefault="005664B6" w:rsidP="00A01330">
      <w:pPr>
        <w:pStyle w:val="ListParagraph"/>
        <w:numPr>
          <w:ilvl w:val="0"/>
          <w:numId w:val="44"/>
        </w:numPr>
        <w:spacing w:before="0" w:after="160"/>
        <w:jc w:val="left"/>
        <w:rPr>
          <w:rFonts w:cs="Arial"/>
          <w:b/>
          <w:lang w:eastAsia="el-GR"/>
        </w:rPr>
      </w:pPr>
      <w:r w:rsidRPr="00DB35D4">
        <w:rPr>
          <w:rFonts w:cs="Arial"/>
          <w:b/>
          <w:lang w:eastAsia="el-GR"/>
        </w:rPr>
        <w:lastRenderedPageBreak/>
        <w:t>Grasslands</w:t>
      </w:r>
    </w:p>
    <w:p w14:paraId="1BB184A7" w14:textId="77777777" w:rsidR="005664B6" w:rsidRPr="00DB35D4" w:rsidRDefault="005664B6" w:rsidP="00A01330">
      <w:pPr>
        <w:pStyle w:val="ListParagraph"/>
        <w:numPr>
          <w:ilvl w:val="0"/>
          <w:numId w:val="44"/>
        </w:numPr>
        <w:spacing w:before="0" w:after="160"/>
        <w:jc w:val="left"/>
        <w:rPr>
          <w:rFonts w:cs="Arial"/>
          <w:b/>
          <w:color w:val="FF0000"/>
          <w:lang w:eastAsia="el-GR"/>
        </w:rPr>
      </w:pPr>
      <w:r w:rsidRPr="00DB35D4">
        <w:rPr>
          <w:rFonts w:cs="Arial"/>
          <w:b/>
          <w:lang w:eastAsia="el-GR"/>
        </w:rPr>
        <w:t>Wetlands</w:t>
      </w:r>
    </w:p>
    <w:p w14:paraId="043AB68A" w14:textId="77777777" w:rsidR="005664B6" w:rsidRPr="00DB35D4" w:rsidRDefault="005664B6" w:rsidP="00A01330">
      <w:pPr>
        <w:pStyle w:val="ListParagraph"/>
        <w:numPr>
          <w:ilvl w:val="0"/>
          <w:numId w:val="44"/>
        </w:numPr>
        <w:spacing w:before="0" w:after="160"/>
        <w:jc w:val="left"/>
        <w:rPr>
          <w:rFonts w:cs="Arial"/>
          <w:lang w:eastAsia="el-GR"/>
        </w:rPr>
      </w:pPr>
      <w:r w:rsidRPr="00DB35D4">
        <w:rPr>
          <w:rFonts w:cs="Arial"/>
          <w:lang w:eastAsia="el-GR"/>
        </w:rPr>
        <w:t>Livestock &amp; manure</w:t>
      </w:r>
    </w:p>
    <w:p w14:paraId="5B7984A1" w14:textId="77777777" w:rsidR="005664B6" w:rsidRPr="00DB35D4" w:rsidRDefault="005664B6" w:rsidP="00A01330">
      <w:pPr>
        <w:pStyle w:val="ListParagraph"/>
        <w:numPr>
          <w:ilvl w:val="0"/>
          <w:numId w:val="44"/>
        </w:numPr>
        <w:spacing w:before="0" w:after="160"/>
        <w:jc w:val="left"/>
        <w:rPr>
          <w:rFonts w:cs="Arial"/>
          <w:lang w:eastAsia="el-GR"/>
        </w:rPr>
      </w:pPr>
      <w:r w:rsidRPr="00DB35D4">
        <w:rPr>
          <w:rFonts w:cs="Arial"/>
          <w:bCs/>
          <w:lang w:eastAsia="el-GR"/>
        </w:rPr>
        <w:t>Non-VCS methodologies</w:t>
      </w:r>
    </w:p>
    <w:p w14:paraId="5FE1ECAD" w14:textId="7653E85A" w:rsidR="005664B6" w:rsidRPr="00DB35D4" w:rsidRDefault="005664B6" w:rsidP="005664B6">
      <w:pPr>
        <w:rPr>
          <w:rStyle w:val="Hyperlink"/>
          <w:rFonts w:cs="Arial"/>
          <w:b/>
        </w:rPr>
      </w:pPr>
      <w:r w:rsidRPr="00DB35D4">
        <w:rPr>
          <w:rFonts w:cs="Arial"/>
          <w:b/>
        </w:rPr>
        <w:t xml:space="preserve">Site: </w:t>
      </w:r>
      <w:hyperlink r:id="rId149" w:history="1">
        <w:r w:rsidRPr="00DB35D4">
          <w:rPr>
            <w:rStyle w:val="Hyperlink"/>
            <w:rFonts w:cs="Arial"/>
            <w:b/>
          </w:rPr>
          <w:t>verra.org</w:t>
        </w:r>
      </w:hyperlink>
    </w:p>
    <w:p w14:paraId="7941A108" w14:textId="77777777" w:rsidR="005664B6" w:rsidRPr="00DB35D4" w:rsidRDefault="005664B6" w:rsidP="009E12D8">
      <w:pPr>
        <w:pStyle w:val="MAIL111"/>
      </w:pPr>
      <w:bookmarkStart w:id="305" w:name="_Toc90893001"/>
      <w:bookmarkStart w:id="306" w:name="_Toc91752455"/>
      <w:r w:rsidRPr="00DB35D4">
        <w:t>Gold Standard</w:t>
      </w:r>
      <w:bookmarkEnd w:id="305"/>
      <w:bookmarkEnd w:id="306"/>
    </w:p>
    <w:p w14:paraId="65CB973B" w14:textId="77777777" w:rsidR="005664B6" w:rsidRPr="00DB35D4" w:rsidRDefault="005664B6" w:rsidP="005664B6">
      <w:pPr>
        <w:rPr>
          <w:rFonts w:cs="Arial"/>
          <w:lang w:eastAsia="el-GR"/>
        </w:rPr>
      </w:pPr>
      <w:r w:rsidRPr="00DB35D4">
        <w:rPr>
          <w:rFonts w:cs="Arial"/>
          <w:lang w:eastAsia="el-GR"/>
        </w:rPr>
        <w:t>Gold Standard was founded by WWF and other NGOs to serve as the benchmark in carbon markets -- ensuring that projects adhered to the highest levels of environmental integrity and delivered sustainable development benefits to local communities. Gold Standard continues to represent the best that can be achieved in carbon markets, featuring:</w:t>
      </w:r>
    </w:p>
    <w:p w14:paraId="4E759EDB" w14:textId="77777777" w:rsidR="005664B6" w:rsidRPr="00DB35D4" w:rsidRDefault="005664B6" w:rsidP="00A01330">
      <w:pPr>
        <w:pStyle w:val="ListParagraph"/>
        <w:numPr>
          <w:ilvl w:val="0"/>
          <w:numId w:val="28"/>
        </w:numPr>
        <w:spacing w:before="0" w:after="160"/>
        <w:rPr>
          <w:rFonts w:cs="Arial"/>
          <w:lang w:eastAsia="el-GR"/>
        </w:rPr>
      </w:pPr>
      <w:r w:rsidRPr="00DB35D4">
        <w:rPr>
          <w:rFonts w:cs="Arial"/>
          <w:lang w:eastAsia="el-GR"/>
        </w:rPr>
        <w:t>The most stringent environmental and social safeguards</w:t>
      </w:r>
    </w:p>
    <w:p w14:paraId="115C0B08" w14:textId="77777777" w:rsidR="005664B6" w:rsidRPr="00DB35D4" w:rsidRDefault="005664B6" w:rsidP="00A01330">
      <w:pPr>
        <w:pStyle w:val="ListParagraph"/>
        <w:numPr>
          <w:ilvl w:val="0"/>
          <w:numId w:val="28"/>
        </w:numPr>
        <w:spacing w:before="0" w:after="160"/>
        <w:rPr>
          <w:rFonts w:cs="Arial"/>
          <w:lang w:eastAsia="el-GR"/>
        </w:rPr>
      </w:pPr>
      <w:r w:rsidRPr="00DB35D4">
        <w:rPr>
          <w:rFonts w:cs="Arial"/>
          <w:lang w:eastAsia="el-GR"/>
        </w:rPr>
        <w:t>Local stakeholder consultation</w:t>
      </w:r>
    </w:p>
    <w:p w14:paraId="131FF2B9" w14:textId="77777777" w:rsidR="005664B6" w:rsidRPr="00DB35D4" w:rsidRDefault="005664B6" w:rsidP="00A01330">
      <w:pPr>
        <w:pStyle w:val="ListParagraph"/>
        <w:numPr>
          <w:ilvl w:val="0"/>
          <w:numId w:val="28"/>
        </w:numPr>
        <w:spacing w:before="0" w:after="160"/>
        <w:rPr>
          <w:rFonts w:cs="Arial"/>
          <w:lang w:eastAsia="el-GR"/>
        </w:rPr>
      </w:pPr>
      <w:r w:rsidRPr="00DB35D4">
        <w:rPr>
          <w:rFonts w:cs="Arial"/>
          <w:lang w:eastAsia="el-GR"/>
        </w:rPr>
        <w:t>Gender-sensitive project design</w:t>
      </w:r>
    </w:p>
    <w:p w14:paraId="4BAF5B41" w14:textId="77777777" w:rsidR="005664B6" w:rsidRPr="00DB35D4" w:rsidRDefault="005664B6" w:rsidP="00A01330">
      <w:pPr>
        <w:pStyle w:val="ListParagraph"/>
        <w:numPr>
          <w:ilvl w:val="0"/>
          <w:numId w:val="28"/>
        </w:numPr>
        <w:spacing w:before="0" w:after="160"/>
        <w:rPr>
          <w:rFonts w:cs="Arial"/>
          <w:lang w:eastAsia="el-GR"/>
        </w:rPr>
      </w:pPr>
      <w:r w:rsidRPr="00DB35D4">
        <w:rPr>
          <w:rFonts w:cs="Arial"/>
          <w:lang w:eastAsia="el-GR"/>
        </w:rPr>
        <w:t>Multiple contributions to sustainable development</w:t>
      </w:r>
    </w:p>
    <w:p w14:paraId="214CA15C" w14:textId="77777777" w:rsidR="005664B6" w:rsidRPr="00DB35D4" w:rsidRDefault="005664B6" w:rsidP="00A01330">
      <w:pPr>
        <w:pStyle w:val="ListParagraph"/>
        <w:numPr>
          <w:ilvl w:val="0"/>
          <w:numId w:val="28"/>
        </w:numPr>
        <w:spacing w:before="0" w:after="160"/>
        <w:rPr>
          <w:rFonts w:cs="Arial"/>
          <w:lang w:eastAsia="el-GR"/>
        </w:rPr>
      </w:pPr>
      <w:r w:rsidRPr="00DB35D4">
        <w:rPr>
          <w:rFonts w:cs="Arial"/>
          <w:lang w:eastAsia="el-GR"/>
        </w:rPr>
        <w:t xml:space="preserve">Higher environmental integrity </w:t>
      </w:r>
    </w:p>
    <w:p w14:paraId="13D70A9C" w14:textId="77777777" w:rsidR="005664B6" w:rsidRPr="00DB35D4" w:rsidRDefault="005664B6" w:rsidP="00A01330">
      <w:pPr>
        <w:pStyle w:val="ListParagraph"/>
        <w:numPr>
          <w:ilvl w:val="0"/>
          <w:numId w:val="28"/>
        </w:numPr>
        <w:spacing w:before="0" w:after="160"/>
        <w:rPr>
          <w:rFonts w:cs="Arial"/>
          <w:lang w:eastAsia="el-GR"/>
        </w:rPr>
      </w:pPr>
      <w:r w:rsidRPr="00DB35D4">
        <w:rPr>
          <w:rFonts w:cs="Arial"/>
          <w:lang w:eastAsia="el-GR"/>
        </w:rPr>
        <w:t xml:space="preserve">Civil society endorsement </w:t>
      </w:r>
    </w:p>
    <w:p w14:paraId="3BBEC163" w14:textId="6B38A004" w:rsidR="005664B6" w:rsidRPr="00DB35D4" w:rsidRDefault="005664B6" w:rsidP="005664B6">
      <w:pPr>
        <w:rPr>
          <w:rFonts w:cs="Arial"/>
          <w:lang w:eastAsia="el-GR"/>
        </w:rPr>
      </w:pPr>
      <w:r w:rsidRPr="00DB35D4">
        <w:rPr>
          <w:rFonts w:cs="Arial"/>
          <w:lang w:eastAsia="el-GR"/>
        </w:rPr>
        <w:t>Gold Standard climate protection projects delivers up to $465 in additional value toward the SDGs for every ton of CO2 mitigated</w:t>
      </w:r>
      <w:sdt>
        <w:sdtPr>
          <w:rPr>
            <w:rFonts w:cs="Arial"/>
            <w:lang w:eastAsia="el-GR"/>
          </w:rPr>
          <w:id w:val="-1684357843"/>
          <w:citation/>
        </w:sdtPr>
        <w:sdtEndPr/>
        <w:sdtContent>
          <w:r w:rsidRPr="00DB35D4">
            <w:rPr>
              <w:rFonts w:cs="Arial"/>
              <w:lang w:eastAsia="el-GR"/>
            </w:rPr>
            <w:fldChar w:fldCharType="begin"/>
          </w:r>
          <w:r w:rsidRPr="00DB35D4">
            <w:rPr>
              <w:rFonts w:cs="Arial"/>
              <w:lang w:eastAsia="el-GR"/>
            </w:rPr>
            <w:instrText xml:space="preserve">CITATION Gol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(Gold Standard, 2019)</w:t>
          </w:r>
          <w:r w:rsidRPr="00DB35D4">
            <w:rPr>
              <w:rFonts w:cs="Arial"/>
              <w:lang w:eastAsia="el-GR"/>
            </w:rPr>
            <w:fldChar w:fldCharType="end"/>
          </w:r>
        </w:sdtContent>
      </w:sdt>
      <w:r w:rsidRPr="00DB35D4">
        <w:rPr>
          <w:rFonts w:cs="Arial"/>
          <w:lang w:eastAsia="el-GR"/>
        </w:rPr>
        <w:t>. </w:t>
      </w:r>
    </w:p>
    <w:p w14:paraId="200DCE14" w14:textId="51D02AFB" w:rsidR="005664B6" w:rsidRPr="00DB35D4" w:rsidRDefault="005664B6" w:rsidP="005664B6">
      <w:pPr>
        <w:rPr>
          <w:rFonts w:cs="Arial"/>
          <w:lang w:eastAsia="el-GR"/>
        </w:rPr>
      </w:pPr>
      <w:r w:rsidRPr="00DB35D4">
        <w:rPr>
          <w:rFonts w:cs="Arial"/>
          <w:lang w:eastAsia="el-GR"/>
        </w:rPr>
        <w:t>Gold standard has published guidelines for the implementation of projects towards the sequestration of CO</w:t>
      </w:r>
      <w:r w:rsidRPr="00DB35D4">
        <w:rPr>
          <w:rFonts w:cs="Arial"/>
          <w:vertAlign w:val="subscript"/>
          <w:lang w:eastAsia="el-GR"/>
        </w:rPr>
        <w:t>2</w:t>
      </w:r>
      <w:r w:rsidRPr="00DB35D4">
        <w:rPr>
          <w:rFonts w:cs="Arial"/>
          <w:lang w:eastAsia="el-GR"/>
        </w:rPr>
        <w:t xml:space="preserve"> with LULUCF </w:t>
      </w:r>
      <w:sdt>
        <w:sdtPr>
          <w:rPr>
            <w:rFonts w:cs="Arial"/>
            <w:lang w:eastAsia="el-GR"/>
          </w:rPr>
          <w:id w:val="2082324667"/>
          <w:citation/>
        </w:sdtPr>
        <w:sdtEndPr/>
        <w:sdtContent>
          <w:r w:rsidRPr="00DB35D4">
            <w:rPr>
              <w:rFonts w:cs="Arial"/>
              <w:lang w:eastAsia="el-GR"/>
            </w:rPr>
            <w:fldChar w:fldCharType="begin"/>
          </w:r>
          <w:r w:rsidRPr="00DB35D4">
            <w:rPr>
              <w:rFonts w:cs="Arial"/>
              <w:lang w:eastAsia="el-GR"/>
            </w:rPr>
            <w:instrText xml:space="preserve"> CITATION Gol17 \l 1033 </w:instrText>
          </w:r>
          <w:r w:rsidRPr="00DB35D4">
            <w:rPr>
              <w:rFonts w:cs="Arial"/>
              <w:lang w:eastAsia="el-GR"/>
            </w:rPr>
            <w:fldChar w:fldCharType="separate"/>
          </w:r>
          <w:r w:rsidR="00487700" w:rsidRPr="00487700">
            <w:rPr>
              <w:rFonts w:cs="Arial"/>
              <w:noProof/>
              <w:lang w:eastAsia="el-GR"/>
            </w:rPr>
            <w:t>(Gold Standard, 2017)</w:t>
          </w:r>
          <w:r w:rsidRPr="00DB35D4">
            <w:rPr>
              <w:rFonts w:cs="Arial"/>
              <w:lang w:eastAsia="el-GR"/>
            </w:rPr>
            <w:fldChar w:fldCharType="end"/>
          </w:r>
        </w:sdtContent>
      </w:sdt>
      <w:r w:rsidRPr="00DB35D4">
        <w:rPr>
          <w:rFonts w:cs="Arial"/>
          <w:lang w:eastAsia="el-GR"/>
        </w:rPr>
        <w:t>.</w:t>
      </w:r>
    </w:p>
    <w:p w14:paraId="4CA7AA4F" w14:textId="715C81EE" w:rsidR="005664B6" w:rsidRPr="00DB35D4" w:rsidRDefault="005664B6" w:rsidP="005664B6">
      <w:pPr>
        <w:rPr>
          <w:rFonts w:cs="Arial"/>
          <w:lang w:eastAsia="el-GR"/>
        </w:rPr>
      </w:pPr>
      <w:r w:rsidRPr="00DB35D4">
        <w:rPr>
          <w:rFonts w:cs="Arial"/>
          <w:lang w:eastAsia="el-GR"/>
        </w:rPr>
        <w:t xml:space="preserve">All projects implemented by Gold Standard can be found following the </w:t>
      </w:r>
      <w:hyperlink r:id="rId150" w:history="1">
        <w:r w:rsidRPr="00DB35D4">
          <w:rPr>
            <w:rStyle w:val="Hyperlink"/>
            <w:rFonts w:cs="Arial"/>
            <w:lang w:eastAsia="el-GR"/>
          </w:rPr>
          <w:t>link</w:t>
        </w:r>
      </w:hyperlink>
      <w:r w:rsidRPr="00DB35D4">
        <w:rPr>
          <w:rFonts w:cs="Arial"/>
          <w:lang w:eastAsia="el-GR"/>
        </w:rPr>
        <w:t>.</w:t>
      </w:r>
    </w:p>
    <w:p w14:paraId="573D78C2" w14:textId="04F174C9" w:rsidR="005664B6" w:rsidRPr="00DB35D4" w:rsidRDefault="005664B6" w:rsidP="005664B6">
      <w:pPr>
        <w:rPr>
          <w:rFonts w:cs="Arial"/>
          <w:b/>
          <w:lang w:eastAsia="el-GR"/>
        </w:rPr>
      </w:pPr>
      <w:r w:rsidRPr="00DB35D4">
        <w:rPr>
          <w:rFonts w:cs="Arial"/>
          <w:b/>
          <w:lang w:eastAsia="el-GR"/>
        </w:rPr>
        <w:t xml:space="preserve">Site: </w:t>
      </w:r>
      <w:hyperlink r:id="rId151" w:history="1">
        <w:r w:rsidRPr="00DB35D4">
          <w:rPr>
            <w:rStyle w:val="Hyperlink"/>
            <w:rFonts w:cs="Arial"/>
            <w:b/>
            <w:lang w:eastAsia="el-GR"/>
          </w:rPr>
          <w:t>www.goldstandard.org</w:t>
        </w:r>
      </w:hyperlink>
    </w:p>
    <w:p w14:paraId="6C4E7F11" w14:textId="77777777" w:rsidR="005664B6" w:rsidRPr="00DB35D4" w:rsidRDefault="005664B6" w:rsidP="009E12D8">
      <w:pPr>
        <w:pStyle w:val="MAIL111"/>
      </w:pPr>
      <w:bookmarkStart w:id="307" w:name="_Toc90893002"/>
      <w:bookmarkStart w:id="308" w:name="_Toc91752456"/>
      <w:r w:rsidRPr="00DB35D4">
        <w:t>Emissions Reduction Fund</w:t>
      </w:r>
      <w:bookmarkEnd w:id="307"/>
      <w:bookmarkEnd w:id="308"/>
    </w:p>
    <w:p w14:paraId="1A6DB227" w14:textId="3E19F718" w:rsidR="005664B6" w:rsidRPr="00DB35D4" w:rsidRDefault="005664B6" w:rsidP="005664B6">
      <w:pPr>
        <w:rPr>
          <w:rFonts w:cs="Arial"/>
          <w:lang w:eastAsia="el-GR"/>
        </w:rPr>
      </w:pPr>
      <w:r w:rsidRPr="00DB35D4">
        <w:rPr>
          <w:rFonts w:cs="Arial"/>
          <w:lang w:eastAsia="el-GR"/>
        </w:rPr>
        <w:t xml:space="preserve">The Emissions Reduction Fund is a voluntary scheme that aims to provide incentives for a range of organizations and individuals to adopt new practices and technologies to reduce their emissions. It is enacted through the </w:t>
      </w:r>
      <w:hyperlink r:id="rId152" w:tgtFrame="_blank" w:history="1">
        <w:r w:rsidRPr="00DB35D4">
          <w:rPr>
            <w:rFonts w:cs="Arial"/>
            <w:i/>
            <w:iCs/>
            <w:lang w:eastAsia="el-GR"/>
          </w:rPr>
          <w:t>Carbon Credits (Carbon Farming Initiative) Act 2011</w:t>
        </w:r>
      </w:hyperlink>
      <w:r w:rsidRPr="00DB35D4">
        <w:rPr>
          <w:rFonts w:cs="Arial"/>
          <w:lang w:eastAsia="el-GR"/>
        </w:rPr>
        <w:t xml:space="preserve">, the Carbon Credits (Carbon Farming Initiative) Regulations 2011 and </w:t>
      </w:r>
      <w:proofErr w:type="gramStart"/>
      <w:r w:rsidRPr="00DB35D4">
        <w:rPr>
          <w:rFonts w:cs="Arial"/>
          <w:lang w:eastAsia="el-GR"/>
        </w:rPr>
        <w:t>the  Carbon</w:t>
      </w:r>
      <w:proofErr w:type="gramEnd"/>
      <w:r w:rsidRPr="00DB35D4">
        <w:rPr>
          <w:rFonts w:cs="Arial"/>
          <w:lang w:eastAsia="el-GR"/>
        </w:rPr>
        <w:t xml:space="preserve"> Credits (Carbon Farming Initiative) Rule 2015.</w:t>
      </w:r>
    </w:p>
    <w:p w14:paraId="7D58491F" w14:textId="77777777" w:rsidR="005664B6" w:rsidRPr="00DB35D4" w:rsidRDefault="005664B6" w:rsidP="005664B6">
      <w:pPr>
        <w:rPr>
          <w:rFonts w:cs="Arial"/>
          <w:lang w:eastAsia="el-GR"/>
        </w:rPr>
      </w:pPr>
      <w:r w:rsidRPr="00DB35D4">
        <w:rPr>
          <w:rFonts w:cs="Arial"/>
          <w:lang w:eastAsia="el-GR"/>
        </w:rPr>
        <w:lastRenderedPageBreak/>
        <w:t>Several activities are eligible under the scheme and participants can earn Australian Carbon Credit Units (ACCUs) for emissions reductions. One ACCU is earned for each ton of carbon dioxide equivalent (tCO</w:t>
      </w:r>
      <w:r w:rsidRPr="00DB35D4">
        <w:rPr>
          <w:rFonts w:cs="Arial"/>
          <w:vertAlign w:val="subscript"/>
          <w:lang w:eastAsia="el-GR"/>
        </w:rPr>
        <w:t>2</w:t>
      </w:r>
      <w:r w:rsidRPr="00DB35D4">
        <w:rPr>
          <w:rFonts w:cs="Arial"/>
          <w:lang w:eastAsia="el-GR"/>
        </w:rPr>
        <w:t>-e) stored or avoided by a project. ACCUs can be sold to generate income, either to the government through a carbon abatement contract, or in the secondary market.</w:t>
      </w:r>
    </w:p>
    <w:p w14:paraId="3EFA2AFD" w14:textId="77777777" w:rsidR="005664B6" w:rsidRPr="00DB35D4" w:rsidRDefault="005664B6" w:rsidP="005664B6">
      <w:pPr>
        <w:rPr>
          <w:rFonts w:cs="Arial"/>
          <w:lang w:eastAsia="el-GR"/>
        </w:rPr>
      </w:pPr>
      <w:r w:rsidRPr="00DB35D4">
        <w:rPr>
          <w:rFonts w:cs="Arial"/>
          <w:lang w:eastAsia="el-GR"/>
        </w:rPr>
        <w:t>To ensure these emissions reductions are not displaced significantly by a rise in emissions elsewhere in the economy, the Emissions Reduction Fund also includes a safeguard mechanism​, which encourages large businesses to keep their emissions within historical levels.</w:t>
      </w:r>
    </w:p>
    <w:p w14:paraId="1E500826" w14:textId="77777777" w:rsidR="005664B6" w:rsidRPr="00DB35D4" w:rsidRDefault="005664B6" w:rsidP="005664B6">
      <w:pPr>
        <w:rPr>
          <w:rFonts w:cs="Arial"/>
          <w:lang w:eastAsia="el-GR"/>
        </w:rPr>
      </w:pPr>
      <w:r w:rsidRPr="00DB35D4">
        <w:rPr>
          <w:rFonts w:cs="Arial"/>
          <w:lang w:eastAsia="el-GR"/>
        </w:rPr>
        <w:t>The types of projects to choose and undertake as part of the Emissions Reduction Fund are called methods. The methods explain how to carry out a project and measure the resulting reductions in emissions.</w:t>
      </w:r>
    </w:p>
    <w:p w14:paraId="7F556448" w14:textId="77777777" w:rsidR="005664B6" w:rsidRPr="00DB35D4" w:rsidRDefault="005664B6" w:rsidP="00E91166">
      <w:pPr>
        <w:keepNext/>
        <w:jc w:val="center"/>
        <w:rPr>
          <w:rFonts w:cs="Arial"/>
        </w:rPr>
      </w:pPr>
      <w:r w:rsidRPr="00DB35D4">
        <w:rPr>
          <w:rFonts w:cs="Arial"/>
          <w:noProof/>
          <w:lang w:val="es-ES" w:eastAsia="es-ES"/>
        </w:rPr>
        <w:drawing>
          <wp:inline distT="0" distB="0" distL="0" distR="0" wp14:anchorId="18BFF41B" wp14:editId="17046D54">
            <wp:extent cx="4995660" cy="2377212"/>
            <wp:effectExtent l="0" t="0" r="0" b="4445"/>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8047" t="34511" r="2589" b="6808"/>
                    <a:stretch/>
                  </pic:blipFill>
                  <pic:spPr bwMode="auto">
                    <a:xfrm>
                      <a:off x="0" y="0"/>
                      <a:ext cx="5025851" cy="2391578"/>
                    </a:xfrm>
                    <a:prstGeom prst="rect">
                      <a:avLst/>
                    </a:prstGeom>
                    <a:ln>
                      <a:noFill/>
                    </a:ln>
                    <a:extLst>
                      <a:ext uri="{53640926-AAD7-44D8-BBD7-CCE9431645EC}">
                        <a14:shadowObscured xmlns:a14="http://schemas.microsoft.com/office/drawing/2010/main"/>
                      </a:ext>
                    </a:extLst>
                  </pic:spPr>
                </pic:pic>
              </a:graphicData>
            </a:graphic>
          </wp:inline>
        </w:drawing>
      </w:r>
    </w:p>
    <w:p w14:paraId="09F50D21" w14:textId="16418448" w:rsidR="005664B6" w:rsidRPr="00E91166" w:rsidRDefault="005664B6" w:rsidP="00B56C88">
      <w:pPr>
        <w:pStyle w:val="Caption"/>
        <w:keepNext/>
        <w:rPr>
          <w:rFonts w:cs="Arial"/>
          <w:b w:val="0"/>
          <w:bCs w:val="0"/>
          <w:i/>
          <w:iCs/>
        </w:rPr>
      </w:pPr>
      <w:bookmarkStart w:id="309" w:name="_Toc90888752"/>
      <w:bookmarkStart w:id="310" w:name="_Toc90893526"/>
      <w:bookmarkStart w:id="311" w:name="_Toc91752532"/>
      <w:r w:rsidRPr="00E91166">
        <w:rPr>
          <w:rFonts w:cs="Arial"/>
        </w:rPr>
        <w:t xml:space="preserve">Figure </w:t>
      </w:r>
      <w:r w:rsidRPr="00E91166">
        <w:rPr>
          <w:rFonts w:cs="Arial"/>
          <w:b w:val="0"/>
          <w:bCs w:val="0"/>
          <w:i/>
          <w:iCs/>
        </w:rPr>
        <w:fldChar w:fldCharType="begin"/>
      </w:r>
      <w:r w:rsidRPr="00E91166">
        <w:rPr>
          <w:rFonts w:cs="Arial"/>
        </w:rPr>
        <w:instrText xml:space="preserve"> SEQ Figure \* ARABIC </w:instrText>
      </w:r>
      <w:r w:rsidRPr="00E91166">
        <w:rPr>
          <w:rFonts w:cs="Arial"/>
          <w:b w:val="0"/>
          <w:bCs w:val="0"/>
          <w:i/>
          <w:iCs/>
        </w:rPr>
        <w:fldChar w:fldCharType="separate"/>
      </w:r>
      <w:r w:rsidR="0073710A">
        <w:rPr>
          <w:rFonts w:cs="Arial"/>
          <w:noProof/>
        </w:rPr>
        <w:t>48</w:t>
      </w:r>
      <w:r w:rsidRPr="00E91166">
        <w:rPr>
          <w:rFonts w:cs="Arial"/>
          <w:b w:val="0"/>
          <w:bCs w:val="0"/>
          <w:i/>
          <w:iCs/>
        </w:rPr>
        <w:fldChar w:fldCharType="end"/>
      </w:r>
      <w:r w:rsidRPr="00E91166">
        <w:rPr>
          <w:rFonts w:cs="Arial"/>
        </w:rPr>
        <w:t xml:space="preserve"> Distribution map of Emissions Reductions Fund projects in Australia. Source: </w:t>
      </w:r>
      <w:hyperlink r:id="rId154" w:history="1">
        <w:r w:rsidRPr="00E91166">
          <w:rPr>
            <w:rStyle w:val="Hyperlink"/>
            <w:rFonts w:cs="Arial"/>
          </w:rPr>
          <w:t>http://www.cleanenergyregulator.gov.au/maps/Pages/erf-projects/index.html</w:t>
        </w:r>
        <w:bookmarkEnd w:id="309"/>
        <w:bookmarkEnd w:id="310"/>
        <w:bookmarkEnd w:id="311"/>
      </w:hyperlink>
    </w:p>
    <w:p w14:paraId="7E170C1F" w14:textId="77777777" w:rsidR="005664B6" w:rsidRPr="00DB35D4" w:rsidRDefault="005664B6" w:rsidP="005664B6">
      <w:pPr>
        <w:rPr>
          <w:rFonts w:cs="Arial"/>
          <w:lang w:eastAsia="el-GR"/>
        </w:rPr>
      </w:pPr>
      <w:r w:rsidRPr="00DB35D4">
        <w:rPr>
          <w:rFonts w:cs="Arial"/>
          <w:lang w:eastAsia="el-GR"/>
        </w:rPr>
        <w:t>Several different methods are already available and many of them can be applied broadly which means that a wide variety of projects can use each one.</w:t>
      </w:r>
    </w:p>
    <w:p w14:paraId="55390EA7" w14:textId="77777777" w:rsidR="005664B6" w:rsidRPr="00DB35D4" w:rsidRDefault="005664B6" w:rsidP="005664B6">
      <w:pPr>
        <w:rPr>
          <w:rFonts w:cs="Arial"/>
          <w:lang w:eastAsia="el-GR"/>
        </w:rPr>
      </w:pPr>
      <w:r w:rsidRPr="00DB35D4">
        <w:rPr>
          <w:rFonts w:cs="Arial"/>
          <w:lang w:eastAsia="el-GR"/>
        </w:rPr>
        <w:t>Methods include:</w:t>
      </w:r>
    </w:p>
    <w:p w14:paraId="08F3ED38" w14:textId="77777777" w:rsidR="005664B6" w:rsidRPr="00DB35D4" w:rsidRDefault="005664B6" w:rsidP="00A01330">
      <w:pPr>
        <w:pStyle w:val="ListParagraph"/>
        <w:numPr>
          <w:ilvl w:val="0"/>
          <w:numId w:val="29"/>
        </w:numPr>
        <w:spacing w:before="0" w:after="160"/>
        <w:rPr>
          <w:rFonts w:cs="Arial"/>
          <w:lang w:eastAsia="el-GR"/>
        </w:rPr>
      </w:pPr>
      <w:r w:rsidRPr="00DB35D4">
        <w:rPr>
          <w:rFonts w:cs="Arial"/>
          <w:lang w:eastAsia="el-GR"/>
        </w:rPr>
        <w:t>a generic method for emissions reductions at facilities reporting under the National Greenhouse and Energy Reporting Scheme</w:t>
      </w:r>
    </w:p>
    <w:p w14:paraId="10E03AF0" w14:textId="77777777" w:rsidR="005664B6" w:rsidRPr="00DB35D4" w:rsidRDefault="005664B6" w:rsidP="00A01330">
      <w:pPr>
        <w:pStyle w:val="ListParagraph"/>
        <w:numPr>
          <w:ilvl w:val="0"/>
          <w:numId w:val="29"/>
        </w:numPr>
        <w:spacing w:before="0" w:after="160"/>
        <w:rPr>
          <w:rFonts w:cs="Arial"/>
          <w:lang w:eastAsia="el-GR"/>
        </w:rPr>
      </w:pPr>
      <w:r w:rsidRPr="00DB35D4">
        <w:rPr>
          <w:rFonts w:cs="Arial"/>
          <w:lang w:eastAsia="el-GR"/>
        </w:rPr>
        <w:t>capture and destruction of coal mine fugitive emissions​​</w:t>
      </w:r>
    </w:p>
    <w:p w14:paraId="0541C881" w14:textId="77777777" w:rsidR="005664B6" w:rsidRPr="00DB35D4" w:rsidRDefault="005664B6" w:rsidP="00A01330">
      <w:pPr>
        <w:pStyle w:val="ListParagraph"/>
        <w:numPr>
          <w:ilvl w:val="0"/>
          <w:numId w:val="29"/>
        </w:numPr>
        <w:spacing w:before="0" w:after="160"/>
        <w:rPr>
          <w:rFonts w:cs="Arial"/>
          <w:lang w:eastAsia="el-GR"/>
        </w:rPr>
      </w:pPr>
      <w:r w:rsidRPr="00DB35D4">
        <w:rPr>
          <w:rFonts w:cs="Arial"/>
          <w:lang w:eastAsia="el-GR"/>
        </w:rPr>
        <w:t>reductions in emissions-intensity of transport</w:t>
      </w:r>
    </w:p>
    <w:p w14:paraId="47B5C2FF" w14:textId="77777777" w:rsidR="005664B6" w:rsidRPr="00DB35D4" w:rsidRDefault="005664B6" w:rsidP="00A01330">
      <w:pPr>
        <w:pStyle w:val="ListParagraph"/>
        <w:numPr>
          <w:ilvl w:val="0"/>
          <w:numId w:val="29"/>
        </w:numPr>
        <w:spacing w:before="0" w:after="160"/>
        <w:rPr>
          <w:rFonts w:cs="Arial"/>
          <w:lang w:eastAsia="el-GR"/>
        </w:rPr>
      </w:pPr>
      <w:r w:rsidRPr="00DB35D4">
        <w:rPr>
          <w:rFonts w:cs="Arial"/>
          <w:lang w:eastAsia="el-GR"/>
        </w:rPr>
        <w:t>commercial, industrial, and aggregated energy efficiency</w:t>
      </w:r>
    </w:p>
    <w:p w14:paraId="23068B14" w14:textId="77777777" w:rsidR="005664B6" w:rsidRPr="00DB35D4" w:rsidRDefault="005664B6" w:rsidP="00A01330">
      <w:pPr>
        <w:pStyle w:val="ListParagraph"/>
        <w:numPr>
          <w:ilvl w:val="0"/>
          <w:numId w:val="29"/>
        </w:numPr>
        <w:spacing w:before="0" w:after="160"/>
        <w:rPr>
          <w:rFonts w:cs="Arial"/>
          <w:lang w:eastAsia="el-GR"/>
        </w:rPr>
      </w:pPr>
      <w:r w:rsidRPr="00DB35D4">
        <w:rPr>
          <w:rFonts w:cs="Arial"/>
          <w:lang w:eastAsia="el-GR"/>
        </w:rPr>
        <w:lastRenderedPageBreak/>
        <w:t>capture and combustion of landfill gas and agricultural waste</w:t>
      </w:r>
    </w:p>
    <w:p w14:paraId="4D123AF5" w14:textId="77777777" w:rsidR="005664B6" w:rsidRPr="00DB35D4" w:rsidRDefault="005664B6" w:rsidP="00A01330">
      <w:pPr>
        <w:pStyle w:val="ListParagraph"/>
        <w:numPr>
          <w:ilvl w:val="0"/>
          <w:numId w:val="29"/>
        </w:numPr>
        <w:spacing w:before="0" w:after="160"/>
        <w:rPr>
          <w:rFonts w:cs="Arial"/>
          <w:lang w:eastAsia="el-GR"/>
        </w:rPr>
      </w:pPr>
      <w:r w:rsidRPr="00DB35D4">
        <w:rPr>
          <w:rFonts w:cs="Arial"/>
          <w:lang w:eastAsia="el-GR"/>
        </w:rPr>
        <w:t>alternative treatment of organic waste</w:t>
      </w:r>
    </w:p>
    <w:p w14:paraId="4F6CA7CA" w14:textId="77777777" w:rsidR="005664B6" w:rsidRPr="00DB35D4" w:rsidRDefault="005664B6" w:rsidP="00A01330">
      <w:pPr>
        <w:pStyle w:val="ListParagraph"/>
        <w:numPr>
          <w:ilvl w:val="0"/>
          <w:numId w:val="29"/>
        </w:numPr>
        <w:spacing w:before="0" w:after="160"/>
        <w:rPr>
          <w:rFonts w:cs="Arial"/>
          <w:lang w:eastAsia="el-GR"/>
        </w:rPr>
      </w:pPr>
      <w:r w:rsidRPr="00DB35D4">
        <w:rPr>
          <w:rFonts w:cs="Arial"/>
          <w:lang w:eastAsia="el-GR"/>
        </w:rPr>
        <w:t>capture and combustion of biogas from wastewater, and</w:t>
      </w:r>
    </w:p>
    <w:p w14:paraId="166DC19C" w14:textId="77777777" w:rsidR="005664B6" w:rsidRPr="00DB35D4" w:rsidRDefault="005664B6" w:rsidP="00A01330">
      <w:pPr>
        <w:pStyle w:val="ListParagraph"/>
        <w:numPr>
          <w:ilvl w:val="0"/>
          <w:numId w:val="29"/>
        </w:numPr>
        <w:spacing w:before="0" w:after="160"/>
        <w:rPr>
          <w:rFonts w:cs="Arial"/>
          <w:lang w:eastAsia="el-GR"/>
        </w:rPr>
      </w:pPr>
      <w:r w:rsidRPr="00DB35D4">
        <w:rPr>
          <w:rFonts w:cs="Arial"/>
          <w:b/>
          <w:lang w:eastAsia="el-GR"/>
        </w:rPr>
        <w:t>methods for the land sector, including increasing soil carbon, reducing livestock emissions, expanding opportunities for environmental and carbon sink plantings, and reforestation</w:t>
      </w:r>
      <w:r w:rsidRPr="00DB35D4">
        <w:rPr>
          <w:rFonts w:cs="Arial"/>
          <w:lang w:eastAsia="el-GR"/>
        </w:rPr>
        <w:t>.</w:t>
      </w:r>
    </w:p>
    <w:p w14:paraId="0BA92D41" w14:textId="77777777" w:rsidR="005664B6" w:rsidRPr="00DB35D4" w:rsidRDefault="005664B6" w:rsidP="00E91166">
      <w:pPr>
        <w:keepNext/>
        <w:ind w:left="360"/>
        <w:jc w:val="center"/>
        <w:rPr>
          <w:rFonts w:cs="Arial"/>
        </w:rPr>
      </w:pPr>
      <w:r w:rsidRPr="00DB35D4">
        <w:rPr>
          <w:rFonts w:cs="Arial"/>
          <w:noProof/>
          <w:lang w:val="es-ES" w:eastAsia="es-ES"/>
        </w:rPr>
        <w:drawing>
          <wp:inline distT="0" distB="0" distL="0" distR="0" wp14:anchorId="1FE2E7DD" wp14:editId="5EE5D38A">
            <wp:extent cx="5113064" cy="2354845"/>
            <wp:effectExtent l="0" t="0" r="0" b="762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6483" t="35277" r="2725" b="6761"/>
                    <a:stretch/>
                  </pic:blipFill>
                  <pic:spPr bwMode="auto">
                    <a:xfrm>
                      <a:off x="0" y="0"/>
                      <a:ext cx="5132632" cy="2363857"/>
                    </a:xfrm>
                    <a:prstGeom prst="rect">
                      <a:avLst/>
                    </a:prstGeom>
                    <a:ln>
                      <a:noFill/>
                    </a:ln>
                    <a:extLst>
                      <a:ext uri="{53640926-AAD7-44D8-BBD7-CCE9431645EC}">
                        <a14:shadowObscured xmlns:a14="http://schemas.microsoft.com/office/drawing/2010/main"/>
                      </a:ext>
                    </a:extLst>
                  </pic:spPr>
                </pic:pic>
              </a:graphicData>
            </a:graphic>
          </wp:inline>
        </w:drawing>
      </w:r>
    </w:p>
    <w:p w14:paraId="7439D733" w14:textId="5EBB0BD6" w:rsidR="005664B6" w:rsidRPr="00E91166" w:rsidRDefault="005664B6" w:rsidP="00B56C88">
      <w:pPr>
        <w:pStyle w:val="Caption"/>
        <w:keepNext/>
        <w:rPr>
          <w:rFonts w:cs="Arial"/>
          <w:b w:val="0"/>
          <w:bCs w:val="0"/>
        </w:rPr>
      </w:pPr>
      <w:bookmarkStart w:id="312" w:name="_Toc90888753"/>
      <w:bookmarkStart w:id="313" w:name="_Toc90893527"/>
      <w:bookmarkStart w:id="314" w:name="_Toc91752533"/>
      <w:r w:rsidRPr="00E91166">
        <w:rPr>
          <w:rFonts w:cs="Arial"/>
        </w:rPr>
        <w:t xml:space="preserve">Figure </w:t>
      </w:r>
      <w:r w:rsidRPr="00E91166">
        <w:rPr>
          <w:rFonts w:cs="Arial"/>
          <w:b w:val="0"/>
          <w:bCs w:val="0"/>
          <w:i/>
          <w:iCs/>
        </w:rPr>
        <w:fldChar w:fldCharType="begin"/>
      </w:r>
      <w:r w:rsidRPr="00E91166">
        <w:rPr>
          <w:rFonts w:cs="Arial"/>
        </w:rPr>
        <w:instrText xml:space="preserve"> SEQ Figure \* ARABIC </w:instrText>
      </w:r>
      <w:r w:rsidRPr="00E91166">
        <w:rPr>
          <w:rFonts w:cs="Arial"/>
          <w:b w:val="0"/>
          <w:bCs w:val="0"/>
          <w:i/>
          <w:iCs/>
        </w:rPr>
        <w:fldChar w:fldCharType="separate"/>
      </w:r>
      <w:r w:rsidR="0073710A">
        <w:rPr>
          <w:rFonts w:cs="Arial"/>
          <w:noProof/>
        </w:rPr>
        <w:t>49</w:t>
      </w:r>
      <w:r w:rsidRPr="00E91166">
        <w:rPr>
          <w:rFonts w:cs="Arial"/>
          <w:b w:val="0"/>
          <w:bCs w:val="0"/>
          <w:i/>
          <w:iCs/>
        </w:rPr>
        <w:fldChar w:fldCharType="end"/>
      </w:r>
      <w:r w:rsidRPr="00E91166">
        <w:rPr>
          <w:rFonts w:cs="Arial"/>
        </w:rPr>
        <w:t xml:space="preserve"> Projects relative to LULUCF. Source: http://www.cleanenergyregulator.gov.au/maps/Pages/erf-projects/index.html</w:t>
      </w:r>
      <w:bookmarkEnd w:id="312"/>
      <w:bookmarkEnd w:id="313"/>
      <w:bookmarkEnd w:id="314"/>
    </w:p>
    <w:p w14:paraId="5DB296DF" w14:textId="571B22CE" w:rsidR="005664B6" w:rsidRPr="00DB35D4" w:rsidRDefault="005664B6" w:rsidP="005664B6">
      <w:pPr>
        <w:rPr>
          <w:rFonts w:cs="Arial"/>
          <w:b/>
          <w:lang w:eastAsia="el-GR"/>
        </w:rPr>
      </w:pPr>
      <w:bookmarkStart w:id="315" w:name="_Toc18677170"/>
      <w:r w:rsidRPr="00DB35D4">
        <w:rPr>
          <w:rFonts w:cs="Arial"/>
          <w:b/>
          <w:lang w:eastAsia="el-GR"/>
        </w:rPr>
        <w:t xml:space="preserve">Site: </w:t>
      </w:r>
      <w:hyperlink r:id="rId156" w:history="1">
        <w:r w:rsidRPr="00DB35D4">
          <w:rPr>
            <w:rStyle w:val="Hyperlink"/>
            <w:rFonts w:cs="Arial"/>
            <w:b/>
            <w:lang w:eastAsia="el-GR"/>
          </w:rPr>
          <w:t>www.cleanenergyregulator.gov.au/ERF</w:t>
        </w:r>
      </w:hyperlink>
    </w:p>
    <w:p w14:paraId="2752D968" w14:textId="77777777" w:rsidR="005664B6" w:rsidRPr="00DB35D4" w:rsidRDefault="005664B6" w:rsidP="009E12D8">
      <w:pPr>
        <w:pStyle w:val="MAIL111"/>
      </w:pPr>
      <w:bookmarkStart w:id="316" w:name="_Toc90893003"/>
      <w:bookmarkStart w:id="317" w:name="_Toc91752457"/>
      <w:r w:rsidRPr="00DB35D4">
        <w:t>Climate Action Reserve (Reserve)</w:t>
      </w:r>
      <w:bookmarkEnd w:id="316"/>
      <w:bookmarkEnd w:id="317"/>
    </w:p>
    <w:p w14:paraId="306B2FF1" w14:textId="77777777" w:rsidR="005664B6" w:rsidRPr="00DB35D4" w:rsidRDefault="005664B6" w:rsidP="005664B6">
      <w:pPr>
        <w:rPr>
          <w:rFonts w:cs="Arial"/>
          <w:lang w:eastAsia="el-GR"/>
        </w:rPr>
      </w:pPr>
      <w:r w:rsidRPr="00DB35D4">
        <w:rPr>
          <w:rFonts w:cs="Arial"/>
          <w:lang w:eastAsia="el-GR"/>
        </w:rPr>
        <w:t>The Reserve develops protocols specifying eligibility criteria and detailing steps to estimate, monitor, and verify GHG reductions achieved by specific types of projects. While each project protocol contains guidance specific to individual project types, Reserve protocols also adhere to general project accounting principles. This section describes the Reserve’s standardized project accounting guidelines that are the foundation for all project protocols.</w:t>
      </w:r>
    </w:p>
    <w:p w14:paraId="1B1AFD21" w14:textId="586F47F3" w:rsidR="005664B6" w:rsidRPr="00DB35D4" w:rsidRDefault="005664B6" w:rsidP="005664B6">
      <w:pPr>
        <w:rPr>
          <w:rFonts w:cs="Arial"/>
          <w:lang w:eastAsia="el-GR"/>
        </w:rPr>
      </w:pPr>
      <w:r w:rsidRPr="00DB35D4">
        <w:rPr>
          <w:rFonts w:cs="Arial"/>
          <w:lang w:eastAsia="el-GR"/>
        </w:rPr>
        <w:t>The Reserve strives to develop protocols that are “standardized” in nature, meaning they apply standardized factors and eligibility rules to the higher possible extent while maintaining sufficient rigor and accuracy. In addition, the form and content of Reserve protocols follow internationally established accounting principles and standards</w:t>
      </w:r>
      <w:sdt>
        <w:sdtPr>
          <w:rPr>
            <w:rFonts w:cs="Arial"/>
            <w:lang w:eastAsia="el-GR"/>
          </w:rPr>
          <w:id w:val="126295172"/>
          <w:citation/>
        </w:sdtPr>
        <w:sdtEndPr/>
        <w:sdtContent>
          <w:r w:rsidRPr="00DB35D4">
            <w:rPr>
              <w:rFonts w:cs="Arial"/>
              <w:lang w:eastAsia="el-GR"/>
            </w:rPr>
            <w:fldChar w:fldCharType="begin"/>
          </w:r>
          <w:r w:rsidRPr="00DB35D4">
            <w:rPr>
              <w:rFonts w:cs="Arial"/>
              <w:lang w:eastAsia="el-GR"/>
            </w:rPr>
            <w:instrText xml:space="preserve"> CITATION Cli15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(Climate Action Reserve, 2015)</w:t>
          </w:r>
          <w:r w:rsidRPr="00DB35D4">
            <w:rPr>
              <w:rFonts w:cs="Arial"/>
              <w:lang w:eastAsia="el-GR"/>
            </w:rPr>
            <w:fldChar w:fldCharType="end"/>
          </w:r>
        </w:sdtContent>
      </w:sdt>
      <w:r w:rsidRPr="00DB35D4">
        <w:rPr>
          <w:rFonts w:cs="Arial"/>
          <w:lang w:eastAsia="el-GR"/>
        </w:rPr>
        <w:t>.</w:t>
      </w:r>
    </w:p>
    <w:p w14:paraId="756DA6E3" w14:textId="77777777" w:rsidR="005664B6" w:rsidRPr="00DB35D4" w:rsidRDefault="005664B6" w:rsidP="005664B6">
      <w:pPr>
        <w:rPr>
          <w:rFonts w:cs="Arial"/>
          <w:lang w:eastAsia="el-GR"/>
        </w:rPr>
      </w:pPr>
      <w:r w:rsidRPr="00DB35D4">
        <w:rPr>
          <w:rFonts w:cs="Arial"/>
          <w:lang w:eastAsia="el-GR"/>
        </w:rPr>
        <w:lastRenderedPageBreak/>
        <w:t>The Reserve has set several protocols (methodologies) to apply for the implementation of a Carbon Offset program:</w:t>
      </w:r>
    </w:p>
    <w:p w14:paraId="767B1BA9" w14:textId="2D95692D" w:rsidR="005664B6" w:rsidRPr="00E91166" w:rsidRDefault="005664B6" w:rsidP="00180653">
      <w:pPr>
        <w:pStyle w:val="Caption"/>
        <w:keepNext/>
        <w:rPr>
          <w:rFonts w:cs="Arial"/>
          <w:b w:val="0"/>
          <w:bCs w:val="0"/>
        </w:rPr>
      </w:pPr>
      <w:bookmarkStart w:id="318" w:name="_Toc90888851"/>
      <w:bookmarkStart w:id="319" w:name="_Toc91752575"/>
      <w:r w:rsidRPr="00E91166">
        <w:rPr>
          <w:rFonts w:cs="Arial"/>
        </w:rPr>
        <w:t xml:space="preserve">Table </w:t>
      </w:r>
      <w:r w:rsidRPr="00E91166">
        <w:rPr>
          <w:rFonts w:cs="Arial"/>
          <w:b w:val="0"/>
          <w:bCs w:val="0"/>
          <w:i/>
          <w:iCs/>
        </w:rPr>
        <w:fldChar w:fldCharType="begin"/>
      </w:r>
      <w:r w:rsidRPr="00E91166">
        <w:rPr>
          <w:rFonts w:cs="Arial"/>
        </w:rPr>
        <w:instrText xml:space="preserve"> SEQ Table \* ARABIC </w:instrText>
      </w:r>
      <w:r w:rsidRPr="00E91166">
        <w:rPr>
          <w:rFonts w:cs="Arial"/>
          <w:b w:val="0"/>
          <w:bCs w:val="0"/>
          <w:i/>
          <w:iCs/>
        </w:rPr>
        <w:fldChar w:fldCharType="separate"/>
      </w:r>
      <w:r w:rsidR="0073710A">
        <w:rPr>
          <w:rFonts w:cs="Arial"/>
          <w:noProof/>
        </w:rPr>
        <w:t>36</w:t>
      </w:r>
      <w:r w:rsidRPr="00E91166">
        <w:rPr>
          <w:rFonts w:cs="Arial"/>
          <w:b w:val="0"/>
          <w:bCs w:val="0"/>
          <w:i/>
          <w:iCs/>
        </w:rPr>
        <w:fldChar w:fldCharType="end"/>
      </w:r>
      <w:r w:rsidRPr="00E91166">
        <w:rPr>
          <w:rFonts w:cs="Arial"/>
        </w:rPr>
        <w:t xml:space="preserve"> Reserve’s protocols’ list</w:t>
      </w:r>
      <w:bookmarkEnd w:id="318"/>
      <w:bookmarkEnd w:id="319"/>
    </w:p>
    <w:tbl>
      <w:tblPr>
        <w:tblStyle w:val="10"/>
        <w:tblW w:w="8364" w:type="dxa"/>
        <w:tblLook w:val="04A0" w:firstRow="1" w:lastRow="0" w:firstColumn="1" w:lastColumn="0" w:noHBand="0" w:noVBand="1"/>
      </w:tblPr>
      <w:tblGrid>
        <w:gridCol w:w="3320"/>
        <w:gridCol w:w="1023"/>
        <w:gridCol w:w="1755"/>
        <w:gridCol w:w="2266"/>
      </w:tblGrid>
      <w:tr w:rsidR="00180653" w:rsidRPr="00180653" w14:paraId="1F426820" w14:textId="77777777" w:rsidTr="0022057B">
        <w:trPr>
          <w:trHeight w:val="287"/>
        </w:trPr>
        <w:tc>
          <w:tcPr>
            <w:tcW w:w="3320" w:type="dxa"/>
            <w:shd w:val="clear" w:color="auto" w:fill="DBE0F4"/>
          </w:tcPr>
          <w:p w14:paraId="74D819F4" w14:textId="77777777" w:rsidR="00180653" w:rsidRPr="00180653" w:rsidRDefault="00180653" w:rsidP="00180653">
            <w:pPr>
              <w:jc w:val="center"/>
              <w:rPr>
                <w:rFonts w:eastAsia="Times New Roman" w:cs="Arial"/>
                <w:b/>
                <w:color w:val="000000"/>
                <w:lang w:eastAsia="el-GR"/>
              </w:rPr>
            </w:pPr>
            <w:r w:rsidRPr="00180653">
              <w:rPr>
                <w:rFonts w:eastAsia="Times New Roman" w:cs="Arial"/>
                <w:b/>
                <w:color w:val="000000"/>
                <w:lang w:eastAsia="el-GR"/>
              </w:rPr>
              <w:t>Title</w:t>
            </w:r>
          </w:p>
        </w:tc>
        <w:tc>
          <w:tcPr>
            <w:tcW w:w="1023" w:type="dxa"/>
            <w:shd w:val="clear" w:color="auto" w:fill="DBE0F4"/>
          </w:tcPr>
          <w:p w14:paraId="21689E47" w14:textId="77777777" w:rsidR="00180653" w:rsidRPr="00180653" w:rsidRDefault="00180653" w:rsidP="00180653">
            <w:pPr>
              <w:jc w:val="center"/>
              <w:rPr>
                <w:rFonts w:eastAsia="Times New Roman" w:cs="Arial"/>
                <w:b/>
                <w:color w:val="000000"/>
                <w:lang w:eastAsia="el-GR"/>
              </w:rPr>
            </w:pPr>
            <w:r w:rsidRPr="00180653">
              <w:rPr>
                <w:rFonts w:eastAsia="Times New Roman" w:cs="Arial"/>
                <w:b/>
                <w:color w:val="000000"/>
                <w:lang w:eastAsia="el-GR"/>
              </w:rPr>
              <w:t>Version</w:t>
            </w:r>
          </w:p>
        </w:tc>
        <w:tc>
          <w:tcPr>
            <w:tcW w:w="1755" w:type="dxa"/>
            <w:shd w:val="clear" w:color="auto" w:fill="DBE0F4"/>
          </w:tcPr>
          <w:p w14:paraId="458CCE5A" w14:textId="77777777" w:rsidR="00180653" w:rsidRPr="00180653" w:rsidRDefault="00180653" w:rsidP="00180653">
            <w:pPr>
              <w:jc w:val="center"/>
              <w:rPr>
                <w:rFonts w:eastAsia="Times New Roman" w:cs="Arial"/>
                <w:b/>
                <w:color w:val="000000"/>
                <w:lang w:eastAsia="el-GR"/>
              </w:rPr>
            </w:pPr>
            <w:r w:rsidRPr="00180653">
              <w:rPr>
                <w:rFonts w:eastAsia="Times New Roman" w:cs="Arial"/>
                <w:b/>
                <w:color w:val="000000"/>
                <w:lang w:eastAsia="el-GR"/>
              </w:rPr>
              <w:t>Date issued</w:t>
            </w:r>
          </w:p>
        </w:tc>
        <w:tc>
          <w:tcPr>
            <w:tcW w:w="2266" w:type="dxa"/>
            <w:shd w:val="clear" w:color="auto" w:fill="DBE0F4"/>
          </w:tcPr>
          <w:p w14:paraId="45D53440" w14:textId="77777777" w:rsidR="00180653" w:rsidRPr="00180653" w:rsidRDefault="00180653" w:rsidP="00180653">
            <w:pPr>
              <w:jc w:val="center"/>
              <w:rPr>
                <w:rFonts w:eastAsia="Times New Roman" w:cs="Arial"/>
                <w:b/>
                <w:color w:val="000000"/>
                <w:lang w:eastAsia="el-GR"/>
              </w:rPr>
            </w:pPr>
            <w:r w:rsidRPr="00180653">
              <w:rPr>
                <w:rFonts w:eastAsia="Times New Roman" w:cs="Arial"/>
                <w:b/>
                <w:color w:val="000000"/>
                <w:lang w:eastAsia="el-GR"/>
              </w:rPr>
              <w:t>Development status</w:t>
            </w:r>
          </w:p>
        </w:tc>
      </w:tr>
      <w:tr w:rsidR="00180653" w:rsidRPr="00180653" w14:paraId="065A018A" w14:textId="77777777" w:rsidTr="0022057B">
        <w:trPr>
          <w:trHeight w:val="287"/>
        </w:trPr>
        <w:tc>
          <w:tcPr>
            <w:tcW w:w="3320" w:type="dxa"/>
            <w:hideMark/>
          </w:tcPr>
          <w:p w14:paraId="51A1442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Adipic Acid Production</w:t>
            </w:r>
          </w:p>
        </w:tc>
        <w:tc>
          <w:tcPr>
            <w:tcW w:w="1023" w:type="dxa"/>
            <w:hideMark/>
          </w:tcPr>
          <w:p w14:paraId="32C1672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Draft 1.0</w:t>
            </w:r>
          </w:p>
        </w:tc>
        <w:tc>
          <w:tcPr>
            <w:tcW w:w="1755" w:type="dxa"/>
            <w:hideMark/>
          </w:tcPr>
          <w:p w14:paraId="409F708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TBD</w:t>
            </w:r>
          </w:p>
        </w:tc>
        <w:tc>
          <w:tcPr>
            <w:tcW w:w="2266" w:type="dxa"/>
            <w:hideMark/>
          </w:tcPr>
          <w:p w14:paraId="3FADB73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In development</w:t>
            </w:r>
          </w:p>
        </w:tc>
      </w:tr>
      <w:tr w:rsidR="00180653" w:rsidRPr="00180653" w14:paraId="013755D6" w14:textId="77777777" w:rsidTr="0022057B">
        <w:trPr>
          <w:trHeight w:val="860"/>
        </w:trPr>
        <w:tc>
          <w:tcPr>
            <w:tcW w:w="3320" w:type="dxa"/>
            <w:noWrap/>
            <w:hideMark/>
          </w:tcPr>
          <w:p w14:paraId="45F9AEB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Canada Grassland</w:t>
            </w:r>
          </w:p>
        </w:tc>
        <w:tc>
          <w:tcPr>
            <w:tcW w:w="1023" w:type="dxa"/>
            <w:hideMark/>
          </w:tcPr>
          <w:p w14:paraId="16B0D3C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Draft 1.0</w:t>
            </w:r>
          </w:p>
        </w:tc>
        <w:tc>
          <w:tcPr>
            <w:tcW w:w="1755" w:type="dxa"/>
            <w:hideMark/>
          </w:tcPr>
          <w:p w14:paraId="18B8B08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Expected October 2019</w:t>
            </w:r>
          </w:p>
        </w:tc>
        <w:tc>
          <w:tcPr>
            <w:tcW w:w="2266" w:type="dxa"/>
            <w:hideMark/>
          </w:tcPr>
          <w:p w14:paraId="005969A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Available for public review and comment</w:t>
            </w:r>
          </w:p>
        </w:tc>
      </w:tr>
      <w:tr w:rsidR="00180653" w:rsidRPr="00180653" w14:paraId="2ADDA18E" w14:textId="77777777" w:rsidTr="0022057B">
        <w:trPr>
          <w:trHeight w:val="574"/>
        </w:trPr>
        <w:tc>
          <w:tcPr>
            <w:tcW w:w="3320" w:type="dxa"/>
            <w:noWrap/>
            <w:hideMark/>
          </w:tcPr>
          <w:p w14:paraId="42E4934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Coal Mine Methane</w:t>
            </w:r>
          </w:p>
        </w:tc>
        <w:tc>
          <w:tcPr>
            <w:tcW w:w="1023" w:type="dxa"/>
            <w:hideMark/>
          </w:tcPr>
          <w:p w14:paraId="55F2531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1.1</w:t>
            </w:r>
          </w:p>
        </w:tc>
        <w:tc>
          <w:tcPr>
            <w:tcW w:w="1755" w:type="dxa"/>
            <w:hideMark/>
          </w:tcPr>
          <w:p w14:paraId="4C6B293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October 26, 2012</w:t>
            </w:r>
          </w:p>
        </w:tc>
        <w:tc>
          <w:tcPr>
            <w:tcW w:w="2266" w:type="dxa"/>
            <w:hideMark/>
          </w:tcPr>
          <w:p w14:paraId="46183CB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46F6AC99" w14:textId="77777777" w:rsidTr="0022057B">
        <w:trPr>
          <w:trHeight w:val="574"/>
        </w:trPr>
        <w:tc>
          <w:tcPr>
            <w:tcW w:w="3320" w:type="dxa"/>
            <w:noWrap/>
            <w:hideMark/>
          </w:tcPr>
          <w:p w14:paraId="138B881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Forest</w:t>
            </w:r>
          </w:p>
        </w:tc>
        <w:tc>
          <w:tcPr>
            <w:tcW w:w="1023" w:type="dxa"/>
            <w:hideMark/>
          </w:tcPr>
          <w:p w14:paraId="6AF0F3C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4</w:t>
            </w:r>
          </w:p>
        </w:tc>
        <w:tc>
          <w:tcPr>
            <w:tcW w:w="1755" w:type="dxa"/>
            <w:hideMark/>
          </w:tcPr>
          <w:p w14:paraId="38C6260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June 28, 2017</w:t>
            </w:r>
          </w:p>
        </w:tc>
        <w:tc>
          <w:tcPr>
            <w:tcW w:w="2266" w:type="dxa"/>
            <w:hideMark/>
          </w:tcPr>
          <w:p w14:paraId="24AE1F6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Under revision to Version 5.0</w:t>
            </w:r>
          </w:p>
        </w:tc>
      </w:tr>
      <w:tr w:rsidR="00180653" w:rsidRPr="00180653" w14:paraId="442DE96C" w14:textId="77777777" w:rsidTr="0022057B">
        <w:trPr>
          <w:trHeight w:val="574"/>
        </w:trPr>
        <w:tc>
          <w:tcPr>
            <w:tcW w:w="3320" w:type="dxa"/>
            <w:noWrap/>
            <w:hideMark/>
          </w:tcPr>
          <w:p w14:paraId="004833B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Grassland</w:t>
            </w:r>
          </w:p>
        </w:tc>
        <w:tc>
          <w:tcPr>
            <w:tcW w:w="1023" w:type="dxa"/>
            <w:hideMark/>
          </w:tcPr>
          <w:p w14:paraId="6CF3B31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2</w:t>
            </w:r>
          </w:p>
        </w:tc>
        <w:tc>
          <w:tcPr>
            <w:tcW w:w="1755" w:type="dxa"/>
            <w:hideMark/>
          </w:tcPr>
          <w:p w14:paraId="5C295BA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January 18, 2017</w:t>
            </w:r>
          </w:p>
        </w:tc>
        <w:tc>
          <w:tcPr>
            <w:tcW w:w="2266" w:type="dxa"/>
            <w:hideMark/>
          </w:tcPr>
          <w:p w14:paraId="39AD309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1C6A8263" w14:textId="77777777" w:rsidTr="0022057B">
        <w:trPr>
          <w:trHeight w:val="574"/>
        </w:trPr>
        <w:tc>
          <w:tcPr>
            <w:tcW w:w="3320" w:type="dxa"/>
            <w:noWrap/>
            <w:hideMark/>
          </w:tcPr>
          <w:p w14:paraId="3060A28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Mexico Boiler Efficiency</w:t>
            </w:r>
          </w:p>
        </w:tc>
        <w:tc>
          <w:tcPr>
            <w:tcW w:w="1023" w:type="dxa"/>
            <w:hideMark/>
          </w:tcPr>
          <w:p w14:paraId="0648347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1</w:t>
            </w:r>
          </w:p>
        </w:tc>
        <w:tc>
          <w:tcPr>
            <w:tcW w:w="1755" w:type="dxa"/>
            <w:hideMark/>
          </w:tcPr>
          <w:p w14:paraId="1B128DA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November 1, 2016</w:t>
            </w:r>
          </w:p>
        </w:tc>
        <w:tc>
          <w:tcPr>
            <w:tcW w:w="2266" w:type="dxa"/>
            <w:hideMark/>
          </w:tcPr>
          <w:p w14:paraId="31D03AB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668C5A7B" w14:textId="77777777" w:rsidTr="0022057B">
        <w:trPr>
          <w:trHeight w:val="574"/>
        </w:trPr>
        <w:tc>
          <w:tcPr>
            <w:tcW w:w="3320" w:type="dxa"/>
            <w:noWrap/>
            <w:hideMark/>
          </w:tcPr>
          <w:p w14:paraId="3D18D10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Mexico Forest</w:t>
            </w:r>
          </w:p>
        </w:tc>
        <w:tc>
          <w:tcPr>
            <w:tcW w:w="1023" w:type="dxa"/>
            <w:hideMark/>
          </w:tcPr>
          <w:p w14:paraId="7C16E05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1.5</w:t>
            </w:r>
          </w:p>
        </w:tc>
        <w:tc>
          <w:tcPr>
            <w:tcW w:w="1755" w:type="dxa"/>
            <w:hideMark/>
          </w:tcPr>
          <w:p w14:paraId="14A84BC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September 14, 2017</w:t>
            </w:r>
          </w:p>
        </w:tc>
        <w:tc>
          <w:tcPr>
            <w:tcW w:w="2266" w:type="dxa"/>
            <w:hideMark/>
          </w:tcPr>
          <w:p w14:paraId="177109A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2B6CED5C" w14:textId="77777777" w:rsidTr="0022057B">
        <w:trPr>
          <w:trHeight w:val="574"/>
        </w:trPr>
        <w:tc>
          <w:tcPr>
            <w:tcW w:w="3320" w:type="dxa"/>
            <w:noWrap/>
            <w:hideMark/>
          </w:tcPr>
          <w:p w14:paraId="3178027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Mexico Landfill</w:t>
            </w:r>
          </w:p>
        </w:tc>
        <w:tc>
          <w:tcPr>
            <w:tcW w:w="1023" w:type="dxa"/>
            <w:hideMark/>
          </w:tcPr>
          <w:p w14:paraId="64036AA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1.1</w:t>
            </w:r>
          </w:p>
        </w:tc>
        <w:tc>
          <w:tcPr>
            <w:tcW w:w="1755" w:type="dxa"/>
            <w:hideMark/>
          </w:tcPr>
          <w:p w14:paraId="721F067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September 13, 2011</w:t>
            </w:r>
          </w:p>
        </w:tc>
        <w:tc>
          <w:tcPr>
            <w:tcW w:w="2266" w:type="dxa"/>
            <w:hideMark/>
          </w:tcPr>
          <w:p w14:paraId="2B4905B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7A84684F" w14:textId="77777777" w:rsidTr="0022057B">
        <w:trPr>
          <w:trHeight w:val="574"/>
        </w:trPr>
        <w:tc>
          <w:tcPr>
            <w:tcW w:w="3320" w:type="dxa"/>
            <w:noWrap/>
            <w:hideMark/>
          </w:tcPr>
          <w:p w14:paraId="0CDABEE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Mexico Livestock</w:t>
            </w:r>
          </w:p>
        </w:tc>
        <w:tc>
          <w:tcPr>
            <w:tcW w:w="1023" w:type="dxa"/>
            <w:hideMark/>
          </w:tcPr>
          <w:p w14:paraId="3ED9C37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2</w:t>
            </w:r>
          </w:p>
        </w:tc>
        <w:tc>
          <w:tcPr>
            <w:tcW w:w="1755" w:type="dxa"/>
            <w:hideMark/>
          </w:tcPr>
          <w:p w14:paraId="432D4EA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September 29, 2010</w:t>
            </w:r>
          </w:p>
        </w:tc>
        <w:tc>
          <w:tcPr>
            <w:tcW w:w="2266" w:type="dxa"/>
            <w:hideMark/>
          </w:tcPr>
          <w:p w14:paraId="3C2F380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732E4E3B" w14:textId="77777777" w:rsidTr="0022057B">
        <w:trPr>
          <w:trHeight w:val="287"/>
        </w:trPr>
        <w:tc>
          <w:tcPr>
            <w:tcW w:w="3320" w:type="dxa"/>
            <w:noWrap/>
            <w:hideMark/>
          </w:tcPr>
          <w:p w14:paraId="44A298C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Mexico Ozone Depleting Substances</w:t>
            </w:r>
          </w:p>
        </w:tc>
        <w:tc>
          <w:tcPr>
            <w:tcW w:w="1023" w:type="dxa"/>
            <w:hideMark/>
          </w:tcPr>
          <w:p w14:paraId="2CCB204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1</w:t>
            </w:r>
          </w:p>
        </w:tc>
        <w:tc>
          <w:tcPr>
            <w:tcW w:w="1755" w:type="dxa"/>
            <w:hideMark/>
          </w:tcPr>
          <w:p w14:paraId="07A1D01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April 28, 2015</w:t>
            </w:r>
          </w:p>
        </w:tc>
        <w:tc>
          <w:tcPr>
            <w:tcW w:w="2266" w:type="dxa"/>
            <w:hideMark/>
          </w:tcPr>
          <w:p w14:paraId="65B8876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4F4DCA7C" w14:textId="77777777" w:rsidTr="0022057B">
        <w:trPr>
          <w:trHeight w:val="287"/>
        </w:trPr>
        <w:tc>
          <w:tcPr>
            <w:tcW w:w="3320" w:type="dxa"/>
            <w:noWrap/>
            <w:hideMark/>
          </w:tcPr>
          <w:p w14:paraId="527C1DE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Nitric Acid Production</w:t>
            </w:r>
          </w:p>
        </w:tc>
        <w:tc>
          <w:tcPr>
            <w:tcW w:w="1023" w:type="dxa"/>
            <w:hideMark/>
          </w:tcPr>
          <w:p w14:paraId="7E93F31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2.2</w:t>
            </w:r>
          </w:p>
        </w:tc>
        <w:tc>
          <w:tcPr>
            <w:tcW w:w="1755" w:type="dxa"/>
            <w:hideMark/>
          </w:tcPr>
          <w:p w14:paraId="0CE2BBB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April 18, 2019</w:t>
            </w:r>
          </w:p>
        </w:tc>
        <w:tc>
          <w:tcPr>
            <w:tcW w:w="2266" w:type="dxa"/>
            <w:hideMark/>
          </w:tcPr>
          <w:p w14:paraId="7147171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42F811BF" w14:textId="77777777" w:rsidTr="0022057B">
        <w:trPr>
          <w:trHeight w:val="574"/>
        </w:trPr>
        <w:tc>
          <w:tcPr>
            <w:tcW w:w="3320" w:type="dxa"/>
            <w:noWrap/>
            <w:hideMark/>
          </w:tcPr>
          <w:p w14:paraId="765DDE1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Nitrogen Management</w:t>
            </w:r>
          </w:p>
        </w:tc>
        <w:tc>
          <w:tcPr>
            <w:tcW w:w="1023" w:type="dxa"/>
            <w:hideMark/>
          </w:tcPr>
          <w:p w14:paraId="0A1D4F6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2</w:t>
            </w:r>
          </w:p>
        </w:tc>
        <w:tc>
          <w:tcPr>
            <w:tcW w:w="1755" w:type="dxa"/>
            <w:hideMark/>
          </w:tcPr>
          <w:p w14:paraId="217AF30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October 17, 2018</w:t>
            </w:r>
          </w:p>
        </w:tc>
        <w:tc>
          <w:tcPr>
            <w:tcW w:w="2266" w:type="dxa"/>
            <w:hideMark/>
          </w:tcPr>
          <w:p w14:paraId="04C98B7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1A31091D" w14:textId="77777777" w:rsidTr="0022057B">
        <w:trPr>
          <w:trHeight w:val="287"/>
        </w:trPr>
        <w:tc>
          <w:tcPr>
            <w:tcW w:w="3320" w:type="dxa"/>
            <w:noWrap/>
            <w:hideMark/>
          </w:tcPr>
          <w:p w14:paraId="41CDAB1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Organic Waste Composting</w:t>
            </w:r>
          </w:p>
        </w:tc>
        <w:tc>
          <w:tcPr>
            <w:tcW w:w="1023" w:type="dxa"/>
            <w:hideMark/>
          </w:tcPr>
          <w:p w14:paraId="0A29A85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1.1</w:t>
            </w:r>
          </w:p>
        </w:tc>
        <w:tc>
          <w:tcPr>
            <w:tcW w:w="1755" w:type="dxa"/>
            <w:hideMark/>
          </w:tcPr>
          <w:p w14:paraId="7B2BC54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July 29, 2013</w:t>
            </w:r>
          </w:p>
        </w:tc>
        <w:tc>
          <w:tcPr>
            <w:tcW w:w="2266" w:type="dxa"/>
            <w:hideMark/>
          </w:tcPr>
          <w:p w14:paraId="593D27E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0773DC8D" w14:textId="77777777" w:rsidTr="0022057B">
        <w:trPr>
          <w:trHeight w:val="574"/>
        </w:trPr>
        <w:tc>
          <w:tcPr>
            <w:tcW w:w="3320" w:type="dxa"/>
            <w:noWrap/>
            <w:hideMark/>
          </w:tcPr>
          <w:p w14:paraId="66374D7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Organic Waste Digestion</w:t>
            </w:r>
          </w:p>
        </w:tc>
        <w:tc>
          <w:tcPr>
            <w:tcW w:w="1023" w:type="dxa"/>
            <w:hideMark/>
          </w:tcPr>
          <w:p w14:paraId="72A497D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2.1</w:t>
            </w:r>
          </w:p>
        </w:tc>
        <w:tc>
          <w:tcPr>
            <w:tcW w:w="1755" w:type="dxa"/>
            <w:hideMark/>
          </w:tcPr>
          <w:p w14:paraId="2F61EE5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January 16, 2014</w:t>
            </w:r>
          </w:p>
        </w:tc>
        <w:tc>
          <w:tcPr>
            <w:tcW w:w="2266" w:type="dxa"/>
            <w:hideMark/>
          </w:tcPr>
          <w:p w14:paraId="5B026F4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3BDCDFEA" w14:textId="77777777" w:rsidTr="0022057B">
        <w:trPr>
          <w:trHeight w:val="287"/>
        </w:trPr>
        <w:tc>
          <w:tcPr>
            <w:tcW w:w="3320" w:type="dxa"/>
            <w:noWrap/>
            <w:hideMark/>
          </w:tcPr>
          <w:p w14:paraId="02E0B3F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Ozone Depleting Substances</w:t>
            </w:r>
          </w:p>
        </w:tc>
        <w:tc>
          <w:tcPr>
            <w:tcW w:w="1023" w:type="dxa"/>
            <w:hideMark/>
          </w:tcPr>
          <w:p w14:paraId="0164BAB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2</w:t>
            </w:r>
          </w:p>
        </w:tc>
        <w:tc>
          <w:tcPr>
            <w:tcW w:w="1755" w:type="dxa"/>
            <w:hideMark/>
          </w:tcPr>
          <w:p w14:paraId="105AAF0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June 27, 2012</w:t>
            </w:r>
          </w:p>
        </w:tc>
        <w:tc>
          <w:tcPr>
            <w:tcW w:w="2266" w:type="dxa"/>
            <w:hideMark/>
          </w:tcPr>
          <w:p w14:paraId="01F8ABA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53FF9702" w14:textId="77777777" w:rsidTr="0022057B">
        <w:trPr>
          <w:trHeight w:val="287"/>
        </w:trPr>
        <w:tc>
          <w:tcPr>
            <w:tcW w:w="3320" w:type="dxa"/>
            <w:noWrap/>
            <w:hideMark/>
          </w:tcPr>
          <w:p w14:paraId="2386E84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Rice Cultivation</w:t>
            </w:r>
          </w:p>
        </w:tc>
        <w:tc>
          <w:tcPr>
            <w:tcW w:w="1023" w:type="dxa"/>
            <w:hideMark/>
          </w:tcPr>
          <w:p w14:paraId="098A182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1.1</w:t>
            </w:r>
          </w:p>
        </w:tc>
        <w:tc>
          <w:tcPr>
            <w:tcW w:w="1755" w:type="dxa"/>
            <w:hideMark/>
          </w:tcPr>
          <w:p w14:paraId="11CC7B2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June 3, 2013</w:t>
            </w:r>
          </w:p>
        </w:tc>
        <w:tc>
          <w:tcPr>
            <w:tcW w:w="2266" w:type="dxa"/>
            <w:hideMark/>
          </w:tcPr>
          <w:p w14:paraId="6C9CBCB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4DEBE616" w14:textId="77777777" w:rsidTr="0022057B">
        <w:trPr>
          <w:trHeight w:val="287"/>
        </w:trPr>
        <w:tc>
          <w:tcPr>
            <w:tcW w:w="3320" w:type="dxa"/>
            <w:noWrap/>
            <w:hideMark/>
          </w:tcPr>
          <w:p w14:paraId="0F51174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lastRenderedPageBreak/>
              <w:t>Urban Forest Management</w:t>
            </w:r>
          </w:p>
        </w:tc>
        <w:tc>
          <w:tcPr>
            <w:tcW w:w="1023" w:type="dxa"/>
            <w:hideMark/>
          </w:tcPr>
          <w:p w14:paraId="34F783D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1.1</w:t>
            </w:r>
          </w:p>
        </w:tc>
        <w:tc>
          <w:tcPr>
            <w:tcW w:w="1755" w:type="dxa"/>
            <w:hideMark/>
          </w:tcPr>
          <w:p w14:paraId="1689C90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April 18, 2019</w:t>
            </w:r>
          </w:p>
        </w:tc>
        <w:tc>
          <w:tcPr>
            <w:tcW w:w="2266" w:type="dxa"/>
            <w:hideMark/>
          </w:tcPr>
          <w:p w14:paraId="3EF1663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55D93C3C" w14:textId="77777777" w:rsidTr="0022057B">
        <w:trPr>
          <w:trHeight w:val="287"/>
        </w:trPr>
        <w:tc>
          <w:tcPr>
            <w:tcW w:w="3320" w:type="dxa"/>
            <w:noWrap/>
            <w:hideMark/>
          </w:tcPr>
          <w:p w14:paraId="6DE6AF1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Urban Tree Planting</w:t>
            </w:r>
          </w:p>
        </w:tc>
        <w:tc>
          <w:tcPr>
            <w:tcW w:w="1023" w:type="dxa"/>
            <w:hideMark/>
          </w:tcPr>
          <w:p w14:paraId="45D8AC3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2</w:t>
            </w:r>
          </w:p>
        </w:tc>
        <w:tc>
          <w:tcPr>
            <w:tcW w:w="1755" w:type="dxa"/>
            <w:hideMark/>
          </w:tcPr>
          <w:p w14:paraId="2452F11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June 25, 2014</w:t>
            </w:r>
          </w:p>
        </w:tc>
        <w:tc>
          <w:tcPr>
            <w:tcW w:w="2266" w:type="dxa"/>
            <w:hideMark/>
          </w:tcPr>
          <w:p w14:paraId="1CF749D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5169F6A7" w14:textId="77777777" w:rsidTr="0022057B">
        <w:trPr>
          <w:trHeight w:val="287"/>
        </w:trPr>
        <w:tc>
          <w:tcPr>
            <w:tcW w:w="3320" w:type="dxa"/>
            <w:noWrap/>
            <w:hideMark/>
          </w:tcPr>
          <w:p w14:paraId="09E8B64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U.S Landfill</w:t>
            </w:r>
          </w:p>
        </w:tc>
        <w:tc>
          <w:tcPr>
            <w:tcW w:w="1023" w:type="dxa"/>
            <w:hideMark/>
          </w:tcPr>
          <w:p w14:paraId="3FA635A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5</w:t>
            </w:r>
          </w:p>
        </w:tc>
        <w:tc>
          <w:tcPr>
            <w:tcW w:w="1755" w:type="dxa"/>
            <w:hideMark/>
          </w:tcPr>
          <w:p w14:paraId="66665DA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April 24, 2019</w:t>
            </w:r>
          </w:p>
        </w:tc>
        <w:tc>
          <w:tcPr>
            <w:tcW w:w="2266" w:type="dxa"/>
            <w:hideMark/>
          </w:tcPr>
          <w:p w14:paraId="0022C84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r w:rsidR="00180653" w:rsidRPr="00180653" w14:paraId="0D260C94" w14:textId="77777777" w:rsidTr="0022057B">
        <w:trPr>
          <w:trHeight w:val="574"/>
        </w:trPr>
        <w:tc>
          <w:tcPr>
            <w:tcW w:w="3320" w:type="dxa"/>
            <w:noWrap/>
            <w:hideMark/>
          </w:tcPr>
          <w:p w14:paraId="69283A9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U.S. Livestock</w:t>
            </w:r>
          </w:p>
        </w:tc>
        <w:tc>
          <w:tcPr>
            <w:tcW w:w="1023" w:type="dxa"/>
            <w:hideMark/>
          </w:tcPr>
          <w:p w14:paraId="475D680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4</w:t>
            </w:r>
          </w:p>
        </w:tc>
        <w:tc>
          <w:tcPr>
            <w:tcW w:w="1755" w:type="dxa"/>
            <w:hideMark/>
          </w:tcPr>
          <w:p w14:paraId="656BFFC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January 23, 2013</w:t>
            </w:r>
          </w:p>
        </w:tc>
        <w:tc>
          <w:tcPr>
            <w:tcW w:w="2266" w:type="dxa"/>
            <w:hideMark/>
          </w:tcPr>
          <w:p w14:paraId="7B41249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Approved</w:t>
            </w:r>
          </w:p>
        </w:tc>
      </w:tr>
    </w:tbl>
    <w:p w14:paraId="2D9309A3" w14:textId="77777777" w:rsidR="005664B6" w:rsidRPr="00DB35D4" w:rsidRDefault="005664B6" w:rsidP="005664B6">
      <w:pPr>
        <w:rPr>
          <w:rFonts w:cs="Arial"/>
          <w:lang w:eastAsia="el-GR"/>
        </w:rPr>
      </w:pPr>
      <w:r w:rsidRPr="00DB35D4">
        <w:rPr>
          <w:rFonts w:cs="Arial"/>
          <w:lang w:eastAsia="el-GR"/>
        </w:rPr>
        <w:t>The Reserve releases policy memos that update or replace guidance in the Program Manual, protocols, and other guidance documents. These memos are considered effective on the date they are posted on the Reserve website. The list of memos is given below:</w:t>
      </w:r>
    </w:p>
    <w:p w14:paraId="7CE588FA" w14:textId="14453272" w:rsidR="005664B6" w:rsidRPr="00DB35D4" w:rsidRDefault="003B0DE2" w:rsidP="00A01330">
      <w:pPr>
        <w:numPr>
          <w:ilvl w:val="0"/>
          <w:numId w:val="30"/>
        </w:numPr>
        <w:spacing w:before="100" w:beforeAutospacing="1" w:after="100" w:afterAutospacing="1"/>
        <w:jc w:val="left"/>
        <w:rPr>
          <w:rFonts w:cs="Arial"/>
        </w:rPr>
      </w:pPr>
      <w:hyperlink r:id="rId157" w:tgtFrame="_blank" w:history="1">
        <w:r w:rsidR="005664B6" w:rsidRPr="00DB35D4">
          <w:rPr>
            <w:rStyle w:val="Hyperlink"/>
            <w:rFonts w:cs="Arial"/>
          </w:rPr>
          <w:t>Global Warming Potential (GWP)</w:t>
        </w:r>
      </w:hyperlink>
      <w:r w:rsidR="005664B6" w:rsidRPr="00DB35D4">
        <w:rPr>
          <w:rFonts w:cs="Arial"/>
        </w:rPr>
        <w:t xml:space="preserve"> (May 1, 2018) </w:t>
      </w:r>
    </w:p>
    <w:p w14:paraId="0CC4EC10" w14:textId="3DAD0998" w:rsidR="005664B6" w:rsidRPr="00DB35D4" w:rsidRDefault="003B0DE2" w:rsidP="00A01330">
      <w:pPr>
        <w:numPr>
          <w:ilvl w:val="0"/>
          <w:numId w:val="30"/>
        </w:numPr>
        <w:spacing w:before="100" w:beforeAutospacing="1" w:after="100" w:afterAutospacing="1"/>
        <w:jc w:val="left"/>
        <w:rPr>
          <w:rFonts w:cs="Arial"/>
        </w:rPr>
      </w:pPr>
      <w:hyperlink r:id="rId158" w:tgtFrame="_blank" w:history="1">
        <w:r w:rsidR="005664B6" w:rsidRPr="00DB35D4">
          <w:rPr>
            <w:rStyle w:val="Hyperlink"/>
            <w:rFonts w:cs="Arial"/>
          </w:rPr>
          <w:t>Forest Verifier Training Requirements</w:t>
        </w:r>
      </w:hyperlink>
      <w:r w:rsidR="005664B6" w:rsidRPr="00DB35D4">
        <w:rPr>
          <w:rFonts w:cs="Arial"/>
        </w:rPr>
        <w:t xml:space="preserve"> (September 14, 2017)</w:t>
      </w:r>
    </w:p>
    <w:p w14:paraId="79A0E46C" w14:textId="3255DF51" w:rsidR="005664B6" w:rsidRPr="00DB35D4" w:rsidRDefault="003B0DE2" w:rsidP="00A01330">
      <w:pPr>
        <w:numPr>
          <w:ilvl w:val="0"/>
          <w:numId w:val="30"/>
        </w:numPr>
        <w:spacing w:before="100" w:beforeAutospacing="1" w:after="100" w:afterAutospacing="1"/>
        <w:jc w:val="left"/>
        <w:rPr>
          <w:rFonts w:cs="Arial"/>
        </w:rPr>
      </w:pPr>
      <w:hyperlink r:id="rId159" w:tgtFrame="_blank" w:history="1">
        <w:r w:rsidR="005664B6" w:rsidRPr="00DB35D4">
          <w:rPr>
            <w:rStyle w:val="Hyperlink"/>
            <w:rFonts w:cs="Arial"/>
          </w:rPr>
          <w:t>Monitoring and Reporting Activities for Forest Projects with Credits at Both ARB and the Reserve</w:t>
        </w:r>
      </w:hyperlink>
      <w:r w:rsidR="005664B6" w:rsidRPr="00DB35D4">
        <w:rPr>
          <w:rFonts w:cs="Arial"/>
        </w:rPr>
        <w:t xml:space="preserve"> (April 6, 2017)</w:t>
      </w:r>
    </w:p>
    <w:p w14:paraId="2C67EF6F" w14:textId="2364EAC3" w:rsidR="005664B6" w:rsidRPr="00DB35D4" w:rsidRDefault="003B0DE2" w:rsidP="00A01330">
      <w:pPr>
        <w:numPr>
          <w:ilvl w:val="0"/>
          <w:numId w:val="30"/>
        </w:numPr>
        <w:spacing w:before="100" w:beforeAutospacing="1" w:after="100" w:afterAutospacing="1"/>
        <w:jc w:val="left"/>
        <w:rPr>
          <w:rFonts w:cs="Arial"/>
        </w:rPr>
      </w:pPr>
      <w:hyperlink r:id="rId160" w:tgtFrame="_blank" w:history="1">
        <w:r w:rsidR="005664B6" w:rsidRPr="00DB35D4">
          <w:rPr>
            <w:rStyle w:val="Hyperlink"/>
            <w:rFonts w:cs="Arial"/>
          </w:rPr>
          <w:t>Registry Offset Credits – Retirement or Conversion to CRTs</w:t>
        </w:r>
      </w:hyperlink>
      <w:r w:rsidR="005664B6" w:rsidRPr="00DB35D4">
        <w:rPr>
          <w:rFonts w:cs="Arial"/>
        </w:rPr>
        <w:t xml:space="preserve"> (September 20, 2016)</w:t>
      </w:r>
    </w:p>
    <w:p w14:paraId="2A5933E4" w14:textId="718F077D" w:rsidR="005664B6" w:rsidRPr="00DB35D4" w:rsidRDefault="003B0DE2" w:rsidP="00A01330">
      <w:pPr>
        <w:numPr>
          <w:ilvl w:val="0"/>
          <w:numId w:val="30"/>
        </w:numPr>
        <w:spacing w:before="100" w:beforeAutospacing="1" w:after="100" w:afterAutospacing="1"/>
        <w:jc w:val="left"/>
        <w:rPr>
          <w:rFonts w:cs="Arial"/>
        </w:rPr>
      </w:pPr>
      <w:hyperlink r:id="rId161" w:tgtFrame="_blank" w:history="1">
        <w:r w:rsidR="005664B6" w:rsidRPr="00DB35D4">
          <w:rPr>
            <w:rStyle w:val="Hyperlink"/>
            <w:rFonts w:cs="Arial"/>
          </w:rPr>
          <w:t>Forest Project Reporting and Verification Requirements</w:t>
        </w:r>
      </w:hyperlink>
      <w:r w:rsidR="005664B6" w:rsidRPr="00DB35D4">
        <w:rPr>
          <w:rFonts w:cs="Arial"/>
        </w:rPr>
        <w:t xml:space="preserve"> (May 19, 2016)</w:t>
      </w:r>
    </w:p>
    <w:p w14:paraId="3B287F01" w14:textId="171F3FA6" w:rsidR="005664B6" w:rsidRPr="00DB35D4" w:rsidRDefault="003B0DE2" w:rsidP="00A01330">
      <w:pPr>
        <w:numPr>
          <w:ilvl w:val="0"/>
          <w:numId w:val="30"/>
        </w:numPr>
        <w:spacing w:before="100" w:beforeAutospacing="1" w:after="100" w:afterAutospacing="1"/>
        <w:jc w:val="left"/>
        <w:rPr>
          <w:rFonts w:cs="Arial"/>
        </w:rPr>
      </w:pPr>
      <w:hyperlink r:id="rId162" w:history="1">
        <w:r w:rsidR="005664B6" w:rsidRPr="00DB35D4">
          <w:rPr>
            <w:rStyle w:val="Hyperlink"/>
            <w:rFonts w:cs="Arial"/>
          </w:rPr>
          <w:t>PIA and PIA Amendment Agreement and Recordation Policy</w:t>
        </w:r>
      </w:hyperlink>
      <w:r w:rsidR="005664B6" w:rsidRPr="00DB35D4">
        <w:rPr>
          <w:rFonts w:cs="Arial"/>
        </w:rPr>
        <w:t xml:space="preserve"> (October 20, 2015)</w:t>
      </w:r>
    </w:p>
    <w:p w14:paraId="1B9D26A7" w14:textId="24D972E3" w:rsidR="005664B6" w:rsidRPr="00DB35D4" w:rsidRDefault="003B0DE2" w:rsidP="00A01330">
      <w:pPr>
        <w:numPr>
          <w:ilvl w:val="0"/>
          <w:numId w:val="30"/>
        </w:numPr>
        <w:spacing w:before="100" w:beforeAutospacing="1" w:after="100" w:afterAutospacing="1"/>
        <w:jc w:val="left"/>
        <w:rPr>
          <w:rFonts w:cs="Arial"/>
        </w:rPr>
      </w:pPr>
      <w:hyperlink r:id="rId163" w:history="1">
        <w:r w:rsidR="005664B6" w:rsidRPr="00DB35D4">
          <w:rPr>
            <w:rStyle w:val="Hyperlink"/>
            <w:rFonts w:cs="Arial"/>
          </w:rPr>
          <w:t>Risk Factors for Water Quality Regulatory Violations at Livestock Facilities</w:t>
        </w:r>
      </w:hyperlink>
      <w:r w:rsidR="005664B6" w:rsidRPr="00DB35D4">
        <w:rPr>
          <w:rFonts w:cs="Arial"/>
        </w:rPr>
        <w:t xml:space="preserve"> (September 1, 2015)</w:t>
      </w:r>
    </w:p>
    <w:p w14:paraId="76E08D9C" w14:textId="45192F0E" w:rsidR="005664B6" w:rsidRPr="00DB35D4" w:rsidRDefault="003B0DE2" w:rsidP="00A01330">
      <w:pPr>
        <w:numPr>
          <w:ilvl w:val="0"/>
          <w:numId w:val="30"/>
        </w:numPr>
        <w:spacing w:before="100" w:beforeAutospacing="1" w:after="100" w:afterAutospacing="1"/>
        <w:jc w:val="left"/>
        <w:rPr>
          <w:rFonts w:cs="Arial"/>
        </w:rPr>
      </w:pPr>
      <w:hyperlink r:id="rId164" w:history="1">
        <w:r w:rsidR="005664B6" w:rsidRPr="00DB35D4">
          <w:rPr>
            <w:rStyle w:val="Hyperlink"/>
            <w:rFonts w:cs="Arial"/>
          </w:rPr>
          <w:t>Effect of New Waste Diversion Mandates on Reserve Projects (Seattle, California)</w:t>
        </w:r>
      </w:hyperlink>
      <w:r w:rsidR="005664B6" w:rsidRPr="00DB35D4">
        <w:rPr>
          <w:rFonts w:cs="Arial"/>
        </w:rPr>
        <w:t xml:space="preserve"> (January 14, 2015)</w:t>
      </w:r>
    </w:p>
    <w:p w14:paraId="1FA59BAD" w14:textId="722EF596" w:rsidR="005664B6" w:rsidRPr="00DB35D4" w:rsidRDefault="003B0DE2" w:rsidP="00A01330">
      <w:pPr>
        <w:numPr>
          <w:ilvl w:val="0"/>
          <w:numId w:val="30"/>
        </w:numPr>
        <w:spacing w:before="100" w:beforeAutospacing="1" w:after="100" w:afterAutospacing="1"/>
        <w:jc w:val="left"/>
        <w:rPr>
          <w:rFonts w:cs="Arial"/>
        </w:rPr>
      </w:pPr>
      <w:hyperlink r:id="rId165" w:history="1">
        <w:r w:rsidR="005664B6" w:rsidRPr="00DB35D4">
          <w:rPr>
            <w:rStyle w:val="Hyperlink"/>
            <w:rFonts w:cs="Arial"/>
          </w:rPr>
          <w:t>Manufacturer Recommendations for Meter Maintenance</w:t>
        </w:r>
      </w:hyperlink>
      <w:r w:rsidR="005664B6" w:rsidRPr="00DB35D4">
        <w:rPr>
          <w:rFonts w:cs="Arial"/>
        </w:rPr>
        <w:t xml:space="preserve"> (December 12, 2013)</w:t>
      </w:r>
    </w:p>
    <w:p w14:paraId="2F51F505" w14:textId="0E9082F7" w:rsidR="005664B6" w:rsidRPr="00DB35D4" w:rsidRDefault="003B0DE2" w:rsidP="00A01330">
      <w:pPr>
        <w:numPr>
          <w:ilvl w:val="0"/>
          <w:numId w:val="30"/>
        </w:numPr>
        <w:spacing w:before="100" w:beforeAutospacing="1" w:after="100" w:afterAutospacing="1"/>
        <w:jc w:val="left"/>
        <w:rPr>
          <w:rFonts w:cs="Arial"/>
        </w:rPr>
      </w:pPr>
      <w:hyperlink r:id="rId166" w:history="1">
        <w:r w:rsidR="005664B6" w:rsidRPr="00DB35D4">
          <w:rPr>
            <w:rStyle w:val="Hyperlink"/>
            <w:rFonts w:cs="Arial"/>
          </w:rPr>
          <w:t>Requirements for Project Diagrams</w:t>
        </w:r>
      </w:hyperlink>
      <w:r w:rsidR="005664B6" w:rsidRPr="00DB35D4">
        <w:rPr>
          <w:rFonts w:cs="Arial"/>
        </w:rPr>
        <w:t xml:space="preserve"> (February 13, 2012)</w:t>
      </w:r>
    </w:p>
    <w:p w14:paraId="76318AFE" w14:textId="58FD00CA" w:rsidR="005664B6" w:rsidRPr="00DB35D4" w:rsidRDefault="003B0DE2" w:rsidP="00A01330">
      <w:pPr>
        <w:numPr>
          <w:ilvl w:val="0"/>
          <w:numId w:val="30"/>
        </w:numPr>
        <w:spacing w:before="100" w:beforeAutospacing="1" w:after="100" w:afterAutospacing="1"/>
        <w:jc w:val="left"/>
        <w:rPr>
          <w:rFonts w:cs="Arial"/>
        </w:rPr>
      </w:pPr>
      <w:hyperlink r:id="rId167" w:history="1">
        <w:r w:rsidR="005664B6" w:rsidRPr="00DB35D4">
          <w:rPr>
            <w:rStyle w:val="Hyperlink"/>
            <w:rFonts w:cs="Arial"/>
          </w:rPr>
          <w:t xml:space="preserve">Use of </w:t>
        </w:r>
        <w:proofErr w:type="spellStart"/>
        <w:r w:rsidR="005664B6" w:rsidRPr="00DB35D4">
          <w:rPr>
            <w:rStyle w:val="Hyperlink"/>
            <w:rFonts w:cs="Arial"/>
          </w:rPr>
          <w:t>eGRID</w:t>
        </w:r>
        <w:proofErr w:type="spellEnd"/>
        <w:r w:rsidR="005664B6" w:rsidRPr="00DB35D4">
          <w:rPr>
            <w:rStyle w:val="Hyperlink"/>
            <w:rFonts w:cs="Arial"/>
          </w:rPr>
          <w:t xml:space="preserve"> Electricity Emission Factors for All Project Protocols</w:t>
        </w:r>
      </w:hyperlink>
      <w:r w:rsidR="005664B6" w:rsidRPr="00DB35D4">
        <w:rPr>
          <w:rFonts w:cs="Arial"/>
        </w:rPr>
        <w:t xml:space="preserve"> (May 3, 2011)</w:t>
      </w:r>
    </w:p>
    <w:p w14:paraId="65AE2BBB" w14:textId="7D143506" w:rsidR="005664B6" w:rsidRPr="00DB35D4" w:rsidRDefault="003B0DE2" w:rsidP="00A01330">
      <w:pPr>
        <w:numPr>
          <w:ilvl w:val="0"/>
          <w:numId w:val="30"/>
        </w:numPr>
        <w:spacing w:before="100" w:beforeAutospacing="1" w:after="100" w:afterAutospacing="1"/>
        <w:jc w:val="left"/>
        <w:rPr>
          <w:rFonts w:cs="Arial"/>
        </w:rPr>
      </w:pPr>
      <w:hyperlink r:id="rId168" w:history="1">
        <w:r w:rsidR="005664B6" w:rsidRPr="00DB35D4">
          <w:rPr>
            <w:rStyle w:val="Hyperlink"/>
            <w:rFonts w:cs="Arial"/>
          </w:rPr>
          <w:t>Immediate Crediting of Future Avoided Emissions</w:t>
        </w:r>
      </w:hyperlink>
      <w:r w:rsidR="005664B6" w:rsidRPr="00DB35D4">
        <w:rPr>
          <w:rFonts w:cs="Arial"/>
        </w:rPr>
        <w:t xml:space="preserve"> (September 7, 2010)</w:t>
      </w:r>
    </w:p>
    <w:p w14:paraId="0D25E661" w14:textId="4F93FC71" w:rsidR="005664B6" w:rsidRPr="00180653" w:rsidRDefault="005664B6" w:rsidP="00180653">
      <w:pPr>
        <w:ind w:left="360"/>
        <w:rPr>
          <w:rFonts w:cs="Arial"/>
          <w:b/>
          <w:lang w:eastAsia="el-GR"/>
        </w:rPr>
      </w:pPr>
      <w:r w:rsidRPr="00DB35D4">
        <w:rPr>
          <w:rFonts w:cs="Arial"/>
          <w:b/>
          <w:lang w:eastAsia="el-GR"/>
        </w:rPr>
        <w:t xml:space="preserve">Site: </w:t>
      </w:r>
      <w:hyperlink r:id="rId169" w:history="1">
        <w:r w:rsidRPr="00DB35D4">
          <w:rPr>
            <w:rStyle w:val="Hyperlink"/>
            <w:rFonts w:cs="Arial"/>
            <w:b/>
          </w:rPr>
          <w:t>www.climateactionreserve.org</w:t>
        </w:r>
      </w:hyperlink>
    </w:p>
    <w:p w14:paraId="0203BFA1" w14:textId="77777777" w:rsidR="005664B6" w:rsidRPr="00DB35D4" w:rsidRDefault="005664B6" w:rsidP="009E12D8">
      <w:pPr>
        <w:pStyle w:val="MAIL111"/>
      </w:pPr>
      <w:bookmarkStart w:id="320" w:name="_Toc90893004"/>
      <w:bookmarkStart w:id="321" w:name="_Toc91752458"/>
      <w:r w:rsidRPr="00DB35D4">
        <w:t>Greenhouse gas protocol</w:t>
      </w:r>
      <w:bookmarkEnd w:id="320"/>
      <w:bookmarkEnd w:id="321"/>
    </w:p>
    <w:p w14:paraId="64DB334A" w14:textId="77777777" w:rsidR="005664B6" w:rsidRPr="00DB35D4" w:rsidRDefault="005664B6" w:rsidP="005664B6">
      <w:pPr>
        <w:rPr>
          <w:rFonts w:cs="Arial"/>
        </w:rPr>
      </w:pPr>
      <w:r w:rsidRPr="00DB35D4">
        <w:rPr>
          <w:rFonts w:cs="Arial"/>
        </w:rPr>
        <w:t>GHG Protocol establishes comprehensive global standardized frameworks to measure and manage greenhouse gas (GHG) emissions from private and public sector operations, value chains and mitigation actions.</w:t>
      </w:r>
    </w:p>
    <w:p w14:paraId="484B99BE" w14:textId="77777777" w:rsidR="005664B6" w:rsidRPr="00DB35D4" w:rsidRDefault="005664B6" w:rsidP="005664B6">
      <w:pPr>
        <w:rPr>
          <w:rFonts w:cs="Arial"/>
        </w:rPr>
      </w:pPr>
      <w:r w:rsidRPr="00DB35D4">
        <w:rPr>
          <w:rFonts w:cs="Arial"/>
        </w:rPr>
        <w:lastRenderedPageBreak/>
        <w:t xml:space="preserve">The standard is built on a 20-year partnership between World Resources Institute (WRI) and the World Business Council for Sustainable Development (WBCSD), GHG Protocol works with governments, industry associations, NGOs, </w:t>
      </w:r>
      <w:proofErr w:type="gramStart"/>
      <w:r w:rsidRPr="00DB35D4">
        <w:rPr>
          <w:rFonts w:cs="Arial"/>
        </w:rPr>
        <w:t>businesses</w:t>
      </w:r>
      <w:proofErr w:type="gramEnd"/>
      <w:r w:rsidRPr="00DB35D4">
        <w:rPr>
          <w:rFonts w:cs="Arial"/>
        </w:rPr>
        <w:t xml:space="preserve"> and other organizations.</w:t>
      </w:r>
    </w:p>
    <w:p w14:paraId="1755E22C" w14:textId="283F83E3" w:rsidR="005664B6" w:rsidRPr="00DB35D4" w:rsidRDefault="005664B6" w:rsidP="005664B6">
      <w:pPr>
        <w:rPr>
          <w:rFonts w:cs="Arial"/>
        </w:rPr>
      </w:pPr>
      <w:r w:rsidRPr="00DB35D4">
        <w:rPr>
          <w:rFonts w:cs="Arial"/>
        </w:rPr>
        <w:t xml:space="preserve">GHG Protocol supplies the world's most widely used greenhouse gas accounting standards. The </w:t>
      </w:r>
      <w:hyperlink r:id="rId170" w:history="1">
        <w:r w:rsidRPr="00DB35D4">
          <w:rPr>
            <w:rStyle w:val="Hyperlink"/>
            <w:rFonts w:cs="Arial"/>
          </w:rPr>
          <w:t>Corporate Accounting and Reporting Standard</w:t>
        </w:r>
      </w:hyperlink>
      <w:r w:rsidRPr="00DB35D4">
        <w:rPr>
          <w:rFonts w:cs="Arial"/>
        </w:rPr>
        <w:t xml:space="preserve"> provides the accounting platform for virtually every corporate GHG reporting program in the world.</w:t>
      </w:r>
    </w:p>
    <w:p w14:paraId="54D264C9" w14:textId="77777777" w:rsidR="005664B6" w:rsidRPr="00DB35D4" w:rsidRDefault="005664B6" w:rsidP="005664B6">
      <w:pPr>
        <w:rPr>
          <w:rFonts w:cs="Arial"/>
        </w:rPr>
      </w:pPr>
      <w:r w:rsidRPr="00DB35D4">
        <w:rPr>
          <w:rFonts w:cs="Arial"/>
        </w:rPr>
        <w:t>In 2016, 92% of Fortune 500 companies responding to the CDP used GHG Protocol directly or indirectly through a program based on GHG Protocol. </w:t>
      </w:r>
    </w:p>
    <w:p w14:paraId="267152B4" w14:textId="77777777" w:rsidR="005664B6" w:rsidRPr="00DB35D4" w:rsidRDefault="005664B6" w:rsidP="005664B6">
      <w:pPr>
        <w:rPr>
          <w:rFonts w:cs="Arial"/>
        </w:rPr>
      </w:pPr>
      <w:r w:rsidRPr="00DB35D4">
        <w:rPr>
          <w:rFonts w:cs="Arial"/>
        </w:rPr>
        <w:t>Through their commitment to the Compact of Mayors, hundreds of cities across the globe have committed to using the GHG Protocol for Cities.</w:t>
      </w:r>
    </w:p>
    <w:p w14:paraId="647E9B81" w14:textId="27B36A97" w:rsidR="005664B6" w:rsidRPr="00DB35D4" w:rsidRDefault="005664B6" w:rsidP="005664B6">
      <w:pPr>
        <w:rPr>
          <w:rFonts w:cs="Arial"/>
        </w:rPr>
      </w:pPr>
      <w:r w:rsidRPr="00DB35D4">
        <w:rPr>
          <w:rFonts w:cs="Arial"/>
        </w:rPr>
        <w:t xml:space="preserve">There is also a close cooperation with partners in </w:t>
      </w:r>
      <w:hyperlink r:id="rId171" w:history="1">
        <w:r w:rsidRPr="00DB35D4">
          <w:rPr>
            <w:rStyle w:val="Hyperlink"/>
            <w:rFonts w:cs="Arial"/>
          </w:rPr>
          <w:t>key countries</w:t>
        </w:r>
      </w:hyperlink>
      <w:r w:rsidRPr="00DB35D4">
        <w:rPr>
          <w:rFonts w:cs="Arial"/>
        </w:rPr>
        <w:t xml:space="preserve"> to develop national GHG emissions programs based on the GHG Protocol. </w:t>
      </w:r>
    </w:p>
    <w:p w14:paraId="68209514" w14:textId="290CF581" w:rsidR="005664B6" w:rsidRPr="00DB35D4" w:rsidRDefault="005664B6" w:rsidP="005664B6">
      <w:pPr>
        <w:rPr>
          <w:rFonts w:cs="Arial"/>
        </w:rPr>
      </w:pPr>
      <w:r w:rsidRPr="00DB35D4">
        <w:rPr>
          <w:rFonts w:cs="Arial"/>
        </w:rPr>
        <w:t>GHG Protocol arose when WRI and WBCSD recognized the need for an international standard for corporate GHG accounting and reporting in the late 1990s. Together with large corporate partners such as BP and General Motors, in 1998 WRI published a report called, “</w:t>
      </w:r>
      <w:hyperlink r:id="rId172" w:history="1">
        <w:r w:rsidRPr="00DB35D4">
          <w:rPr>
            <w:rStyle w:val="Hyperlink"/>
            <w:rFonts w:cs="Arial"/>
          </w:rPr>
          <w:t>Safe Climate, Sound Business</w:t>
        </w:r>
      </w:hyperlink>
      <w:r w:rsidRPr="00DB35D4">
        <w:rPr>
          <w:rFonts w:cs="Arial"/>
        </w:rPr>
        <w:t>.” It identified an action agenda to address climate change that included the need for standardized measurement of GHG emissions.</w:t>
      </w:r>
    </w:p>
    <w:p w14:paraId="45040BB6" w14:textId="77777777" w:rsidR="005664B6" w:rsidRPr="00DB35D4" w:rsidRDefault="005664B6" w:rsidP="005664B6">
      <w:pPr>
        <w:rPr>
          <w:rFonts w:cs="Arial"/>
        </w:rPr>
      </w:pPr>
      <w:r w:rsidRPr="00DB35D4">
        <w:rPr>
          <w:rFonts w:cs="Arial"/>
        </w:rPr>
        <w:t xml:space="preserve">Similar initiatives were being discussed at WBCSD. In late 1997, WRI senior managers met with WBCSD officials, and an agreement was reached to launch an NGO-business partnership to address standardized methods for GHG accounting. WRI and WBCSD convened a core steering group comprised of members from environmental groups (such as WWF, Pew Center on Global Climate Change, The Energy Research Institute) and industry (such as </w:t>
      </w:r>
      <w:proofErr w:type="spellStart"/>
      <w:r w:rsidRPr="00DB35D4">
        <w:rPr>
          <w:rFonts w:cs="Arial"/>
        </w:rPr>
        <w:t>Norsk</w:t>
      </w:r>
      <w:proofErr w:type="spellEnd"/>
      <w:r w:rsidRPr="00DB35D4">
        <w:rPr>
          <w:rFonts w:cs="Arial"/>
        </w:rPr>
        <w:t xml:space="preserve"> Hydro, Tokyo Electric, Shell) to guide the multi-stakeholder standard development process.</w:t>
      </w:r>
    </w:p>
    <w:p w14:paraId="47423117" w14:textId="2AF127B0" w:rsidR="005664B6" w:rsidRPr="00DB35D4" w:rsidRDefault="005664B6" w:rsidP="005664B6">
      <w:pPr>
        <w:rPr>
          <w:rFonts w:cs="Arial"/>
        </w:rPr>
      </w:pPr>
      <w:r w:rsidRPr="00DB35D4">
        <w:rPr>
          <w:rFonts w:cs="Arial"/>
        </w:rPr>
        <w:t xml:space="preserve">The first edition of the Corporate Standard, published in 2001, has been updated with additional </w:t>
      </w:r>
      <w:hyperlink r:id="rId173" w:history="1">
        <w:r w:rsidRPr="00DB35D4">
          <w:rPr>
            <w:rStyle w:val="Hyperlink"/>
            <w:rFonts w:cs="Arial"/>
          </w:rPr>
          <w:t xml:space="preserve">guidance </w:t>
        </w:r>
      </w:hyperlink>
      <w:r w:rsidRPr="00DB35D4">
        <w:rPr>
          <w:rFonts w:cs="Arial"/>
        </w:rPr>
        <w:t xml:space="preserve">that clarifies how companies can measure emissions from electricity and other energy purchases, and account for emissions from throughout their </w:t>
      </w:r>
      <w:hyperlink r:id="rId174" w:history="1">
        <w:r w:rsidRPr="00DB35D4">
          <w:rPr>
            <w:rStyle w:val="Hyperlink"/>
            <w:rFonts w:cs="Arial"/>
          </w:rPr>
          <w:t>value chains</w:t>
        </w:r>
      </w:hyperlink>
      <w:r w:rsidRPr="00DB35D4">
        <w:rPr>
          <w:rFonts w:cs="Arial"/>
        </w:rPr>
        <w:t xml:space="preserve">. GHG Protocol also developed a suite of </w:t>
      </w:r>
      <w:hyperlink r:id="rId175" w:history="1">
        <w:r w:rsidRPr="00DB35D4">
          <w:rPr>
            <w:rStyle w:val="Hyperlink"/>
            <w:rFonts w:cs="Arial"/>
          </w:rPr>
          <w:t>calculation tools</w:t>
        </w:r>
      </w:hyperlink>
      <w:r w:rsidRPr="00DB35D4">
        <w:rPr>
          <w:rFonts w:cs="Arial"/>
        </w:rPr>
        <w:t xml:space="preserve"> to assist companies in calculating their greenhouse gas emissions and measure the benefits of climate change mitigation projects.</w:t>
      </w:r>
    </w:p>
    <w:p w14:paraId="51620F61" w14:textId="177C9816" w:rsidR="005664B6" w:rsidRPr="00DB35D4" w:rsidRDefault="005664B6" w:rsidP="005664B6">
      <w:pPr>
        <w:rPr>
          <w:rFonts w:cs="Arial"/>
        </w:rPr>
      </w:pPr>
      <w:r w:rsidRPr="00DB35D4">
        <w:rPr>
          <w:rFonts w:cs="Arial"/>
        </w:rPr>
        <w:t xml:space="preserve">The Paris Agreement, adopted within the United Nations Framework Convention on Climate Change (UNFCC) in December 2015, commits participating all countries to limit </w:t>
      </w:r>
      <w:r w:rsidRPr="00DB35D4">
        <w:rPr>
          <w:rFonts w:cs="Arial"/>
        </w:rPr>
        <w:lastRenderedPageBreak/>
        <w:t>global temperature rise, adapt to changes already occurring, and regularly increase efforts over time. GHG Protocol is developing standards, tools and online training that helps countries and cities track progress towards their climate goals</w:t>
      </w:r>
      <w:sdt>
        <w:sdtPr>
          <w:rPr>
            <w:rFonts w:cs="Arial"/>
          </w:rPr>
          <w:id w:val="110494160"/>
          <w:citation/>
        </w:sdtPr>
        <w:sdtEndPr/>
        <w:sdtContent>
          <w:r w:rsidRPr="00DB35D4">
            <w:rPr>
              <w:rFonts w:cs="Arial"/>
            </w:rPr>
            <w:fldChar w:fldCharType="begin"/>
          </w:r>
          <w:r w:rsidRPr="00DB35D4">
            <w:rPr>
              <w:rFonts w:cs="Arial"/>
            </w:rPr>
            <w:instrText xml:space="preserve"> CITATION Gre19 \l 1033 </w:instrText>
          </w:r>
          <w:r w:rsidRPr="00DB35D4">
            <w:rPr>
              <w:rFonts w:cs="Arial"/>
            </w:rPr>
            <w:fldChar w:fldCharType="separate"/>
          </w:r>
          <w:r w:rsidR="00487700">
            <w:rPr>
              <w:rFonts w:cs="Arial"/>
              <w:noProof/>
            </w:rPr>
            <w:t xml:space="preserve"> </w:t>
          </w:r>
          <w:r w:rsidR="00487700" w:rsidRPr="00487700">
            <w:rPr>
              <w:rFonts w:cs="Arial"/>
              <w:noProof/>
            </w:rPr>
            <w:t>(Greenhouse Gas Protocol, 2019)</w:t>
          </w:r>
          <w:r w:rsidRPr="00DB35D4">
            <w:rPr>
              <w:rFonts w:cs="Arial"/>
            </w:rPr>
            <w:fldChar w:fldCharType="end"/>
          </w:r>
        </w:sdtContent>
      </w:sdt>
      <w:r w:rsidRPr="00DB35D4">
        <w:rPr>
          <w:rFonts w:cs="Arial"/>
        </w:rPr>
        <w:t>.</w:t>
      </w:r>
    </w:p>
    <w:p w14:paraId="39F4D5C7" w14:textId="77777777" w:rsidR="005664B6" w:rsidRPr="00DB35D4" w:rsidRDefault="005664B6" w:rsidP="005664B6">
      <w:pPr>
        <w:rPr>
          <w:rFonts w:cs="Arial"/>
        </w:rPr>
      </w:pPr>
      <w:r w:rsidRPr="00DB35D4">
        <w:rPr>
          <w:rFonts w:cs="Arial"/>
        </w:rPr>
        <w:t>The standards are designed to provide a framework for businesses, governments, and other entities to measure and report their greenhouse gas emissions in ways that support their missions and goals.</w:t>
      </w:r>
    </w:p>
    <w:p w14:paraId="00BA0F75" w14:textId="77777777" w:rsidR="005664B6" w:rsidRPr="00DB35D4" w:rsidRDefault="005664B6" w:rsidP="005664B6">
      <w:pPr>
        <w:rPr>
          <w:rFonts w:cs="Arial"/>
        </w:rPr>
      </w:pPr>
      <w:r w:rsidRPr="00DB35D4">
        <w:rPr>
          <w:rFonts w:cs="Arial"/>
        </w:rPr>
        <w:t>In 2016, 92% of Fortune 500 companies responding to the CDP used GHG Protocol directly or indirectly through a program based on GHG Protocol. It provides the accounting platform for virtually every corporate GHG reporting program in the world. </w:t>
      </w:r>
    </w:p>
    <w:p w14:paraId="7CEFBF03" w14:textId="77777777" w:rsidR="005664B6" w:rsidRPr="00DB35D4" w:rsidRDefault="005664B6" w:rsidP="005664B6">
      <w:pPr>
        <w:rPr>
          <w:rFonts w:cs="Arial"/>
        </w:rPr>
      </w:pPr>
      <w:r w:rsidRPr="00DB35D4">
        <w:rPr>
          <w:rFonts w:cs="Arial"/>
        </w:rPr>
        <w:t>The popularity of GHG Protocol standards is due in part to the widespread stakeholder outreach and consultation that is facilitated by WRI and WBCSD during each standard development project.</w:t>
      </w:r>
    </w:p>
    <w:p w14:paraId="147FC92F" w14:textId="1A876842" w:rsidR="005664B6" w:rsidRPr="00DB35D4" w:rsidRDefault="005664B6" w:rsidP="005664B6">
      <w:pPr>
        <w:rPr>
          <w:rFonts w:cs="Arial"/>
        </w:rPr>
      </w:pPr>
      <w:r w:rsidRPr="00DB35D4">
        <w:rPr>
          <w:rFonts w:cs="Arial"/>
        </w:rPr>
        <w:t xml:space="preserve">There are several standards proposed by GHG Protocol. All of them are well described in </w:t>
      </w:r>
      <w:hyperlink r:id="rId176" w:history="1">
        <w:r w:rsidRPr="00DB35D4">
          <w:rPr>
            <w:rStyle w:val="Hyperlink"/>
            <w:rFonts w:cs="Arial"/>
          </w:rPr>
          <w:t>https://ghgprotocol.org/standards</w:t>
        </w:r>
      </w:hyperlink>
      <w:r w:rsidRPr="00DB35D4">
        <w:rPr>
          <w:rFonts w:cs="Arial"/>
        </w:rPr>
        <w:t xml:space="preserve"> and the user can choose the most appropriate for further implementation. </w:t>
      </w:r>
    </w:p>
    <w:p w14:paraId="0555CF18" w14:textId="57B77E3F" w:rsidR="005664B6" w:rsidRPr="00DB35D4" w:rsidRDefault="005664B6" w:rsidP="005664B6">
      <w:pPr>
        <w:rPr>
          <w:rFonts w:cs="Arial"/>
          <w:b/>
        </w:rPr>
      </w:pPr>
      <w:r w:rsidRPr="00DB35D4">
        <w:rPr>
          <w:rFonts w:cs="Arial"/>
          <w:b/>
        </w:rPr>
        <w:t xml:space="preserve">Site: </w:t>
      </w:r>
      <w:hyperlink r:id="rId177" w:history="1">
        <w:r w:rsidRPr="00DB35D4">
          <w:rPr>
            <w:rStyle w:val="Hyperlink"/>
            <w:rFonts w:cs="Arial"/>
            <w:b/>
          </w:rPr>
          <w:t>ghgprotocol.org</w:t>
        </w:r>
      </w:hyperlink>
    </w:p>
    <w:p w14:paraId="47F675FA" w14:textId="77777777" w:rsidR="005664B6" w:rsidRPr="00DB35D4" w:rsidRDefault="005664B6" w:rsidP="009E12D8">
      <w:pPr>
        <w:pStyle w:val="MAIL111"/>
      </w:pPr>
      <w:bookmarkStart w:id="322" w:name="_Toc90893005"/>
      <w:bookmarkStart w:id="323" w:name="_Toc91752459"/>
      <w:r w:rsidRPr="00DB35D4">
        <w:t>The Panda standard</w:t>
      </w:r>
      <w:bookmarkEnd w:id="322"/>
      <w:bookmarkEnd w:id="323"/>
    </w:p>
    <w:p w14:paraId="5518E2BE" w14:textId="37757C34" w:rsidR="005664B6" w:rsidRPr="00DB35D4" w:rsidRDefault="005664B6" w:rsidP="005664B6">
      <w:pPr>
        <w:rPr>
          <w:rFonts w:cs="Arial"/>
        </w:rPr>
      </w:pPr>
      <w:r w:rsidRPr="00DB35D4">
        <w:rPr>
          <w:rFonts w:cs="Arial"/>
        </w:rPr>
        <w:t xml:space="preserve">The Panda Standard is the first voluntary carbon standard designed specifically for China. The </w:t>
      </w:r>
      <w:hyperlink r:id="rId178" w:tgtFrame="_blank" w:history="1">
        <w:r w:rsidRPr="00DB35D4">
          <w:rPr>
            <w:rStyle w:val="Hyperlink"/>
            <w:rFonts w:cs="Arial"/>
          </w:rPr>
          <w:t xml:space="preserve">China Beijing Environment Exchange </w:t>
        </w:r>
      </w:hyperlink>
      <w:r w:rsidRPr="00DB35D4">
        <w:rPr>
          <w:rFonts w:cs="Arial"/>
        </w:rPr>
        <w:t>(CBEEX) and</w:t>
      </w:r>
      <w:hyperlink r:id="rId179" w:history="1">
        <w:r w:rsidRPr="00DB35D4">
          <w:rPr>
            <w:rStyle w:val="Hyperlink"/>
            <w:rFonts w:cs="Arial"/>
          </w:rPr>
          <w:t xml:space="preserve"> </w:t>
        </w:r>
        <w:proofErr w:type="spellStart"/>
        <w:r w:rsidRPr="00DB35D4">
          <w:rPr>
            <w:rStyle w:val="Hyperlink"/>
            <w:rFonts w:cs="Arial"/>
          </w:rPr>
          <w:t>BlueNext</w:t>
        </w:r>
        <w:proofErr w:type="spellEnd"/>
        <w:r w:rsidRPr="00DB35D4">
          <w:rPr>
            <w:rStyle w:val="Hyperlink"/>
            <w:rFonts w:cs="Arial"/>
          </w:rPr>
          <w:t xml:space="preserve">, </w:t>
        </w:r>
      </w:hyperlink>
      <w:r w:rsidRPr="00DB35D4">
        <w:rPr>
          <w:rFonts w:cs="Arial"/>
        </w:rPr>
        <w:t xml:space="preserve">and </w:t>
      </w:r>
      <w:hyperlink r:id="rId180" w:tgtFrame="_blank" w:history="1">
        <w:proofErr w:type="spellStart"/>
        <w:r w:rsidRPr="00DB35D4">
          <w:rPr>
            <w:rStyle w:val="Hyperlink"/>
            <w:rFonts w:cs="Arial"/>
          </w:rPr>
          <w:t>Winrock</w:t>
        </w:r>
        <w:proofErr w:type="spellEnd"/>
        <w:r w:rsidRPr="00DB35D4">
          <w:rPr>
            <w:rStyle w:val="Hyperlink"/>
            <w:rFonts w:cs="Arial"/>
          </w:rPr>
          <w:t xml:space="preserve"> International</w:t>
        </w:r>
      </w:hyperlink>
      <w:r w:rsidRPr="00DB35D4">
        <w:rPr>
          <w:rFonts w:cs="Arial"/>
        </w:rPr>
        <w:t xml:space="preserve"> founded the Panda Standard. Version 1.0 of the standard was launched at COP 15 in Copenhagen in December 2009:</w:t>
      </w:r>
    </w:p>
    <w:p w14:paraId="36BF7495" w14:textId="37D40E88" w:rsidR="005664B6" w:rsidRPr="00DB35D4" w:rsidRDefault="005664B6" w:rsidP="005664B6">
      <w:pPr>
        <w:rPr>
          <w:rFonts w:cs="Arial"/>
        </w:rPr>
      </w:pPr>
      <w:r w:rsidRPr="00DB35D4">
        <w:rPr>
          <w:rStyle w:val="Emphasis"/>
          <w:rFonts w:cs="Arial"/>
        </w:rPr>
        <w:t xml:space="preserve">" The Panda Standard effort will support the commitment of the People's Republic of China Government to reducing the greenhouse gas (GHG) emissions intensity of its economy, help develop national capacity in domestic voluntary carbon markets, and, as a first focus, promote Agriculture, Forestry and Other Land Use (AFOLU) GHG offset projects with significant poverty alleviation benefit." </w:t>
      </w:r>
      <w:sdt>
        <w:sdtPr>
          <w:rPr>
            <w:rFonts w:cs="Arial"/>
          </w:rPr>
          <w:id w:val="1672670335"/>
          <w:citation/>
        </w:sdtPr>
        <w:sdtEndPr/>
        <w:sdtContent>
          <w:r w:rsidRPr="00DB35D4">
            <w:rPr>
              <w:rFonts w:cs="Arial"/>
            </w:rPr>
            <w:fldChar w:fldCharType="begin"/>
          </w:r>
          <w:r w:rsidRPr="00DB35D4">
            <w:rPr>
              <w:rFonts w:cs="Arial"/>
            </w:rPr>
            <w:instrText xml:space="preserve"> CITATION Car19 \l 1033 </w:instrText>
          </w:r>
          <w:r w:rsidRPr="00DB35D4">
            <w:rPr>
              <w:rFonts w:cs="Arial"/>
            </w:rPr>
            <w:fldChar w:fldCharType="separate"/>
          </w:r>
          <w:r w:rsidR="00487700" w:rsidRPr="00487700">
            <w:rPr>
              <w:rFonts w:cs="Arial"/>
              <w:noProof/>
            </w:rPr>
            <w:t>(Carbon Offset Research and Education, 2019)</w:t>
          </w:r>
          <w:r w:rsidRPr="00DB35D4">
            <w:rPr>
              <w:rFonts w:cs="Arial"/>
            </w:rPr>
            <w:fldChar w:fldCharType="end"/>
          </w:r>
        </w:sdtContent>
      </w:sdt>
    </w:p>
    <w:p w14:paraId="69E83EA2" w14:textId="77777777" w:rsidR="005664B6" w:rsidRPr="00DB35D4" w:rsidRDefault="005664B6" w:rsidP="009E12D8">
      <w:pPr>
        <w:pStyle w:val="MAIL111"/>
      </w:pPr>
      <w:bookmarkStart w:id="324" w:name="_Toc90893006"/>
      <w:bookmarkStart w:id="325" w:name="_Toc91752460"/>
      <w:r w:rsidRPr="00DB35D4">
        <w:lastRenderedPageBreak/>
        <w:t>ISO 14064-1:2006 Greenhouse gases -- Part 1: Specification with guidance at the organization level for quantification and reporting of greenhouse gas emissions and removals</w:t>
      </w:r>
      <w:bookmarkEnd w:id="324"/>
      <w:bookmarkEnd w:id="325"/>
    </w:p>
    <w:p w14:paraId="0DB7CA23" w14:textId="77777777" w:rsidR="005664B6" w:rsidRPr="00DB35D4" w:rsidRDefault="005664B6" w:rsidP="005664B6">
      <w:pPr>
        <w:rPr>
          <w:rFonts w:cs="Arial"/>
        </w:rPr>
      </w:pPr>
      <w:r w:rsidRPr="00DB35D4">
        <w:rPr>
          <w:rFonts w:cs="Arial"/>
        </w:rPr>
        <w:t>ISO (the International Organization for Standardization) is a worldwide federation of national standards bodies (ISO member bodies). The work of preparing International Standards is normally carried out through ISO technical committees. Each member body interested in a subject for which a technical committee has been established has the right to be represented on that committee. International organizations, governmental and non-governmental, in liaison with ISO, also take part in the work. ISO collaborates closely with the International Electrotechnical Commission (IEC) on all matters of electrotechnical standardization.</w:t>
      </w:r>
    </w:p>
    <w:p w14:paraId="5ED248CD" w14:textId="29609B49" w:rsidR="005664B6" w:rsidRPr="00DB35D4" w:rsidRDefault="005664B6" w:rsidP="005664B6">
      <w:pPr>
        <w:rPr>
          <w:rFonts w:cs="Arial"/>
        </w:rPr>
      </w:pPr>
      <w:r w:rsidRPr="00DB35D4">
        <w:rPr>
          <w:rFonts w:cs="Arial"/>
        </w:rPr>
        <w:t>The first edition of the standard was published in 2006. This second edition cancels and replaces the first edition (</w:t>
      </w:r>
      <w:hyperlink r:id="rId181" w:anchor="iso:std:iso:14064:-1:ed-1:en" w:history="1">
        <w:r w:rsidRPr="00DB35D4">
          <w:rPr>
            <w:rStyle w:val="Hyperlink"/>
            <w:rFonts w:cs="Arial"/>
          </w:rPr>
          <w:t>ISO 14064-1:2006</w:t>
        </w:r>
      </w:hyperlink>
      <w:r w:rsidRPr="00DB35D4">
        <w:rPr>
          <w:rFonts w:cs="Arial"/>
        </w:rPr>
        <w:t>), which has been technically revised.</w:t>
      </w:r>
    </w:p>
    <w:p w14:paraId="443FC121" w14:textId="77777777" w:rsidR="005664B6" w:rsidRPr="00DB35D4" w:rsidRDefault="005664B6" w:rsidP="005664B6">
      <w:pPr>
        <w:rPr>
          <w:rFonts w:cs="Arial"/>
        </w:rPr>
      </w:pPr>
      <w:r w:rsidRPr="00DB35D4">
        <w:rPr>
          <w:rFonts w:cs="Arial"/>
        </w:rPr>
        <w:t>The main changes compared to the previous edition are as follows.</w:t>
      </w:r>
    </w:p>
    <w:p w14:paraId="5CE0F4F7" w14:textId="77777777" w:rsidR="005664B6" w:rsidRPr="00DB35D4" w:rsidRDefault="005664B6" w:rsidP="00A01330">
      <w:pPr>
        <w:numPr>
          <w:ilvl w:val="0"/>
          <w:numId w:val="31"/>
        </w:numPr>
        <w:spacing w:before="100" w:beforeAutospacing="1" w:after="100" w:afterAutospacing="1"/>
        <w:rPr>
          <w:rFonts w:cs="Arial"/>
        </w:rPr>
      </w:pPr>
      <w:r w:rsidRPr="00DB35D4">
        <w:rPr>
          <w:rFonts w:cs="Arial"/>
        </w:rPr>
        <w:t>A new approach has been introduced to reporting boundaries, facilitating the inclusion and expansion of indirect emissions. This change is a response to a growing number of organizations that are recognizing the importance and significance of indirect emissions and are developing GHG inventories that include more types of indirect emissions across the value chain.</w:t>
      </w:r>
    </w:p>
    <w:p w14:paraId="3D2289BD" w14:textId="77777777" w:rsidR="005664B6" w:rsidRPr="00DB35D4" w:rsidRDefault="005664B6" w:rsidP="00A01330">
      <w:pPr>
        <w:numPr>
          <w:ilvl w:val="0"/>
          <w:numId w:val="31"/>
        </w:numPr>
        <w:spacing w:before="100" w:beforeAutospacing="1" w:after="100" w:afterAutospacing="1"/>
        <w:rPr>
          <w:rFonts w:cs="Arial"/>
        </w:rPr>
      </w:pPr>
      <w:r w:rsidRPr="00DB35D4">
        <w:rPr>
          <w:rFonts w:cs="Arial"/>
        </w:rPr>
        <w:t>The GHG emissions category “other indirect GHG emissions” has been renamed “indirect GHG emissions.” Requirements and guidance have been provided for classification of indirect GHG emissions into five specific categories. “Operational boundaries” has been renamed “reporting boundaries” for clarification and simplicity.</w:t>
      </w:r>
    </w:p>
    <w:p w14:paraId="710AE19D" w14:textId="77777777" w:rsidR="005664B6" w:rsidRPr="00DB35D4" w:rsidRDefault="005664B6" w:rsidP="00A01330">
      <w:pPr>
        <w:numPr>
          <w:ilvl w:val="0"/>
          <w:numId w:val="31"/>
        </w:numPr>
        <w:spacing w:before="100" w:beforeAutospacing="1" w:after="100" w:afterAutospacing="1"/>
        <w:rPr>
          <w:rFonts w:cs="Arial"/>
        </w:rPr>
      </w:pPr>
      <w:r w:rsidRPr="00DB35D4">
        <w:rPr>
          <w:rFonts w:cs="Arial"/>
        </w:rPr>
        <w:t>New requirements and guidance for GHG quantification and reporting of specific items, such as the treatment of biogenic carbon and GHG emissions related to electricity, have been added for clarification.</w:t>
      </w:r>
    </w:p>
    <w:p w14:paraId="497E2897" w14:textId="77777777" w:rsidR="005664B6" w:rsidRPr="00DB35D4" w:rsidRDefault="005664B6" w:rsidP="005664B6">
      <w:pPr>
        <w:spacing w:before="100" w:beforeAutospacing="1" w:after="100" w:afterAutospacing="1"/>
        <w:rPr>
          <w:rFonts w:cs="Arial"/>
        </w:rPr>
      </w:pPr>
      <w:r w:rsidRPr="00DB35D4">
        <w:rPr>
          <w:rFonts w:cs="Arial"/>
        </w:rPr>
        <w:t>The complete documentation of the ISO standard is not freely available over the internet. The reader can purchase for an amount of about 160CHF the standard’s description and details.</w:t>
      </w:r>
    </w:p>
    <w:p w14:paraId="07E7F9B5" w14:textId="77777777" w:rsidR="005664B6" w:rsidRPr="00E91166" w:rsidRDefault="005664B6" w:rsidP="005664B6">
      <w:pPr>
        <w:keepNext/>
        <w:spacing w:before="100" w:beforeAutospacing="1" w:after="100" w:afterAutospacing="1"/>
        <w:jc w:val="center"/>
        <w:rPr>
          <w:rFonts w:cs="Arial"/>
          <w:sz w:val="20"/>
          <w:szCs w:val="20"/>
        </w:rPr>
      </w:pPr>
      <w:r w:rsidRPr="00E91166">
        <w:rPr>
          <w:rFonts w:cs="Arial"/>
          <w:noProof/>
          <w:sz w:val="20"/>
          <w:szCs w:val="20"/>
          <w:lang w:val="es-ES" w:eastAsia="es-ES"/>
        </w:rPr>
        <w:lastRenderedPageBreak/>
        <w:drawing>
          <wp:inline distT="0" distB="0" distL="0" distR="0" wp14:anchorId="31F12F33" wp14:editId="0CAC77BF">
            <wp:extent cx="4371975" cy="4181736"/>
            <wp:effectExtent l="0" t="0" r="0" b="9525"/>
            <wp:docPr id="42" name="Εικόνα 42" descr="fi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_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389469" cy="4198469"/>
                    </a:xfrm>
                    <a:prstGeom prst="rect">
                      <a:avLst/>
                    </a:prstGeom>
                    <a:noFill/>
                    <a:ln>
                      <a:noFill/>
                    </a:ln>
                  </pic:spPr>
                </pic:pic>
              </a:graphicData>
            </a:graphic>
          </wp:inline>
        </w:drawing>
      </w:r>
    </w:p>
    <w:p w14:paraId="20C871C1" w14:textId="2F6E842D" w:rsidR="005664B6" w:rsidRPr="00E91166" w:rsidRDefault="005664B6" w:rsidP="00180653">
      <w:pPr>
        <w:pStyle w:val="Caption"/>
        <w:keepNext/>
        <w:rPr>
          <w:rFonts w:cs="Arial"/>
          <w:b w:val="0"/>
          <w:bCs w:val="0"/>
        </w:rPr>
      </w:pPr>
      <w:bookmarkStart w:id="326" w:name="_Toc90888754"/>
      <w:bookmarkStart w:id="327" w:name="_Toc90893528"/>
      <w:bookmarkStart w:id="328" w:name="_Toc91752534"/>
      <w:r w:rsidRPr="00E91166">
        <w:rPr>
          <w:rFonts w:cs="Arial"/>
        </w:rPr>
        <w:t xml:space="preserve">Figure </w:t>
      </w:r>
      <w:r w:rsidRPr="00E91166">
        <w:rPr>
          <w:rFonts w:cs="Arial"/>
          <w:b w:val="0"/>
          <w:bCs w:val="0"/>
          <w:i/>
          <w:iCs/>
        </w:rPr>
        <w:fldChar w:fldCharType="begin"/>
      </w:r>
      <w:r w:rsidRPr="00E91166">
        <w:rPr>
          <w:rFonts w:cs="Arial"/>
        </w:rPr>
        <w:instrText xml:space="preserve"> SEQ Figure \* ARABIC </w:instrText>
      </w:r>
      <w:r w:rsidRPr="00E91166">
        <w:rPr>
          <w:rFonts w:cs="Arial"/>
          <w:b w:val="0"/>
          <w:bCs w:val="0"/>
          <w:i/>
          <w:iCs/>
        </w:rPr>
        <w:fldChar w:fldCharType="separate"/>
      </w:r>
      <w:r w:rsidR="0073710A">
        <w:rPr>
          <w:rFonts w:cs="Arial"/>
          <w:noProof/>
        </w:rPr>
        <w:t>50</w:t>
      </w:r>
      <w:r w:rsidRPr="00E91166">
        <w:rPr>
          <w:rFonts w:cs="Arial"/>
          <w:b w:val="0"/>
          <w:bCs w:val="0"/>
          <w:i/>
          <w:iCs/>
        </w:rPr>
        <w:fldChar w:fldCharType="end"/>
      </w:r>
      <w:r w:rsidRPr="00E91166">
        <w:rPr>
          <w:rFonts w:cs="Arial"/>
        </w:rPr>
        <w:t>: Relationship among ISO 14060 family and the GHG standards. Source: https://www.iso.org/obp/ui/#iso:std:iso:14064:-1:ed-2:v1:en</w:t>
      </w:r>
      <w:bookmarkEnd w:id="326"/>
      <w:bookmarkEnd w:id="327"/>
      <w:bookmarkEnd w:id="328"/>
    </w:p>
    <w:p w14:paraId="44C0C0BF" w14:textId="77777777" w:rsidR="005664B6" w:rsidRDefault="005664B6" w:rsidP="009E12D8">
      <w:pPr>
        <w:pStyle w:val="MAIL111"/>
      </w:pPr>
      <w:bookmarkStart w:id="329" w:name="_Toc90893007"/>
      <w:bookmarkStart w:id="330" w:name="_Toc91752461"/>
      <w:r w:rsidRPr="002E7AD9">
        <w:t>WWF report on forest carbon accounting standards</w:t>
      </w:r>
      <w:bookmarkEnd w:id="329"/>
      <w:bookmarkEnd w:id="330"/>
    </w:p>
    <w:p w14:paraId="31AF2BBD" w14:textId="311E4C2E" w:rsidR="005664B6" w:rsidRPr="00DB35D4" w:rsidRDefault="005664B6" w:rsidP="005664B6">
      <w:pPr>
        <w:rPr>
          <w:rFonts w:cs="Arial"/>
        </w:rPr>
      </w:pPr>
      <w:r w:rsidRPr="00DB35D4">
        <w:rPr>
          <w:rFonts w:cs="Arial"/>
        </w:rPr>
        <w:t xml:space="preserve">A thorough report about the current trend of voluntary markets has been given since 2010 by the </w:t>
      </w:r>
      <w:proofErr w:type="gramStart"/>
      <w:r w:rsidRPr="00DB35D4">
        <w:rPr>
          <w:rFonts w:cs="Arial"/>
        </w:rPr>
        <w:t>World Wide</w:t>
      </w:r>
      <w:proofErr w:type="gramEnd"/>
      <w:r w:rsidRPr="00DB35D4">
        <w:rPr>
          <w:rFonts w:cs="Arial"/>
        </w:rPr>
        <w:t xml:space="preserve"> Fund (WWF) and is assessing the carbon markets based also on previous published documents and reports from relevant institutions. One of the most important conclusions of the report is about the basic principles that a credible forest carbon standard should have (</w:t>
      </w:r>
      <w:r w:rsidRPr="00DB35D4">
        <w:rPr>
          <w:rFonts w:cs="Arial"/>
        </w:rPr>
        <w:fldChar w:fldCharType="begin"/>
      </w:r>
      <w:r w:rsidRPr="00DB35D4">
        <w:rPr>
          <w:rFonts w:cs="Arial"/>
        </w:rPr>
        <w:instrText xml:space="preserve"> REF _Ref86399324 \h  \* MERGEFORMAT </w:instrText>
      </w:r>
      <w:r w:rsidRPr="00DB35D4">
        <w:rPr>
          <w:rFonts w:cs="Arial"/>
        </w:rPr>
      </w:r>
      <w:r w:rsidRPr="00DB35D4">
        <w:rPr>
          <w:rFonts w:cs="Arial"/>
        </w:rPr>
        <w:fldChar w:fldCharType="separate"/>
      </w:r>
      <w:r w:rsidR="0073710A" w:rsidRPr="0073710A">
        <w:rPr>
          <w:rFonts w:cs="Arial"/>
          <w:lang w:val="en-GB"/>
        </w:rPr>
        <w:t>Figure 51</w:t>
      </w:r>
      <w:r w:rsidRPr="00DB35D4">
        <w:rPr>
          <w:rFonts w:cs="Arial"/>
        </w:rPr>
        <w:fldChar w:fldCharType="end"/>
      </w:r>
      <w:r w:rsidRPr="00DB35D4">
        <w:rPr>
          <w:rFonts w:cs="Arial"/>
        </w:rPr>
        <w:t>)</w:t>
      </w:r>
      <w:sdt>
        <w:sdtPr>
          <w:rPr>
            <w:rFonts w:cs="Arial"/>
          </w:rPr>
          <w:id w:val="1524054558"/>
          <w:citation/>
        </w:sdtPr>
        <w:sdtEndPr/>
        <w:sdtContent>
          <w:r w:rsidRPr="00DB35D4">
            <w:rPr>
              <w:rFonts w:cs="Arial"/>
            </w:rPr>
            <w:fldChar w:fldCharType="begin"/>
          </w:r>
          <w:r w:rsidRPr="00DB35D4">
            <w:rPr>
              <w:rFonts w:cs="Arial"/>
            </w:rPr>
            <w:instrText xml:space="preserve"> CITATION WWF10 \l 1033 </w:instrText>
          </w:r>
          <w:r w:rsidRPr="00DB35D4">
            <w:rPr>
              <w:rFonts w:cs="Arial"/>
            </w:rPr>
            <w:fldChar w:fldCharType="separate"/>
          </w:r>
          <w:r w:rsidR="00487700">
            <w:rPr>
              <w:rFonts w:cs="Arial"/>
              <w:noProof/>
            </w:rPr>
            <w:t xml:space="preserve"> </w:t>
          </w:r>
          <w:r w:rsidR="00487700" w:rsidRPr="00487700">
            <w:rPr>
              <w:rFonts w:cs="Arial"/>
              <w:noProof/>
            </w:rPr>
            <w:t>(WWF, 2010)</w:t>
          </w:r>
          <w:r w:rsidRPr="00DB35D4">
            <w:rPr>
              <w:rFonts w:cs="Arial"/>
            </w:rPr>
            <w:fldChar w:fldCharType="end"/>
          </w:r>
        </w:sdtContent>
      </w:sdt>
      <w:r w:rsidRPr="00DB35D4">
        <w:rPr>
          <w:rFonts w:cs="Arial"/>
        </w:rPr>
        <w:t xml:space="preserve">. </w:t>
      </w:r>
    </w:p>
    <w:p w14:paraId="282DCF06" w14:textId="77777777" w:rsidR="005664B6" w:rsidRPr="00DB35D4" w:rsidRDefault="005664B6" w:rsidP="005664B6">
      <w:pPr>
        <w:keepNext/>
        <w:jc w:val="center"/>
        <w:rPr>
          <w:rFonts w:cs="Arial"/>
        </w:rPr>
      </w:pPr>
      <w:r w:rsidRPr="00DB35D4">
        <w:rPr>
          <w:rFonts w:cs="Arial"/>
          <w:noProof/>
          <w:lang w:val="es-ES" w:eastAsia="es-ES"/>
        </w:rPr>
        <w:lastRenderedPageBreak/>
        <w:drawing>
          <wp:inline distT="0" distB="0" distL="0" distR="0" wp14:anchorId="4F7A810D" wp14:editId="29B59F13">
            <wp:extent cx="5147472" cy="3475095"/>
            <wp:effectExtent l="0" t="0" r="0"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5290" t="23092" r="52917" b="26747"/>
                    <a:stretch/>
                  </pic:blipFill>
                  <pic:spPr bwMode="auto">
                    <a:xfrm>
                      <a:off x="0" y="0"/>
                      <a:ext cx="5168893" cy="3489557"/>
                    </a:xfrm>
                    <a:prstGeom prst="rect">
                      <a:avLst/>
                    </a:prstGeom>
                    <a:ln>
                      <a:noFill/>
                    </a:ln>
                    <a:extLst>
                      <a:ext uri="{53640926-AAD7-44D8-BBD7-CCE9431645EC}">
                        <a14:shadowObscured xmlns:a14="http://schemas.microsoft.com/office/drawing/2010/main"/>
                      </a:ext>
                    </a:extLst>
                  </pic:spPr>
                </pic:pic>
              </a:graphicData>
            </a:graphic>
          </wp:inline>
        </w:drawing>
      </w:r>
    </w:p>
    <w:p w14:paraId="006BD919" w14:textId="5293B608" w:rsidR="005664B6" w:rsidRPr="00E91166" w:rsidRDefault="005664B6" w:rsidP="00180653">
      <w:pPr>
        <w:pStyle w:val="Caption"/>
        <w:rPr>
          <w:rFonts w:cs="Arial"/>
          <w:b w:val="0"/>
          <w:bCs w:val="0"/>
        </w:rPr>
      </w:pPr>
      <w:bookmarkStart w:id="331" w:name="_Ref86399324"/>
      <w:bookmarkStart w:id="332" w:name="_Toc90888755"/>
      <w:bookmarkStart w:id="333" w:name="_Toc90893529"/>
      <w:bookmarkStart w:id="334" w:name="_Toc91752535"/>
      <w:r w:rsidRPr="00E91166">
        <w:rPr>
          <w:rFonts w:cs="Arial"/>
        </w:rPr>
        <w:t xml:space="preserve">Figure </w:t>
      </w:r>
      <w:r w:rsidRPr="00E91166">
        <w:rPr>
          <w:rFonts w:cs="Arial"/>
          <w:b w:val="0"/>
          <w:bCs w:val="0"/>
        </w:rPr>
        <w:fldChar w:fldCharType="begin"/>
      </w:r>
      <w:r w:rsidRPr="00E91166">
        <w:rPr>
          <w:rFonts w:cs="Arial"/>
        </w:rPr>
        <w:instrText xml:space="preserve"> SEQ Figure \* ARABIC </w:instrText>
      </w:r>
      <w:r w:rsidRPr="00E91166">
        <w:rPr>
          <w:rFonts w:cs="Arial"/>
          <w:b w:val="0"/>
          <w:bCs w:val="0"/>
        </w:rPr>
        <w:fldChar w:fldCharType="separate"/>
      </w:r>
      <w:r w:rsidR="0073710A">
        <w:rPr>
          <w:rFonts w:cs="Arial"/>
          <w:noProof/>
        </w:rPr>
        <w:t>51</w:t>
      </w:r>
      <w:r w:rsidRPr="00E91166">
        <w:rPr>
          <w:rFonts w:cs="Arial"/>
          <w:b w:val="0"/>
          <w:bCs w:val="0"/>
        </w:rPr>
        <w:fldChar w:fldCharType="end"/>
      </w:r>
      <w:bookmarkEnd w:id="331"/>
      <w:r w:rsidRPr="00E91166">
        <w:rPr>
          <w:rFonts w:cs="Arial"/>
        </w:rPr>
        <w:t xml:space="preserve"> Basic characteristics of a forest carbon standard. Source: https://mobil.wwf.de/fileadmin/fm-wwf/Publikationen-PDF/Forest_Carbon_Standards_Assessment_Guide.pdf</w:t>
      </w:r>
      <w:bookmarkEnd w:id="332"/>
      <w:bookmarkEnd w:id="333"/>
      <w:bookmarkEnd w:id="334"/>
    </w:p>
    <w:p w14:paraId="3B90EEA2" w14:textId="00002678" w:rsidR="005664B6" w:rsidRPr="00DB35D4" w:rsidRDefault="005664B6" w:rsidP="005664B6">
      <w:pPr>
        <w:rPr>
          <w:rFonts w:cs="Arial"/>
          <w:lang w:eastAsia="el-GR"/>
        </w:rPr>
      </w:pPr>
      <w:r w:rsidRPr="00DB35D4">
        <w:rPr>
          <w:rFonts w:cs="Arial"/>
          <w:lang w:eastAsia="el-GR"/>
        </w:rPr>
        <w:t xml:space="preserve">A state of the art of most of the Carbon Voluntary markets reported in a yearly basis since the last years of the past decade can be found at the site of Ecosystem Marketplace </w:t>
      </w:r>
      <w:sdt>
        <w:sdtPr>
          <w:rPr>
            <w:rFonts w:cs="Arial"/>
            <w:lang w:eastAsia="el-GR"/>
          </w:rPr>
          <w:id w:val="-1148742222"/>
          <w:citation/>
        </w:sdtPr>
        <w:sdtEndPr/>
        <w:sdtContent>
          <w:r w:rsidRPr="00DB35D4">
            <w:rPr>
              <w:rFonts w:cs="Arial"/>
              <w:lang w:eastAsia="el-GR"/>
            </w:rPr>
            <w:fldChar w:fldCharType="begin"/>
          </w:r>
          <w:r w:rsidRPr="00DB35D4">
            <w:rPr>
              <w:rFonts w:cs="Arial"/>
              <w:lang w:eastAsia="el-GR"/>
            </w:rPr>
            <w:instrText xml:space="preserve">CITATION Eco \l 1033 </w:instrText>
          </w:r>
          <w:r w:rsidRPr="00DB35D4">
            <w:rPr>
              <w:rFonts w:cs="Arial"/>
              <w:lang w:eastAsia="el-GR"/>
            </w:rPr>
            <w:fldChar w:fldCharType="separate"/>
          </w:r>
          <w:r w:rsidR="00487700" w:rsidRPr="00487700">
            <w:rPr>
              <w:rFonts w:cs="Arial"/>
              <w:noProof/>
              <w:lang w:eastAsia="el-GR"/>
            </w:rPr>
            <w:t>(Ecosystem Marketplace, 2019)</w:t>
          </w:r>
          <w:r w:rsidRPr="00DB35D4">
            <w:rPr>
              <w:rFonts w:cs="Arial"/>
              <w:lang w:eastAsia="el-GR"/>
            </w:rPr>
            <w:fldChar w:fldCharType="end"/>
          </w:r>
        </w:sdtContent>
      </w:sdt>
      <w:r w:rsidR="00E91166">
        <w:rPr>
          <w:rFonts w:cs="Arial"/>
          <w:lang w:eastAsia="el-GR"/>
        </w:rPr>
        <w:t>.</w:t>
      </w:r>
    </w:p>
    <w:p w14:paraId="421F8801" w14:textId="77777777" w:rsidR="005664B6" w:rsidRPr="00DB35D4" w:rsidRDefault="005664B6" w:rsidP="005664B6">
      <w:pPr>
        <w:rPr>
          <w:rFonts w:eastAsiaTheme="majorEastAsia" w:cs="Arial"/>
          <w:color w:val="31479E" w:themeColor="accent1" w:themeShade="BF"/>
          <w:lang w:eastAsia="el-GR"/>
        </w:rPr>
      </w:pPr>
      <w:bookmarkStart w:id="335" w:name="_Toc18677171"/>
      <w:bookmarkEnd w:id="315"/>
      <w:r w:rsidRPr="00DB35D4">
        <w:rPr>
          <w:rFonts w:cs="Arial"/>
        </w:rPr>
        <w:br w:type="page"/>
      </w:r>
    </w:p>
    <w:p w14:paraId="47FB0D51" w14:textId="1BA91DAF" w:rsidR="005664B6" w:rsidRPr="00180653" w:rsidRDefault="005664B6" w:rsidP="005664B6">
      <w:pPr>
        <w:pStyle w:val="MAIL1"/>
      </w:pPr>
      <w:bookmarkStart w:id="336" w:name="_Toc90893008"/>
      <w:bookmarkStart w:id="337" w:name="_Toc91752462"/>
      <w:r w:rsidRPr="00DB35D4">
        <w:lastRenderedPageBreak/>
        <w:t>Carbon offset and absorption projects: public and private initiatives</w:t>
      </w:r>
      <w:bookmarkEnd w:id="335"/>
      <w:bookmarkEnd w:id="336"/>
      <w:bookmarkEnd w:id="337"/>
    </w:p>
    <w:p w14:paraId="053AA7E2" w14:textId="77777777" w:rsidR="005664B6" w:rsidRPr="00DB35D4" w:rsidRDefault="005664B6" w:rsidP="00E91166">
      <w:pPr>
        <w:keepNext/>
        <w:jc w:val="center"/>
        <w:rPr>
          <w:rFonts w:cs="Arial"/>
        </w:rPr>
      </w:pPr>
      <w:r w:rsidRPr="00DB35D4">
        <w:rPr>
          <w:rFonts w:cs="Arial"/>
          <w:noProof/>
          <w:lang w:val="es-ES" w:eastAsia="es-ES"/>
        </w:rPr>
        <w:drawing>
          <wp:inline distT="0" distB="0" distL="0" distR="0" wp14:anchorId="37A45D17" wp14:editId="3794163F">
            <wp:extent cx="5114925" cy="3340735"/>
            <wp:effectExtent l="0" t="0" r="9525" b="0"/>
            <wp:docPr id="54"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14925" cy="3340735"/>
                    </a:xfrm>
                    <a:prstGeom prst="rect">
                      <a:avLst/>
                    </a:prstGeom>
                    <a:noFill/>
                  </pic:spPr>
                </pic:pic>
              </a:graphicData>
            </a:graphic>
          </wp:inline>
        </w:drawing>
      </w:r>
    </w:p>
    <w:p w14:paraId="656A7141" w14:textId="0BA18D56" w:rsidR="005664B6" w:rsidRPr="00E91166" w:rsidRDefault="005664B6" w:rsidP="00180653">
      <w:pPr>
        <w:pStyle w:val="Caption"/>
        <w:rPr>
          <w:rFonts w:cs="Arial"/>
          <w:b w:val="0"/>
          <w:bCs w:val="0"/>
        </w:rPr>
      </w:pPr>
      <w:bookmarkStart w:id="338" w:name="_Ref86399400"/>
      <w:bookmarkStart w:id="339" w:name="_Toc90888756"/>
      <w:bookmarkStart w:id="340" w:name="_Toc90893530"/>
      <w:bookmarkStart w:id="341" w:name="_Toc91752536"/>
      <w:r w:rsidRPr="00E91166">
        <w:rPr>
          <w:rFonts w:cs="Arial"/>
        </w:rPr>
        <w:t xml:space="preserve">Figure </w:t>
      </w:r>
      <w:r w:rsidRPr="00E91166">
        <w:rPr>
          <w:rFonts w:cs="Arial"/>
          <w:b w:val="0"/>
          <w:bCs w:val="0"/>
          <w:i/>
          <w:iCs/>
        </w:rPr>
        <w:fldChar w:fldCharType="begin"/>
      </w:r>
      <w:r w:rsidRPr="00E91166">
        <w:rPr>
          <w:rFonts w:cs="Arial"/>
        </w:rPr>
        <w:instrText xml:space="preserve"> SEQ Figure \* ARABIC </w:instrText>
      </w:r>
      <w:r w:rsidRPr="00E91166">
        <w:rPr>
          <w:rFonts w:cs="Arial"/>
          <w:b w:val="0"/>
          <w:bCs w:val="0"/>
          <w:i/>
          <w:iCs/>
        </w:rPr>
        <w:fldChar w:fldCharType="separate"/>
      </w:r>
      <w:r w:rsidR="0073710A">
        <w:rPr>
          <w:rFonts w:cs="Arial"/>
          <w:noProof/>
        </w:rPr>
        <w:t>52</w:t>
      </w:r>
      <w:r w:rsidRPr="00E91166">
        <w:rPr>
          <w:rFonts w:cs="Arial"/>
          <w:b w:val="0"/>
          <w:bCs w:val="0"/>
          <w:i/>
          <w:iCs/>
        </w:rPr>
        <w:fldChar w:fldCharType="end"/>
      </w:r>
      <w:bookmarkEnd w:id="338"/>
      <w:r w:rsidRPr="00E91166">
        <w:rPr>
          <w:rFonts w:cs="Arial"/>
        </w:rPr>
        <w:t xml:space="preserve"> Historical market share of transaction Volume by profit and non-profit suppliers. Source: https://www.forest-trends.org/wp-content/uploads/imported/final_report_2010_9-1-10_no-crop-pdf.pdf</w:t>
      </w:r>
      <w:bookmarkEnd w:id="339"/>
      <w:bookmarkEnd w:id="340"/>
      <w:bookmarkEnd w:id="341"/>
    </w:p>
    <w:p w14:paraId="3F87C3FF" w14:textId="77777777" w:rsidR="005664B6" w:rsidRPr="00DB35D4" w:rsidRDefault="005664B6" w:rsidP="005664B6">
      <w:pPr>
        <w:pStyle w:val="MAIL11"/>
      </w:pPr>
      <w:bookmarkStart w:id="342" w:name="_Toc90893009"/>
      <w:bookmarkStart w:id="343" w:name="_Toc91752463"/>
      <w:r w:rsidRPr="00DB35D4">
        <w:t>Public initiatives</w:t>
      </w:r>
      <w:bookmarkEnd w:id="342"/>
      <w:bookmarkEnd w:id="343"/>
      <w:r w:rsidRPr="00DB35D4">
        <w:t xml:space="preserve"> </w:t>
      </w:r>
    </w:p>
    <w:p w14:paraId="5676F15D" w14:textId="45E9975E" w:rsidR="005664B6" w:rsidRPr="00DB35D4" w:rsidRDefault="005664B6" w:rsidP="005664B6">
      <w:pPr>
        <w:rPr>
          <w:rFonts w:cs="Arial"/>
          <w:lang w:eastAsia="el-GR"/>
        </w:rPr>
      </w:pPr>
      <w:r w:rsidRPr="00DB35D4">
        <w:rPr>
          <w:rFonts w:cs="Arial"/>
          <w:lang w:eastAsia="el-GR"/>
        </w:rPr>
        <w:t>Carbon Offset and voluntary markets are synonym concepts and most of the voluntary markets have started from non-profit and Non-Government Organizations (NGOs) (</w:t>
      </w:r>
      <w:r w:rsidRPr="00DB35D4">
        <w:rPr>
          <w:rFonts w:cs="Arial"/>
        </w:rPr>
        <w:fldChar w:fldCharType="begin"/>
      </w:r>
      <w:r w:rsidRPr="00DB35D4">
        <w:rPr>
          <w:rFonts w:cs="Arial"/>
        </w:rPr>
        <w:instrText xml:space="preserve"> REF _Ref86399400 \h  \* MERGEFORMAT </w:instrText>
      </w:r>
      <w:r w:rsidRPr="00DB35D4">
        <w:rPr>
          <w:rFonts w:cs="Arial"/>
        </w:rPr>
      </w:r>
      <w:r w:rsidRPr="00DB35D4">
        <w:rPr>
          <w:rFonts w:cs="Arial"/>
        </w:rPr>
        <w:fldChar w:fldCharType="separate"/>
      </w:r>
      <w:r w:rsidR="0073710A" w:rsidRPr="0073710A">
        <w:rPr>
          <w:rFonts w:cs="Arial"/>
          <w:lang w:val="en-GB"/>
        </w:rPr>
        <w:t>Figure 52</w:t>
      </w:r>
      <w:r w:rsidRPr="00DB35D4">
        <w:rPr>
          <w:rFonts w:cs="Arial"/>
        </w:rPr>
        <w:fldChar w:fldCharType="end"/>
      </w:r>
      <w:r w:rsidRPr="00DB35D4">
        <w:rPr>
          <w:rFonts w:cs="Arial"/>
          <w:lang w:eastAsia="el-GR"/>
        </w:rPr>
        <w:t>). However, this trend started to change in 2005</w:t>
      </w:r>
      <w:sdt>
        <w:sdtPr>
          <w:rPr>
            <w:rFonts w:cs="Arial"/>
            <w:lang w:eastAsia="el-GR"/>
          </w:rPr>
          <w:id w:val="1323691705"/>
          <w:citation/>
        </w:sdtPr>
        <w:sdtEndPr/>
        <w:sdtContent>
          <w:r w:rsidRPr="00DB35D4">
            <w:rPr>
              <w:rFonts w:cs="Arial"/>
              <w:lang w:eastAsia="el-GR"/>
            </w:rPr>
            <w:fldChar w:fldCharType="begin"/>
          </w:r>
          <w:r w:rsidRPr="00DB35D4">
            <w:rPr>
              <w:rFonts w:cs="Arial"/>
              <w:lang w:eastAsia="el-GR"/>
            </w:rPr>
            <w:instrText xml:space="preserve"> CITATION Eco10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(Ecosystem Marketplace, 2010)</w:t>
          </w:r>
          <w:r w:rsidRPr="00DB35D4">
            <w:rPr>
              <w:rFonts w:cs="Arial"/>
              <w:lang w:eastAsia="el-GR"/>
            </w:rPr>
            <w:fldChar w:fldCharType="end"/>
          </w:r>
        </w:sdtContent>
      </w:sdt>
      <w:r w:rsidRPr="00DB35D4">
        <w:rPr>
          <w:rFonts w:cs="Arial"/>
          <w:lang w:eastAsia="el-GR"/>
        </w:rPr>
        <w:t>. Domestic Offset Projects (DOP) refer to Carbon Offset Projects that are creating allowances within the country that will use them (either by the government to fulfil their INDC or private institutes/polluters). The DOPs can be either of public (governmental) or of private character. However, EU with the early establishment of ETS and of the future Effort Sharing mechanism has not given a lot of space for the development of public DOPs. There exist only a few paradigms in Europe where governments have implemented Carbon Offsets Market and the reason is because of the unlinked operation of several compliance and voluntary mechanisms that might lead to double counting of allowances and the inability of their users to prove the additionality</w:t>
      </w:r>
      <w:sdt>
        <w:sdtPr>
          <w:rPr>
            <w:rFonts w:cs="Arial"/>
            <w:lang w:eastAsia="el-GR"/>
          </w:rPr>
          <w:id w:val="-772476071"/>
          <w:citation/>
        </w:sdtPr>
        <w:sdtEndPr/>
        <w:sdtContent>
          <w:r w:rsidRPr="00DB35D4">
            <w:rPr>
              <w:rFonts w:cs="Arial"/>
              <w:lang w:eastAsia="el-GR"/>
            </w:rPr>
            <w:fldChar w:fldCharType="begin"/>
          </w:r>
          <w:r w:rsidRPr="00DB35D4">
            <w:rPr>
              <w:rFonts w:cs="Arial"/>
              <w:lang w:eastAsia="el-GR"/>
            </w:rPr>
            <w:instrText xml:space="preserve"> CITATION Net17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(Nett &amp; Volters, 2017)</w:t>
          </w:r>
          <w:r w:rsidRPr="00DB35D4">
            <w:rPr>
              <w:rFonts w:cs="Arial"/>
              <w:lang w:eastAsia="el-GR"/>
            </w:rPr>
            <w:fldChar w:fldCharType="end"/>
          </w:r>
        </w:sdtContent>
      </w:sdt>
      <w:r w:rsidRPr="00DB35D4">
        <w:rPr>
          <w:rFonts w:cs="Arial"/>
          <w:lang w:eastAsia="el-GR"/>
        </w:rPr>
        <w:t xml:space="preserve">. </w:t>
      </w:r>
      <w:r w:rsidRPr="00DB35D4">
        <w:rPr>
          <w:rFonts w:cs="Arial"/>
          <w:lang w:eastAsia="el-GR"/>
        </w:rPr>
        <w:lastRenderedPageBreak/>
        <w:t xml:space="preserve">We remind that </w:t>
      </w:r>
      <w:r w:rsidRPr="00DB35D4">
        <w:rPr>
          <w:rFonts w:cs="Arial"/>
        </w:rPr>
        <w:t xml:space="preserve">the topic of </w:t>
      </w:r>
      <w:r w:rsidRPr="00DB35D4">
        <w:rPr>
          <w:rFonts w:cs="Arial"/>
          <w:b/>
        </w:rPr>
        <w:t>additionality</w:t>
      </w:r>
      <w:r w:rsidRPr="00DB35D4">
        <w:rPr>
          <w:rFonts w:cs="Arial"/>
        </w:rPr>
        <w:t xml:space="preserve"> is the most fundamental issue in the carbon offset market. In theory, additionality answers a very simple question: </w:t>
      </w:r>
      <w:r w:rsidRPr="00DB35D4">
        <w:rPr>
          <w:rFonts w:cs="Arial"/>
          <w:i/>
        </w:rPr>
        <w:t>Would the emissions reductions have occurred, holding all else constant, if the activity were not implemented as an offset project?</w:t>
      </w:r>
      <w:r w:rsidRPr="00DB35D4">
        <w:rPr>
          <w:rFonts w:cs="Arial"/>
        </w:rPr>
        <w:t xml:space="preserve"> Or more simply: </w:t>
      </w:r>
      <w:r w:rsidRPr="00DB35D4">
        <w:rPr>
          <w:rFonts w:cs="Arial"/>
          <w:i/>
        </w:rPr>
        <w:t>Would the project have happened anyway?</w:t>
      </w:r>
      <w:r w:rsidRPr="00DB35D4">
        <w:rPr>
          <w:rFonts w:cs="Arial"/>
        </w:rPr>
        <w:t xml:space="preserve"> If the answer to that is yes, the project is </w:t>
      </w:r>
      <w:r w:rsidRPr="00DB35D4">
        <w:rPr>
          <w:rStyle w:val="Emphasis"/>
          <w:rFonts w:cs="Arial"/>
          <w:b/>
        </w:rPr>
        <w:t>not</w:t>
      </w:r>
      <w:r w:rsidRPr="00DB35D4">
        <w:rPr>
          <w:rFonts w:cs="Arial"/>
        </w:rPr>
        <w:t xml:space="preserve"> additional</w:t>
      </w:r>
      <w:sdt>
        <w:sdtPr>
          <w:rPr>
            <w:rFonts w:cs="Arial"/>
          </w:rPr>
          <w:id w:val="1264273521"/>
          <w:citation/>
        </w:sdtPr>
        <w:sdtEndPr/>
        <w:sdtContent>
          <w:r w:rsidRPr="00DB35D4">
            <w:rPr>
              <w:rFonts w:cs="Arial"/>
            </w:rPr>
            <w:fldChar w:fldCharType="begin"/>
          </w:r>
          <w:r w:rsidRPr="00DB35D4">
            <w:rPr>
              <w:rFonts w:cs="Arial"/>
            </w:rPr>
            <w:instrText xml:space="preserve">CITATION Cor \l 1033 </w:instrText>
          </w:r>
          <w:r w:rsidRPr="00DB35D4">
            <w:rPr>
              <w:rFonts w:cs="Arial"/>
            </w:rPr>
            <w:fldChar w:fldCharType="separate"/>
          </w:r>
          <w:r w:rsidR="00487700">
            <w:rPr>
              <w:rFonts w:cs="Arial"/>
              <w:noProof/>
            </w:rPr>
            <w:t xml:space="preserve"> </w:t>
          </w:r>
          <w:r w:rsidR="00487700" w:rsidRPr="00487700">
            <w:rPr>
              <w:rFonts w:cs="Arial"/>
              <w:noProof/>
            </w:rPr>
            <w:t>(Core Carbon Offset Research Education, 2019)</w:t>
          </w:r>
          <w:r w:rsidRPr="00DB35D4">
            <w:rPr>
              <w:rFonts w:cs="Arial"/>
            </w:rPr>
            <w:fldChar w:fldCharType="end"/>
          </w:r>
        </w:sdtContent>
      </w:sdt>
      <w:r w:rsidRPr="00DB35D4">
        <w:rPr>
          <w:rFonts w:cs="Arial"/>
        </w:rPr>
        <w:t>.</w:t>
      </w:r>
    </w:p>
    <w:p w14:paraId="2C1673EC" w14:textId="62357495" w:rsidR="005664B6" w:rsidRPr="00DB35D4" w:rsidRDefault="005664B6" w:rsidP="005664B6">
      <w:pPr>
        <w:rPr>
          <w:rFonts w:cs="Arial"/>
          <w:lang w:eastAsia="el-GR"/>
        </w:rPr>
      </w:pPr>
      <w:r w:rsidRPr="00DB35D4">
        <w:rPr>
          <w:rFonts w:cs="Arial"/>
          <w:lang w:eastAsia="el-GR"/>
        </w:rPr>
        <w:t xml:space="preserve">The public initiatives examples are coming from Spain (participating in </w:t>
      </w:r>
      <w:r w:rsidRPr="00DB35D4">
        <w:rPr>
          <w:rFonts w:cs="Arial"/>
          <w:b/>
          <w:bCs/>
          <w:i/>
          <w:iCs/>
          <w:color w:val="31479E" w:themeColor="accent1" w:themeShade="BF"/>
          <w:lang w:eastAsia="el-GR"/>
        </w:rPr>
        <w:t>MAIL</w:t>
      </w:r>
      <w:r w:rsidRPr="00DB35D4">
        <w:rPr>
          <w:rFonts w:cs="Arial"/>
          <w:lang w:eastAsia="el-GR"/>
        </w:rPr>
        <w:t xml:space="preserve"> with 2 partners- CESEFOR and UPV), France and Italy</w:t>
      </w:r>
      <w:sdt>
        <w:sdtPr>
          <w:rPr>
            <w:rFonts w:cs="Arial"/>
            <w:lang w:eastAsia="el-GR"/>
          </w:rPr>
          <w:id w:val="-1612587726"/>
          <w:citation/>
        </w:sdtPr>
        <w:sdtEndPr/>
        <w:sdtContent>
          <w:r w:rsidRPr="00DB35D4">
            <w:rPr>
              <w:rFonts w:cs="Arial"/>
              <w:lang w:eastAsia="el-GR"/>
            </w:rPr>
            <w:fldChar w:fldCharType="begin"/>
          </w:r>
          <w:r w:rsidRPr="00DB35D4">
            <w:rPr>
              <w:rFonts w:cs="Arial"/>
              <w:lang w:eastAsia="el-GR"/>
            </w:rPr>
            <w:instrText xml:space="preserve"> CITATION Net17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(Nett &amp; Volters, 2017)</w:t>
          </w:r>
          <w:r w:rsidRPr="00DB35D4">
            <w:rPr>
              <w:rFonts w:cs="Arial"/>
              <w:lang w:eastAsia="el-GR"/>
            </w:rPr>
            <w:fldChar w:fldCharType="end"/>
          </w:r>
        </w:sdtContent>
      </w:sdt>
      <w:r w:rsidRPr="00DB35D4">
        <w:rPr>
          <w:rFonts w:cs="Arial"/>
          <w:lang w:eastAsia="el-GR"/>
        </w:rPr>
        <w:t xml:space="preserve">. Since no partners from Italy and France are participating in </w:t>
      </w:r>
      <w:r w:rsidRPr="00DB35D4">
        <w:rPr>
          <w:rFonts w:cs="Arial"/>
          <w:b/>
          <w:bCs/>
          <w:i/>
          <w:iCs/>
          <w:color w:val="31479E" w:themeColor="accent1" w:themeShade="BF"/>
          <w:lang w:eastAsia="el-GR"/>
        </w:rPr>
        <w:t>MAIL</w:t>
      </w:r>
      <w:r w:rsidRPr="00DB35D4">
        <w:rPr>
          <w:rFonts w:cs="Arial"/>
          <w:lang w:eastAsia="el-GR"/>
        </w:rPr>
        <w:t xml:space="preserve">, we describe only the Spanish public DOPs. </w:t>
      </w:r>
    </w:p>
    <w:p w14:paraId="7469F73A" w14:textId="77777777" w:rsidR="005664B6" w:rsidRPr="00DB35D4" w:rsidRDefault="005664B6" w:rsidP="005664B6">
      <w:pPr>
        <w:rPr>
          <w:rFonts w:cs="Arial"/>
        </w:rPr>
      </w:pPr>
      <w:r w:rsidRPr="00DB35D4">
        <w:rPr>
          <w:rFonts w:cs="Arial"/>
        </w:rPr>
        <w:t xml:space="preserve">There are two major crediting schemes in Spain: </w:t>
      </w:r>
    </w:p>
    <w:p w14:paraId="203E6BC0" w14:textId="77777777" w:rsidR="005664B6" w:rsidRPr="00DB35D4" w:rsidRDefault="005664B6" w:rsidP="00A01330">
      <w:pPr>
        <w:pStyle w:val="ListParagraph"/>
        <w:numPr>
          <w:ilvl w:val="0"/>
          <w:numId w:val="32"/>
        </w:numPr>
        <w:spacing w:before="0" w:after="160"/>
        <w:rPr>
          <w:rFonts w:cs="Arial"/>
        </w:rPr>
      </w:pPr>
      <w:r w:rsidRPr="00DB35D4">
        <w:rPr>
          <w:rFonts w:cs="Arial"/>
        </w:rPr>
        <w:t>The Spanish “</w:t>
      </w:r>
      <w:proofErr w:type="spellStart"/>
      <w:r w:rsidRPr="00DB35D4">
        <w:rPr>
          <w:rFonts w:cs="Arial"/>
        </w:rPr>
        <w:t>Fondo</w:t>
      </w:r>
      <w:proofErr w:type="spellEnd"/>
      <w:r w:rsidRPr="00DB35D4">
        <w:rPr>
          <w:rFonts w:cs="Arial"/>
        </w:rPr>
        <w:t xml:space="preserve"> de </w:t>
      </w:r>
      <w:proofErr w:type="spellStart"/>
      <w:r w:rsidRPr="00DB35D4">
        <w:rPr>
          <w:rFonts w:cs="Arial"/>
        </w:rPr>
        <w:t>Carbono</w:t>
      </w:r>
      <w:proofErr w:type="spellEnd"/>
      <w:r w:rsidRPr="00DB35D4">
        <w:rPr>
          <w:rFonts w:cs="Arial"/>
        </w:rPr>
        <w:t xml:space="preserve"> para una </w:t>
      </w:r>
      <w:proofErr w:type="spellStart"/>
      <w:r w:rsidRPr="00DB35D4">
        <w:rPr>
          <w:rFonts w:cs="Arial"/>
        </w:rPr>
        <w:t>Economía</w:t>
      </w:r>
      <w:proofErr w:type="spellEnd"/>
      <w:r w:rsidRPr="00DB35D4">
        <w:rPr>
          <w:rFonts w:cs="Arial"/>
        </w:rPr>
        <w:t xml:space="preserve"> </w:t>
      </w:r>
      <w:proofErr w:type="spellStart"/>
      <w:r w:rsidRPr="00DB35D4">
        <w:rPr>
          <w:rFonts w:cs="Arial"/>
        </w:rPr>
        <w:t>Sostenible</w:t>
      </w:r>
      <w:proofErr w:type="spellEnd"/>
      <w:r w:rsidRPr="00DB35D4">
        <w:rPr>
          <w:rFonts w:cs="Arial"/>
        </w:rPr>
        <w:t xml:space="preserve"> (FES-CO2)” is a voluntary scheme to promote private actions to reduce emissions in non-EU ETS sectors. The scheme is exclusively domestic and does not allow for credits to be traded outside of Spain. </w:t>
      </w:r>
    </w:p>
    <w:p w14:paraId="15B86C02" w14:textId="77777777" w:rsidR="005664B6" w:rsidRPr="00DB35D4" w:rsidRDefault="005664B6" w:rsidP="00A01330">
      <w:pPr>
        <w:pStyle w:val="ListParagraph"/>
        <w:numPr>
          <w:ilvl w:val="0"/>
          <w:numId w:val="32"/>
        </w:numPr>
        <w:spacing w:before="0" w:after="160"/>
        <w:rPr>
          <w:rFonts w:cs="Arial"/>
        </w:rPr>
      </w:pPr>
      <w:r w:rsidRPr="00DB35D4">
        <w:rPr>
          <w:rFonts w:cs="Arial"/>
        </w:rPr>
        <w:t>The voluntary carbon footprint registry (</w:t>
      </w:r>
      <w:proofErr w:type="spellStart"/>
      <w:r w:rsidRPr="00DB35D4">
        <w:rPr>
          <w:rFonts w:cs="Arial"/>
        </w:rPr>
        <w:t>Registro</w:t>
      </w:r>
      <w:proofErr w:type="spellEnd"/>
      <w:r w:rsidRPr="00DB35D4">
        <w:rPr>
          <w:rFonts w:cs="Arial"/>
        </w:rPr>
        <w:t xml:space="preserve"> de </w:t>
      </w:r>
      <w:proofErr w:type="spellStart"/>
      <w:r w:rsidRPr="00DB35D4">
        <w:rPr>
          <w:rFonts w:cs="Arial"/>
        </w:rPr>
        <w:t>huella</w:t>
      </w:r>
      <w:proofErr w:type="spellEnd"/>
      <w:r w:rsidRPr="00DB35D4">
        <w:rPr>
          <w:rFonts w:cs="Arial"/>
        </w:rPr>
        <w:t xml:space="preserve"> de </w:t>
      </w:r>
      <w:proofErr w:type="spellStart"/>
      <w:r w:rsidRPr="00DB35D4">
        <w:rPr>
          <w:rFonts w:cs="Arial"/>
        </w:rPr>
        <w:t>carbono</w:t>
      </w:r>
      <w:proofErr w:type="spellEnd"/>
      <w:r w:rsidRPr="00DB35D4">
        <w:rPr>
          <w:rFonts w:cs="Arial"/>
        </w:rPr>
        <w:t xml:space="preserve">, </w:t>
      </w:r>
      <w:proofErr w:type="spellStart"/>
      <w:r w:rsidRPr="00DB35D4">
        <w:rPr>
          <w:rFonts w:cs="Arial"/>
        </w:rPr>
        <w:t>compensación</w:t>
      </w:r>
      <w:proofErr w:type="spellEnd"/>
      <w:r w:rsidRPr="00DB35D4">
        <w:rPr>
          <w:rFonts w:cs="Arial"/>
        </w:rPr>
        <w:t xml:space="preserve"> y </w:t>
      </w:r>
      <w:proofErr w:type="spellStart"/>
      <w:r w:rsidRPr="00DB35D4">
        <w:rPr>
          <w:rFonts w:cs="Arial"/>
        </w:rPr>
        <w:t>proyectos</w:t>
      </w:r>
      <w:proofErr w:type="spellEnd"/>
      <w:r w:rsidRPr="00DB35D4">
        <w:rPr>
          <w:rFonts w:cs="Arial"/>
        </w:rPr>
        <w:t xml:space="preserve"> de </w:t>
      </w:r>
      <w:proofErr w:type="spellStart"/>
      <w:r w:rsidRPr="00DB35D4">
        <w:rPr>
          <w:rFonts w:cs="Arial"/>
        </w:rPr>
        <w:t>absorción</w:t>
      </w:r>
      <w:proofErr w:type="spellEnd"/>
      <w:r w:rsidRPr="00DB35D4">
        <w:rPr>
          <w:rFonts w:cs="Arial"/>
        </w:rPr>
        <w:t xml:space="preserve"> – RHC) that generates credits from voluntary projects in the </w:t>
      </w:r>
      <w:r w:rsidRPr="00DB35D4">
        <w:rPr>
          <w:rFonts w:cs="Arial"/>
          <w:b/>
        </w:rPr>
        <w:t>forestry and</w:t>
      </w:r>
      <w:r w:rsidRPr="00DB35D4">
        <w:rPr>
          <w:rFonts w:cs="Arial"/>
        </w:rPr>
        <w:t xml:space="preserve"> </w:t>
      </w:r>
      <w:r w:rsidRPr="00DB35D4">
        <w:rPr>
          <w:rFonts w:cs="Arial"/>
          <w:b/>
        </w:rPr>
        <w:t>land use sector</w:t>
      </w:r>
      <w:r w:rsidRPr="00DB35D4">
        <w:rPr>
          <w:rFonts w:cs="Arial"/>
        </w:rPr>
        <w:t xml:space="preserve">. These credits can be purchased by companies wishing to voluntarily reduce their carbon footprint. </w:t>
      </w:r>
    </w:p>
    <w:p w14:paraId="5F145899" w14:textId="77777777" w:rsidR="005664B6" w:rsidRPr="00DB35D4" w:rsidRDefault="005664B6" w:rsidP="005664B6">
      <w:pPr>
        <w:rPr>
          <w:rFonts w:cs="Arial"/>
        </w:rPr>
      </w:pPr>
      <w:r w:rsidRPr="00DB35D4">
        <w:rPr>
          <w:rFonts w:cs="Arial"/>
        </w:rPr>
        <w:t xml:space="preserve">Participation in the FES-CO2 scheme is voluntary for companies, but projects are intended to contribute to the Spanish ESD target. So, </w:t>
      </w:r>
      <w:proofErr w:type="gramStart"/>
      <w:r w:rsidRPr="00DB35D4">
        <w:rPr>
          <w:rFonts w:cs="Arial"/>
        </w:rPr>
        <w:t>at the moment</w:t>
      </w:r>
      <w:proofErr w:type="gramEnd"/>
      <w:r w:rsidRPr="00DB35D4">
        <w:rPr>
          <w:rFonts w:cs="Arial"/>
        </w:rPr>
        <w:t xml:space="preserve"> units are not actually traded on the carbon market for compensation but used to reduce emissions within the non-ETS sectors and help the Spanish government achieve its reduction target. The project categories agriculture, housing, waste, industry, transport and fluorinated GHGs are counted towards the ESD target and are part of the commitments under the Kyoto Protocol. This means that double claiming can occur but as its use towards the reduction target is communicated transparently, it is not a chal</w:t>
      </w:r>
      <w:r w:rsidRPr="00DB35D4">
        <w:rPr>
          <w:rFonts w:cs="Arial"/>
        </w:rPr>
        <w:softHyphen/>
        <w:t xml:space="preserve">lenge for environmental integrity. </w:t>
      </w:r>
      <w:proofErr w:type="gramStart"/>
      <w:r w:rsidRPr="00DB35D4">
        <w:rPr>
          <w:rFonts w:cs="Arial"/>
        </w:rPr>
        <w:t>As long as</w:t>
      </w:r>
      <w:proofErr w:type="gramEnd"/>
      <w:r w:rsidRPr="00DB35D4">
        <w:rPr>
          <w:rFonts w:cs="Arial"/>
        </w:rPr>
        <w:t xml:space="preserve"> AAUs are not sold to other Annex B countries, double monetization does not occur. </w:t>
      </w:r>
    </w:p>
    <w:p w14:paraId="2A97D78D" w14:textId="77777777" w:rsidR="005664B6" w:rsidRPr="00DB35D4" w:rsidRDefault="005664B6" w:rsidP="005664B6">
      <w:pPr>
        <w:rPr>
          <w:rFonts w:cs="Arial"/>
        </w:rPr>
      </w:pPr>
      <w:r w:rsidRPr="00DB35D4">
        <w:rPr>
          <w:rFonts w:cs="Arial"/>
          <w:b/>
        </w:rPr>
        <w:t xml:space="preserve">Regarding RHC, project activities eligible under the voluntary registry, reforestation with land use change and restoration of existing forests, are mandatory reporting categories according to articles 3.3 (type A) and 3.4 (type B) of the Kyoto Protocol and must therefore be listed in Spain’s national inventory </w:t>
      </w:r>
      <w:r w:rsidRPr="00DB35D4">
        <w:rPr>
          <w:rFonts w:cs="Arial"/>
          <w:b/>
        </w:rPr>
        <w:lastRenderedPageBreak/>
        <w:t>and counted towards its Kyoto target</w:t>
      </w:r>
      <w:r w:rsidRPr="00DB35D4">
        <w:rPr>
          <w:rFonts w:cs="Arial"/>
        </w:rPr>
        <w:t>. This puts projects theoretically at risk of double counting, at least on the international level. Regarding the European framework there is no problem with double counting until 2021. However, in practice this does not occur as removals exceed the cap of what can be counted towards Kyoto.</w:t>
      </w:r>
    </w:p>
    <w:p w14:paraId="1E34FA44" w14:textId="77777777" w:rsidR="005664B6" w:rsidRPr="00DB35D4" w:rsidRDefault="005664B6" w:rsidP="005664B6">
      <w:pPr>
        <w:rPr>
          <w:rFonts w:cs="Arial"/>
        </w:rPr>
      </w:pPr>
      <w:r w:rsidRPr="00DB35D4">
        <w:rPr>
          <w:rFonts w:cs="Arial"/>
        </w:rPr>
        <w:t xml:space="preserve">In all other countries (Germany, </w:t>
      </w:r>
      <w:proofErr w:type="gramStart"/>
      <w:r w:rsidRPr="00DB35D4">
        <w:rPr>
          <w:rFonts w:cs="Arial"/>
        </w:rPr>
        <w:t>Greece</w:t>
      </w:r>
      <w:proofErr w:type="gramEnd"/>
      <w:r w:rsidRPr="00DB35D4">
        <w:rPr>
          <w:rFonts w:cs="Arial"/>
        </w:rPr>
        <w:t xml:space="preserve"> and Poland) which are participating in the </w:t>
      </w:r>
      <w:r w:rsidRPr="00DB35D4">
        <w:rPr>
          <w:rFonts w:cs="Arial"/>
          <w:b/>
          <w:bCs/>
          <w:i/>
          <w:iCs/>
          <w:color w:val="31479E" w:themeColor="accent1" w:themeShade="BF"/>
        </w:rPr>
        <w:t>MAIL</w:t>
      </w:r>
      <w:r w:rsidRPr="00DB35D4">
        <w:rPr>
          <w:rFonts w:cs="Arial"/>
        </w:rPr>
        <w:t xml:space="preserve"> Program, there is no official public initiative to exploit LULUCF and create Carbon Allowances.</w:t>
      </w:r>
    </w:p>
    <w:p w14:paraId="7171C576" w14:textId="77777777" w:rsidR="005664B6" w:rsidRPr="00DB35D4" w:rsidRDefault="005664B6" w:rsidP="005664B6">
      <w:pPr>
        <w:pStyle w:val="MAIL11"/>
      </w:pPr>
      <w:bookmarkStart w:id="344" w:name="_Toc90893010"/>
      <w:bookmarkStart w:id="345" w:name="_Toc91752464"/>
      <w:r w:rsidRPr="00DB35D4">
        <w:t>CDM Projects</w:t>
      </w:r>
      <w:bookmarkEnd w:id="344"/>
      <w:bookmarkEnd w:id="345"/>
      <w:r w:rsidRPr="00DB35D4">
        <w:t xml:space="preserve"> </w:t>
      </w:r>
    </w:p>
    <w:p w14:paraId="34B13A00" w14:textId="6A17A41F" w:rsidR="005664B6" w:rsidRPr="00DB35D4" w:rsidRDefault="005664B6" w:rsidP="005664B6">
      <w:pPr>
        <w:rPr>
          <w:rFonts w:cs="Arial"/>
        </w:rPr>
      </w:pPr>
      <w:r w:rsidRPr="00DB35D4">
        <w:rPr>
          <w:rFonts w:cs="Arial"/>
        </w:rPr>
        <w:t xml:space="preserve">Under the official site of the Clean Development Mechanism </w:t>
      </w:r>
      <w:sdt>
        <w:sdtPr>
          <w:rPr>
            <w:rFonts w:cs="Arial"/>
          </w:rPr>
          <w:id w:val="-1626844173"/>
          <w:citation/>
        </w:sdtPr>
        <w:sdtEndPr/>
        <w:sdtContent>
          <w:r w:rsidRPr="00DB35D4">
            <w:rPr>
              <w:rFonts w:cs="Arial"/>
            </w:rPr>
            <w:fldChar w:fldCharType="begin"/>
          </w:r>
          <w:r w:rsidRPr="00DB35D4">
            <w:rPr>
              <w:rFonts w:cs="Arial"/>
            </w:rPr>
            <w:instrText xml:space="preserve"> CITATION Cle191 \l 1033 </w:instrText>
          </w:r>
          <w:r w:rsidRPr="00DB35D4">
            <w:rPr>
              <w:rFonts w:cs="Arial"/>
            </w:rPr>
            <w:fldChar w:fldCharType="separate"/>
          </w:r>
          <w:r w:rsidR="00487700" w:rsidRPr="00487700">
            <w:rPr>
              <w:rFonts w:cs="Arial"/>
              <w:noProof/>
            </w:rPr>
            <w:t>(Clean Development Mechanism Projects Registry, 2019)</w:t>
          </w:r>
          <w:r w:rsidRPr="00DB35D4">
            <w:rPr>
              <w:rFonts w:cs="Arial"/>
            </w:rPr>
            <w:fldChar w:fldCharType="end"/>
          </w:r>
        </w:sdtContent>
      </w:sdt>
      <w:r w:rsidRPr="00DB35D4">
        <w:rPr>
          <w:rFonts w:cs="Arial"/>
        </w:rPr>
        <w:t xml:space="preserve"> the reader can locate and derive information of all approved projects since the first year of its operation. More specifically the projects that are connected to LULUCF and those especially with reforestation of degraded lands are more than 60 (</w:t>
      </w:r>
      <w:r w:rsidRPr="00DB35D4">
        <w:rPr>
          <w:rFonts w:cs="Arial"/>
        </w:rPr>
        <w:fldChar w:fldCharType="begin"/>
      </w:r>
      <w:r w:rsidRPr="00DB35D4">
        <w:rPr>
          <w:rFonts w:cs="Arial"/>
        </w:rPr>
        <w:instrText xml:space="preserve"> REF _Ref86399616 \h  \* MERGEFORMAT </w:instrText>
      </w:r>
      <w:r w:rsidRPr="00DB35D4">
        <w:rPr>
          <w:rFonts w:cs="Arial"/>
        </w:rPr>
      </w:r>
      <w:r w:rsidRPr="00DB35D4">
        <w:rPr>
          <w:rFonts w:cs="Arial"/>
        </w:rPr>
        <w:fldChar w:fldCharType="separate"/>
      </w:r>
      <w:r w:rsidR="0073710A" w:rsidRPr="0073710A">
        <w:rPr>
          <w:rFonts w:cs="Arial"/>
          <w:lang w:val="en-GB"/>
        </w:rPr>
        <w:t>Table 37</w:t>
      </w:r>
      <w:r w:rsidRPr="00DB35D4">
        <w:rPr>
          <w:rFonts w:cs="Arial"/>
        </w:rPr>
        <w:fldChar w:fldCharType="end"/>
      </w:r>
      <w:r w:rsidRPr="00DB35D4">
        <w:rPr>
          <w:rFonts w:cs="Arial"/>
        </w:rPr>
        <w:t xml:space="preserve">). </w:t>
      </w:r>
    </w:p>
    <w:p w14:paraId="0E0AEED7" w14:textId="49511699" w:rsidR="005664B6" w:rsidRPr="00475531" w:rsidRDefault="005664B6" w:rsidP="00475531">
      <w:pPr>
        <w:pStyle w:val="Caption"/>
        <w:rPr>
          <w:rFonts w:cs="Arial"/>
          <w:b w:val="0"/>
          <w:bCs w:val="0"/>
        </w:rPr>
      </w:pPr>
      <w:bookmarkStart w:id="346" w:name="_Ref86399616"/>
      <w:bookmarkStart w:id="347" w:name="_Toc90888852"/>
      <w:bookmarkStart w:id="348" w:name="_Toc91752576"/>
      <w:r w:rsidRPr="00475531">
        <w:rPr>
          <w:rFonts w:cs="Arial"/>
        </w:rPr>
        <w:t xml:space="preserve">Table </w:t>
      </w:r>
      <w:r w:rsidRPr="00475531">
        <w:rPr>
          <w:rFonts w:cs="Arial"/>
          <w:b w:val="0"/>
          <w:bCs w:val="0"/>
          <w:i/>
          <w:iCs/>
        </w:rPr>
        <w:fldChar w:fldCharType="begin"/>
      </w:r>
      <w:r w:rsidRPr="00475531">
        <w:rPr>
          <w:rFonts w:cs="Arial"/>
        </w:rPr>
        <w:instrText xml:space="preserve"> SEQ Table \* ARABIC </w:instrText>
      </w:r>
      <w:r w:rsidRPr="00475531">
        <w:rPr>
          <w:rFonts w:cs="Arial"/>
          <w:b w:val="0"/>
          <w:bCs w:val="0"/>
          <w:i/>
          <w:iCs/>
        </w:rPr>
        <w:fldChar w:fldCharType="separate"/>
      </w:r>
      <w:r w:rsidR="0073710A">
        <w:rPr>
          <w:rFonts w:cs="Arial"/>
          <w:noProof/>
        </w:rPr>
        <w:t>37</w:t>
      </w:r>
      <w:r w:rsidRPr="00475531">
        <w:rPr>
          <w:rFonts w:cs="Arial"/>
          <w:b w:val="0"/>
          <w:bCs w:val="0"/>
          <w:i/>
          <w:iCs/>
        </w:rPr>
        <w:fldChar w:fldCharType="end"/>
      </w:r>
      <w:bookmarkEnd w:id="346"/>
      <w:r w:rsidRPr="00475531">
        <w:rPr>
          <w:rFonts w:cs="Arial"/>
        </w:rPr>
        <w:t xml:space="preserve">  Lists of CDM Projects connected with LULUCF</w:t>
      </w:r>
      <w:bookmarkEnd w:id="347"/>
      <w:bookmarkEnd w:id="348"/>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99"/>
        <w:gridCol w:w="1418"/>
      </w:tblGrid>
      <w:tr w:rsidR="005664B6" w:rsidRPr="00DB35D4" w14:paraId="1EC556EA" w14:textId="77777777" w:rsidTr="0028379F">
        <w:trPr>
          <w:tblHeader/>
        </w:trPr>
        <w:tc>
          <w:tcPr>
            <w:tcW w:w="6799" w:type="dxa"/>
            <w:shd w:val="clear" w:color="auto" w:fill="DBE0F4"/>
            <w:vAlign w:val="center"/>
          </w:tcPr>
          <w:p w14:paraId="5479639A" w14:textId="77777777" w:rsidR="005664B6" w:rsidRPr="00DB35D4" w:rsidRDefault="005664B6" w:rsidP="002D2FB4">
            <w:pPr>
              <w:rPr>
                <w:rFonts w:cs="Arial"/>
                <w:b/>
              </w:rPr>
            </w:pPr>
            <w:r w:rsidRPr="00DB35D4">
              <w:rPr>
                <w:rFonts w:cs="Arial"/>
                <w:b/>
                <w:color w:val="000000"/>
              </w:rPr>
              <w:t>Project Title</w:t>
            </w:r>
          </w:p>
        </w:tc>
        <w:tc>
          <w:tcPr>
            <w:tcW w:w="1418" w:type="dxa"/>
            <w:shd w:val="clear" w:color="auto" w:fill="DBE0F4"/>
            <w:vAlign w:val="center"/>
          </w:tcPr>
          <w:p w14:paraId="4FEEFF4F" w14:textId="77777777" w:rsidR="005664B6" w:rsidRPr="00DB35D4" w:rsidRDefault="005664B6" w:rsidP="002D2FB4">
            <w:pPr>
              <w:rPr>
                <w:rFonts w:cs="Arial"/>
                <w:b/>
              </w:rPr>
            </w:pPr>
            <w:r w:rsidRPr="00DB35D4">
              <w:rPr>
                <w:rFonts w:cs="Arial"/>
                <w:b/>
                <w:color w:val="000000"/>
              </w:rPr>
              <w:t>Host parties</w:t>
            </w:r>
          </w:p>
        </w:tc>
      </w:tr>
      <w:tr w:rsidR="005664B6" w:rsidRPr="00DB35D4" w14:paraId="0073C66D" w14:textId="77777777" w:rsidTr="0028379F">
        <w:tc>
          <w:tcPr>
            <w:tcW w:w="6799" w:type="dxa"/>
            <w:vAlign w:val="bottom"/>
          </w:tcPr>
          <w:p w14:paraId="13A400FD" w14:textId="77777777" w:rsidR="005664B6" w:rsidRPr="00DB35D4" w:rsidRDefault="005664B6" w:rsidP="002D2FB4">
            <w:pPr>
              <w:rPr>
                <w:rFonts w:cs="Arial"/>
              </w:rPr>
            </w:pPr>
            <w:r w:rsidRPr="00DB35D4">
              <w:rPr>
                <w:rFonts w:cs="Arial"/>
                <w:color w:val="000000"/>
              </w:rPr>
              <w:t>Facilitating Reforestation for Guangxi Watershed Management in Pearl River Basin</w:t>
            </w:r>
          </w:p>
        </w:tc>
        <w:tc>
          <w:tcPr>
            <w:tcW w:w="1418" w:type="dxa"/>
            <w:vAlign w:val="bottom"/>
          </w:tcPr>
          <w:p w14:paraId="15C6A34F" w14:textId="77777777" w:rsidR="005664B6" w:rsidRPr="00DB35D4" w:rsidRDefault="005664B6" w:rsidP="002D2FB4">
            <w:pPr>
              <w:rPr>
                <w:rFonts w:cs="Arial"/>
              </w:rPr>
            </w:pPr>
            <w:r w:rsidRPr="00DB35D4">
              <w:rPr>
                <w:rFonts w:cs="Arial"/>
                <w:color w:val="000000"/>
              </w:rPr>
              <w:t>China</w:t>
            </w:r>
          </w:p>
        </w:tc>
      </w:tr>
      <w:tr w:rsidR="005664B6" w:rsidRPr="00DB35D4" w14:paraId="0250234A" w14:textId="77777777" w:rsidTr="0028379F">
        <w:tc>
          <w:tcPr>
            <w:tcW w:w="6799" w:type="dxa"/>
            <w:vAlign w:val="center"/>
          </w:tcPr>
          <w:p w14:paraId="748FE3F7" w14:textId="77777777" w:rsidR="005664B6" w:rsidRPr="00DB35D4" w:rsidRDefault="005664B6" w:rsidP="002D2FB4">
            <w:pPr>
              <w:rPr>
                <w:rFonts w:cs="Arial"/>
              </w:rPr>
            </w:pPr>
            <w:r w:rsidRPr="00DB35D4">
              <w:rPr>
                <w:rFonts w:cs="Arial"/>
                <w:color w:val="000000"/>
              </w:rPr>
              <w:t>Moldova Soil Conservation Project</w:t>
            </w:r>
          </w:p>
        </w:tc>
        <w:tc>
          <w:tcPr>
            <w:tcW w:w="1418" w:type="dxa"/>
            <w:vAlign w:val="center"/>
          </w:tcPr>
          <w:p w14:paraId="4F29668E" w14:textId="77777777" w:rsidR="005664B6" w:rsidRPr="00DB35D4" w:rsidRDefault="005664B6" w:rsidP="002D2FB4">
            <w:pPr>
              <w:rPr>
                <w:rFonts w:cs="Arial"/>
              </w:rPr>
            </w:pPr>
            <w:r w:rsidRPr="00DB35D4">
              <w:rPr>
                <w:rFonts w:cs="Arial"/>
                <w:color w:val="000000"/>
              </w:rPr>
              <w:t>Republic of Moldova</w:t>
            </w:r>
          </w:p>
        </w:tc>
      </w:tr>
      <w:tr w:rsidR="005664B6" w:rsidRPr="00DB35D4" w14:paraId="2357A6E3" w14:textId="77777777" w:rsidTr="0028379F">
        <w:tc>
          <w:tcPr>
            <w:tcW w:w="6799" w:type="dxa"/>
            <w:vAlign w:val="bottom"/>
          </w:tcPr>
          <w:p w14:paraId="57668F38" w14:textId="77777777" w:rsidR="005664B6" w:rsidRPr="00DB35D4" w:rsidRDefault="005664B6" w:rsidP="002D2FB4">
            <w:pPr>
              <w:rPr>
                <w:rFonts w:cs="Arial"/>
              </w:rPr>
            </w:pPr>
            <w:r w:rsidRPr="00DB35D4">
              <w:rPr>
                <w:rFonts w:cs="Arial"/>
                <w:color w:val="000000"/>
              </w:rPr>
              <w:t>Small Scale Cooperative Afforestation CDM Pilot Project Activity on Private Lands Affected by Shifting Sand Dunes in Sirsa, Haryana</w:t>
            </w:r>
          </w:p>
        </w:tc>
        <w:tc>
          <w:tcPr>
            <w:tcW w:w="1418" w:type="dxa"/>
            <w:vAlign w:val="bottom"/>
          </w:tcPr>
          <w:p w14:paraId="1491402C" w14:textId="77777777" w:rsidR="005664B6" w:rsidRPr="00DB35D4" w:rsidRDefault="005664B6" w:rsidP="002D2FB4">
            <w:pPr>
              <w:rPr>
                <w:rFonts w:cs="Arial"/>
              </w:rPr>
            </w:pPr>
            <w:r w:rsidRPr="00DB35D4">
              <w:rPr>
                <w:rFonts w:cs="Arial"/>
                <w:color w:val="000000"/>
              </w:rPr>
              <w:t>India</w:t>
            </w:r>
          </w:p>
        </w:tc>
      </w:tr>
      <w:tr w:rsidR="005664B6" w:rsidRPr="00DB35D4" w14:paraId="1D33CF32" w14:textId="77777777" w:rsidTr="0028379F">
        <w:tc>
          <w:tcPr>
            <w:tcW w:w="6799" w:type="dxa"/>
            <w:vAlign w:val="bottom"/>
          </w:tcPr>
          <w:p w14:paraId="74AA1034" w14:textId="77777777" w:rsidR="005664B6" w:rsidRPr="00DB35D4" w:rsidRDefault="005664B6" w:rsidP="002D2FB4">
            <w:pPr>
              <w:rPr>
                <w:rFonts w:cs="Arial"/>
              </w:rPr>
            </w:pPr>
            <w:r w:rsidRPr="00DB35D4">
              <w:rPr>
                <w:rFonts w:cs="Arial"/>
                <w:color w:val="000000"/>
              </w:rPr>
              <w:t xml:space="preserve">Cao </w:t>
            </w:r>
            <w:proofErr w:type="spellStart"/>
            <w:r w:rsidRPr="00DB35D4">
              <w:rPr>
                <w:rFonts w:cs="Arial"/>
                <w:color w:val="000000"/>
              </w:rPr>
              <w:t>Phong</w:t>
            </w:r>
            <w:proofErr w:type="spellEnd"/>
            <w:r w:rsidRPr="00DB35D4">
              <w:rPr>
                <w:rFonts w:cs="Arial"/>
                <w:color w:val="000000"/>
              </w:rPr>
              <w:t xml:space="preserve"> Reforestation Project</w:t>
            </w:r>
          </w:p>
        </w:tc>
        <w:tc>
          <w:tcPr>
            <w:tcW w:w="1418" w:type="dxa"/>
            <w:vAlign w:val="bottom"/>
          </w:tcPr>
          <w:p w14:paraId="3B3C8E81" w14:textId="77777777" w:rsidR="005664B6" w:rsidRPr="00DB35D4" w:rsidRDefault="005664B6" w:rsidP="002D2FB4">
            <w:pPr>
              <w:rPr>
                <w:rFonts w:cs="Arial"/>
              </w:rPr>
            </w:pPr>
            <w:r w:rsidRPr="00DB35D4">
              <w:rPr>
                <w:rFonts w:cs="Arial"/>
                <w:color w:val="000000"/>
              </w:rPr>
              <w:t>Viet Nam</w:t>
            </w:r>
          </w:p>
        </w:tc>
      </w:tr>
      <w:tr w:rsidR="005664B6" w:rsidRPr="00DB35D4" w14:paraId="37F48F81" w14:textId="77777777" w:rsidTr="0028379F">
        <w:tc>
          <w:tcPr>
            <w:tcW w:w="6799" w:type="dxa"/>
            <w:vAlign w:val="bottom"/>
          </w:tcPr>
          <w:p w14:paraId="67A06CF4" w14:textId="77777777" w:rsidR="005664B6" w:rsidRPr="00DB35D4" w:rsidRDefault="005664B6" w:rsidP="002D2FB4">
            <w:pPr>
              <w:rPr>
                <w:rFonts w:cs="Arial"/>
              </w:rPr>
            </w:pPr>
            <w:r w:rsidRPr="00DB35D4">
              <w:rPr>
                <w:rFonts w:cs="Arial"/>
                <w:color w:val="000000"/>
              </w:rPr>
              <w:t>Reforestation of severely degraded landmass in Khammam District of Andhra Pradesh, India under ITC Social Forestry Project</w:t>
            </w:r>
          </w:p>
        </w:tc>
        <w:tc>
          <w:tcPr>
            <w:tcW w:w="1418" w:type="dxa"/>
            <w:vAlign w:val="center"/>
          </w:tcPr>
          <w:p w14:paraId="1080CAE6" w14:textId="77777777" w:rsidR="005664B6" w:rsidRPr="00DB35D4" w:rsidRDefault="005664B6" w:rsidP="002D2FB4">
            <w:pPr>
              <w:rPr>
                <w:rFonts w:cs="Arial"/>
              </w:rPr>
            </w:pPr>
            <w:r w:rsidRPr="00DB35D4">
              <w:rPr>
                <w:rFonts w:cs="Arial"/>
                <w:color w:val="000000"/>
              </w:rPr>
              <w:t>India</w:t>
            </w:r>
          </w:p>
        </w:tc>
      </w:tr>
      <w:tr w:rsidR="005664B6" w:rsidRPr="00DB35D4" w14:paraId="06909374" w14:textId="77777777" w:rsidTr="0028379F">
        <w:tc>
          <w:tcPr>
            <w:tcW w:w="6799" w:type="dxa"/>
            <w:vAlign w:val="bottom"/>
          </w:tcPr>
          <w:p w14:paraId="3C321950" w14:textId="77777777" w:rsidR="005664B6" w:rsidRPr="00DB35D4" w:rsidRDefault="005664B6" w:rsidP="002D2FB4">
            <w:pPr>
              <w:rPr>
                <w:rFonts w:cs="Arial"/>
              </w:rPr>
            </w:pPr>
            <w:r w:rsidRPr="00DB35D4">
              <w:rPr>
                <w:rFonts w:cs="Arial"/>
                <w:color w:val="000000"/>
              </w:rPr>
              <w:t xml:space="preserve">CARBON SEQUESTRATION THROUGH REFORESTATION IN THE BOLIVIAN TROPICS BY SMALLHOLDERS OF “The </w:t>
            </w:r>
            <w:proofErr w:type="spellStart"/>
            <w:r w:rsidRPr="00DB35D4">
              <w:rPr>
                <w:rFonts w:cs="Arial"/>
                <w:color w:val="000000"/>
              </w:rPr>
              <w:lastRenderedPageBreak/>
              <w:t>Federaciσn</w:t>
            </w:r>
            <w:proofErr w:type="spellEnd"/>
            <w:r w:rsidRPr="00DB35D4">
              <w:rPr>
                <w:rFonts w:cs="Arial"/>
                <w:color w:val="000000"/>
              </w:rPr>
              <w:t xml:space="preserve"> de </w:t>
            </w:r>
            <w:proofErr w:type="spellStart"/>
            <w:r w:rsidRPr="00DB35D4">
              <w:rPr>
                <w:rFonts w:cs="Arial"/>
                <w:color w:val="000000"/>
              </w:rPr>
              <w:t>Comunidades</w:t>
            </w:r>
            <w:proofErr w:type="spellEnd"/>
            <w:r w:rsidRPr="00DB35D4">
              <w:rPr>
                <w:rFonts w:cs="Arial"/>
                <w:color w:val="000000"/>
              </w:rPr>
              <w:t xml:space="preserve"> </w:t>
            </w:r>
            <w:proofErr w:type="spellStart"/>
            <w:r w:rsidRPr="00DB35D4">
              <w:rPr>
                <w:rFonts w:cs="Arial"/>
                <w:color w:val="000000"/>
              </w:rPr>
              <w:t>Agropecuarias</w:t>
            </w:r>
            <w:proofErr w:type="spellEnd"/>
            <w:r w:rsidRPr="00DB35D4">
              <w:rPr>
                <w:rFonts w:cs="Arial"/>
                <w:color w:val="000000"/>
              </w:rPr>
              <w:t xml:space="preserve"> de </w:t>
            </w:r>
            <w:proofErr w:type="spellStart"/>
            <w:r w:rsidRPr="00DB35D4">
              <w:rPr>
                <w:rFonts w:cs="Arial"/>
                <w:color w:val="000000"/>
              </w:rPr>
              <w:t>Rurrenabaque</w:t>
            </w:r>
            <w:proofErr w:type="spellEnd"/>
            <w:r w:rsidRPr="00DB35D4">
              <w:rPr>
                <w:rFonts w:cs="Arial"/>
                <w:color w:val="000000"/>
              </w:rPr>
              <w:t xml:space="preserve"> (FECAR)”</w:t>
            </w:r>
          </w:p>
        </w:tc>
        <w:tc>
          <w:tcPr>
            <w:tcW w:w="1418" w:type="dxa"/>
            <w:vAlign w:val="center"/>
          </w:tcPr>
          <w:p w14:paraId="6901D68B" w14:textId="77777777" w:rsidR="005664B6" w:rsidRPr="00DB35D4" w:rsidRDefault="005664B6" w:rsidP="002D2FB4">
            <w:pPr>
              <w:rPr>
                <w:rFonts w:cs="Arial"/>
              </w:rPr>
            </w:pPr>
            <w:r w:rsidRPr="00DB35D4">
              <w:rPr>
                <w:rFonts w:cs="Arial"/>
                <w:color w:val="000000"/>
              </w:rPr>
              <w:lastRenderedPageBreak/>
              <w:t>Bolivia</w:t>
            </w:r>
          </w:p>
        </w:tc>
      </w:tr>
      <w:tr w:rsidR="005664B6" w:rsidRPr="00DB35D4" w14:paraId="58201333" w14:textId="77777777" w:rsidTr="0028379F">
        <w:tc>
          <w:tcPr>
            <w:tcW w:w="6799" w:type="dxa"/>
            <w:vAlign w:val="bottom"/>
          </w:tcPr>
          <w:p w14:paraId="73756D67" w14:textId="77777777" w:rsidR="005664B6" w:rsidRPr="00DB35D4" w:rsidRDefault="005664B6" w:rsidP="002D2FB4">
            <w:pPr>
              <w:rPr>
                <w:rFonts w:cs="Arial"/>
              </w:rPr>
            </w:pPr>
            <w:r w:rsidRPr="00DB35D4">
              <w:rPr>
                <w:rFonts w:cs="Arial"/>
                <w:color w:val="000000"/>
              </w:rPr>
              <w:t>Uganda Nile Basin Reforestation Project No.3</w:t>
            </w:r>
          </w:p>
        </w:tc>
        <w:tc>
          <w:tcPr>
            <w:tcW w:w="1418" w:type="dxa"/>
            <w:vAlign w:val="center"/>
          </w:tcPr>
          <w:p w14:paraId="7AF30552" w14:textId="77777777" w:rsidR="005664B6" w:rsidRPr="00DB35D4" w:rsidRDefault="005664B6" w:rsidP="002D2FB4">
            <w:pPr>
              <w:rPr>
                <w:rFonts w:cs="Arial"/>
              </w:rPr>
            </w:pPr>
            <w:r w:rsidRPr="00DB35D4">
              <w:rPr>
                <w:rFonts w:cs="Arial"/>
                <w:color w:val="000000"/>
              </w:rPr>
              <w:t>Uganda</w:t>
            </w:r>
          </w:p>
        </w:tc>
      </w:tr>
      <w:tr w:rsidR="005664B6" w:rsidRPr="00DB35D4" w14:paraId="6284075D" w14:textId="77777777" w:rsidTr="0028379F">
        <w:tc>
          <w:tcPr>
            <w:tcW w:w="6799" w:type="dxa"/>
            <w:vAlign w:val="bottom"/>
          </w:tcPr>
          <w:p w14:paraId="618D6178" w14:textId="77777777" w:rsidR="005664B6" w:rsidRPr="00DB35D4" w:rsidRDefault="005664B6" w:rsidP="002D2FB4">
            <w:pPr>
              <w:rPr>
                <w:rFonts w:cs="Arial"/>
              </w:rPr>
            </w:pPr>
            <w:r w:rsidRPr="00DB35D4">
              <w:rPr>
                <w:rFonts w:cs="Arial"/>
                <w:color w:val="000000"/>
              </w:rPr>
              <w:t xml:space="preserve">Reforestation of croplands and grasslands in </w:t>
            </w:r>
            <w:proofErr w:type="gramStart"/>
            <w:r w:rsidRPr="00DB35D4">
              <w:rPr>
                <w:rFonts w:cs="Arial"/>
                <w:color w:val="000000"/>
              </w:rPr>
              <w:t>low income</w:t>
            </w:r>
            <w:proofErr w:type="gramEnd"/>
            <w:r w:rsidRPr="00DB35D4">
              <w:rPr>
                <w:rFonts w:cs="Arial"/>
                <w:color w:val="000000"/>
              </w:rPr>
              <w:t xml:space="preserve"> communities of </w:t>
            </w:r>
            <w:proofErr w:type="spellStart"/>
            <w:r w:rsidRPr="00DB35D4">
              <w:rPr>
                <w:rFonts w:cs="Arial"/>
                <w:color w:val="000000"/>
              </w:rPr>
              <w:t>Paraguarν</w:t>
            </w:r>
            <w:proofErr w:type="spellEnd"/>
            <w:r w:rsidRPr="00DB35D4">
              <w:rPr>
                <w:rFonts w:cs="Arial"/>
                <w:color w:val="000000"/>
              </w:rPr>
              <w:t xml:space="preserve"> Department, Paraguay</w:t>
            </w:r>
          </w:p>
        </w:tc>
        <w:tc>
          <w:tcPr>
            <w:tcW w:w="1418" w:type="dxa"/>
            <w:vAlign w:val="center"/>
          </w:tcPr>
          <w:p w14:paraId="07E11F8D" w14:textId="77777777" w:rsidR="005664B6" w:rsidRPr="00DB35D4" w:rsidRDefault="005664B6" w:rsidP="002D2FB4">
            <w:pPr>
              <w:rPr>
                <w:rFonts w:cs="Arial"/>
              </w:rPr>
            </w:pPr>
            <w:r w:rsidRPr="00DB35D4">
              <w:rPr>
                <w:rFonts w:cs="Arial"/>
                <w:color w:val="000000"/>
              </w:rPr>
              <w:t>Paraguay</w:t>
            </w:r>
          </w:p>
        </w:tc>
      </w:tr>
      <w:tr w:rsidR="005664B6" w:rsidRPr="00DB35D4" w14:paraId="12D23DF9" w14:textId="77777777" w:rsidTr="0028379F">
        <w:tc>
          <w:tcPr>
            <w:tcW w:w="6799" w:type="dxa"/>
            <w:vAlign w:val="bottom"/>
          </w:tcPr>
          <w:p w14:paraId="7E1B5BE4" w14:textId="77777777" w:rsidR="005664B6" w:rsidRPr="00DB35D4" w:rsidRDefault="005664B6" w:rsidP="002D2FB4">
            <w:pPr>
              <w:rPr>
                <w:rFonts w:cs="Arial"/>
              </w:rPr>
            </w:pPr>
            <w:r w:rsidRPr="00DB35D4">
              <w:rPr>
                <w:rFonts w:cs="Arial"/>
                <w:color w:val="000000"/>
              </w:rPr>
              <w:t>Afforestation and Reforestation on Degraded Lands in Northwest Sichuan, China</w:t>
            </w:r>
          </w:p>
        </w:tc>
        <w:tc>
          <w:tcPr>
            <w:tcW w:w="1418" w:type="dxa"/>
            <w:vAlign w:val="center"/>
          </w:tcPr>
          <w:p w14:paraId="7AA12340" w14:textId="77777777" w:rsidR="005664B6" w:rsidRPr="00DB35D4" w:rsidRDefault="005664B6" w:rsidP="002D2FB4">
            <w:pPr>
              <w:rPr>
                <w:rFonts w:cs="Arial"/>
              </w:rPr>
            </w:pPr>
            <w:r w:rsidRPr="00DB35D4">
              <w:rPr>
                <w:rFonts w:cs="Arial"/>
                <w:color w:val="000000"/>
              </w:rPr>
              <w:t>China</w:t>
            </w:r>
          </w:p>
        </w:tc>
      </w:tr>
      <w:tr w:rsidR="005664B6" w:rsidRPr="00DB35D4" w14:paraId="33E0E126" w14:textId="77777777" w:rsidTr="0028379F">
        <w:tc>
          <w:tcPr>
            <w:tcW w:w="6799" w:type="dxa"/>
            <w:vAlign w:val="bottom"/>
          </w:tcPr>
          <w:p w14:paraId="26A02657" w14:textId="77777777" w:rsidR="005664B6" w:rsidRPr="00DB35D4" w:rsidRDefault="005664B6" w:rsidP="002D2FB4">
            <w:pPr>
              <w:rPr>
                <w:rFonts w:cs="Arial"/>
              </w:rPr>
            </w:pPr>
            <w:r w:rsidRPr="00DB35D4">
              <w:rPr>
                <w:rFonts w:cs="Arial"/>
                <w:color w:val="000000"/>
              </w:rPr>
              <w:t xml:space="preserve">“Reforestation, sustainable production and carbon sequestration project in </w:t>
            </w:r>
            <w:proofErr w:type="spellStart"/>
            <w:r w:rsidRPr="00DB35D4">
              <w:rPr>
                <w:rFonts w:cs="Arial"/>
                <w:color w:val="000000"/>
              </w:rPr>
              <w:t>Josι</w:t>
            </w:r>
            <w:proofErr w:type="spellEnd"/>
            <w:r w:rsidRPr="00DB35D4">
              <w:rPr>
                <w:rFonts w:cs="Arial"/>
                <w:color w:val="000000"/>
              </w:rPr>
              <w:t xml:space="preserve"> Ignacio Tα</w:t>
            </w:r>
            <w:proofErr w:type="spellStart"/>
            <w:r w:rsidRPr="00DB35D4">
              <w:rPr>
                <w:rFonts w:cs="Arial"/>
                <w:color w:val="000000"/>
              </w:rPr>
              <w:t>vara΄s</w:t>
            </w:r>
            <w:proofErr w:type="spellEnd"/>
            <w:r w:rsidRPr="00DB35D4">
              <w:rPr>
                <w:rFonts w:cs="Arial"/>
                <w:color w:val="000000"/>
              </w:rPr>
              <w:t xml:space="preserve"> dry forest, Piura, Peru”</w:t>
            </w:r>
          </w:p>
        </w:tc>
        <w:tc>
          <w:tcPr>
            <w:tcW w:w="1418" w:type="dxa"/>
            <w:vAlign w:val="center"/>
          </w:tcPr>
          <w:p w14:paraId="68EBA9E0" w14:textId="77777777" w:rsidR="005664B6" w:rsidRPr="00DB35D4" w:rsidRDefault="005664B6" w:rsidP="002D2FB4">
            <w:pPr>
              <w:rPr>
                <w:rFonts w:cs="Arial"/>
              </w:rPr>
            </w:pPr>
            <w:r w:rsidRPr="00DB35D4">
              <w:rPr>
                <w:rFonts w:cs="Arial"/>
                <w:color w:val="000000"/>
              </w:rPr>
              <w:t>Peru</w:t>
            </w:r>
          </w:p>
        </w:tc>
      </w:tr>
      <w:tr w:rsidR="005664B6" w:rsidRPr="00DB35D4" w14:paraId="16F01281" w14:textId="77777777" w:rsidTr="0028379F">
        <w:tc>
          <w:tcPr>
            <w:tcW w:w="6799" w:type="dxa"/>
            <w:vAlign w:val="bottom"/>
          </w:tcPr>
          <w:p w14:paraId="552A426C" w14:textId="77777777" w:rsidR="005664B6" w:rsidRPr="00DB35D4" w:rsidRDefault="005664B6" w:rsidP="002D2FB4">
            <w:pPr>
              <w:rPr>
                <w:rFonts w:cs="Arial"/>
              </w:rPr>
            </w:pPr>
            <w:proofErr w:type="spellStart"/>
            <w:r w:rsidRPr="00DB35D4">
              <w:rPr>
                <w:rFonts w:cs="Arial"/>
                <w:color w:val="000000"/>
              </w:rPr>
              <w:t>Humbo</w:t>
            </w:r>
            <w:proofErr w:type="spellEnd"/>
            <w:r w:rsidRPr="00DB35D4">
              <w:rPr>
                <w:rFonts w:cs="Arial"/>
                <w:color w:val="000000"/>
              </w:rPr>
              <w:t xml:space="preserve"> Ethiopia Assisted Natural Regeneration Project</w:t>
            </w:r>
          </w:p>
        </w:tc>
        <w:tc>
          <w:tcPr>
            <w:tcW w:w="1418" w:type="dxa"/>
            <w:vAlign w:val="center"/>
          </w:tcPr>
          <w:p w14:paraId="51431E59" w14:textId="77777777" w:rsidR="005664B6" w:rsidRPr="00DB35D4" w:rsidRDefault="005664B6" w:rsidP="002D2FB4">
            <w:pPr>
              <w:rPr>
                <w:rFonts w:cs="Arial"/>
              </w:rPr>
            </w:pPr>
            <w:r w:rsidRPr="00DB35D4">
              <w:rPr>
                <w:rFonts w:cs="Arial"/>
                <w:color w:val="000000"/>
              </w:rPr>
              <w:t>Ethiopia</w:t>
            </w:r>
          </w:p>
        </w:tc>
      </w:tr>
      <w:tr w:rsidR="005664B6" w:rsidRPr="00DB35D4" w14:paraId="0ED8B087" w14:textId="77777777" w:rsidTr="0028379F">
        <w:tc>
          <w:tcPr>
            <w:tcW w:w="6799" w:type="dxa"/>
            <w:vAlign w:val="bottom"/>
          </w:tcPr>
          <w:p w14:paraId="13028DFF" w14:textId="77777777" w:rsidR="005664B6" w:rsidRPr="00DB35D4" w:rsidRDefault="005664B6" w:rsidP="002D2FB4">
            <w:pPr>
              <w:rPr>
                <w:rFonts w:cs="Arial"/>
              </w:rPr>
            </w:pPr>
            <w:r w:rsidRPr="00DB35D4">
              <w:rPr>
                <w:rFonts w:cs="Arial"/>
                <w:color w:val="000000"/>
              </w:rPr>
              <w:t>Assisted Natural Regeneration of Degraded Lands in Albania</w:t>
            </w:r>
          </w:p>
        </w:tc>
        <w:tc>
          <w:tcPr>
            <w:tcW w:w="1418" w:type="dxa"/>
            <w:vAlign w:val="center"/>
          </w:tcPr>
          <w:p w14:paraId="640E2CC7" w14:textId="77777777" w:rsidR="005664B6" w:rsidRPr="00DB35D4" w:rsidRDefault="005664B6" w:rsidP="002D2FB4">
            <w:pPr>
              <w:rPr>
                <w:rFonts w:cs="Arial"/>
              </w:rPr>
            </w:pPr>
            <w:r w:rsidRPr="00DB35D4">
              <w:rPr>
                <w:rFonts w:cs="Arial"/>
                <w:color w:val="000000"/>
              </w:rPr>
              <w:t>Albania</w:t>
            </w:r>
          </w:p>
        </w:tc>
      </w:tr>
      <w:tr w:rsidR="005664B6" w:rsidRPr="00DB35D4" w14:paraId="012C2AFA" w14:textId="77777777" w:rsidTr="0028379F">
        <w:tc>
          <w:tcPr>
            <w:tcW w:w="6799" w:type="dxa"/>
            <w:vAlign w:val="bottom"/>
          </w:tcPr>
          <w:p w14:paraId="29F8E38A" w14:textId="77777777" w:rsidR="005664B6" w:rsidRPr="00DB35D4" w:rsidRDefault="005664B6" w:rsidP="002D2FB4">
            <w:pPr>
              <w:rPr>
                <w:rFonts w:cs="Arial"/>
              </w:rPr>
            </w:pPr>
            <w:r w:rsidRPr="00DB35D4">
              <w:rPr>
                <w:rFonts w:cs="Arial"/>
                <w:color w:val="000000"/>
              </w:rPr>
              <w:t>The International Small Group and Tree Planting Program (TIST), Tamil Nadu, India</w:t>
            </w:r>
          </w:p>
        </w:tc>
        <w:tc>
          <w:tcPr>
            <w:tcW w:w="1418" w:type="dxa"/>
            <w:vAlign w:val="center"/>
          </w:tcPr>
          <w:p w14:paraId="4C3DFD53" w14:textId="77777777" w:rsidR="005664B6" w:rsidRPr="00DB35D4" w:rsidRDefault="005664B6" w:rsidP="002D2FB4">
            <w:pPr>
              <w:rPr>
                <w:rFonts w:cs="Arial"/>
              </w:rPr>
            </w:pPr>
            <w:r w:rsidRPr="00DB35D4">
              <w:rPr>
                <w:rFonts w:cs="Arial"/>
                <w:color w:val="000000"/>
              </w:rPr>
              <w:t>India</w:t>
            </w:r>
          </w:p>
        </w:tc>
      </w:tr>
      <w:tr w:rsidR="005664B6" w:rsidRPr="00DB35D4" w14:paraId="7255305D" w14:textId="77777777" w:rsidTr="0028379F">
        <w:tc>
          <w:tcPr>
            <w:tcW w:w="6799" w:type="dxa"/>
            <w:vAlign w:val="bottom"/>
          </w:tcPr>
          <w:p w14:paraId="167979C9" w14:textId="77777777" w:rsidR="005664B6" w:rsidRPr="00DB35D4" w:rsidRDefault="005664B6" w:rsidP="002D2FB4">
            <w:pPr>
              <w:rPr>
                <w:rFonts w:cs="Arial"/>
              </w:rPr>
            </w:pPr>
            <w:r w:rsidRPr="00DB35D4">
              <w:rPr>
                <w:rFonts w:cs="Arial"/>
                <w:color w:val="000000"/>
              </w:rPr>
              <w:t xml:space="preserve">Forestry Project for the Basin of the </w:t>
            </w:r>
            <w:proofErr w:type="spellStart"/>
            <w:r w:rsidRPr="00DB35D4">
              <w:rPr>
                <w:rFonts w:cs="Arial"/>
                <w:color w:val="000000"/>
              </w:rPr>
              <w:t>Chinchin</w:t>
            </w:r>
            <w:proofErr w:type="spellEnd"/>
            <w:r w:rsidRPr="00DB35D4">
              <w:rPr>
                <w:rFonts w:cs="Arial"/>
                <w:color w:val="000000"/>
              </w:rPr>
              <w:t>α River, an Environmental and Productive Alternative for the City and the Region</w:t>
            </w:r>
          </w:p>
        </w:tc>
        <w:tc>
          <w:tcPr>
            <w:tcW w:w="1418" w:type="dxa"/>
            <w:vAlign w:val="center"/>
          </w:tcPr>
          <w:p w14:paraId="4D41DA01" w14:textId="77777777" w:rsidR="005664B6" w:rsidRPr="00DB35D4" w:rsidRDefault="005664B6" w:rsidP="002D2FB4">
            <w:pPr>
              <w:rPr>
                <w:rFonts w:cs="Arial"/>
              </w:rPr>
            </w:pPr>
            <w:r w:rsidRPr="00DB35D4">
              <w:rPr>
                <w:rFonts w:cs="Arial"/>
                <w:color w:val="000000"/>
              </w:rPr>
              <w:t>Colombia</w:t>
            </w:r>
          </w:p>
        </w:tc>
      </w:tr>
      <w:tr w:rsidR="005664B6" w:rsidRPr="00DB35D4" w14:paraId="18415E99" w14:textId="77777777" w:rsidTr="0028379F">
        <w:tc>
          <w:tcPr>
            <w:tcW w:w="6799" w:type="dxa"/>
            <w:vAlign w:val="bottom"/>
          </w:tcPr>
          <w:p w14:paraId="492D59C5" w14:textId="77777777" w:rsidR="005664B6" w:rsidRPr="00DB35D4" w:rsidRDefault="005664B6" w:rsidP="002D2FB4">
            <w:pPr>
              <w:rPr>
                <w:rFonts w:cs="Arial"/>
              </w:rPr>
            </w:pPr>
            <w:proofErr w:type="spellStart"/>
            <w:r w:rsidRPr="00DB35D4">
              <w:rPr>
                <w:rFonts w:cs="Arial"/>
                <w:color w:val="000000"/>
              </w:rPr>
              <w:t>Nerquihue</w:t>
            </w:r>
            <w:proofErr w:type="spellEnd"/>
            <w:r w:rsidRPr="00DB35D4">
              <w:rPr>
                <w:rFonts w:cs="Arial"/>
                <w:color w:val="000000"/>
              </w:rPr>
              <w:t xml:space="preserve"> Small-Scale CDM Afforestation Project using Mycorrhizal Inoculation in Chile</w:t>
            </w:r>
          </w:p>
        </w:tc>
        <w:tc>
          <w:tcPr>
            <w:tcW w:w="1418" w:type="dxa"/>
            <w:vAlign w:val="center"/>
          </w:tcPr>
          <w:p w14:paraId="6BD9A950" w14:textId="77777777" w:rsidR="005664B6" w:rsidRPr="00DB35D4" w:rsidRDefault="005664B6" w:rsidP="002D2FB4">
            <w:pPr>
              <w:rPr>
                <w:rFonts w:cs="Arial"/>
              </w:rPr>
            </w:pPr>
            <w:r w:rsidRPr="00DB35D4">
              <w:rPr>
                <w:rFonts w:cs="Arial"/>
                <w:color w:val="000000"/>
              </w:rPr>
              <w:t>Chile</w:t>
            </w:r>
          </w:p>
        </w:tc>
      </w:tr>
      <w:tr w:rsidR="005664B6" w:rsidRPr="00DB35D4" w14:paraId="4D36C0C6" w14:textId="77777777" w:rsidTr="0028379F">
        <w:tc>
          <w:tcPr>
            <w:tcW w:w="6799" w:type="dxa"/>
            <w:vAlign w:val="bottom"/>
          </w:tcPr>
          <w:p w14:paraId="1ED6C2DD" w14:textId="77777777" w:rsidR="005664B6" w:rsidRPr="00DB35D4" w:rsidRDefault="005664B6" w:rsidP="002D2FB4">
            <w:pPr>
              <w:rPr>
                <w:rFonts w:cs="Arial"/>
              </w:rPr>
            </w:pPr>
            <w:r w:rsidRPr="00DB35D4">
              <w:rPr>
                <w:rFonts w:cs="Arial"/>
                <w:color w:val="000000"/>
              </w:rPr>
              <w:t>Reforestation as Renewable Source of Wood Supplies for Industrial Use in Brazil</w:t>
            </w:r>
          </w:p>
        </w:tc>
        <w:tc>
          <w:tcPr>
            <w:tcW w:w="1418" w:type="dxa"/>
            <w:vAlign w:val="center"/>
          </w:tcPr>
          <w:p w14:paraId="2FFE635D" w14:textId="77777777" w:rsidR="005664B6" w:rsidRPr="00DB35D4" w:rsidRDefault="005664B6" w:rsidP="002D2FB4">
            <w:pPr>
              <w:rPr>
                <w:rFonts w:cs="Arial"/>
              </w:rPr>
            </w:pPr>
            <w:r w:rsidRPr="00DB35D4">
              <w:rPr>
                <w:rFonts w:cs="Arial"/>
                <w:color w:val="000000"/>
              </w:rPr>
              <w:t>Brazil</w:t>
            </w:r>
          </w:p>
        </w:tc>
      </w:tr>
      <w:tr w:rsidR="005664B6" w:rsidRPr="00DB35D4" w14:paraId="69349F21" w14:textId="77777777" w:rsidTr="0028379F">
        <w:tc>
          <w:tcPr>
            <w:tcW w:w="6799" w:type="dxa"/>
            <w:vAlign w:val="bottom"/>
          </w:tcPr>
          <w:p w14:paraId="488E4B8A" w14:textId="77777777" w:rsidR="005664B6" w:rsidRPr="00DB35D4" w:rsidRDefault="005664B6" w:rsidP="002D2FB4">
            <w:pPr>
              <w:rPr>
                <w:rFonts w:cs="Arial"/>
              </w:rPr>
            </w:pPr>
            <w:r w:rsidRPr="00DB35D4">
              <w:rPr>
                <w:rFonts w:cs="Arial"/>
                <w:color w:val="000000"/>
              </w:rPr>
              <w:t>Reforestation on Degraded Lands in Northwest Guangxi</w:t>
            </w:r>
          </w:p>
        </w:tc>
        <w:tc>
          <w:tcPr>
            <w:tcW w:w="1418" w:type="dxa"/>
            <w:vAlign w:val="center"/>
          </w:tcPr>
          <w:p w14:paraId="15F4BE48" w14:textId="77777777" w:rsidR="005664B6" w:rsidRPr="00DB35D4" w:rsidRDefault="005664B6" w:rsidP="002D2FB4">
            <w:pPr>
              <w:rPr>
                <w:rFonts w:cs="Arial"/>
              </w:rPr>
            </w:pPr>
            <w:r w:rsidRPr="00DB35D4">
              <w:rPr>
                <w:rFonts w:cs="Arial"/>
                <w:color w:val="000000"/>
              </w:rPr>
              <w:t>China</w:t>
            </w:r>
          </w:p>
        </w:tc>
      </w:tr>
      <w:tr w:rsidR="005664B6" w:rsidRPr="00DB35D4" w14:paraId="3BF7582E" w14:textId="77777777" w:rsidTr="0028379F">
        <w:tc>
          <w:tcPr>
            <w:tcW w:w="6799" w:type="dxa"/>
            <w:vAlign w:val="bottom"/>
          </w:tcPr>
          <w:p w14:paraId="22C9A010" w14:textId="77777777" w:rsidR="005664B6" w:rsidRPr="00DB35D4" w:rsidRDefault="005664B6" w:rsidP="002D2FB4">
            <w:pPr>
              <w:rPr>
                <w:rFonts w:cs="Arial"/>
              </w:rPr>
            </w:pPr>
            <w:r w:rsidRPr="00DB35D4">
              <w:rPr>
                <w:rFonts w:cs="Arial"/>
                <w:color w:val="000000"/>
              </w:rPr>
              <w:t>'</w:t>
            </w:r>
            <w:proofErr w:type="spellStart"/>
            <w:r w:rsidRPr="00DB35D4">
              <w:rPr>
                <w:rFonts w:cs="Arial"/>
                <w:color w:val="000000"/>
              </w:rPr>
              <w:t>Posco</w:t>
            </w:r>
            <w:proofErr w:type="spellEnd"/>
            <w:r w:rsidRPr="00DB35D4">
              <w:rPr>
                <w:rFonts w:cs="Arial"/>
                <w:color w:val="000000"/>
              </w:rPr>
              <w:t xml:space="preserve"> Uruguay' afforestation on degraded extensive grazing land</w:t>
            </w:r>
          </w:p>
        </w:tc>
        <w:tc>
          <w:tcPr>
            <w:tcW w:w="1418" w:type="dxa"/>
            <w:vAlign w:val="center"/>
          </w:tcPr>
          <w:p w14:paraId="2C0E4EF2" w14:textId="77777777" w:rsidR="005664B6" w:rsidRPr="00DB35D4" w:rsidRDefault="005664B6" w:rsidP="002D2FB4">
            <w:pPr>
              <w:rPr>
                <w:rFonts w:cs="Arial"/>
              </w:rPr>
            </w:pPr>
            <w:r w:rsidRPr="00DB35D4">
              <w:rPr>
                <w:rFonts w:cs="Arial"/>
                <w:color w:val="000000"/>
              </w:rPr>
              <w:t>Uruguay</w:t>
            </w:r>
          </w:p>
        </w:tc>
      </w:tr>
      <w:tr w:rsidR="005664B6" w:rsidRPr="00DB35D4" w14:paraId="0AD0FBC1" w14:textId="77777777" w:rsidTr="0028379F">
        <w:tc>
          <w:tcPr>
            <w:tcW w:w="6799" w:type="dxa"/>
            <w:vAlign w:val="bottom"/>
          </w:tcPr>
          <w:p w14:paraId="1AFEB461" w14:textId="77777777" w:rsidR="005664B6" w:rsidRPr="00DB35D4" w:rsidRDefault="005664B6" w:rsidP="002D2FB4">
            <w:pPr>
              <w:rPr>
                <w:rFonts w:cs="Arial"/>
              </w:rPr>
            </w:pPr>
            <w:r w:rsidRPr="00DB35D4">
              <w:rPr>
                <w:rFonts w:cs="Arial"/>
                <w:color w:val="000000"/>
              </w:rPr>
              <w:t xml:space="preserve">AES </w:t>
            </w:r>
            <w:proofErr w:type="spellStart"/>
            <w:r w:rsidRPr="00DB35D4">
              <w:rPr>
                <w:rFonts w:cs="Arial"/>
                <w:color w:val="000000"/>
              </w:rPr>
              <w:t>Tietκ</w:t>
            </w:r>
            <w:proofErr w:type="spellEnd"/>
            <w:r w:rsidRPr="00DB35D4">
              <w:rPr>
                <w:rFonts w:cs="Arial"/>
                <w:color w:val="000000"/>
              </w:rPr>
              <w:t xml:space="preserve"> Afforestation/Reforestation Project in the State of </w:t>
            </w:r>
            <w:proofErr w:type="spellStart"/>
            <w:r w:rsidRPr="00DB35D4">
              <w:rPr>
                <w:rFonts w:cs="Arial"/>
                <w:color w:val="000000"/>
              </w:rPr>
              <w:t>Sγo</w:t>
            </w:r>
            <w:proofErr w:type="spellEnd"/>
            <w:r w:rsidRPr="00DB35D4">
              <w:rPr>
                <w:rFonts w:cs="Arial"/>
                <w:color w:val="000000"/>
              </w:rPr>
              <w:t xml:space="preserve"> Paulo, Brazil</w:t>
            </w:r>
          </w:p>
        </w:tc>
        <w:tc>
          <w:tcPr>
            <w:tcW w:w="1418" w:type="dxa"/>
            <w:vAlign w:val="center"/>
          </w:tcPr>
          <w:p w14:paraId="385AB4A5" w14:textId="77777777" w:rsidR="005664B6" w:rsidRPr="00DB35D4" w:rsidRDefault="005664B6" w:rsidP="002D2FB4">
            <w:pPr>
              <w:rPr>
                <w:rFonts w:cs="Arial"/>
              </w:rPr>
            </w:pPr>
            <w:r w:rsidRPr="00DB35D4">
              <w:rPr>
                <w:rFonts w:cs="Arial"/>
                <w:color w:val="000000"/>
              </w:rPr>
              <w:t>Brazil</w:t>
            </w:r>
          </w:p>
        </w:tc>
      </w:tr>
      <w:tr w:rsidR="005664B6" w:rsidRPr="00DB35D4" w14:paraId="167AED42" w14:textId="77777777" w:rsidTr="0028379F">
        <w:tc>
          <w:tcPr>
            <w:tcW w:w="6799" w:type="dxa"/>
            <w:vAlign w:val="bottom"/>
          </w:tcPr>
          <w:p w14:paraId="0E56DE7A" w14:textId="77777777" w:rsidR="005664B6" w:rsidRPr="00DB35D4" w:rsidRDefault="005664B6" w:rsidP="002D2FB4">
            <w:pPr>
              <w:rPr>
                <w:rFonts w:cs="Arial"/>
              </w:rPr>
            </w:pPr>
            <w:r w:rsidRPr="00DB35D4">
              <w:rPr>
                <w:rFonts w:cs="Arial"/>
                <w:color w:val="000000"/>
              </w:rPr>
              <w:lastRenderedPageBreak/>
              <w:t>Reforestation of grazing Lands in Santo Domingo, Argentina</w:t>
            </w:r>
          </w:p>
        </w:tc>
        <w:tc>
          <w:tcPr>
            <w:tcW w:w="1418" w:type="dxa"/>
            <w:vAlign w:val="center"/>
          </w:tcPr>
          <w:p w14:paraId="35A1AD1C" w14:textId="77777777" w:rsidR="005664B6" w:rsidRPr="00DB35D4" w:rsidRDefault="005664B6" w:rsidP="002D2FB4">
            <w:pPr>
              <w:rPr>
                <w:rFonts w:cs="Arial"/>
              </w:rPr>
            </w:pPr>
            <w:r w:rsidRPr="00DB35D4">
              <w:rPr>
                <w:rFonts w:cs="Arial"/>
                <w:color w:val="000000"/>
              </w:rPr>
              <w:t>Argentina</w:t>
            </w:r>
          </w:p>
        </w:tc>
      </w:tr>
      <w:tr w:rsidR="005664B6" w:rsidRPr="00DB35D4" w14:paraId="19C182F7" w14:textId="77777777" w:rsidTr="0028379F">
        <w:tc>
          <w:tcPr>
            <w:tcW w:w="6799" w:type="dxa"/>
            <w:vAlign w:val="bottom"/>
          </w:tcPr>
          <w:p w14:paraId="04ECA78A" w14:textId="77777777" w:rsidR="005664B6" w:rsidRPr="00DB35D4" w:rsidRDefault="005664B6" w:rsidP="002D2FB4">
            <w:pPr>
              <w:rPr>
                <w:rFonts w:cs="Arial"/>
              </w:rPr>
            </w:pPr>
            <w:r w:rsidRPr="00DB35D4">
              <w:rPr>
                <w:rFonts w:cs="Arial"/>
                <w:color w:val="000000"/>
              </w:rPr>
              <w:t>Argos CO2 Offset Project, through reforestation activities for commercial use</w:t>
            </w:r>
          </w:p>
        </w:tc>
        <w:tc>
          <w:tcPr>
            <w:tcW w:w="1418" w:type="dxa"/>
            <w:vAlign w:val="center"/>
          </w:tcPr>
          <w:p w14:paraId="05E41335" w14:textId="77777777" w:rsidR="005664B6" w:rsidRPr="00DB35D4" w:rsidRDefault="005664B6" w:rsidP="002D2FB4">
            <w:pPr>
              <w:rPr>
                <w:rFonts w:cs="Arial"/>
              </w:rPr>
            </w:pPr>
            <w:r w:rsidRPr="00DB35D4">
              <w:rPr>
                <w:rFonts w:cs="Arial"/>
                <w:color w:val="000000"/>
              </w:rPr>
              <w:t>Colombia</w:t>
            </w:r>
          </w:p>
        </w:tc>
      </w:tr>
      <w:tr w:rsidR="005664B6" w:rsidRPr="0084418C" w14:paraId="795F6687" w14:textId="77777777" w:rsidTr="0028379F">
        <w:tc>
          <w:tcPr>
            <w:tcW w:w="6799" w:type="dxa"/>
            <w:vAlign w:val="bottom"/>
          </w:tcPr>
          <w:p w14:paraId="2FCA05BD" w14:textId="77777777" w:rsidR="005664B6" w:rsidRPr="00DB35D4" w:rsidRDefault="005664B6" w:rsidP="002D2FB4">
            <w:pPr>
              <w:rPr>
                <w:rFonts w:cs="Arial"/>
              </w:rPr>
            </w:pPr>
            <w:proofErr w:type="spellStart"/>
            <w:r w:rsidRPr="00DB35D4">
              <w:rPr>
                <w:rFonts w:cs="Arial"/>
                <w:color w:val="000000"/>
              </w:rPr>
              <w:t>Ibi</w:t>
            </w:r>
            <w:proofErr w:type="spellEnd"/>
            <w:r w:rsidRPr="00DB35D4">
              <w:rPr>
                <w:rFonts w:cs="Arial"/>
                <w:color w:val="000000"/>
              </w:rPr>
              <w:t xml:space="preserve"> </w:t>
            </w:r>
            <w:proofErr w:type="spellStart"/>
            <w:r w:rsidRPr="00DB35D4">
              <w:rPr>
                <w:rFonts w:cs="Arial"/>
                <w:color w:val="000000"/>
              </w:rPr>
              <w:t>Batιkι</w:t>
            </w:r>
            <w:proofErr w:type="spellEnd"/>
            <w:r w:rsidRPr="00DB35D4">
              <w:rPr>
                <w:rFonts w:cs="Arial"/>
                <w:color w:val="000000"/>
              </w:rPr>
              <w:t xml:space="preserve"> degraded savannah afforestation project for fuelwood production (Democratic Republic of Congo)</w:t>
            </w:r>
          </w:p>
        </w:tc>
        <w:tc>
          <w:tcPr>
            <w:tcW w:w="1418" w:type="dxa"/>
            <w:vAlign w:val="center"/>
          </w:tcPr>
          <w:p w14:paraId="744AEC7D" w14:textId="77777777" w:rsidR="005664B6" w:rsidRPr="00DB35D4" w:rsidRDefault="005664B6" w:rsidP="002D2FB4">
            <w:pPr>
              <w:rPr>
                <w:rFonts w:cs="Arial"/>
              </w:rPr>
            </w:pPr>
            <w:r w:rsidRPr="00DB35D4">
              <w:rPr>
                <w:rFonts w:cs="Arial"/>
                <w:color w:val="000000"/>
              </w:rPr>
              <w:t>Democratic Republic of the Congo</w:t>
            </w:r>
          </w:p>
        </w:tc>
      </w:tr>
      <w:tr w:rsidR="005664B6" w:rsidRPr="00DB35D4" w14:paraId="3B361533" w14:textId="77777777" w:rsidTr="0028379F">
        <w:tc>
          <w:tcPr>
            <w:tcW w:w="6799" w:type="dxa"/>
            <w:vAlign w:val="bottom"/>
          </w:tcPr>
          <w:p w14:paraId="5BED3144" w14:textId="77777777" w:rsidR="005664B6" w:rsidRPr="00DB35D4" w:rsidRDefault="005664B6" w:rsidP="002D2FB4">
            <w:pPr>
              <w:rPr>
                <w:rFonts w:cs="Arial"/>
              </w:rPr>
            </w:pPr>
            <w:r w:rsidRPr="00DB35D4">
              <w:rPr>
                <w:rFonts w:cs="Arial"/>
                <w:color w:val="000000"/>
              </w:rPr>
              <w:t xml:space="preserve">Improving Rural Livelihoods Through Carbon Sequestration </w:t>
            </w:r>
            <w:proofErr w:type="gramStart"/>
            <w:r w:rsidRPr="00DB35D4">
              <w:rPr>
                <w:rFonts w:cs="Arial"/>
                <w:color w:val="000000"/>
              </w:rPr>
              <w:t>By</w:t>
            </w:r>
            <w:proofErr w:type="gramEnd"/>
            <w:r w:rsidRPr="00DB35D4">
              <w:rPr>
                <w:rFonts w:cs="Arial"/>
                <w:color w:val="000000"/>
              </w:rPr>
              <w:t xml:space="preserve"> Adopting Environment Friendly Technology based Agroforestry Practices</w:t>
            </w:r>
          </w:p>
        </w:tc>
        <w:tc>
          <w:tcPr>
            <w:tcW w:w="1418" w:type="dxa"/>
            <w:vAlign w:val="center"/>
          </w:tcPr>
          <w:p w14:paraId="3587F105" w14:textId="77777777" w:rsidR="005664B6" w:rsidRPr="00DB35D4" w:rsidRDefault="005664B6" w:rsidP="002D2FB4">
            <w:pPr>
              <w:rPr>
                <w:rFonts w:cs="Arial"/>
              </w:rPr>
            </w:pPr>
            <w:r w:rsidRPr="00DB35D4">
              <w:rPr>
                <w:rFonts w:cs="Arial"/>
                <w:color w:val="000000"/>
              </w:rPr>
              <w:t>India</w:t>
            </w:r>
          </w:p>
        </w:tc>
      </w:tr>
      <w:tr w:rsidR="005664B6" w:rsidRPr="00DB35D4" w14:paraId="08723DA4" w14:textId="77777777" w:rsidTr="0028379F">
        <w:tc>
          <w:tcPr>
            <w:tcW w:w="6799" w:type="dxa"/>
            <w:vAlign w:val="bottom"/>
          </w:tcPr>
          <w:p w14:paraId="24D80AD7" w14:textId="77777777" w:rsidR="005664B6" w:rsidRPr="00DB35D4" w:rsidRDefault="005664B6" w:rsidP="002D2FB4">
            <w:pPr>
              <w:rPr>
                <w:rFonts w:cs="Arial"/>
              </w:rPr>
            </w:pPr>
            <w:r w:rsidRPr="00DB35D4">
              <w:rPr>
                <w:rFonts w:cs="Arial"/>
                <w:color w:val="000000"/>
              </w:rPr>
              <w:t>India: Himachal Pradesh Reforestation Project – Improving Livelihoods and Watersheds</w:t>
            </w:r>
          </w:p>
        </w:tc>
        <w:tc>
          <w:tcPr>
            <w:tcW w:w="1418" w:type="dxa"/>
            <w:vAlign w:val="center"/>
          </w:tcPr>
          <w:p w14:paraId="0F248E42" w14:textId="77777777" w:rsidR="005664B6" w:rsidRPr="00DB35D4" w:rsidRDefault="005664B6" w:rsidP="002D2FB4">
            <w:pPr>
              <w:rPr>
                <w:rFonts w:cs="Arial"/>
              </w:rPr>
            </w:pPr>
            <w:r w:rsidRPr="00DB35D4">
              <w:rPr>
                <w:rFonts w:cs="Arial"/>
                <w:color w:val="000000"/>
              </w:rPr>
              <w:t>India</w:t>
            </w:r>
          </w:p>
        </w:tc>
      </w:tr>
      <w:tr w:rsidR="005664B6" w:rsidRPr="00DB35D4" w14:paraId="62EA6AA9" w14:textId="77777777" w:rsidTr="0028379F">
        <w:tc>
          <w:tcPr>
            <w:tcW w:w="6799" w:type="dxa"/>
            <w:vAlign w:val="bottom"/>
          </w:tcPr>
          <w:p w14:paraId="21B370E1" w14:textId="77777777" w:rsidR="005664B6" w:rsidRPr="00DB35D4" w:rsidRDefault="005664B6" w:rsidP="002D2FB4">
            <w:pPr>
              <w:rPr>
                <w:rFonts w:cs="Arial"/>
              </w:rPr>
            </w:pPr>
            <w:proofErr w:type="spellStart"/>
            <w:r w:rsidRPr="00DB35D4">
              <w:rPr>
                <w:rFonts w:cs="Arial"/>
                <w:color w:val="000000"/>
              </w:rPr>
              <w:t>Kachung</w:t>
            </w:r>
            <w:proofErr w:type="spellEnd"/>
            <w:r w:rsidRPr="00DB35D4">
              <w:rPr>
                <w:rFonts w:cs="Arial"/>
                <w:color w:val="000000"/>
              </w:rPr>
              <w:t xml:space="preserve"> Forest Project: Afforestation on Degraded Lands</w:t>
            </w:r>
          </w:p>
        </w:tc>
        <w:tc>
          <w:tcPr>
            <w:tcW w:w="1418" w:type="dxa"/>
            <w:vAlign w:val="center"/>
          </w:tcPr>
          <w:p w14:paraId="7BFE3955" w14:textId="77777777" w:rsidR="005664B6" w:rsidRPr="00DB35D4" w:rsidRDefault="005664B6" w:rsidP="002D2FB4">
            <w:pPr>
              <w:rPr>
                <w:rFonts w:cs="Arial"/>
              </w:rPr>
            </w:pPr>
            <w:r w:rsidRPr="00DB35D4">
              <w:rPr>
                <w:rFonts w:cs="Arial"/>
                <w:color w:val="000000"/>
              </w:rPr>
              <w:t>Uganda</w:t>
            </w:r>
          </w:p>
        </w:tc>
      </w:tr>
      <w:tr w:rsidR="005664B6" w:rsidRPr="00DB35D4" w14:paraId="2AADD9F0" w14:textId="77777777" w:rsidTr="0028379F">
        <w:tc>
          <w:tcPr>
            <w:tcW w:w="6799" w:type="dxa"/>
            <w:vAlign w:val="bottom"/>
          </w:tcPr>
          <w:p w14:paraId="560ACE1A" w14:textId="77777777" w:rsidR="005664B6" w:rsidRPr="00DB35D4" w:rsidRDefault="005664B6" w:rsidP="002D2FB4">
            <w:pPr>
              <w:rPr>
                <w:rFonts w:cs="Arial"/>
              </w:rPr>
            </w:pPr>
            <w:r w:rsidRPr="00DB35D4">
              <w:rPr>
                <w:rFonts w:cs="Arial"/>
                <w:color w:val="000000"/>
              </w:rPr>
              <w:t>Southern Nicaragua CDM Reforestation Project</w:t>
            </w:r>
          </w:p>
        </w:tc>
        <w:tc>
          <w:tcPr>
            <w:tcW w:w="1418" w:type="dxa"/>
            <w:vAlign w:val="center"/>
          </w:tcPr>
          <w:p w14:paraId="7791AD2F" w14:textId="77777777" w:rsidR="005664B6" w:rsidRPr="00DB35D4" w:rsidRDefault="005664B6" w:rsidP="002D2FB4">
            <w:pPr>
              <w:rPr>
                <w:rFonts w:cs="Arial"/>
              </w:rPr>
            </w:pPr>
            <w:r w:rsidRPr="00DB35D4">
              <w:rPr>
                <w:rFonts w:cs="Arial"/>
                <w:color w:val="000000"/>
              </w:rPr>
              <w:t>Nicaragua</w:t>
            </w:r>
          </w:p>
        </w:tc>
      </w:tr>
      <w:tr w:rsidR="005664B6" w:rsidRPr="00DB35D4" w14:paraId="279256E6" w14:textId="77777777" w:rsidTr="0028379F">
        <w:tc>
          <w:tcPr>
            <w:tcW w:w="6799" w:type="dxa"/>
            <w:vAlign w:val="bottom"/>
          </w:tcPr>
          <w:p w14:paraId="6A8E9B62" w14:textId="77777777" w:rsidR="005664B6" w:rsidRPr="00DB35D4" w:rsidRDefault="005664B6" w:rsidP="002D2FB4">
            <w:pPr>
              <w:rPr>
                <w:rFonts w:cs="Arial"/>
              </w:rPr>
            </w:pPr>
            <w:r w:rsidRPr="00DB35D4">
              <w:rPr>
                <w:rFonts w:cs="Arial"/>
                <w:color w:val="000000"/>
              </w:rPr>
              <w:t>Forestry Project in Strategic Ecological Areas of the Colombian Caribbean Savannas</w:t>
            </w:r>
          </w:p>
        </w:tc>
        <w:tc>
          <w:tcPr>
            <w:tcW w:w="1418" w:type="dxa"/>
            <w:vAlign w:val="center"/>
          </w:tcPr>
          <w:p w14:paraId="7BEBFE93" w14:textId="77777777" w:rsidR="005664B6" w:rsidRPr="00DB35D4" w:rsidRDefault="005664B6" w:rsidP="002D2FB4">
            <w:pPr>
              <w:rPr>
                <w:rFonts w:cs="Arial"/>
              </w:rPr>
            </w:pPr>
            <w:r w:rsidRPr="00DB35D4">
              <w:rPr>
                <w:rFonts w:cs="Arial"/>
                <w:color w:val="000000"/>
              </w:rPr>
              <w:t>Colombia</w:t>
            </w:r>
          </w:p>
        </w:tc>
      </w:tr>
      <w:tr w:rsidR="005664B6" w:rsidRPr="00DB35D4" w14:paraId="2AA81AAA" w14:textId="77777777" w:rsidTr="0028379F">
        <w:tc>
          <w:tcPr>
            <w:tcW w:w="6799" w:type="dxa"/>
            <w:vAlign w:val="bottom"/>
          </w:tcPr>
          <w:p w14:paraId="341C7505" w14:textId="77777777" w:rsidR="005664B6" w:rsidRPr="00DB35D4" w:rsidRDefault="005664B6" w:rsidP="002D2FB4">
            <w:pPr>
              <w:rPr>
                <w:rFonts w:cs="Arial"/>
              </w:rPr>
            </w:pPr>
            <w:proofErr w:type="spellStart"/>
            <w:r w:rsidRPr="00DB35D4">
              <w:rPr>
                <w:rFonts w:cs="Arial"/>
                <w:color w:val="000000"/>
              </w:rPr>
              <w:t>Bagepalli</w:t>
            </w:r>
            <w:proofErr w:type="spellEnd"/>
            <w:r w:rsidRPr="00DB35D4">
              <w:rPr>
                <w:rFonts w:cs="Arial"/>
                <w:color w:val="000000"/>
              </w:rPr>
              <w:t xml:space="preserve"> CDM Reforestation </w:t>
            </w:r>
            <w:proofErr w:type="spellStart"/>
            <w:r w:rsidRPr="00DB35D4">
              <w:rPr>
                <w:rFonts w:cs="Arial"/>
                <w:color w:val="000000"/>
              </w:rPr>
              <w:t>Programme</w:t>
            </w:r>
            <w:proofErr w:type="spellEnd"/>
          </w:p>
        </w:tc>
        <w:tc>
          <w:tcPr>
            <w:tcW w:w="1418" w:type="dxa"/>
            <w:vAlign w:val="center"/>
          </w:tcPr>
          <w:p w14:paraId="42C214E3" w14:textId="77777777" w:rsidR="005664B6" w:rsidRPr="00DB35D4" w:rsidRDefault="005664B6" w:rsidP="002D2FB4">
            <w:pPr>
              <w:rPr>
                <w:rFonts w:cs="Arial"/>
              </w:rPr>
            </w:pPr>
            <w:r w:rsidRPr="00DB35D4">
              <w:rPr>
                <w:rFonts w:cs="Arial"/>
                <w:color w:val="000000"/>
              </w:rPr>
              <w:t>India</w:t>
            </w:r>
          </w:p>
        </w:tc>
      </w:tr>
      <w:tr w:rsidR="005664B6" w:rsidRPr="00DB35D4" w14:paraId="2424E272" w14:textId="77777777" w:rsidTr="0028379F">
        <w:tc>
          <w:tcPr>
            <w:tcW w:w="6799" w:type="dxa"/>
            <w:vAlign w:val="bottom"/>
          </w:tcPr>
          <w:p w14:paraId="0E13A934" w14:textId="77777777" w:rsidR="005664B6" w:rsidRPr="00DB35D4" w:rsidRDefault="005664B6" w:rsidP="002D2FB4">
            <w:pPr>
              <w:rPr>
                <w:rFonts w:cs="Arial"/>
              </w:rPr>
            </w:pPr>
            <w:r w:rsidRPr="00DB35D4">
              <w:rPr>
                <w:rFonts w:cs="Arial"/>
                <w:color w:val="000000"/>
              </w:rPr>
              <w:t>Commercial reforestation on lands dedicated to extensive cattle grazing activities in the region of Magdalena Bajo Seco</w:t>
            </w:r>
          </w:p>
        </w:tc>
        <w:tc>
          <w:tcPr>
            <w:tcW w:w="1418" w:type="dxa"/>
            <w:vAlign w:val="center"/>
          </w:tcPr>
          <w:p w14:paraId="234EE145" w14:textId="77777777" w:rsidR="005664B6" w:rsidRPr="00DB35D4" w:rsidRDefault="005664B6" w:rsidP="002D2FB4">
            <w:pPr>
              <w:rPr>
                <w:rFonts w:cs="Arial"/>
              </w:rPr>
            </w:pPr>
            <w:r w:rsidRPr="00DB35D4">
              <w:rPr>
                <w:rFonts w:cs="Arial"/>
                <w:color w:val="000000"/>
              </w:rPr>
              <w:t>Colombia</w:t>
            </w:r>
          </w:p>
        </w:tc>
      </w:tr>
      <w:tr w:rsidR="005664B6" w:rsidRPr="00DB35D4" w14:paraId="625F321B" w14:textId="77777777" w:rsidTr="0028379F">
        <w:tc>
          <w:tcPr>
            <w:tcW w:w="6799" w:type="dxa"/>
            <w:vAlign w:val="bottom"/>
          </w:tcPr>
          <w:p w14:paraId="360FE2BE" w14:textId="77777777" w:rsidR="005664B6" w:rsidRPr="00DB35D4" w:rsidRDefault="005664B6" w:rsidP="002D2FB4">
            <w:pPr>
              <w:rPr>
                <w:rFonts w:cs="Arial"/>
              </w:rPr>
            </w:pPr>
            <w:proofErr w:type="spellStart"/>
            <w:r w:rsidRPr="00DB35D4">
              <w:rPr>
                <w:rFonts w:cs="Arial"/>
                <w:color w:val="000000"/>
              </w:rPr>
              <w:t>Aberdare</w:t>
            </w:r>
            <w:proofErr w:type="spellEnd"/>
            <w:r w:rsidRPr="00DB35D4">
              <w:rPr>
                <w:rFonts w:cs="Arial"/>
                <w:color w:val="000000"/>
              </w:rPr>
              <w:t xml:space="preserve"> Range/ Mt. Kenya Small Scale Reforestation Initiative </w:t>
            </w:r>
            <w:proofErr w:type="spellStart"/>
            <w:r w:rsidRPr="00DB35D4">
              <w:rPr>
                <w:rFonts w:cs="Arial"/>
                <w:color w:val="000000"/>
              </w:rPr>
              <w:t>Kamae-Kipipiri</w:t>
            </w:r>
            <w:proofErr w:type="spellEnd"/>
            <w:r w:rsidRPr="00DB35D4">
              <w:rPr>
                <w:rFonts w:cs="Arial"/>
                <w:color w:val="000000"/>
              </w:rPr>
              <w:t xml:space="preserve"> Small Scale A/R Project</w:t>
            </w:r>
          </w:p>
        </w:tc>
        <w:tc>
          <w:tcPr>
            <w:tcW w:w="1418" w:type="dxa"/>
            <w:vAlign w:val="center"/>
          </w:tcPr>
          <w:p w14:paraId="1A7A56C3" w14:textId="77777777" w:rsidR="005664B6" w:rsidRPr="00DB35D4" w:rsidRDefault="005664B6" w:rsidP="002D2FB4">
            <w:pPr>
              <w:rPr>
                <w:rFonts w:cs="Arial"/>
              </w:rPr>
            </w:pPr>
            <w:r w:rsidRPr="00DB35D4">
              <w:rPr>
                <w:rFonts w:cs="Arial"/>
                <w:color w:val="000000"/>
              </w:rPr>
              <w:t>Kenya</w:t>
            </w:r>
          </w:p>
        </w:tc>
      </w:tr>
      <w:tr w:rsidR="005664B6" w:rsidRPr="00DB35D4" w14:paraId="1EDBEC59" w14:textId="77777777" w:rsidTr="0028379F">
        <w:tc>
          <w:tcPr>
            <w:tcW w:w="6799" w:type="dxa"/>
            <w:vAlign w:val="bottom"/>
          </w:tcPr>
          <w:p w14:paraId="791229A5" w14:textId="77777777" w:rsidR="005664B6" w:rsidRPr="00DB35D4" w:rsidRDefault="005664B6" w:rsidP="002D2FB4">
            <w:pPr>
              <w:rPr>
                <w:rFonts w:cs="Arial"/>
              </w:rPr>
            </w:pPr>
            <w:r w:rsidRPr="00DB35D4">
              <w:rPr>
                <w:rFonts w:cs="Arial"/>
                <w:color w:val="000000"/>
              </w:rPr>
              <w:t>Uganda Nile Basin Reforestation Project No.5</w:t>
            </w:r>
          </w:p>
        </w:tc>
        <w:tc>
          <w:tcPr>
            <w:tcW w:w="1418" w:type="dxa"/>
            <w:vAlign w:val="center"/>
          </w:tcPr>
          <w:p w14:paraId="48D4981A" w14:textId="77777777" w:rsidR="005664B6" w:rsidRPr="00DB35D4" w:rsidRDefault="005664B6" w:rsidP="002D2FB4">
            <w:pPr>
              <w:rPr>
                <w:rFonts w:cs="Arial"/>
              </w:rPr>
            </w:pPr>
            <w:r w:rsidRPr="00DB35D4">
              <w:rPr>
                <w:rFonts w:cs="Arial"/>
                <w:color w:val="000000"/>
              </w:rPr>
              <w:t>Uganda</w:t>
            </w:r>
          </w:p>
        </w:tc>
      </w:tr>
      <w:tr w:rsidR="005664B6" w:rsidRPr="00DB35D4" w14:paraId="254F5A80" w14:textId="77777777" w:rsidTr="0028379F">
        <w:tc>
          <w:tcPr>
            <w:tcW w:w="6799" w:type="dxa"/>
            <w:vAlign w:val="bottom"/>
          </w:tcPr>
          <w:p w14:paraId="7606D012" w14:textId="77777777" w:rsidR="005664B6" w:rsidRPr="00DB35D4" w:rsidRDefault="005664B6" w:rsidP="002D2FB4">
            <w:pPr>
              <w:rPr>
                <w:rFonts w:cs="Arial"/>
              </w:rPr>
            </w:pPr>
            <w:r w:rsidRPr="00DB35D4">
              <w:rPr>
                <w:rFonts w:cs="Arial"/>
                <w:color w:val="000000"/>
              </w:rPr>
              <w:t>Reforestation of degraded land by MTPL in India</w:t>
            </w:r>
          </w:p>
        </w:tc>
        <w:tc>
          <w:tcPr>
            <w:tcW w:w="1418" w:type="dxa"/>
            <w:vAlign w:val="center"/>
          </w:tcPr>
          <w:p w14:paraId="7E693626" w14:textId="77777777" w:rsidR="005664B6" w:rsidRPr="00DB35D4" w:rsidRDefault="005664B6" w:rsidP="002D2FB4">
            <w:pPr>
              <w:rPr>
                <w:rFonts w:cs="Arial"/>
              </w:rPr>
            </w:pPr>
            <w:r w:rsidRPr="00DB35D4">
              <w:rPr>
                <w:rFonts w:cs="Arial"/>
                <w:color w:val="000000"/>
              </w:rPr>
              <w:t>India</w:t>
            </w:r>
          </w:p>
        </w:tc>
      </w:tr>
      <w:tr w:rsidR="005664B6" w:rsidRPr="00DB35D4" w14:paraId="4CE3A211" w14:textId="77777777" w:rsidTr="0028379F">
        <w:tc>
          <w:tcPr>
            <w:tcW w:w="6799" w:type="dxa"/>
            <w:vAlign w:val="bottom"/>
          </w:tcPr>
          <w:p w14:paraId="704F9C5D" w14:textId="77777777" w:rsidR="005664B6" w:rsidRPr="00DB35D4" w:rsidRDefault="005664B6" w:rsidP="002D2FB4">
            <w:pPr>
              <w:rPr>
                <w:rFonts w:cs="Arial"/>
              </w:rPr>
            </w:pPr>
            <w:r w:rsidRPr="00DB35D4">
              <w:rPr>
                <w:rFonts w:cs="Arial"/>
                <w:color w:val="000000"/>
              </w:rPr>
              <w:t>Uganda Nile Basin Reforestation Project No 1</w:t>
            </w:r>
          </w:p>
        </w:tc>
        <w:tc>
          <w:tcPr>
            <w:tcW w:w="1418" w:type="dxa"/>
            <w:vAlign w:val="center"/>
          </w:tcPr>
          <w:p w14:paraId="392EA102" w14:textId="77777777" w:rsidR="005664B6" w:rsidRPr="00DB35D4" w:rsidRDefault="005664B6" w:rsidP="002D2FB4">
            <w:pPr>
              <w:rPr>
                <w:rFonts w:cs="Arial"/>
              </w:rPr>
            </w:pPr>
            <w:r w:rsidRPr="00DB35D4">
              <w:rPr>
                <w:rFonts w:cs="Arial"/>
                <w:color w:val="000000"/>
              </w:rPr>
              <w:t>Uganda</w:t>
            </w:r>
          </w:p>
        </w:tc>
      </w:tr>
      <w:tr w:rsidR="005664B6" w:rsidRPr="00DB35D4" w14:paraId="08F57161" w14:textId="77777777" w:rsidTr="0028379F">
        <w:tc>
          <w:tcPr>
            <w:tcW w:w="6799" w:type="dxa"/>
            <w:vAlign w:val="bottom"/>
          </w:tcPr>
          <w:p w14:paraId="53CD45EF" w14:textId="77777777" w:rsidR="005664B6" w:rsidRPr="00DB35D4" w:rsidRDefault="005664B6" w:rsidP="002D2FB4">
            <w:pPr>
              <w:rPr>
                <w:rFonts w:cs="Arial"/>
              </w:rPr>
            </w:pPr>
            <w:r w:rsidRPr="00DB35D4">
              <w:rPr>
                <w:rFonts w:cs="Arial"/>
                <w:color w:val="000000"/>
              </w:rPr>
              <w:lastRenderedPageBreak/>
              <w:t>Uganda Nile Basin Reforestation Project No 2</w:t>
            </w:r>
          </w:p>
        </w:tc>
        <w:tc>
          <w:tcPr>
            <w:tcW w:w="1418" w:type="dxa"/>
            <w:vAlign w:val="center"/>
          </w:tcPr>
          <w:p w14:paraId="0500C0EA" w14:textId="77777777" w:rsidR="005664B6" w:rsidRPr="00DB35D4" w:rsidRDefault="005664B6" w:rsidP="002D2FB4">
            <w:pPr>
              <w:rPr>
                <w:rFonts w:cs="Arial"/>
              </w:rPr>
            </w:pPr>
            <w:r w:rsidRPr="00DB35D4">
              <w:rPr>
                <w:rFonts w:cs="Arial"/>
                <w:color w:val="000000"/>
              </w:rPr>
              <w:t>Uganda</w:t>
            </w:r>
          </w:p>
        </w:tc>
      </w:tr>
      <w:tr w:rsidR="005664B6" w:rsidRPr="00DB35D4" w14:paraId="0BA9CE52" w14:textId="77777777" w:rsidTr="0028379F">
        <w:tc>
          <w:tcPr>
            <w:tcW w:w="6799" w:type="dxa"/>
            <w:vAlign w:val="bottom"/>
          </w:tcPr>
          <w:p w14:paraId="4B0B5BB2" w14:textId="77777777" w:rsidR="005664B6" w:rsidRPr="00DB35D4" w:rsidRDefault="005664B6" w:rsidP="002D2FB4">
            <w:pPr>
              <w:rPr>
                <w:rFonts w:cs="Arial"/>
              </w:rPr>
            </w:pPr>
            <w:r w:rsidRPr="00DB35D4">
              <w:rPr>
                <w:rFonts w:cs="Arial"/>
                <w:color w:val="000000"/>
              </w:rPr>
              <w:t>Uganda Nile Basin Reforestation Project No 4</w:t>
            </w:r>
          </w:p>
        </w:tc>
        <w:tc>
          <w:tcPr>
            <w:tcW w:w="1418" w:type="dxa"/>
            <w:vAlign w:val="center"/>
          </w:tcPr>
          <w:p w14:paraId="0DC9A41E" w14:textId="77777777" w:rsidR="005664B6" w:rsidRPr="00DB35D4" w:rsidRDefault="005664B6" w:rsidP="002D2FB4">
            <w:pPr>
              <w:rPr>
                <w:rFonts w:cs="Arial"/>
              </w:rPr>
            </w:pPr>
            <w:r w:rsidRPr="00DB35D4">
              <w:rPr>
                <w:rFonts w:cs="Arial"/>
                <w:color w:val="000000"/>
              </w:rPr>
              <w:t>Uganda</w:t>
            </w:r>
          </w:p>
        </w:tc>
      </w:tr>
      <w:tr w:rsidR="005664B6" w:rsidRPr="00DB35D4" w14:paraId="123250F9" w14:textId="77777777" w:rsidTr="0028379F">
        <w:tc>
          <w:tcPr>
            <w:tcW w:w="6799" w:type="dxa"/>
            <w:vAlign w:val="bottom"/>
          </w:tcPr>
          <w:p w14:paraId="0C5CD4D7" w14:textId="77777777" w:rsidR="005664B6" w:rsidRPr="00DB35D4" w:rsidRDefault="005664B6" w:rsidP="002D2FB4">
            <w:pPr>
              <w:rPr>
                <w:rFonts w:cs="Arial"/>
              </w:rPr>
            </w:pPr>
            <w:proofErr w:type="spellStart"/>
            <w:r w:rsidRPr="00DB35D4">
              <w:rPr>
                <w:rFonts w:cs="Arial"/>
                <w:color w:val="000000"/>
              </w:rPr>
              <w:t>Aberdare</w:t>
            </w:r>
            <w:proofErr w:type="spellEnd"/>
            <w:r w:rsidRPr="00DB35D4">
              <w:rPr>
                <w:rFonts w:cs="Arial"/>
                <w:color w:val="000000"/>
              </w:rPr>
              <w:t xml:space="preserve"> Range / Mt. Kenya Small Scale Reforestation Initiative </w:t>
            </w:r>
            <w:proofErr w:type="spellStart"/>
            <w:r w:rsidRPr="00DB35D4">
              <w:rPr>
                <w:rFonts w:cs="Arial"/>
                <w:color w:val="000000"/>
              </w:rPr>
              <w:t>Kirimara-Kithithina</w:t>
            </w:r>
            <w:proofErr w:type="spellEnd"/>
            <w:r w:rsidRPr="00DB35D4">
              <w:rPr>
                <w:rFonts w:cs="Arial"/>
                <w:color w:val="000000"/>
              </w:rPr>
              <w:t xml:space="preserve"> Small Scale A/R Project</w:t>
            </w:r>
          </w:p>
        </w:tc>
        <w:tc>
          <w:tcPr>
            <w:tcW w:w="1418" w:type="dxa"/>
            <w:vAlign w:val="center"/>
          </w:tcPr>
          <w:p w14:paraId="605E06A8" w14:textId="77777777" w:rsidR="005664B6" w:rsidRPr="00DB35D4" w:rsidRDefault="005664B6" w:rsidP="002D2FB4">
            <w:pPr>
              <w:rPr>
                <w:rFonts w:cs="Arial"/>
              </w:rPr>
            </w:pPr>
            <w:r w:rsidRPr="00DB35D4">
              <w:rPr>
                <w:rFonts w:cs="Arial"/>
                <w:color w:val="000000"/>
              </w:rPr>
              <w:t>Kenya</w:t>
            </w:r>
          </w:p>
        </w:tc>
      </w:tr>
      <w:tr w:rsidR="005664B6" w:rsidRPr="00DB35D4" w14:paraId="470CF7FE" w14:textId="77777777" w:rsidTr="0028379F">
        <w:tc>
          <w:tcPr>
            <w:tcW w:w="6799" w:type="dxa"/>
            <w:vAlign w:val="bottom"/>
          </w:tcPr>
          <w:p w14:paraId="2F591030" w14:textId="77777777" w:rsidR="005664B6" w:rsidRPr="00DB35D4" w:rsidRDefault="005664B6" w:rsidP="002D2FB4">
            <w:pPr>
              <w:rPr>
                <w:rFonts w:cs="Arial"/>
              </w:rPr>
            </w:pPr>
            <w:r w:rsidRPr="00DB35D4">
              <w:rPr>
                <w:rFonts w:cs="Arial"/>
                <w:color w:val="000000"/>
              </w:rPr>
              <w:t>SECURITIZATION AND CARBON SINKS PROJECT</w:t>
            </w:r>
          </w:p>
        </w:tc>
        <w:tc>
          <w:tcPr>
            <w:tcW w:w="1418" w:type="dxa"/>
            <w:vAlign w:val="center"/>
          </w:tcPr>
          <w:p w14:paraId="06CECFF7" w14:textId="77777777" w:rsidR="005664B6" w:rsidRPr="00DB35D4" w:rsidRDefault="005664B6" w:rsidP="002D2FB4">
            <w:pPr>
              <w:rPr>
                <w:rFonts w:cs="Arial"/>
              </w:rPr>
            </w:pPr>
            <w:r w:rsidRPr="00DB35D4">
              <w:rPr>
                <w:rFonts w:cs="Arial"/>
                <w:color w:val="000000"/>
              </w:rPr>
              <w:t>Chile</w:t>
            </w:r>
          </w:p>
        </w:tc>
      </w:tr>
      <w:tr w:rsidR="005664B6" w:rsidRPr="00DB35D4" w14:paraId="34EFDBF2" w14:textId="77777777" w:rsidTr="0028379F">
        <w:tc>
          <w:tcPr>
            <w:tcW w:w="6799" w:type="dxa"/>
            <w:vAlign w:val="bottom"/>
          </w:tcPr>
          <w:p w14:paraId="5792AD21" w14:textId="77777777" w:rsidR="005664B6" w:rsidRPr="00DB35D4" w:rsidRDefault="005664B6" w:rsidP="002D2FB4">
            <w:pPr>
              <w:rPr>
                <w:rFonts w:cs="Arial"/>
              </w:rPr>
            </w:pPr>
            <w:proofErr w:type="spellStart"/>
            <w:r w:rsidRPr="00DB35D4">
              <w:rPr>
                <w:rFonts w:cs="Arial"/>
                <w:color w:val="000000"/>
              </w:rPr>
              <w:t>Aberdare</w:t>
            </w:r>
            <w:proofErr w:type="spellEnd"/>
            <w:r w:rsidRPr="00DB35D4">
              <w:rPr>
                <w:rFonts w:cs="Arial"/>
                <w:color w:val="000000"/>
              </w:rPr>
              <w:t xml:space="preserve"> Range/ Mt. Kenya Small Scale Reforestation Initiative </w:t>
            </w:r>
            <w:proofErr w:type="spellStart"/>
            <w:r w:rsidRPr="00DB35D4">
              <w:rPr>
                <w:rFonts w:cs="Arial"/>
                <w:color w:val="000000"/>
              </w:rPr>
              <w:t>Kibaranyeki</w:t>
            </w:r>
            <w:proofErr w:type="spellEnd"/>
            <w:r w:rsidRPr="00DB35D4">
              <w:rPr>
                <w:rFonts w:cs="Arial"/>
                <w:color w:val="000000"/>
              </w:rPr>
              <w:t xml:space="preserve"> Small Scale A/R Project</w:t>
            </w:r>
          </w:p>
        </w:tc>
        <w:tc>
          <w:tcPr>
            <w:tcW w:w="1418" w:type="dxa"/>
            <w:vAlign w:val="center"/>
          </w:tcPr>
          <w:p w14:paraId="3108AD5F" w14:textId="77777777" w:rsidR="005664B6" w:rsidRPr="00DB35D4" w:rsidRDefault="005664B6" w:rsidP="002D2FB4">
            <w:pPr>
              <w:rPr>
                <w:rFonts w:cs="Arial"/>
              </w:rPr>
            </w:pPr>
            <w:r w:rsidRPr="00DB35D4">
              <w:rPr>
                <w:rFonts w:cs="Arial"/>
                <w:color w:val="000000"/>
              </w:rPr>
              <w:t>Kenya</w:t>
            </w:r>
          </w:p>
        </w:tc>
      </w:tr>
      <w:tr w:rsidR="005664B6" w:rsidRPr="00DB35D4" w14:paraId="7AD413FD" w14:textId="77777777" w:rsidTr="0028379F">
        <w:tc>
          <w:tcPr>
            <w:tcW w:w="6799" w:type="dxa"/>
            <w:vAlign w:val="bottom"/>
          </w:tcPr>
          <w:p w14:paraId="70D5A2DC" w14:textId="77777777" w:rsidR="005664B6" w:rsidRPr="00DB35D4" w:rsidRDefault="005664B6" w:rsidP="002D2FB4">
            <w:pPr>
              <w:rPr>
                <w:rFonts w:cs="Arial"/>
              </w:rPr>
            </w:pPr>
            <w:proofErr w:type="spellStart"/>
            <w:r w:rsidRPr="00DB35D4">
              <w:rPr>
                <w:rFonts w:cs="Arial"/>
                <w:color w:val="000000"/>
              </w:rPr>
              <w:t>Oceanium</w:t>
            </w:r>
            <w:proofErr w:type="spellEnd"/>
            <w:r w:rsidRPr="00DB35D4">
              <w:rPr>
                <w:rFonts w:cs="Arial"/>
                <w:color w:val="000000"/>
              </w:rPr>
              <w:t xml:space="preserve"> mangrove restoration project</w:t>
            </w:r>
          </w:p>
        </w:tc>
        <w:tc>
          <w:tcPr>
            <w:tcW w:w="1418" w:type="dxa"/>
            <w:vAlign w:val="center"/>
          </w:tcPr>
          <w:p w14:paraId="4ED5CADB" w14:textId="77777777" w:rsidR="005664B6" w:rsidRPr="00DB35D4" w:rsidRDefault="005664B6" w:rsidP="002D2FB4">
            <w:pPr>
              <w:rPr>
                <w:rFonts w:cs="Arial"/>
              </w:rPr>
            </w:pPr>
            <w:r w:rsidRPr="00DB35D4">
              <w:rPr>
                <w:rFonts w:cs="Arial"/>
                <w:color w:val="000000"/>
              </w:rPr>
              <w:t>Senegal</w:t>
            </w:r>
          </w:p>
        </w:tc>
      </w:tr>
      <w:tr w:rsidR="005664B6" w:rsidRPr="00DB35D4" w14:paraId="5C1C802D" w14:textId="77777777" w:rsidTr="0028379F">
        <w:tc>
          <w:tcPr>
            <w:tcW w:w="6799" w:type="dxa"/>
            <w:vAlign w:val="bottom"/>
          </w:tcPr>
          <w:p w14:paraId="350FC859" w14:textId="77777777" w:rsidR="005664B6" w:rsidRPr="00DB35D4" w:rsidRDefault="005664B6" w:rsidP="002D2FB4">
            <w:pPr>
              <w:rPr>
                <w:rFonts w:cs="Arial"/>
              </w:rPr>
            </w:pPr>
            <w:r w:rsidRPr="00DB35D4">
              <w:rPr>
                <w:rFonts w:cs="Arial"/>
                <w:color w:val="000000"/>
              </w:rPr>
              <w:t>REFORESTATION OF DEGRADED/DEGRADING LAND IN THE CARIBBEAN SAVANNAH OF COLOMBIA</w:t>
            </w:r>
          </w:p>
        </w:tc>
        <w:tc>
          <w:tcPr>
            <w:tcW w:w="1418" w:type="dxa"/>
            <w:vAlign w:val="center"/>
          </w:tcPr>
          <w:p w14:paraId="3985C67D" w14:textId="77777777" w:rsidR="005664B6" w:rsidRPr="00DB35D4" w:rsidRDefault="005664B6" w:rsidP="002D2FB4">
            <w:pPr>
              <w:rPr>
                <w:rFonts w:cs="Arial"/>
              </w:rPr>
            </w:pPr>
            <w:r w:rsidRPr="00DB35D4">
              <w:rPr>
                <w:rFonts w:cs="Arial"/>
                <w:color w:val="000000"/>
              </w:rPr>
              <w:t>Colombia</w:t>
            </w:r>
          </w:p>
        </w:tc>
      </w:tr>
      <w:tr w:rsidR="005664B6" w:rsidRPr="00DB35D4" w14:paraId="0FCCF38A" w14:textId="77777777" w:rsidTr="0028379F">
        <w:tc>
          <w:tcPr>
            <w:tcW w:w="6799" w:type="dxa"/>
            <w:vAlign w:val="bottom"/>
          </w:tcPr>
          <w:p w14:paraId="4C6E2539" w14:textId="77777777" w:rsidR="005664B6" w:rsidRPr="00DB35D4" w:rsidRDefault="005664B6" w:rsidP="002D2FB4">
            <w:pPr>
              <w:rPr>
                <w:rFonts w:cs="Arial"/>
              </w:rPr>
            </w:pPr>
            <w:r w:rsidRPr="00DB35D4">
              <w:rPr>
                <w:rFonts w:cs="Arial"/>
                <w:color w:val="000000"/>
              </w:rPr>
              <w:t xml:space="preserve">Vale </w:t>
            </w:r>
            <w:proofErr w:type="spellStart"/>
            <w:r w:rsidRPr="00DB35D4">
              <w:rPr>
                <w:rFonts w:cs="Arial"/>
                <w:color w:val="000000"/>
              </w:rPr>
              <w:t>Florestar</w:t>
            </w:r>
            <w:proofErr w:type="spellEnd"/>
            <w:r w:rsidRPr="00DB35D4">
              <w:rPr>
                <w:rFonts w:cs="Arial"/>
                <w:color w:val="000000"/>
              </w:rPr>
              <w:t>. Reforestation of degraded tropical land in Brazilian Amazon</w:t>
            </w:r>
          </w:p>
        </w:tc>
        <w:tc>
          <w:tcPr>
            <w:tcW w:w="1418" w:type="dxa"/>
            <w:vAlign w:val="center"/>
          </w:tcPr>
          <w:p w14:paraId="3896E49B" w14:textId="77777777" w:rsidR="005664B6" w:rsidRPr="00DB35D4" w:rsidRDefault="005664B6" w:rsidP="002D2FB4">
            <w:pPr>
              <w:rPr>
                <w:rFonts w:cs="Arial"/>
              </w:rPr>
            </w:pPr>
            <w:r w:rsidRPr="00DB35D4">
              <w:rPr>
                <w:rFonts w:cs="Arial"/>
                <w:color w:val="000000"/>
              </w:rPr>
              <w:t>Brazil</w:t>
            </w:r>
          </w:p>
        </w:tc>
      </w:tr>
      <w:tr w:rsidR="005664B6" w:rsidRPr="00DB35D4" w14:paraId="4F2D132A" w14:textId="77777777" w:rsidTr="0028379F">
        <w:tc>
          <w:tcPr>
            <w:tcW w:w="6799" w:type="dxa"/>
            <w:vAlign w:val="bottom"/>
          </w:tcPr>
          <w:p w14:paraId="44A7B7D2" w14:textId="77777777" w:rsidR="005664B6" w:rsidRPr="00DB35D4" w:rsidRDefault="005664B6" w:rsidP="002D2FB4">
            <w:pPr>
              <w:rPr>
                <w:rFonts w:cs="Arial"/>
              </w:rPr>
            </w:pPr>
            <w:r w:rsidRPr="00DB35D4">
              <w:rPr>
                <w:rFonts w:cs="Arial"/>
                <w:color w:val="000000"/>
              </w:rPr>
              <w:t xml:space="preserve">Carbon Sequestration in Small and Medium Farms in the </w:t>
            </w:r>
            <w:proofErr w:type="spellStart"/>
            <w:r w:rsidRPr="00DB35D4">
              <w:rPr>
                <w:rFonts w:cs="Arial"/>
                <w:color w:val="000000"/>
              </w:rPr>
              <w:t>Brunca</w:t>
            </w:r>
            <w:proofErr w:type="spellEnd"/>
            <w:r w:rsidRPr="00DB35D4">
              <w:rPr>
                <w:rFonts w:cs="Arial"/>
                <w:color w:val="000000"/>
              </w:rPr>
              <w:t xml:space="preserve"> Region, Costa Rica (COOPEAGRI Project)</w:t>
            </w:r>
          </w:p>
        </w:tc>
        <w:tc>
          <w:tcPr>
            <w:tcW w:w="1418" w:type="dxa"/>
            <w:vAlign w:val="center"/>
          </w:tcPr>
          <w:p w14:paraId="7143C016" w14:textId="77777777" w:rsidR="005664B6" w:rsidRPr="00DB35D4" w:rsidRDefault="005664B6" w:rsidP="002D2FB4">
            <w:pPr>
              <w:rPr>
                <w:rFonts w:cs="Arial"/>
              </w:rPr>
            </w:pPr>
            <w:r w:rsidRPr="00DB35D4">
              <w:rPr>
                <w:rFonts w:cs="Arial"/>
                <w:color w:val="000000"/>
              </w:rPr>
              <w:t>Costa Rica</w:t>
            </w:r>
          </w:p>
        </w:tc>
      </w:tr>
      <w:tr w:rsidR="005664B6" w:rsidRPr="00DB35D4" w14:paraId="2B84AB70" w14:textId="77777777" w:rsidTr="0028379F">
        <w:tc>
          <w:tcPr>
            <w:tcW w:w="6799" w:type="dxa"/>
            <w:vAlign w:val="bottom"/>
          </w:tcPr>
          <w:p w14:paraId="0F44FFD0" w14:textId="77777777" w:rsidR="005664B6" w:rsidRPr="00DB35D4" w:rsidRDefault="005664B6" w:rsidP="002D2FB4">
            <w:pPr>
              <w:rPr>
                <w:rFonts w:cs="Arial"/>
              </w:rPr>
            </w:pPr>
            <w:r w:rsidRPr="00DB35D4">
              <w:rPr>
                <w:rFonts w:cs="Arial"/>
                <w:color w:val="000000"/>
              </w:rPr>
              <w:t>Moldova Community Forestry Development Project</w:t>
            </w:r>
          </w:p>
        </w:tc>
        <w:tc>
          <w:tcPr>
            <w:tcW w:w="1418" w:type="dxa"/>
            <w:vAlign w:val="center"/>
          </w:tcPr>
          <w:p w14:paraId="651681F6" w14:textId="77777777" w:rsidR="005664B6" w:rsidRPr="00DB35D4" w:rsidRDefault="005664B6" w:rsidP="002D2FB4">
            <w:pPr>
              <w:rPr>
                <w:rFonts w:cs="Arial"/>
              </w:rPr>
            </w:pPr>
            <w:r w:rsidRPr="00DB35D4">
              <w:rPr>
                <w:rFonts w:cs="Arial"/>
                <w:color w:val="000000"/>
              </w:rPr>
              <w:t>Republic of Moldova</w:t>
            </w:r>
          </w:p>
        </w:tc>
      </w:tr>
      <w:tr w:rsidR="005664B6" w:rsidRPr="00DB35D4" w14:paraId="65A5A77E" w14:textId="77777777" w:rsidTr="0028379F">
        <w:tc>
          <w:tcPr>
            <w:tcW w:w="6799" w:type="dxa"/>
            <w:vAlign w:val="bottom"/>
          </w:tcPr>
          <w:p w14:paraId="1BB19ED6" w14:textId="77777777" w:rsidR="005664B6" w:rsidRPr="00DB35D4" w:rsidRDefault="005664B6" w:rsidP="002D2FB4">
            <w:pPr>
              <w:rPr>
                <w:rFonts w:cs="Arial"/>
              </w:rPr>
            </w:pPr>
            <w:proofErr w:type="spellStart"/>
            <w:r w:rsidRPr="00DB35D4">
              <w:rPr>
                <w:rFonts w:cs="Arial"/>
                <w:color w:val="000000"/>
              </w:rPr>
              <w:t>Agro</w:t>
            </w:r>
            <w:proofErr w:type="spellEnd"/>
            <w:r w:rsidRPr="00DB35D4">
              <w:rPr>
                <w:rFonts w:cs="Arial"/>
                <w:color w:val="000000"/>
              </w:rPr>
              <w:t>-forestry Interventions in Koraput district of Orissa</w:t>
            </w:r>
          </w:p>
        </w:tc>
        <w:tc>
          <w:tcPr>
            <w:tcW w:w="1418" w:type="dxa"/>
            <w:vAlign w:val="center"/>
          </w:tcPr>
          <w:p w14:paraId="08274599" w14:textId="77777777" w:rsidR="005664B6" w:rsidRPr="00DB35D4" w:rsidRDefault="005664B6" w:rsidP="002D2FB4">
            <w:pPr>
              <w:rPr>
                <w:rFonts w:cs="Arial"/>
              </w:rPr>
            </w:pPr>
            <w:r w:rsidRPr="00DB35D4">
              <w:rPr>
                <w:rFonts w:cs="Arial"/>
                <w:color w:val="000000"/>
              </w:rPr>
              <w:t>India</w:t>
            </w:r>
          </w:p>
        </w:tc>
      </w:tr>
      <w:tr w:rsidR="005664B6" w:rsidRPr="00DB35D4" w14:paraId="6ADA414D" w14:textId="77777777" w:rsidTr="0028379F">
        <w:tc>
          <w:tcPr>
            <w:tcW w:w="6799" w:type="dxa"/>
            <w:vAlign w:val="bottom"/>
          </w:tcPr>
          <w:p w14:paraId="1F176D5C" w14:textId="77777777" w:rsidR="005664B6" w:rsidRPr="00DB35D4" w:rsidRDefault="005664B6" w:rsidP="002D2FB4">
            <w:pPr>
              <w:rPr>
                <w:rFonts w:cs="Arial"/>
              </w:rPr>
            </w:pPr>
            <w:r w:rsidRPr="00DB35D4">
              <w:rPr>
                <w:rFonts w:cs="Arial"/>
                <w:color w:val="000000"/>
              </w:rPr>
              <w:t>Reforestation of Abandoned Dairy Cattle Grazing Grasslands in Korea</w:t>
            </w:r>
          </w:p>
        </w:tc>
        <w:tc>
          <w:tcPr>
            <w:tcW w:w="1418" w:type="dxa"/>
            <w:vAlign w:val="center"/>
          </w:tcPr>
          <w:p w14:paraId="60CB1B11" w14:textId="77777777" w:rsidR="005664B6" w:rsidRPr="00DB35D4" w:rsidRDefault="005664B6" w:rsidP="002D2FB4">
            <w:pPr>
              <w:rPr>
                <w:rFonts w:cs="Arial"/>
              </w:rPr>
            </w:pPr>
            <w:r w:rsidRPr="00DB35D4">
              <w:rPr>
                <w:rFonts w:cs="Arial"/>
                <w:color w:val="000000"/>
              </w:rPr>
              <w:t>Republic of Korea</w:t>
            </w:r>
          </w:p>
        </w:tc>
      </w:tr>
      <w:tr w:rsidR="005664B6" w:rsidRPr="00DB35D4" w14:paraId="651085AC" w14:textId="77777777" w:rsidTr="0028379F">
        <w:tc>
          <w:tcPr>
            <w:tcW w:w="6799" w:type="dxa"/>
            <w:vAlign w:val="bottom"/>
          </w:tcPr>
          <w:p w14:paraId="520816EA" w14:textId="77777777" w:rsidR="005664B6" w:rsidRPr="00DB35D4" w:rsidRDefault="005664B6" w:rsidP="002D2FB4">
            <w:pPr>
              <w:rPr>
                <w:rFonts w:cs="Arial"/>
              </w:rPr>
            </w:pPr>
            <w:r w:rsidRPr="00DB35D4">
              <w:rPr>
                <w:rFonts w:cs="Arial"/>
                <w:color w:val="000000"/>
              </w:rPr>
              <w:t>San Nicolas CDM Reforestation Project</w:t>
            </w:r>
          </w:p>
        </w:tc>
        <w:tc>
          <w:tcPr>
            <w:tcW w:w="1418" w:type="dxa"/>
            <w:vAlign w:val="center"/>
          </w:tcPr>
          <w:p w14:paraId="1B63F73C" w14:textId="77777777" w:rsidR="005664B6" w:rsidRPr="00DB35D4" w:rsidRDefault="005664B6" w:rsidP="002D2FB4">
            <w:pPr>
              <w:rPr>
                <w:rFonts w:cs="Arial"/>
              </w:rPr>
            </w:pPr>
            <w:r w:rsidRPr="00DB35D4">
              <w:rPr>
                <w:rFonts w:cs="Arial"/>
                <w:color w:val="000000"/>
              </w:rPr>
              <w:t>Colombia</w:t>
            </w:r>
          </w:p>
        </w:tc>
      </w:tr>
      <w:tr w:rsidR="005664B6" w:rsidRPr="00DB35D4" w14:paraId="07D63DB5" w14:textId="77777777" w:rsidTr="0028379F">
        <w:tc>
          <w:tcPr>
            <w:tcW w:w="6799" w:type="dxa"/>
            <w:vAlign w:val="bottom"/>
          </w:tcPr>
          <w:p w14:paraId="45E4FF43" w14:textId="77777777" w:rsidR="005664B6" w:rsidRPr="00DB35D4" w:rsidRDefault="005664B6" w:rsidP="002D2FB4">
            <w:pPr>
              <w:rPr>
                <w:rFonts w:cs="Arial"/>
              </w:rPr>
            </w:pPr>
            <w:r w:rsidRPr="00DB35D4">
              <w:rPr>
                <w:rFonts w:cs="Arial"/>
                <w:color w:val="000000"/>
              </w:rPr>
              <w:t xml:space="preserve">Afforestation of Degraded </w:t>
            </w:r>
            <w:proofErr w:type="spellStart"/>
            <w:r w:rsidRPr="00DB35D4">
              <w:rPr>
                <w:rFonts w:cs="Arial"/>
                <w:color w:val="000000"/>
              </w:rPr>
              <w:t>Shengle</w:t>
            </w:r>
            <w:proofErr w:type="spellEnd"/>
            <w:r w:rsidRPr="00DB35D4">
              <w:rPr>
                <w:rFonts w:cs="Arial"/>
                <w:color w:val="000000"/>
              </w:rPr>
              <w:t xml:space="preserve"> Ecological Zone in </w:t>
            </w:r>
            <w:proofErr w:type="spellStart"/>
            <w:r w:rsidRPr="00DB35D4">
              <w:rPr>
                <w:rFonts w:cs="Arial"/>
                <w:color w:val="000000"/>
              </w:rPr>
              <w:t>Helinge'er</w:t>
            </w:r>
            <w:proofErr w:type="spellEnd"/>
            <w:r w:rsidRPr="00DB35D4">
              <w:rPr>
                <w:rFonts w:cs="Arial"/>
                <w:color w:val="000000"/>
              </w:rPr>
              <w:t xml:space="preserve"> of Inner Mongolia, China</w:t>
            </w:r>
          </w:p>
        </w:tc>
        <w:tc>
          <w:tcPr>
            <w:tcW w:w="1418" w:type="dxa"/>
            <w:vAlign w:val="center"/>
          </w:tcPr>
          <w:p w14:paraId="7D2176C4" w14:textId="77777777" w:rsidR="005664B6" w:rsidRPr="00DB35D4" w:rsidRDefault="005664B6" w:rsidP="002D2FB4">
            <w:pPr>
              <w:rPr>
                <w:rFonts w:cs="Arial"/>
              </w:rPr>
            </w:pPr>
            <w:r w:rsidRPr="00DB35D4">
              <w:rPr>
                <w:rFonts w:cs="Arial"/>
                <w:color w:val="000000"/>
              </w:rPr>
              <w:t>China</w:t>
            </w:r>
          </w:p>
        </w:tc>
      </w:tr>
      <w:tr w:rsidR="005664B6" w:rsidRPr="00DB35D4" w14:paraId="55855955" w14:textId="77777777" w:rsidTr="0028379F">
        <w:tc>
          <w:tcPr>
            <w:tcW w:w="6799" w:type="dxa"/>
            <w:vAlign w:val="bottom"/>
          </w:tcPr>
          <w:p w14:paraId="410A1003" w14:textId="77777777" w:rsidR="005664B6" w:rsidRPr="00DB35D4" w:rsidRDefault="005664B6" w:rsidP="002D2FB4">
            <w:pPr>
              <w:rPr>
                <w:rFonts w:cs="Arial"/>
              </w:rPr>
            </w:pPr>
            <w:r w:rsidRPr="00DB35D4">
              <w:rPr>
                <w:rFonts w:cs="Arial"/>
                <w:color w:val="000000"/>
              </w:rPr>
              <w:lastRenderedPageBreak/>
              <w:t xml:space="preserve">Rehabilitation of Degraded Wastelands at </w:t>
            </w:r>
            <w:proofErr w:type="spellStart"/>
            <w:r w:rsidRPr="00DB35D4">
              <w:rPr>
                <w:rFonts w:cs="Arial"/>
                <w:color w:val="000000"/>
              </w:rPr>
              <w:t>Deramandi</w:t>
            </w:r>
            <w:proofErr w:type="spellEnd"/>
            <w:r w:rsidRPr="00DB35D4">
              <w:rPr>
                <w:rFonts w:cs="Arial"/>
                <w:color w:val="000000"/>
              </w:rPr>
              <w:t xml:space="preserve"> in Southern District of National Capital Territory of Delhi through Reforestation</w:t>
            </w:r>
          </w:p>
        </w:tc>
        <w:tc>
          <w:tcPr>
            <w:tcW w:w="1418" w:type="dxa"/>
            <w:vAlign w:val="center"/>
          </w:tcPr>
          <w:p w14:paraId="3A1512F7" w14:textId="77777777" w:rsidR="005664B6" w:rsidRPr="00DB35D4" w:rsidRDefault="005664B6" w:rsidP="002D2FB4">
            <w:pPr>
              <w:rPr>
                <w:rFonts w:cs="Arial"/>
              </w:rPr>
            </w:pPr>
            <w:r w:rsidRPr="00DB35D4">
              <w:rPr>
                <w:rFonts w:cs="Arial"/>
                <w:color w:val="000000"/>
              </w:rPr>
              <w:t>India</w:t>
            </w:r>
          </w:p>
        </w:tc>
      </w:tr>
      <w:tr w:rsidR="005664B6" w:rsidRPr="00DB35D4" w14:paraId="7D64CAFF" w14:textId="77777777" w:rsidTr="0028379F">
        <w:tc>
          <w:tcPr>
            <w:tcW w:w="6799" w:type="dxa"/>
            <w:vAlign w:val="bottom"/>
          </w:tcPr>
          <w:p w14:paraId="77C0F648" w14:textId="77777777" w:rsidR="005664B6" w:rsidRPr="00DB35D4" w:rsidRDefault="005664B6" w:rsidP="002D2FB4">
            <w:pPr>
              <w:rPr>
                <w:rFonts w:cs="Arial"/>
              </w:rPr>
            </w:pPr>
            <w:proofErr w:type="spellStart"/>
            <w:r w:rsidRPr="00DB35D4">
              <w:rPr>
                <w:rFonts w:cs="Arial"/>
                <w:color w:val="000000"/>
              </w:rPr>
              <w:t>Namwasa</w:t>
            </w:r>
            <w:proofErr w:type="spellEnd"/>
            <w:r w:rsidRPr="00DB35D4">
              <w:rPr>
                <w:rFonts w:cs="Arial"/>
                <w:color w:val="000000"/>
              </w:rPr>
              <w:t xml:space="preserve"> Central Forest Reserve Reforestation Initiative</w:t>
            </w:r>
          </w:p>
        </w:tc>
        <w:tc>
          <w:tcPr>
            <w:tcW w:w="1418" w:type="dxa"/>
            <w:vAlign w:val="center"/>
          </w:tcPr>
          <w:p w14:paraId="40B51148" w14:textId="77777777" w:rsidR="005664B6" w:rsidRPr="00DB35D4" w:rsidRDefault="005664B6" w:rsidP="002D2FB4">
            <w:pPr>
              <w:rPr>
                <w:rFonts w:cs="Arial"/>
              </w:rPr>
            </w:pPr>
            <w:r w:rsidRPr="00DB35D4">
              <w:rPr>
                <w:rFonts w:cs="Arial"/>
                <w:color w:val="000000"/>
              </w:rPr>
              <w:t>Uganda</w:t>
            </w:r>
          </w:p>
        </w:tc>
      </w:tr>
      <w:tr w:rsidR="005664B6" w:rsidRPr="00DB35D4" w14:paraId="3AC6381A" w14:textId="77777777" w:rsidTr="0028379F">
        <w:tc>
          <w:tcPr>
            <w:tcW w:w="6799" w:type="dxa"/>
            <w:vAlign w:val="bottom"/>
          </w:tcPr>
          <w:p w14:paraId="1ECCA2A8" w14:textId="77777777" w:rsidR="005664B6" w:rsidRPr="00DB35D4" w:rsidRDefault="005664B6" w:rsidP="002D2FB4">
            <w:pPr>
              <w:rPr>
                <w:rFonts w:cs="Arial"/>
              </w:rPr>
            </w:pPr>
            <w:r w:rsidRPr="00DB35D4">
              <w:rPr>
                <w:rFonts w:cs="Arial"/>
                <w:color w:val="000000"/>
              </w:rPr>
              <w:t>Afforestation/Reforestation on Degraded Lands in Southwest Sichuan, China</w:t>
            </w:r>
          </w:p>
        </w:tc>
        <w:tc>
          <w:tcPr>
            <w:tcW w:w="1418" w:type="dxa"/>
            <w:vAlign w:val="center"/>
          </w:tcPr>
          <w:p w14:paraId="2B88D0FD" w14:textId="77777777" w:rsidR="005664B6" w:rsidRPr="00DB35D4" w:rsidRDefault="005664B6" w:rsidP="002D2FB4">
            <w:pPr>
              <w:rPr>
                <w:rFonts w:cs="Arial"/>
              </w:rPr>
            </w:pPr>
            <w:r w:rsidRPr="00DB35D4">
              <w:rPr>
                <w:rFonts w:cs="Arial"/>
                <w:color w:val="000000"/>
              </w:rPr>
              <w:t>China</w:t>
            </w:r>
          </w:p>
        </w:tc>
      </w:tr>
      <w:tr w:rsidR="005664B6" w:rsidRPr="00DB35D4" w14:paraId="33BB4388" w14:textId="77777777" w:rsidTr="0028379F">
        <w:tc>
          <w:tcPr>
            <w:tcW w:w="6799" w:type="dxa"/>
            <w:vAlign w:val="bottom"/>
          </w:tcPr>
          <w:p w14:paraId="61630E24" w14:textId="77777777" w:rsidR="005664B6" w:rsidRPr="00DB35D4" w:rsidRDefault="005664B6" w:rsidP="002D2FB4">
            <w:pPr>
              <w:rPr>
                <w:rFonts w:cs="Arial"/>
              </w:rPr>
            </w:pPr>
            <w:r w:rsidRPr="00DB35D4">
              <w:rPr>
                <w:rFonts w:cs="Arial"/>
                <w:color w:val="000000"/>
              </w:rPr>
              <w:t>CDM Project for Forestry Restoration in Productive and Biological Corridors in the Eastern Plains of Colombia</w:t>
            </w:r>
          </w:p>
        </w:tc>
        <w:tc>
          <w:tcPr>
            <w:tcW w:w="1418" w:type="dxa"/>
            <w:vAlign w:val="center"/>
          </w:tcPr>
          <w:p w14:paraId="30226CF8" w14:textId="77777777" w:rsidR="005664B6" w:rsidRPr="00DB35D4" w:rsidRDefault="005664B6" w:rsidP="002D2FB4">
            <w:pPr>
              <w:rPr>
                <w:rFonts w:cs="Arial"/>
              </w:rPr>
            </w:pPr>
            <w:r w:rsidRPr="00DB35D4">
              <w:rPr>
                <w:rFonts w:cs="Arial"/>
                <w:color w:val="000000"/>
              </w:rPr>
              <w:t>Colombia</w:t>
            </w:r>
          </w:p>
        </w:tc>
      </w:tr>
      <w:tr w:rsidR="005664B6" w:rsidRPr="00DB35D4" w14:paraId="27143D01" w14:textId="77777777" w:rsidTr="0028379F">
        <w:tc>
          <w:tcPr>
            <w:tcW w:w="6799" w:type="dxa"/>
            <w:vAlign w:val="bottom"/>
          </w:tcPr>
          <w:p w14:paraId="321A7F4A" w14:textId="77777777" w:rsidR="005664B6" w:rsidRPr="00DB35D4" w:rsidRDefault="005664B6" w:rsidP="002D2FB4">
            <w:pPr>
              <w:rPr>
                <w:rFonts w:cs="Arial"/>
              </w:rPr>
            </w:pPr>
            <w:r w:rsidRPr="00DB35D4">
              <w:rPr>
                <w:rFonts w:cs="Arial"/>
                <w:color w:val="000000"/>
              </w:rPr>
              <w:t>Niger Acacia Senegal Plantation Project</w:t>
            </w:r>
          </w:p>
        </w:tc>
        <w:tc>
          <w:tcPr>
            <w:tcW w:w="1418" w:type="dxa"/>
            <w:vAlign w:val="center"/>
          </w:tcPr>
          <w:p w14:paraId="3D920D47" w14:textId="77777777" w:rsidR="005664B6" w:rsidRPr="00DB35D4" w:rsidRDefault="005664B6" w:rsidP="002D2FB4">
            <w:pPr>
              <w:rPr>
                <w:rFonts w:cs="Arial"/>
              </w:rPr>
            </w:pPr>
            <w:r w:rsidRPr="00DB35D4">
              <w:rPr>
                <w:rFonts w:cs="Arial"/>
                <w:color w:val="000000"/>
              </w:rPr>
              <w:t>Niger</w:t>
            </w:r>
          </w:p>
        </w:tc>
      </w:tr>
      <w:tr w:rsidR="005664B6" w:rsidRPr="00DB35D4" w14:paraId="1C1D7E00" w14:textId="77777777" w:rsidTr="0028379F">
        <w:tc>
          <w:tcPr>
            <w:tcW w:w="6799" w:type="dxa"/>
            <w:vAlign w:val="bottom"/>
          </w:tcPr>
          <w:p w14:paraId="4E750B88" w14:textId="77777777" w:rsidR="005664B6" w:rsidRPr="00DB35D4" w:rsidRDefault="005664B6" w:rsidP="002D2FB4">
            <w:pPr>
              <w:rPr>
                <w:rFonts w:cs="Arial"/>
              </w:rPr>
            </w:pPr>
            <w:r w:rsidRPr="00DB35D4">
              <w:rPr>
                <w:rFonts w:cs="Arial"/>
                <w:color w:val="000000"/>
              </w:rPr>
              <w:t>Niassa Reforestation Project</w:t>
            </w:r>
          </w:p>
        </w:tc>
        <w:tc>
          <w:tcPr>
            <w:tcW w:w="1418" w:type="dxa"/>
            <w:vAlign w:val="center"/>
          </w:tcPr>
          <w:p w14:paraId="7B4834C6" w14:textId="77777777" w:rsidR="005664B6" w:rsidRPr="00DB35D4" w:rsidRDefault="005664B6" w:rsidP="002D2FB4">
            <w:pPr>
              <w:rPr>
                <w:rFonts w:cs="Arial"/>
              </w:rPr>
            </w:pPr>
            <w:r w:rsidRPr="00DB35D4">
              <w:rPr>
                <w:rFonts w:cs="Arial"/>
                <w:color w:val="000000"/>
              </w:rPr>
              <w:t>Mozambique</w:t>
            </w:r>
          </w:p>
        </w:tc>
      </w:tr>
      <w:tr w:rsidR="005664B6" w:rsidRPr="00DB35D4" w14:paraId="2F843516" w14:textId="77777777" w:rsidTr="0028379F">
        <w:tc>
          <w:tcPr>
            <w:tcW w:w="6799" w:type="dxa"/>
            <w:vAlign w:val="bottom"/>
          </w:tcPr>
          <w:p w14:paraId="32779965" w14:textId="77777777" w:rsidR="005664B6" w:rsidRPr="00DB35D4" w:rsidRDefault="005664B6" w:rsidP="002D2FB4">
            <w:pPr>
              <w:rPr>
                <w:rFonts w:cs="Arial"/>
              </w:rPr>
            </w:pPr>
            <w:r w:rsidRPr="00DB35D4">
              <w:rPr>
                <w:rFonts w:cs="Arial"/>
                <w:color w:val="000000"/>
              </w:rPr>
              <w:t>Restoration of Degraded Lands through Reforestation in MAU Forest Complex, Kenya</w:t>
            </w:r>
          </w:p>
        </w:tc>
        <w:tc>
          <w:tcPr>
            <w:tcW w:w="1418" w:type="dxa"/>
            <w:vAlign w:val="center"/>
          </w:tcPr>
          <w:p w14:paraId="314497E7" w14:textId="77777777" w:rsidR="005664B6" w:rsidRPr="00DB35D4" w:rsidRDefault="005664B6" w:rsidP="002D2FB4">
            <w:pPr>
              <w:rPr>
                <w:rFonts w:cs="Arial"/>
              </w:rPr>
            </w:pPr>
            <w:r w:rsidRPr="00DB35D4">
              <w:rPr>
                <w:rFonts w:cs="Arial"/>
                <w:color w:val="000000"/>
              </w:rPr>
              <w:t>Kenya</w:t>
            </w:r>
          </w:p>
        </w:tc>
      </w:tr>
      <w:tr w:rsidR="005664B6" w:rsidRPr="00DB35D4" w14:paraId="5844592B" w14:textId="77777777" w:rsidTr="0028379F">
        <w:tc>
          <w:tcPr>
            <w:tcW w:w="6799" w:type="dxa"/>
            <w:vAlign w:val="bottom"/>
          </w:tcPr>
          <w:p w14:paraId="7DF5615C" w14:textId="77777777" w:rsidR="005664B6" w:rsidRPr="00DB35D4" w:rsidRDefault="005664B6" w:rsidP="002D2FB4">
            <w:pPr>
              <w:rPr>
                <w:rFonts w:cs="Arial"/>
              </w:rPr>
            </w:pPr>
            <w:r w:rsidRPr="00DB35D4">
              <w:rPr>
                <w:rFonts w:cs="Arial"/>
                <w:color w:val="000000"/>
              </w:rPr>
              <w:t xml:space="preserve">Restoration of Degraded Lands through Reforestation in </w:t>
            </w:r>
            <w:proofErr w:type="spellStart"/>
            <w:r w:rsidRPr="00DB35D4">
              <w:rPr>
                <w:rFonts w:cs="Arial"/>
                <w:color w:val="000000"/>
              </w:rPr>
              <w:t>Aberdare</w:t>
            </w:r>
            <w:proofErr w:type="spellEnd"/>
            <w:r w:rsidRPr="00DB35D4">
              <w:rPr>
                <w:rFonts w:cs="Arial"/>
                <w:color w:val="000000"/>
              </w:rPr>
              <w:t xml:space="preserve"> Forest Complex &amp; National Park area, Kenya</w:t>
            </w:r>
          </w:p>
        </w:tc>
        <w:tc>
          <w:tcPr>
            <w:tcW w:w="1418" w:type="dxa"/>
            <w:vAlign w:val="center"/>
          </w:tcPr>
          <w:p w14:paraId="49A4F47E" w14:textId="77777777" w:rsidR="005664B6" w:rsidRPr="00DB35D4" w:rsidRDefault="005664B6" w:rsidP="002D2FB4">
            <w:pPr>
              <w:rPr>
                <w:rFonts w:cs="Arial"/>
              </w:rPr>
            </w:pPr>
            <w:r w:rsidRPr="00DB35D4">
              <w:rPr>
                <w:rFonts w:cs="Arial"/>
                <w:color w:val="000000"/>
              </w:rPr>
              <w:t>Kenya</w:t>
            </w:r>
          </w:p>
        </w:tc>
      </w:tr>
      <w:tr w:rsidR="005664B6" w:rsidRPr="00DB35D4" w14:paraId="08F9D03B" w14:textId="77777777" w:rsidTr="0028379F">
        <w:tc>
          <w:tcPr>
            <w:tcW w:w="6799" w:type="dxa"/>
            <w:vAlign w:val="bottom"/>
          </w:tcPr>
          <w:p w14:paraId="511DA6D4" w14:textId="77777777" w:rsidR="005664B6" w:rsidRPr="00DB35D4" w:rsidRDefault="005664B6" w:rsidP="002D2FB4">
            <w:pPr>
              <w:rPr>
                <w:rFonts w:cs="Arial"/>
              </w:rPr>
            </w:pPr>
            <w:r w:rsidRPr="00DB35D4">
              <w:rPr>
                <w:rFonts w:cs="Arial"/>
                <w:color w:val="000000"/>
              </w:rPr>
              <w:t xml:space="preserve">Mitigation of GHG: Rubber based </w:t>
            </w:r>
            <w:proofErr w:type="spellStart"/>
            <w:r w:rsidRPr="00DB35D4">
              <w:rPr>
                <w:rFonts w:cs="Arial"/>
                <w:color w:val="000000"/>
              </w:rPr>
              <w:t>agro</w:t>
            </w:r>
            <w:proofErr w:type="spellEnd"/>
            <w:r w:rsidRPr="00DB35D4">
              <w:rPr>
                <w:rFonts w:cs="Arial"/>
                <w:color w:val="000000"/>
              </w:rPr>
              <w:t xml:space="preserve">-forestry system for sustainable development and poverty reduction in </w:t>
            </w:r>
            <w:proofErr w:type="spellStart"/>
            <w:r w:rsidRPr="00DB35D4">
              <w:rPr>
                <w:rFonts w:cs="Arial"/>
                <w:color w:val="000000"/>
              </w:rPr>
              <w:t>Pakkading</w:t>
            </w:r>
            <w:proofErr w:type="spellEnd"/>
            <w:r w:rsidRPr="00DB35D4">
              <w:rPr>
                <w:rFonts w:cs="Arial"/>
                <w:color w:val="000000"/>
              </w:rPr>
              <w:t xml:space="preserve">, </w:t>
            </w:r>
            <w:proofErr w:type="spellStart"/>
            <w:r w:rsidRPr="00DB35D4">
              <w:rPr>
                <w:rFonts w:cs="Arial"/>
                <w:color w:val="000000"/>
              </w:rPr>
              <w:t>Bolikhamsay</w:t>
            </w:r>
            <w:proofErr w:type="spellEnd"/>
            <w:r w:rsidRPr="00DB35D4">
              <w:rPr>
                <w:rFonts w:cs="Arial"/>
                <w:color w:val="000000"/>
              </w:rPr>
              <w:t xml:space="preserve"> Province, Lao PDR.</w:t>
            </w:r>
          </w:p>
        </w:tc>
        <w:tc>
          <w:tcPr>
            <w:tcW w:w="1418" w:type="dxa"/>
            <w:vAlign w:val="center"/>
          </w:tcPr>
          <w:p w14:paraId="7995F58B" w14:textId="77777777" w:rsidR="005664B6" w:rsidRPr="00DB35D4" w:rsidRDefault="005664B6" w:rsidP="002D2FB4">
            <w:pPr>
              <w:rPr>
                <w:rFonts w:cs="Arial"/>
              </w:rPr>
            </w:pPr>
            <w:r w:rsidRPr="00DB35D4">
              <w:rPr>
                <w:rFonts w:cs="Arial"/>
                <w:color w:val="000000"/>
              </w:rPr>
              <w:t>Lao People's Democratic Republic</w:t>
            </w:r>
          </w:p>
        </w:tc>
      </w:tr>
      <w:tr w:rsidR="005664B6" w:rsidRPr="00DB35D4" w14:paraId="2455353A" w14:textId="77777777" w:rsidTr="0028379F">
        <w:tc>
          <w:tcPr>
            <w:tcW w:w="6799" w:type="dxa"/>
            <w:vAlign w:val="bottom"/>
          </w:tcPr>
          <w:p w14:paraId="72B62F49" w14:textId="77777777" w:rsidR="005664B6" w:rsidRPr="00DB35D4" w:rsidRDefault="005664B6" w:rsidP="002D2FB4">
            <w:pPr>
              <w:rPr>
                <w:rFonts w:cs="Arial"/>
              </w:rPr>
            </w:pPr>
            <w:r w:rsidRPr="00DB35D4">
              <w:rPr>
                <w:rFonts w:cs="Arial"/>
                <w:color w:val="000000"/>
              </w:rPr>
              <w:t>Small scale Allahabad JFM A/R CDM Project on degraded lands in Allahabad Forest Division, Uttar Pradesh, India</w:t>
            </w:r>
          </w:p>
        </w:tc>
        <w:tc>
          <w:tcPr>
            <w:tcW w:w="1418" w:type="dxa"/>
            <w:vAlign w:val="center"/>
          </w:tcPr>
          <w:p w14:paraId="52410B24" w14:textId="77777777" w:rsidR="005664B6" w:rsidRPr="00DB35D4" w:rsidRDefault="005664B6" w:rsidP="002D2FB4">
            <w:pPr>
              <w:rPr>
                <w:rFonts w:cs="Arial"/>
              </w:rPr>
            </w:pPr>
            <w:r w:rsidRPr="00DB35D4">
              <w:rPr>
                <w:rFonts w:cs="Arial"/>
                <w:color w:val="000000"/>
              </w:rPr>
              <w:t>India</w:t>
            </w:r>
          </w:p>
        </w:tc>
      </w:tr>
      <w:tr w:rsidR="005664B6" w:rsidRPr="00DB35D4" w14:paraId="3253B1BF" w14:textId="77777777" w:rsidTr="0028379F">
        <w:tc>
          <w:tcPr>
            <w:tcW w:w="6799" w:type="dxa"/>
            <w:vAlign w:val="bottom"/>
          </w:tcPr>
          <w:p w14:paraId="73E7C10B" w14:textId="77777777" w:rsidR="005664B6" w:rsidRPr="00DB35D4" w:rsidRDefault="005664B6" w:rsidP="002D2FB4">
            <w:pPr>
              <w:rPr>
                <w:rFonts w:cs="Arial"/>
              </w:rPr>
            </w:pPr>
            <w:r w:rsidRPr="00DB35D4">
              <w:rPr>
                <w:rFonts w:cs="Arial"/>
                <w:color w:val="000000"/>
              </w:rPr>
              <w:t xml:space="preserve">Small scale </w:t>
            </w:r>
            <w:proofErr w:type="spellStart"/>
            <w:r w:rsidRPr="00DB35D4">
              <w:rPr>
                <w:rFonts w:cs="Arial"/>
                <w:color w:val="000000"/>
              </w:rPr>
              <w:t>Chitrakoot</w:t>
            </w:r>
            <w:proofErr w:type="spellEnd"/>
            <w:r w:rsidRPr="00DB35D4">
              <w:rPr>
                <w:rFonts w:cs="Arial"/>
                <w:color w:val="000000"/>
              </w:rPr>
              <w:t xml:space="preserve"> JFM A/R CDM Project on degraded lands in </w:t>
            </w:r>
            <w:proofErr w:type="spellStart"/>
            <w:r w:rsidRPr="00DB35D4">
              <w:rPr>
                <w:rFonts w:cs="Arial"/>
                <w:color w:val="000000"/>
              </w:rPr>
              <w:t>Chitrakoot</w:t>
            </w:r>
            <w:proofErr w:type="spellEnd"/>
            <w:r w:rsidRPr="00DB35D4">
              <w:rPr>
                <w:rFonts w:cs="Arial"/>
                <w:color w:val="000000"/>
              </w:rPr>
              <w:t xml:space="preserve"> Forest Division, Uttar Pradesh, India</w:t>
            </w:r>
          </w:p>
        </w:tc>
        <w:tc>
          <w:tcPr>
            <w:tcW w:w="1418" w:type="dxa"/>
            <w:vAlign w:val="center"/>
          </w:tcPr>
          <w:p w14:paraId="1CE5AE12" w14:textId="77777777" w:rsidR="005664B6" w:rsidRPr="00DB35D4" w:rsidRDefault="005664B6" w:rsidP="002D2FB4">
            <w:pPr>
              <w:rPr>
                <w:rFonts w:cs="Arial"/>
              </w:rPr>
            </w:pPr>
            <w:r w:rsidRPr="00DB35D4">
              <w:rPr>
                <w:rFonts w:cs="Arial"/>
                <w:color w:val="000000"/>
              </w:rPr>
              <w:t>India</w:t>
            </w:r>
          </w:p>
        </w:tc>
      </w:tr>
      <w:tr w:rsidR="005664B6" w:rsidRPr="00DB35D4" w14:paraId="2771427B" w14:textId="77777777" w:rsidTr="0028379F">
        <w:tc>
          <w:tcPr>
            <w:tcW w:w="6799" w:type="dxa"/>
            <w:vAlign w:val="bottom"/>
          </w:tcPr>
          <w:p w14:paraId="4FD6B19F" w14:textId="77777777" w:rsidR="005664B6" w:rsidRPr="00DB35D4" w:rsidRDefault="005664B6" w:rsidP="002D2FB4">
            <w:pPr>
              <w:rPr>
                <w:rFonts w:cs="Arial"/>
              </w:rPr>
            </w:pPr>
            <w:r w:rsidRPr="00DB35D4">
              <w:rPr>
                <w:rFonts w:cs="Arial"/>
                <w:color w:val="000000"/>
              </w:rPr>
              <w:t>Small scale Mirzapur JFM A/R CDM Project on degraded lands in Mirzapur Forest Division, Uttar Pradesh, India</w:t>
            </w:r>
          </w:p>
        </w:tc>
        <w:tc>
          <w:tcPr>
            <w:tcW w:w="1418" w:type="dxa"/>
            <w:vAlign w:val="center"/>
          </w:tcPr>
          <w:p w14:paraId="7A68F44E" w14:textId="77777777" w:rsidR="005664B6" w:rsidRPr="00DB35D4" w:rsidRDefault="005664B6" w:rsidP="002D2FB4">
            <w:pPr>
              <w:rPr>
                <w:rFonts w:cs="Arial"/>
              </w:rPr>
            </w:pPr>
            <w:r w:rsidRPr="00DB35D4">
              <w:rPr>
                <w:rFonts w:cs="Arial"/>
                <w:color w:val="000000"/>
              </w:rPr>
              <w:t>India</w:t>
            </w:r>
          </w:p>
        </w:tc>
      </w:tr>
      <w:tr w:rsidR="005664B6" w:rsidRPr="00DB35D4" w14:paraId="0CE30537" w14:textId="77777777" w:rsidTr="0028379F">
        <w:tc>
          <w:tcPr>
            <w:tcW w:w="6799" w:type="dxa"/>
            <w:vAlign w:val="bottom"/>
          </w:tcPr>
          <w:p w14:paraId="3F10431F" w14:textId="77777777" w:rsidR="005664B6" w:rsidRPr="00DB35D4" w:rsidRDefault="005664B6" w:rsidP="002D2FB4">
            <w:pPr>
              <w:rPr>
                <w:rFonts w:cs="Arial"/>
              </w:rPr>
            </w:pPr>
            <w:r w:rsidRPr="00DB35D4">
              <w:rPr>
                <w:rFonts w:cs="Arial"/>
                <w:color w:val="000000"/>
              </w:rPr>
              <w:lastRenderedPageBreak/>
              <w:t>Small scale Kashi JFM A/R CDM Project on degraded lands in Kashi Forest Division, Uttar Pradesh, India</w:t>
            </w:r>
          </w:p>
        </w:tc>
        <w:tc>
          <w:tcPr>
            <w:tcW w:w="1418" w:type="dxa"/>
            <w:vAlign w:val="center"/>
          </w:tcPr>
          <w:p w14:paraId="6DEBDF50" w14:textId="77777777" w:rsidR="005664B6" w:rsidRPr="00DB35D4" w:rsidRDefault="005664B6" w:rsidP="002D2FB4">
            <w:pPr>
              <w:rPr>
                <w:rFonts w:cs="Arial"/>
              </w:rPr>
            </w:pPr>
            <w:r w:rsidRPr="00DB35D4">
              <w:rPr>
                <w:rFonts w:cs="Arial"/>
                <w:color w:val="000000"/>
              </w:rPr>
              <w:t>India</w:t>
            </w:r>
          </w:p>
        </w:tc>
      </w:tr>
      <w:tr w:rsidR="005664B6" w:rsidRPr="00DB35D4" w14:paraId="1ED07434" w14:textId="77777777" w:rsidTr="0028379F">
        <w:tc>
          <w:tcPr>
            <w:tcW w:w="6799" w:type="dxa"/>
            <w:vAlign w:val="bottom"/>
          </w:tcPr>
          <w:p w14:paraId="7C4BB9E9" w14:textId="77777777" w:rsidR="005664B6" w:rsidRPr="00DB35D4" w:rsidRDefault="005664B6" w:rsidP="002D2FB4">
            <w:pPr>
              <w:rPr>
                <w:rFonts w:cs="Arial"/>
              </w:rPr>
            </w:pPr>
            <w:r w:rsidRPr="00DB35D4">
              <w:rPr>
                <w:rFonts w:cs="Arial"/>
                <w:color w:val="000000"/>
              </w:rPr>
              <w:t>Small scale Lalitpur JFM A/R CDM Project on degraded lands in Lalitpur Forest Division, Uttar Pradesh, India</w:t>
            </w:r>
          </w:p>
        </w:tc>
        <w:tc>
          <w:tcPr>
            <w:tcW w:w="1418" w:type="dxa"/>
            <w:vAlign w:val="center"/>
          </w:tcPr>
          <w:p w14:paraId="002822EC" w14:textId="77777777" w:rsidR="005664B6" w:rsidRPr="00DB35D4" w:rsidRDefault="005664B6" w:rsidP="002D2FB4">
            <w:pPr>
              <w:rPr>
                <w:rFonts w:cs="Arial"/>
              </w:rPr>
            </w:pPr>
            <w:r w:rsidRPr="00DB35D4">
              <w:rPr>
                <w:rFonts w:cs="Arial"/>
                <w:color w:val="000000"/>
              </w:rPr>
              <w:t>India</w:t>
            </w:r>
          </w:p>
        </w:tc>
      </w:tr>
      <w:tr w:rsidR="005664B6" w:rsidRPr="00DB35D4" w14:paraId="37710328" w14:textId="77777777" w:rsidTr="0028379F">
        <w:tc>
          <w:tcPr>
            <w:tcW w:w="6799" w:type="dxa"/>
            <w:vAlign w:val="bottom"/>
          </w:tcPr>
          <w:p w14:paraId="3E06B8C6" w14:textId="77777777" w:rsidR="005664B6" w:rsidRPr="00DB35D4" w:rsidRDefault="005664B6" w:rsidP="002D2FB4">
            <w:pPr>
              <w:rPr>
                <w:rFonts w:cs="Arial"/>
              </w:rPr>
            </w:pPr>
            <w:r w:rsidRPr="00DB35D4">
              <w:rPr>
                <w:rFonts w:cs="Arial"/>
                <w:color w:val="000000"/>
              </w:rPr>
              <w:t xml:space="preserve">Small scale </w:t>
            </w:r>
            <w:proofErr w:type="spellStart"/>
            <w:r w:rsidRPr="00DB35D4">
              <w:rPr>
                <w:rFonts w:cs="Arial"/>
                <w:color w:val="000000"/>
              </w:rPr>
              <w:t>Obra</w:t>
            </w:r>
            <w:proofErr w:type="spellEnd"/>
            <w:r w:rsidRPr="00DB35D4">
              <w:rPr>
                <w:rFonts w:cs="Arial"/>
                <w:color w:val="000000"/>
              </w:rPr>
              <w:t xml:space="preserve"> JFM A/R CDM Project on degraded lands in </w:t>
            </w:r>
            <w:proofErr w:type="spellStart"/>
            <w:r w:rsidRPr="00DB35D4">
              <w:rPr>
                <w:rFonts w:cs="Arial"/>
                <w:color w:val="000000"/>
              </w:rPr>
              <w:t>Obra</w:t>
            </w:r>
            <w:proofErr w:type="spellEnd"/>
            <w:r w:rsidRPr="00DB35D4">
              <w:rPr>
                <w:rFonts w:cs="Arial"/>
                <w:color w:val="000000"/>
              </w:rPr>
              <w:t xml:space="preserve"> Forest Division, Uttar Pradesh, India</w:t>
            </w:r>
          </w:p>
        </w:tc>
        <w:tc>
          <w:tcPr>
            <w:tcW w:w="1418" w:type="dxa"/>
            <w:vAlign w:val="center"/>
          </w:tcPr>
          <w:p w14:paraId="22EB498A" w14:textId="77777777" w:rsidR="005664B6" w:rsidRPr="00DB35D4" w:rsidRDefault="005664B6" w:rsidP="002D2FB4">
            <w:pPr>
              <w:rPr>
                <w:rFonts w:cs="Arial"/>
              </w:rPr>
            </w:pPr>
            <w:r w:rsidRPr="00DB35D4">
              <w:rPr>
                <w:rFonts w:cs="Arial"/>
                <w:color w:val="000000"/>
              </w:rPr>
              <w:t>India</w:t>
            </w:r>
          </w:p>
        </w:tc>
      </w:tr>
      <w:tr w:rsidR="005664B6" w:rsidRPr="00DB35D4" w14:paraId="6AB2F9E6" w14:textId="77777777" w:rsidTr="0028379F">
        <w:tc>
          <w:tcPr>
            <w:tcW w:w="6799" w:type="dxa"/>
            <w:vAlign w:val="bottom"/>
          </w:tcPr>
          <w:p w14:paraId="0592EF13" w14:textId="77777777" w:rsidR="005664B6" w:rsidRPr="00DB35D4" w:rsidRDefault="005664B6" w:rsidP="002D2FB4">
            <w:pPr>
              <w:rPr>
                <w:rFonts w:cs="Arial"/>
              </w:rPr>
            </w:pPr>
            <w:r w:rsidRPr="00DB35D4">
              <w:rPr>
                <w:rFonts w:cs="Arial"/>
                <w:color w:val="000000"/>
              </w:rPr>
              <w:t xml:space="preserve">Small scale </w:t>
            </w:r>
            <w:proofErr w:type="spellStart"/>
            <w:r w:rsidRPr="00DB35D4">
              <w:rPr>
                <w:rFonts w:cs="Arial"/>
                <w:color w:val="000000"/>
              </w:rPr>
              <w:t>Sonbhadra</w:t>
            </w:r>
            <w:proofErr w:type="spellEnd"/>
            <w:r w:rsidRPr="00DB35D4">
              <w:rPr>
                <w:rFonts w:cs="Arial"/>
                <w:color w:val="000000"/>
              </w:rPr>
              <w:t xml:space="preserve"> JFM A/R CDM Project on degraded lands in </w:t>
            </w:r>
            <w:proofErr w:type="spellStart"/>
            <w:r w:rsidRPr="00DB35D4">
              <w:rPr>
                <w:rFonts w:cs="Arial"/>
                <w:color w:val="000000"/>
              </w:rPr>
              <w:t>Sonbhadra</w:t>
            </w:r>
            <w:proofErr w:type="spellEnd"/>
            <w:r w:rsidRPr="00DB35D4">
              <w:rPr>
                <w:rFonts w:cs="Arial"/>
                <w:color w:val="000000"/>
              </w:rPr>
              <w:t xml:space="preserve"> Forest Division, Uttar Pradesh, India</w:t>
            </w:r>
          </w:p>
        </w:tc>
        <w:tc>
          <w:tcPr>
            <w:tcW w:w="1418" w:type="dxa"/>
            <w:vAlign w:val="center"/>
          </w:tcPr>
          <w:p w14:paraId="70EA61B3" w14:textId="77777777" w:rsidR="005664B6" w:rsidRPr="00DB35D4" w:rsidRDefault="005664B6" w:rsidP="002D2FB4">
            <w:pPr>
              <w:rPr>
                <w:rFonts w:cs="Arial"/>
              </w:rPr>
            </w:pPr>
            <w:r w:rsidRPr="00DB35D4">
              <w:rPr>
                <w:rFonts w:cs="Arial"/>
                <w:color w:val="000000"/>
              </w:rPr>
              <w:t>India</w:t>
            </w:r>
          </w:p>
        </w:tc>
      </w:tr>
      <w:tr w:rsidR="005664B6" w:rsidRPr="00DB35D4" w14:paraId="0C6CB239" w14:textId="77777777" w:rsidTr="0028379F">
        <w:tc>
          <w:tcPr>
            <w:tcW w:w="6799" w:type="dxa"/>
            <w:vAlign w:val="bottom"/>
          </w:tcPr>
          <w:p w14:paraId="6F29DFB8" w14:textId="77777777" w:rsidR="005664B6" w:rsidRPr="00DB35D4" w:rsidRDefault="005664B6" w:rsidP="002D2FB4">
            <w:pPr>
              <w:rPr>
                <w:rFonts w:cs="Arial"/>
              </w:rPr>
            </w:pPr>
            <w:r w:rsidRPr="00DB35D4">
              <w:rPr>
                <w:rFonts w:cs="Arial"/>
                <w:color w:val="000000"/>
              </w:rPr>
              <w:t xml:space="preserve">Small scale </w:t>
            </w:r>
            <w:proofErr w:type="spellStart"/>
            <w:r w:rsidRPr="00DB35D4">
              <w:rPr>
                <w:rFonts w:cs="Arial"/>
                <w:color w:val="000000"/>
              </w:rPr>
              <w:t>Renukoot</w:t>
            </w:r>
            <w:proofErr w:type="spellEnd"/>
            <w:r w:rsidRPr="00DB35D4">
              <w:rPr>
                <w:rFonts w:cs="Arial"/>
                <w:color w:val="000000"/>
              </w:rPr>
              <w:t xml:space="preserve"> JFM AR CDM Project on degraded lands in </w:t>
            </w:r>
            <w:proofErr w:type="spellStart"/>
            <w:r w:rsidRPr="00DB35D4">
              <w:rPr>
                <w:rFonts w:cs="Arial"/>
                <w:color w:val="000000"/>
              </w:rPr>
              <w:t>Renukoot</w:t>
            </w:r>
            <w:proofErr w:type="spellEnd"/>
            <w:r w:rsidRPr="00DB35D4">
              <w:rPr>
                <w:rFonts w:cs="Arial"/>
                <w:color w:val="000000"/>
              </w:rPr>
              <w:t xml:space="preserve"> Forest Division, Uttar Pradesh, India</w:t>
            </w:r>
          </w:p>
        </w:tc>
        <w:tc>
          <w:tcPr>
            <w:tcW w:w="1418" w:type="dxa"/>
            <w:vAlign w:val="center"/>
          </w:tcPr>
          <w:p w14:paraId="347876A7" w14:textId="77777777" w:rsidR="005664B6" w:rsidRPr="00DB35D4" w:rsidRDefault="005664B6" w:rsidP="002D2FB4">
            <w:pPr>
              <w:rPr>
                <w:rFonts w:cs="Arial"/>
              </w:rPr>
            </w:pPr>
            <w:r w:rsidRPr="00DB35D4">
              <w:rPr>
                <w:rFonts w:cs="Arial"/>
                <w:color w:val="000000"/>
              </w:rPr>
              <w:t>India</w:t>
            </w:r>
          </w:p>
        </w:tc>
      </w:tr>
      <w:tr w:rsidR="005664B6" w:rsidRPr="00DB35D4" w14:paraId="096522E4" w14:textId="77777777" w:rsidTr="0028379F">
        <w:tc>
          <w:tcPr>
            <w:tcW w:w="6799" w:type="dxa"/>
            <w:vAlign w:val="bottom"/>
          </w:tcPr>
          <w:p w14:paraId="40FDE81C" w14:textId="77777777" w:rsidR="005664B6" w:rsidRPr="00DB35D4" w:rsidRDefault="005664B6" w:rsidP="002D2FB4">
            <w:pPr>
              <w:rPr>
                <w:rFonts w:cs="Arial"/>
              </w:rPr>
            </w:pPr>
            <w:r w:rsidRPr="00DB35D4">
              <w:rPr>
                <w:rFonts w:cs="Arial"/>
                <w:color w:val="000000"/>
              </w:rPr>
              <w:t xml:space="preserve">Small scale </w:t>
            </w:r>
            <w:proofErr w:type="spellStart"/>
            <w:r w:rsidRPr="00DB35D4">
              <w:rPr>
                <w:rFonts w:cs="Arial"/>
                <w:color w:val="000000"/>
              </w:rPr>
              <w:t>Mahoba</w:t>
            </w:r>
            <w:proofErr w:type="spellEnd"/>
            <w:r w:rsidRPr="00DB35D4">
              <w:rPr>
                <w:rFonts w:cs="Arial"/>
                <w:color w:val="000000"/>
              </w:rPr>
              <w:t xml:space="preserve"> JFM A/R CDM Project on degraded lands in </w:t>
            </w:r>
            <w:proofErr w:type="spellStart"/>
            <w:r w:rsidRPr="00DB35D4">
              <w:rPr>
                <w:rFonts w:cs="Arial"/>
                <w:color w:val="000000"/>
              </w:rPr>
              <w:t>Mahoba</w:t>
            </w:r>
            <w:proofErr w:type="spellEnd"/>
            <w:r w:rsidRPr="00DB35D4">
              <w:rPr>
                <w:rFonts w:cs="Arial"/>
                <w:color w:val="000000"/>
              </w:rPr>
              <w:t xml:space="preserve"> Forest Division, Uttar Pradesh, India</w:t>
            </w:r>
          </w:p>
        </w:tc>
        <w:tc>
          <w:tcPr>
            <w:tcW w:w="1418" w:type="dxa"/>
            <w:vAlign w:val="center"/>
          </w:tcPr>
          <w:p w14:paraId="67BE44E0" w14:textId="77777777" w:rsidR="005664B6" w:rsidRPr="00DB35D4" w:rsidRDefault="005664B6" w:rsidP="002D2FB4">
            <w:pPr>
              <w:rPr>
                <w:rFonts w:cs="Arial"/>
              </w:rPr>
            </w:pPr>
            <w:r w:rsidRPr="00DB35D4">
              <w:rPr>
                <w:rFonts w:cs="Arial"/>
                <w:color w:val="000000"/>
              </w:rPr>
              <w:t>India</w:t>
            </w:r>
          </w:p>
        </w:tc>
      </w:tr>
      <w:tr w:rsidR="005664B6" w:rsidRPr="00DB35D4" w14:paraId="757A299B" w14:textId="77777777" w:rsidTr="0028379F">
        <w:tc>
          <w:tcPr>
            <w:tcW w:w="6799" w:type="dxa"/>
            <w:vAlign w:val="bottom"/>
          </w:tcPr>
          <w:p w14:paraId="07F82C52" w14:textId="77777777" w:rsidR="005664B6" w:rsidRPr="00DB35D4" w:rsidRDefault="005664B6" w:rsidP="002D2FB4">
            <w:pPr>
              <w:rPr>
                <w:rFonts w:cs="Arial"/>
              </w:rPr>
            </w:pPr>
            <w:r w:rsidRPr="00DB35D4">
              <w:rPr>
                <w:rFonts w:cs="Arial"/>
                <w:color w:val="000000"/>
              </w:rPr>
              <w:t>Small scale Jhansi JFM A/R CDM Project on degraded lands in Jhansi Forest Division, Uttar Pradesh, India</w:t>
            </w:r>
          </w:p>
        </w:tc>
        <w:tc>
          <w:tcPr>
            <w:tcW w:w="1418" w:type="dxa"/>
            <w:vAlign w:val="center"/>
          </w:tcPr>
          <w:p w14:paraId="56C8EEB3" w14:textId="77777777" w:rsidR="005664B6" w:rsidRPr="00DB35D4" w:rsidRDefault="005664B6" w:rsidP="002D2FB4">
            <w:pPr>
              <w:rPr>
                <w:rFonts w:cs="Arial"/>
              </w:rPr>
            </w:pPr>
            <w:r w:rsidRPr="00DB35D4">
              <w:rPr>
                <w:rFonts w:cs="Arial"/>
                <w:color w:val="000000"/>
              </w:rPr>
              <w:t>India</w:t>
            </w:r>
          </w:p>
        </w:tc>
      </w:tr>
    </w:tbl>
    <w:p w14:paraId="5CDB0D56" w14:textId="77777777" w:rsidR="005664B6" w:rsidRPr="00DB35D4" w:rsidRDefault="005664B6" w:rsidP="005664B6">
      <w:pPr>
        <w:rPr>
          <w:rFonts w:cs="Arial"/>
        </w:rPr>
      </w:pPr>
      <w:r w:rsidRPr="00DB35D4">
        <w:rPr>
          <w:rFonts w:cs="Arial"/>
        </w:rPr>
        <w:t xml:space="preserve">The most important information about all the projects is that the complete description as well as all the other documents concerning the approval/monitoring/reporting/validation and all-important stages of a </w:t>
      </w:r>
      <w:proofErr w:type="spellStart"/>
      <w:r w:rsidRPr="00DB35D4">
        <w:rPr>
          <w:rFonts w:cs="Arial"/>
        </w:rPr>
        <w:t>PoA</w:t>
      </w:r>
      <w:proofErr w:type="spellEnd"/>
      <w:r w:rsidRPr="00DB35D4">
        <w:rPr>
          <w:rFonts w:cs="Arial"/>
        </w:rPr>
        <w:t xml:space="preserve"> is available for any registered user of the CDM site.</w:t>
      </w:r>
    </w:p>
    <w:p w14:paraId="5A9B8C2F" w14:textId="77777777" w:rsidR="005664B6" w:rsidRPr="00DB35D4" w:rsidRDefault="005664B6" w:rsidP="005664B6">
      <w:pPr>
        <w:pStyle w:val="MAIL11"/>
      </w:pPr>
      <w:bookmarkStart w:id="349" w:name="_Toc90893011"/>
      <w:bookmarkStart w:id="350" w:name="_Toc91752465"/>
      <w:r w:rsidRPr="00DB35D4">
        <w:t>Private initiatives - Voluntary Carbon Offset Projects</w:t>
      </w:r>
      <w:bookmarkEnd w:id="349"/>
      <w:bookmarkEnd w:id="350"/>
      <w:r w:rsidRPr="00DB35D4">
        <w:t xml:space="preserve"> </w:t>
      </w:r>
    </w:p>
    <w:p w14:paraId="1C5DCF27" w14:textId="3147DF72" w:rsidR="005664B6" w:rsidRPr="00DB35D4" w:rsidRDefault="005664B6" w:rsidP="005664B6">
      <w:pPr>
        <w:rPr>
          <w:rFonts w:cs="Arial"/>
        </w:rPr>
      </w:pPr>
      <w:r w:rsidRPr="00DB35D4">
        <w:rPr>
          <w:rFonts w:cs="Arial"/>
        </w:rPr>
        <w:t>The report about the State of the art of Voluntary markets of 2016 gathered the suppliers of Carbon Offset Projects using the major accounting standards (ACR, Verra, Gold Standard, etc.) and they are given below in the following list (</w:t>
      </w:r>
      <w:r w:rsidRPr="00DB35D4">
        <w:rPr>
          <w:rFonts w:cs="Arial"/>
        </w:rPr>
        <w:fldChar w:fldCharType="begin"/>
      </w:r>
      <w:r w:rsidRPr="00DB35D4">
        <w:rPr>
          <w:rFonts w:cs="Arial"/>
        </w:rPr>
        <w:instrText xml:space="preserve"> REF _Ref86399832 \h  \* MERGEFORMAT </w:instrText>
      </w:r>
      <w:r w:rsidRPr="00DB35D4">
        <w:rPr>
          <w:rFonts w:cs="Arial"/>
        </w:rPr>
      </w:r>
      <w:r w:rsidRPr="00DB35D4">
        <w:rPr>
          <w:rFonts w:cs="Arial"/>
        </w:rPr>
        <w:fldChar w:fldCharType="separate"/>
      </w:r>
      <w:r w:rsidR="0073710A" w:rsidRPr="0073710A">
        <w:rPr>
          <w:rFonts w:cs="Arial"/>
          <w:lang w:val="en-GB"/>
        </w:rPr>
        <w:t>Table 38</w:t>
      </w:r>
      <w:r w:rsidRPr="00DB35D4">
        <w:rPr>
          <w:rFonts w:cs="Arial"/>
        </w:rPr>
        <w:fldChar w:fldCharType="end"/>
      </w:r>
      <w:r w:rsidRPr="00DB35D4">
        <w:rPr>
          <w:rFonts w:cs="Arial"/>
        </w:rPr>
        <w:t>):</w:t>
      </w:r>
    </w:p>
    <w:p w14:paraId="55E0CA1B" w14:textId="046D70CF" w:rsidR="005664B6" w:rsidRPr="00475531" w:rsidRDefault="005664B6" w:rsidP="00475531">
      <w:pPr>
        <w:pStyle w:val="Caption"/>
        <w:rPr>
          <w:rFonts w:cs="Arial"/>
          <w:b w:val="0"/>
          <w:bCs w:val="0"/>
        </w:rPr>
      </w:pPr>
      <w:bookmarkStart w:id="351" w:name="_Ref86399832"/>
      <w:bookmarkStart w:id="352" w:name="_Toc90888853"/>
      <w:bookmarkStart w:id="353" w:name="_Toc91752577"/>
      <w:r w:rsidRPr="00475531">
        <w:rPr>
          <w:rFonts w:cs="Arial"/>
        </w:rPr>
        <w:t xml:space="preserve">Table </w:t>
      </w:r>
      <w:r w:rsidRPr="00475531">
        <w:rPr>
          <w:rFonts w:cs="Arial"/>
          <w:b w:val="0"/>
          <w:bCs w:val="0"/>
          <w:i/>
          <w:iCs/>
        </w:rPr>
        <w:fldChar w:fldCharType="begin"/>
      </w:r>
      <w:r w:rsidRPr="00475531">
        <w:rPr>
          <w:rFonts w:cs="Arial"/>
        </w:rPr>
        <w:instrText xml:space="preserve"> SEQ Table \* ARABIC </w:instrText>
      </w:r>
      <w:r w:rsidRPr="00475531">
        <w:rPr>
          <w:rFonts w:cs="Arial"/>
          <w:b w:val="0"/>
          <w:bCs w:val="0"/>
          <w:i/>
          <w:iCs/>
        </w:rPr>
        <w:fldChar w:fldCharType="separate"/>
      </w:r>
      <w:r w:rsidR="0073710A">
        <w:rPr>
          <w:rFonts w:cs="Arial"/>
          <w:noProof/>
        </w:rPr>
        <w:t>38</w:t>
      </w:r>
      <w:r w:rsidRPr="00475531">
        <w:rPr>
          <w:rFonts w:cs="Arial"/>
          <w:b w:val="0"/>
          <w:bCs w:val="0"/>
          <w:i/>
          <w:iCs/>
        </w:rPr>
        <w:fldChar w:fldCharType="end"/>
      </w:r>
      <w:bookmarkEnd w:id="351"/>
      <w:r w:rsidRPr="00475531">
        <w:rPr>
          <w:rFonts w:cs="Arial"/>
        </w:rPr>
        <w:t xml:space="preserve"> Organizations providing Carbon offset Projects through Voluntary Markets</w:t>
      </w:r>
      <w:bookmarkEnd w:id="352"/>
      <w:bookmarkEnd w:id="353"/>
    </w:p>
    <w:tbl>
      <w:tblPr>
        <w:tblStyle w:val="10"/>
        <w:tblW w:w="8364" w:type="dxa"/>
        <w:tblLayout w:type="fixed"/>
        <w:tblLook w:val="04A0" w:firstRow="1" w:lastRow="0" w:firstColumn="1" w:lastColumn="0" w:noHBand="0" w:noVBand="1"/>
      </w:tblPr>
      <w:tblGrid>
        <w:gridCol w:w="2835"/>
        <w:gridCol w:w="3686"/>
        <w:gridCol w:w="1843"/>
      </w:tblGrid>
      <w:tr w:rsidR="00180653" w:rsidRPr="00180653" w14:paraId="24D38DE3" w14:textId="77777777" w:rsidTr="0022057B">
        <w:trPr>
          <w:trHeight w:val="287"/>
          <w:tblHeader/>
        </w:trPr>
        <w:tc>
          <w:tcPr>
            <w:tcW w:w="2835" w:type="dxa"/>
            <w:shd w:val="clear" w:color="auto" w:fill="DBE0F4"/>
            <w:noWrap/>
          </w:tcPr>
          <w:p w14:paraId="7EA0AF99" w14:textId="77777777" w:rsidR="00180653" w:rsidRPr="00180653" w:rsidRDefault="00180653" w:rsidP="00180653">
            <w:pPr>
              <w:jc w:val="left"/>
              <w:rPr>
                <w:rFonts w:eastAsia="Times New Roman" w:cs="Arial"/>
                <w:color w:val="000000"/>
                <w:lang w:eastAsia="el-GR"/>
              </w:rPr>
            </w:pPr>
            <w:bookmarkStart w:id="354" w:name="_Toc18677172"/>
            <w:r w:rsidRPr="00180653">
              <w:rPr>
                <w:rFonts w:eastAsia="Times New Roman" w:cs="Arial"/>
                <w:b/>
                <w:bCs/>
                <w:color w:val="000000"/>
                <w:lang w:eastAsia="el-GR"/>
              </w:rPr>
              <w:t>Continent /Institutions</w:t>
            </w:r>
          </w:p>
        </w:tc>
        <w:tc>
          <w:tcPr>
            <w:tcW w:w="3686" w:type="dxa"/>
            <w:shd w:val="clear" w:color="auto" w:fill="DBE0F4"/>
            <w:noWrap/>
          </w:tcPr>
          <w:p w14:paraId="757D81FB" w14:textId="77777777" w:rsidR="00180653" w:rsidRPr="00180653" w:rsidRDefault="00180653" w:rsidP="00180653">
            <w:pPr>
              <w:jc w:val="left"/>
              <w:rPr>
                <w:rFonts w:eastAsia="Times New Roman" w:cs="Arial"/>
                <w:b/>
                <w:bCs/>
                <w:color w:val="000000"/>
                <w:lang w:eastAsia="el-GR"/>
              </w:rPr>
            </w:pPr>
            <w:r w:rsidRPr="00180653">
              <w:rPr>
                <w:rFonts w:eastAsia="Times New Roman" w:cs="Arial"/>
                <w:b/>
                <w:bCs/>
                <w:color w:val="000000"/>
                <w:lang w:eastAsia="el-GR"/>
              </w:rPr>
              <w:t>Website</w:t>
            </w:r>
          </w:p>
        </w:tc>
        <w:tc>
          <w:tcPr>
            <w:tcW w:w="1843" w:type="dxa"/>
            <w:shd w:val="clear" w:color="auto" w:fill="DBE0F4"/>
            <w:noWrap/>
            <w:hideMark/>
          </w:tcPr>
          <w:p w14:paraId="6AF06EB2" w14:textId="77777777" w:rsidR="00180653" w:rsidRPr="00180653" w:rsidRDefault="00180653" w:rsidP="00180653">
            <w:pPr>
              <w:jc w:val="left"/>
              <w:rPr>
                <w:rFonts w:eastAsia="Times New Roman" w:cs="Arial"/>
                <w:b/>
                <w:bCs/>
                <w:color w:val="000000"/>
                <w:lang w:eastAsia="el-GR"/>
              </w:rPr>
            </w:pPr>
            <w:r w:rsidRPr="00180653">
              <w:rPr>
                <w:rFonts w:eastAsia="Times New Roman" w:cs="Arial"/>
                <w:b/>
                <w:bCs/>
                <w:color w:val="000000"/>
                <w:lang w:eastAsia="el-GR"/>
              </w:rPr>
              <w:t>County</w:t>
            </w:r>
          </w:p>
        </w:tc>
      </w:tr>
      <w:tr w:rsidR="00180653" w:rsidRPr="00180653" w14:paraId="35C458D3" w14:textId="77777777" w:rsidTr="0022057B">
        <w:trPr>
          <w:trHeight w:val="287"/>
        </w:trPr>
        <w:tc>
          <w:tcPr>
            <w:tcW w:w="2835" w:type="dxa"/>
            <w:noWrap/>
            <w:vAlign w:val="center"/>
          </w:tcPr>
          <w:p w14:paraId="62F7149B" w14:textId="77777777" w:rsidR="00180653" w:rsidRPr="00180653" w:rsidRDefault="00180653" w:rsidP="00180653">
            <w:pPr>
              <w:jc w:val="left"/>
              <w:rPr>
                <w:rFonts w:eastAsia="Times New Roman" w:cs="Arial"/>
                <w:b/>
                <w:color w:val="000000"/>
                <w:lang w:eastAsia="el-GR"/>
              </w:rPr>
            </w:pPr>
            <w:r w:rsidRPr="00180653">
              <w:rPr>
                <w:rFonts w:eastAsia="Times New Roman" w:cs="Arial"/>
                <w:b/>
                <w:color w:val="000000"/>
                <w:lang w:eastAsia="el-GR"/>
              </w:rPr>
              <w:t>Africa</w:t>
            </w:r>
          </w:p>
        </w:tc>
        <w:tc>
          <w:tcPr>
            <w:tcW w:w="3686" w:type="dxa"/>
            <w:noWrap/>
          </w:tcPr>
          <w:p w14:paraId="3BDE61AA" w14:textId="77777777" w:rsidR="00180653" w:rsidRPr="00180653" w:rsidRDefault="00180653" w:rsidP="00180653">
            <w:pPr>
              <w:jc w:val="left"/>
              <w:rPr>
                <w:rFonts w:eastAsia="Times New Roman" w:cs="Arial"/>
                <w:b/>
                <w:color w:val="0563C1"/>
                <w:u w:val="single"/>
                <w:lang w:eastAsia="el-GR"/>
              </w:rPr>
            </w:pPr>
          </w:p>
        </w:tc>
        <w:tc>
          <w:tcPr>
            <w:tcW w:w="1843" w:type="dxa"/>
            <w:noWrap/>
            <w:vAlign w:val="center"/>
          </w:tcPr>
          <w:p w14:paraId="5D558B0D" w14:textId="77777777" w:rsidR="00180653" w:rsidRPr="00180653" w:rsidRDefault="00180653" w:rsidP="00180653">
            <w:pPr>
              <w:jc w:val="left"/>
              <w:rPr>
                <w:rFonts w:eastAsia="Times New Roman" w:cs="Arial"/>
                <w:b/>
                <w:color w:val="000000"/>
                <w:lang w:eastAsia="el-GR"/>
              </w:rPr>
            </w:pPr>
          </w:p>
        </w:tc>
      </w:tr>
      <w:tr w:rsidR="00180653" w:rsidRPr="00180653" w14:paraId="4F31D792" w14:textId="77777777" w:rsidTr="0022057B">
        <w:trPr>
          <w:trHeight w:val="287"/>
        </w:trPr>
        <w:tc>
          <w:tcPr>
            <w:tcW w:w="2835" w:type="dxa"/>
            <w:noWrap/>
            <w:vAlign w:val="center"/>
            <w:hideMark/>
          </w:tcPr>
          <w:p w14:paraId="48906E18"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lastRenderedPageBreak/>
              <w:t>BioCarbon</w:t>
            </w:r>
            <w:proofErr w:type="spellEnd"/>
            <w:r w:rsidRPr="00180653">
              <w:rPr>
                <w:rFonts w:eastAsia="Times New Roman" w:cs="Arial"/>
                <w:color w:val="000000"/>
                <w:lang w:eastAsia="el-GR"/>
              </w:rPr>
              <w:t xml:space="preserve"> Partners</w:t>
            </w:r>
          </w:p>
        </w:tc>
        <w:tc>
          <w:tcPr>
            <w:tcW w:w="3686" w:type="dxa"/>
            <w:noWrap/>
            <w:hideMark/>
          </w:tcPr>
          <w:p w14:paraId="67DC6795" w14:textId="77777777" w:rsidR="00180653" w:rsidRPr="00180653" w:rsidRDefault="003B0DE2" w:rsidP="00180653">
            <w:pPr>
              <w:jc w:val="left"/>
              <w:rPr>
                <w:rFonts w:eastAsia="Times New Roman" w:cs="Arial"/>
                <w:color w:val="0563C1"/>
                <w:u w:val="single"/>
                <w:lang w:eastAsia="el-GR"/>
              </w:rPr>
            </w:pPr>
            <w:hyperlink r:id="rId185" w:history="1">
              <w:r w:rsidR="00180653" w:rsidRPr="00180653">
                <w:rPr>
                  <w:rFonts w:eastAsia="Times New Roman" w:cs="Arial"/>
                  <w:color w:val="0563C1"/>
                  <w:u w:val="single"/>
                  <w:lang w:eastAsia="el-GR"/>
                </w:rPr>
                <w:t>https://www.biocarbonpartners.com/</w:t>
              </w:r>
            </w:hyperlink>
          </w:p>
        </w:tc>
        <w:tc>
          <w:tcPr>
            <w:tcW w:w="1843" w:type="dxa"/>
            <w:noWrap/>
            <w:vAlign w:val="center"/>
            <w:hideMark/>
          </w:tcPr>
          <w:p w14:paraId="0D7EA94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Zambia</w:t>
            </w:r>
          </w:p>
        </w:tc>
      </w:tr>
      <w:tr w:rsidR="00180653" w:rsidRPr="00180653" w14:paraId="6B8AAC33" w14:textId="77777777" w:rsidTr="0022057B">
        <w:trPr>
          <w:trHeight w:val="287"/>
        </w:trPr>
        <w:tc>
          <w:tcPr>
            <w:tcW w:w="2835" w:type="dxa"/>
            <w:noWrap/>
            <w:vAlign w:val="center"/>
            <w:hideMark/>
          </w:tcPr>
          <w:p w14:paraId="4627EBC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Carbon Manna Africa Ltd /Climate Pal Ltd</w:t>
            </w:r>
          </w:p>
        </w:tc>
        <w:tc>
          <w:tcPr>
            <w:tcW w:w="3686" w:type="dxa"/>
            <w:noWrap/>
            <w:hideMark/>
          </w:tcPr>
          <w:p w14:paraId="048C44A7" w14:textId="77777777" w:rsidR="00180653" w:rsidRPr="00180653" w:rsidRDefault="003B0DE2" w:rsidP="00180653">
            <w:pPr>
              <w:jc w:val="left"/>
              <w:rPr>
                <w:rFonts w:eastAsia="Times New Roman" w:cs="Arial"/>
                <w:color w:val="0563C1"/>
                <w:u w:val="single"/>
                <w:lang w:eastAsia="el-GR"/>
              </w:rPr>
            </w:pPr>
            <w:hyperlink r:id="rId186" w:history="1">
              <w:r w:rsidR="00180653" w:rsidRPr="00180653">
                <w:rPr>
                  <w:rFonts w:eastAsia="Times New Roman" w:cs="Arial"/>
                  <w:color w:val="0563C1"/>
                  <w:u w:val="single"/>
                  <w:lang w:eastAsia="el-GR"/>
                </w:rPr>
                <w:t xml:space="preserve">www.carbonmannaafrica.com </w:t>
              </w:r>
            </w:hyperlink>
          </w:p>
        </w:tc>
        <w:tc>
          <w:tcPr>
            <w:tcW w:w="1843" w:type="dxa"/>
            <w:noWrap/>
            <w:vAlign w:val="center"/>
            <w:hideMark/>
          </w:tcPr>
          <w:p w14:paraId="14325F9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Kenya</w:t>
            </w:r>
          </w:p>
        </w:tc>
      </w:tr>
      <w:tr w:rsidR="00180653" w:rsidRPr="00180653" w14:paraId="6BDCCF4C" w14:textId="77777777" w:rsidTr="0022057B">
        <w:trPr>
          <w:trHeight w:val="287"/>
        </w:trPr>
        <w:tc>
          <w:tcPr>
            <w:tcW w:w="2835" w:type="dxa"/>
            <w:noWrap/>
            <w:vAlign w:val="center"/>
            <w:hideMark/>
          </w:tcPr>
          <w:p w14:paraId="41FD1A2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Carbon Tanzania</w:t>
            </w:r>
          </w:p>
        </w:tc>
        <w:tc>
          <w:tcPr>
            <w:tcW w:w="3686" w:type="dxa"/>
            <w:noWrap/>
            <w:hideMark/>
          </w:tcPr>
          <w:p w14:paraId="25E08310" w14:textId="77777777" w:rsidR="00180653" w:rsidRPr="00180653" w:rsidRDefault="003B0DE2" w:rsidP="00180653">
            <w:pPr>
              <w:jc w:val="left"/>
              <w:rPr>
                <w:rFonts w:eastAsia="Times New Roman" w:cs="Arial"/>
                <w:color w:val="0563C1"/>
                <w:u w:val="single"/>
                <w:lang w:eastAsia="el-GR"/>
              </w:rPr>
            </w:pPr>
            <w:hyperlink r:id="rId187" w:history="1">
              <w:r w:rsidR="00180653" w:rsidRPr="00180653">
                <w:rPr>
                  <w:rFonts w:eastAsia="Times New Roman" w:cs="Arial"/>
                  <w:color w:val="0563C1"/>
                  <w:u w:val="single"/>
                  <w:lang w:eastAsia="el-GR"/>
                </w:rPr>
                <w:t>www.carbontanzania.com</w:t>
              </w:r>
            </w:hyperlink>
          </w:p>
        </w:tc>
        <w:tc>
          <w:tcPr>
            <w:tcW w:w="1843" w:type="dxa"/>
            <w:noWrap/>
            <w:vAlign w:val="center"/>
            <w:hideMark/>
          </w:tcPr>
          <w:p w14:paraId="3110C83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Tanzania</w:t>
            </w:r>
          </w:p>
        </w:tc>
      </w:tr>
      <w:tr w:rsidR="00180653" w:rsidRPr="00180653" w14:paraId="5EFEE0AA" w14:textId="77777777" w:rsidTr="0022057B">
        <w:trPr>
          <w:trHeight w:val="287"/>
        </w:trPr>
        <w:tc>
          <w:tcPr>
            <w:tcW w:w="2835" w:type="dxa"/>
            <w:noWrap/>
            <w:vAlign w:val="center"/>
            <w:hideMark/>
          </w:tcPr>
          <w:p w14:paraId="11098C1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Credible Carbon</w:t>
            </w:r>
          </w:p>
        </w:tc>
        <w:tc>
          <w:tcPr>
            <w:tcW w:w="3686" w:type="dxa"/>
            <w:noWrap/>
            <w:hideMark/>
          </w:tcPr>
          <w:p w14:paraId="36506DBB" w14:textId="77777777" w:rsidR="00180653" w:rsidRPr="00180653" w:rsidRDefault="003B0DE2" w:rsidP="00180653">
            <w:pPr>
              <w:jc w:val="left"/>
              <w:rPr>
                <w:rFonts w:eastAsia="Times New Roman" w:cs="Arial"/>
                <w:color w:val="0563C1"/>
                <w:u w:val="single"/>
                <w:lang w:eastAsia="el-GR"/>
              </w:rPr>
            </w:pPr>
            <w:hyperlink r:id="rId188" w:history="1">
              <w:r w:rsidR="00180653" w:rsidRPr="00180653">
                <w:rPr>
                  <w:rFonts w:eastAsia="Times New Roman" w:cs="Arial"/>
                  <w:color w:val="0563C1"/>
                  <w:u w:val="single"/>
                  <w:lang w:eastAsia="el-GR"/>
                </w:rPr>
                <w:t>www.crediblecarbon.com</w:t>
              </w:r>
            </w:hyperlink>
          </w:p>
        </w:tc>
        <w:tc>
          <w:tcPr>
            <w:tcW w:w="1843" w:type="dxa"/>
            <w:noWrap/>
            <w:vAlign w:val="center"/>
            <w:hideMark/>
          </w:tcPr>
          <w:p w14:paraId="468E5FD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South Africa</w:t>
            </w:r>
          </w:p>
        </w:tc>
      </w:tr>
      <w:tr w:rsidR="00180653" w:rsidRPr="00180653" w14:paraId="7F850455" w14:textId="77777777" w:rsidTr="0022057B">
        <w:trPr>
          <w:trHeight w:val="287"/>
        </w:trPr>
        <w:tc>
          <w:tcPr>
            <w:tcW w:w="2835" w:type="dxa"/>
            <w:noWrap/>
            <w:vAlign w:val="center"/>
            <w:hideMark/>
          </w:tcPr>
          <w:p w14:paraId="72FDD0B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ECOTRUST</w:t>
            </w:r>
          </w:p>
        </w:tc>
        <w:tc>
          <w:tcPr>
            <w:tcW w:w="3686" w:type="dxa"/>
            <w:noWrap/>
            <w:hideMark/>
          </w:tcPr>
          <w:p w14:paraId="0E3DF3F3" w14:textId="77777777" w:rsidR="00180653" w:rsidRPr="00180653" w:rsidRDefault="003B0DE2" w:rsidP="00180653">
            <w:pPr>
              <w:jc w:val="left"/>
              <w:rPr>
                <w:rFonts w:eastAsia="Times New Roman" w:cs="Arial"/>
                <w:color w:val="0563C1"/>
                <w:u w:val="single"/>
                <w:lang w:eastAsia="el-GR"/>
              </w:rPr>
            </w:pPr>
            <w:hyperlink r:id="rId189" w:history="1">
              <w:r w:rsidR="00180653" w:rsidRPr="00180653">
                <w:rPr>
                  <w:rFonts w:eastAsia="Times New Roman" w:cs="Arial"/>
                  <w:color w:val="0563C1"/>
                  <w:u w:val="single"/>
                  <w:lang w:eastAsia="el-GR"/>
                </w:rPr>
                <w:t xml:space="preserve">www.ecotrust.org </w:t>
              </w:r>
            </w:hyperlink>
          </w:p>
        </w:tc>
        <w:tc>
          <w:tcPr>
            <w:tcW w:w="1843" w:type="dxa"/>
            <w:noWrap/>
            <w:vAlign w:val="center"/>
            <w:hideMark/>
          </w:tcPr>
          <w:p w14:paraId="79C46C8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Uganda</w:t>
            </w:r>
          </w:p>
        </w:tc>
      </w:tr>
      <w:tr w:rsidR="00180653" w:rsidRPr="00180653" w14:paraId="2CC3303F" w14:textId="77777777" w:rsidTr="0022057B">
        <w:trPr>
          <w:trHeight w:val="287"/>
        </w:trPr>
        <w:tc>
          <w:tcPr>
            <w:tcW w:w="2835" w:type="dxa"/>
            <w:noWrap/>
            <w:vAlign w:val="center"/>
            <w:hideMark/>
          </w:tcPr>
          <w:p w14:paraId="2D042A3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Nedbank</w:t>
            </w:r>
          </w:p>
        </w:tc>
        <w:tc>
          <w:tcPr>
            <w:tcW w:w="3686" w:type="dxa"/>
            <w:noWrap/>
            <w:hideMark/>
          </w:tcPr>
          <w:p w14:paraId="13D35047" w14:textId="77777777" w:rsidR="00180653" w:rsidRPr="00180653" w:rsidRDefault="003B0DE2" w:rsidP="00180653">
            <w:pPr>
              <w:jc w:val="left"/>
              <w:rPr>
                <w:rFonts w:eastAsia="Times New Roman" w:cs="Arial"/>
                <w:color w:val="0563C1"/>
                <w:u w:val="single"/>
                <w:lang w:eastAsia="el-GR"/>
              </w:rPr>
            </w:pPr>
            <w:hyperlink r:id="rId190" w:history="1">
              <w:r w:rsidR="00180653" w:rsidRPr="00180653">
                <w:rPr>
                  <w:rFonts w:eastAsia="Times New Roman" w:cs="Arial"/>
                  <w:color w:val="0563C1"/>
                  <w:u w:val="single"/>
                  <w:lang w:eastAsia="el-GR"/>
                </w:rPr>
                <w:t xml:space="preserve">www.nedbank.co.za </w:t>
              </w:r>
            </w:hyperlink>
          </w:p>
        </w:tc>
        <w:tc>
          <w:tcPr>
            <w:tcW w:w="1843" w:type="dxa"/>
            <w:noWrap/>
            <w:vAlign w:val="center"/>
            <w:hideMark/>
          </w:tcPr>
          <w:p w14:paraId="2CBB694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South Africa</w:t>
            </w:r>
          </w:p>
        </w:tc>
      </w:tr>
      <w:tr w:rsidR="00180653" w:rsidRPr="00180653" w14:paraId="3F604A5C" w14:textId="77777777" w:rsidTr="0022057B">
        <w:trPr>
          <w:trHeight w:val="287"/>
        </w:trPr>
        <w:tc>
          <w:tcPr>
            <w:tcW w:w="2835" w:type="dxa"/>
            <w:noWrap/>
            <w:vAlign w:val="center"/>
            <w:hideMark/>
          </w:tcPr>
          <w:p w14:paraId="571EBE1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Nova Institute</w:t>
            </w:r>
          </w:p>
        </w:tc>
        <w:tc>
          <w:tcPr>
            <w:tcW w:w="3686" w:type="dxa"/>
            <w:noWrap/>
            <w:hideMark/>
          </w:tcPr>
          <w:p w14:paraId="516F9D6C" w14:textId="77777777" w:rsidR="00180653" w:rsidRPr="00180653" w:rsidRDefault="003B0DE2" w:rsidP="00180653">
            <w:pPr>
              <w:jc w:val="left"/>
              <w:rPr>
                <w:rFonts w:eastAsia="Times New Roman" w:cs="Arial"/>
                <w:color w:val="0563C1"/>
                <w:u w:val="single"/>
                <w:lang w:eastAsia="el-GR"/>
              </w:rPr>
            </w:pPr>
            <w:hyperlink r:id="rId191" w:history="1">
              <w:r w:rsidR="00180653" w:rsidRPr="00180653">
                <w:rPr>
                  <w:rFonts w:eastAsia="Times New Roman" w:cs="Arial"/>
                  <w:color w:val="0563C1"/>
                  <w:u w:val="single"/>
                  <w:lang w:eastAsia="el-GR"/>
                </w:rPr>
                <w:t>www.nova.org.za</w:t>
              </w:r>
            </w:hyperlink>
          </w:p>
        </w:tc>
        <w:tc>
          <w:tcPr>
            <w:tcW w:w="1843" w:type="dxa"/>
            <w:noWrap/>
            <w:vAlign w:val="center"/>
            <w:hideMark/>
          </w:tcPr>
          <w:p w14:paraId="41F717F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 South Africa</w:t>
            </w:r>
          </w:p>
        </w:tc>
      </w:tr>
      <w:tr w:rsidR="00180653" w:rsidRPr="00180653" w14:paraId="53D92A26" w14:textId="77777777" w:rsidTr="0022057B">
        <w:trPr>
          <w:trHeight w:val="287"/>
        </w:trPr>
        <w:tc>
          <w:tcPr>
            <w:tcW w:w="2835" w:type="dxa"/>
            <w:noWrap/>
            <w:vAlign w:val="center"/>
            <w:hideMark/>
          </w:tcPr>
          <w:p w14:paraId="6C11722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Uganda Carbon Bureau</w:t>
            </w:r>
          </w:p>
        </w:tc>
        <w:tc>
          <w:tcPr>
            <w:tcW w:w="3686" w:type="dxa"/>
            <w:noWrap/>
            <w:hideMark/>
          </w:tcPr>
          <w:p w14:paraId="74552DFD" w14:textId="77777777" w:rsidR="00180653" w:rsidRPr="00180653" w:rsidRDefault="003B0DE2" w:rsidP="00180653">
            <w:pPr>
              <w:jc w:val="left"/>
              <w:rPr>
                <w:rFonts w:eastAsia="Times New Roman" w:cs="Arial"/>
                <w:color w:val="0563C1"/>
                <w:u w:val="single"/>
                <w:lang w:eastAsia="el-GR"/>
              </w:rPr>
            </w:pPr>
            <w:hyperlink r:id="rId192" w:history="1">
              <w:r w:rsidR="00180653" w:rsidRPr="00180653">
                <w:rPr>
                  <w:rFonts w:eastAsia="Times New Roman" w:cs="Arial"/>
                  <w:color w:val="0563C1"/>
                  <w:u w:val="single"/>
                  <w:lang w:eastAsia="el-GR"/>
                </w:rPr>
                <w:t>www.ugandacarbon.org</w:t>
              </w:r>
            </w:hyperlink>
          </w:p>
        </w:tc>
        <w:tc>
          <w:tcPr>
            <w:tcW w:w="1843" w:type="dxa"/>
            <w:noWrap/>
            <w:vAlign w:val="center"/>
            <w:hideMark/>
          </w:tcPr>
          <w:p w14:paraId="02D22B70" w14:textId="77777777" w:rsidR="00180653" w:rsidRPr="00180653" w:rsidRDefault="00180653" w:rsidP="00180653">
            <w:pPr>
              <w:jc w:val="left"/>
              <w:rPr>
                <w:rFonts w:eastAsia="Times New Roman" w:cs="Arial"/>
                <w:color w:val="0563C1"/>
                <w:u w:val="single"/>
                <w:lang w:eastAsia="el-GR"/>
              </w:rPr>
            </w:pPr>
          </w:p>
        </w:tc>
      </w:tr>
      <w:tr w:rsidR="00180653" w:rsidRPr="00180653" w14:paraId="44DAA038" w14:textId="77777777" w:rsidTr="0022057B">
        <w:trPr>
          <w:trHeight w:val="287"/>
        </w:trPr>
        <w:tc>
          <w:tcPr>
            <w:tcW w:w="2835" w:type="dxa"/>
            <w:noWrap/>
            <w:vAlign w:val="center"/>
            <w:hideMark/>
          </w:tcPr>
          <w:p w14:paraId="4D32D21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Vi Agroforestry </w:t>
            </w:r>
            <w:proofErr w:type="spellStart"/>
            <w:r w:rsidRPr="00180653">
              <w:rPr>
                <w:rFonts w:eastAsia="Times New Roman" w:cs="Arial"/>
                <w:color w:val="000000"/>
                <w:lang w:eastAsia="el-GR"/>
              </w:rPr>
              <w:t>Programme</w:t>
            </w:r>
            <w:proofErr w:type="spellEnd"/>
          </w:p>
        </w:tc>
        <w:tc>
          <w:tcPr>
            <w:tcW w:w="3686" w:type="dxa"/>
            <w:noWrap/>
            <w:hideMark/>
          </w:tcPr>
          <w:p w14:paraId="31B1B3F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viagroforestry.org</w:t>
            </w:r>
          </w:p>
        </w:tc>
        <w:tc>
          <w:tcPr>
            <w:tcW w:w="1843" w:type="dxa"/>
            <w:noWrap/>
            <w:vAlign w:val="center"/>
            <w:hideMark/>
          </w:tcPr>
          <w:p w14:paraId="0952B446" w14:textId="77777777" w:rsidR="00180653" w:rsidRPr="00180653" w:rsidRDefault="00180653" w:rsidP="00180653">
            <w:pPr>
              <w:jc w:val="left"/>
              <w:rPr>
                <w:rFonts w:eastAsia="Times New Roman" w:cs="Arial"/>
                <w:color w:val="000000"/>
                <w:lang w:eastAsia="el-GR"/>
              </w:rPr>
            </w:pPr>
          </w:p>
        </w:tc>
      </w:tr>
      <w:tr w:rsidR="00180653" w:rsidRPr="00180653" w14:paraId="029040E7" w14:textId="77777777" w:rsidTr="0022057B">
        <w:trPr>
          <w:trHeight w:val="287"/>
        </w:trPr>
        <w:tc>
          <w:tcPr>
            <w:tcW w:w="2835" w:type="dxa"/>
            <w:noWrap/>
            <w:vAlign w:val="center"/>
            <w:hideMark/>
          </w:tcPr>
          <w:p w14:paraId="1241666E" w14:textId="77777777" w:rsidR="00180653" w:rsidRPr="00180653" w:rsidRDefault="00180653" w:rsidP="00180653">
            <w:pPr>
              <w:jc w:val="left"/>
              <w:rPr>
                <w:rFonts w:eastAsia="Times New Roman" w:cs="Arial"/>
                <w:b/>
                <w:bCs/>
                <w:color w:val="000000"/>
                <w:lang w:eastAsia="el-GR"/>
              </w:rPr>
            </w:pPr>
            <w:r w:rsidRPr="00180653">
              <w:rPr>
                <w:rFonts w:eastAsia="Times New Roman" w:cs="Arial"/>
                <w:b/>
                <w:bCs/>
                <w:color w:val="000000"/>
                <w:lang w:eastAsia="el-GR"/>
              </w:rPr>
              <w:t>Asia</w:t>
            </w:r>
          </w:p>
        </w:tc>
        <w:tc>
          <w:tcPr>
            <w:tcW w:w="3686" w:type="dxa"/>
            <w:noWrap/>
            <w:hideMark/>
          </w:tcPr>
          <w:p w14:paraId="72033484" w14:textId="77777777" w:rsidR="00180653" w:rsidRPr="00180653" w:rsidRDefault="00180653" w:rsidP="00180653">
            <w:pPr>
              <w:jc w:val="left"/>
              <w:rPr>
                <w:rFonts w:eastAsia="Times New Roman" w:cs="Arial"/>
                <w:b/>
                <w:bCs/>
                <w:color w:val="000000"/>
                <w:lang w:eastAsia="el-GR"/>
              </w:rPr>
            </w:pPr>
          </w:p>
        </w:tc>
        <w:tc>
          <w:tcPr>
            <w:tcW w:w="1843" w:type="dxa"/>
            <w:noWrap/>
            <w:vAlign w:val="center"/>
            <w:hideMark/>
          </w:tcPr>
          <w:p w14:paraId="0002B2C1" w14:textId="77777777" w:rsidR="00180653" w:rsidRPr="00180653" w:rsidRDefault="00180653" w:rsidP="00180653">
            <w:pPr>
              <w:jc w:val="left"/>
              <w:rPr>
                <w:rFonts w:eastAsia="Times New Roman" w:cs="Arial"/>
                <w:lang w:eastAsia="el-GR"/>
              </w:rPr>
            </w:pPr>
          </w:p>
        </w:tc>
      </w:tr>
      <w:tr w:rsidR="00180653" w:rsidRPr="00180653" w14:paraId="763A8749" w14:textId="77777777" w:rsidTr="0022057B">
        <w:trPr>
          <w:trHeight w:val="287"/>
        </w:trPr>
        <w:tc>
          <w:tcPr>
            <w:tcW w:w="2835" w:type="dxa"/>
            <w:noWrap/>
            <w:vAlign w:val="center"/>
            <w:hideMark/>
          </w:tcPr>
          <w:p w14:paraId="7316868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CAFACA</w:t>
            </w:r>
          </w:p>
        </w:tc>
        <w:tc>
          <w:tcPr>
            <w:tcW w:w="3686" w:type="dxa"/>
            <w:noWrap/>
            <w:hideMark/>
          </w:tcPr>
          <w:p w14:paraId="4233E1F4" w14:textId="77777777" w:rsidR="00180653" w:rsidRPr="00180653" w:rsidRDefault="003B0DE2" w:rsidP="00180653">
            <w:pPr>
              <w:jc w:val="left"/>
              <w:rPr>
                <w:rFonts w:eastAsia="Times New Roman" w:cs="Arial"/>
                <w:color w:val="0563C1"/>
                <w:u w:val="single"/>
                <w:lang w:eastAsia="el-GR"/>
              </w:rPr>
            </w:pPr>
            <w:hyperlink r:id="rId193" w:history="1">
              <w:r w:rsidR="00180653" w:rsidRPr="00180653">
                <w:rPr>
                  <w:rFonts w:eastAsia="Times New Roman" w:cs="Arial"/>
                  <w:color w:val="0563C1"/>
                  <w:u w:val="single"/>
                  <w:lang w:eastAsia="el-GR"/>
                </w:rPr>
                <w:t xml:space="preserve">www.cafaca.com </w:t>
              </w:r>
            </w:hyperlink>
          </w:p>
        </w:tc>
        <w:tc>
          <w:tcPr>
            <w:tcW w:w="1843" w:type="dxa"/>
            <w:noWrap/>
            <w:vAlign w:val="center"/>
            <w:hideMark/>
          </w:tcPr>
          <w:p w14:paraId="5B70174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Cambodia</w:t>
            </w:r>
          </w:p>
        </w:tc>
      </w:tr>
      <w:tr w:rsidR="00180653" w:rsidRPr="00180653" w14:paraId="49C6CBFA" w14:textId="77777777" w:rsidTr="0022057B">
        <w:trPr>
          <w:trHeight w:val="287"/>
        </w:trPr>
        <w:tc>
          <w:tcPr>
            <w:tcW w:w="2835" w:type="dxa"/>
            <w:noWrap/>
            <w:vAlign w:val="center"/>
            <w:hideMark/>
          </w:tcPr>
          <w:p w14:paraId="3E650311"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CARBONyatra</w:t>
            </w:r>
            <w:proofErr w:type="spellEnd"/>
            <w:r w:rsidRPr="00180653">
              <w:rPr>
                <w:rFonts w:eastAsia="Times New Roman" w:cs="Arial"/>
                <w:color w:val="000000"/>
                <w:lang w:eastAsia="el-GR"/>
              </w:rPr>
              <w:t xml:space="preserve"> </w:t>
            </w:r>
          </w:p>
        </w:tc>
        <w:tc>
          <w:tcPr>
            <w:tcW w:w="3686" w:type="dxa"/>
            <w:noWrap/>
            <w:hideMark/>
          </w:tcPr>
          <w:p w14:paraId="44336D48" w14:textId="77777777" w:rsidR="00180653" w:rsidRPr="00180653" w:rsidRDefault="003B0DE2" w:rsidP="00180653">
            <w:pPr>
              <w:jc w:val="left"/>
              <w:rPr>
                <w:rFonts w:eastAsia="Times New Roman" w:cs="Arial"/>
                <w:color w:val="0563C1"/>
                <w:u w:val="single"/>
                <w:lang w:eastAsia="el-GR"/>
              </w:rPr>
            </w:pPr>
            <w:hyperlink r:id="rId194" w:history="1">
              <w:r w:rsidR="00180653" w:rsidRPr="00180653">
                <w:rPr>
                  <w:rFonts w:eastAsia="Times New Roman" w:cs="Arial"/>
                  <w:color w:val="0563C1"/>
                  <w:u w:val="single"/>
                  <w:lang w:eastAsia="el-GR"/>
                </w:rPr>
                <w:t xml:space="preserve">www.carbonyatra.com </w:t>
              </w:r>
            </w:hyperlink>
          </w:p>
        </w:tc>
        <w:tc>
          <w:tcPr>
            <w:tcW w:w="1843" w:type="dxa"/>
            <w:noWrap/>
            <w:vAlign w:val="center"/>
            <w:hideMark/>
          </w:tcPr>
          <w:p w14:paraId="03F42F4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India</w:t>
            </w:r>
          </w:p>
        </w:tc>
      </w:tr>
      <w:tr w:rsidR="00180653" w:rsidRPr="00180653" w14:paraId="567BDD33" w14:textId="77777777" w:rsidTr="0022057B">
        <w:trPr>
          <w:trHeight w:val="287"/>
        </w:trPr>
        <w:tc>
          <w:tcPr>
            <w:tcW w:w="2835" w:type="dxa"/>
            <w:noWrap/>
            <w:vAlign w:val="center"/>
            <w:hideMark/>
          </w:tcPr>
          <w:p w14:paraId="6A8C021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CLP Wind Farms (India) Private</w:t>
            </w:r>
          </w:p>
        </w:tc>
        <w:tc>
          <w:tcPr>
            <w:tcW w:w="3686" w:type="dxa"/>
            <w:noWrap/>
            <w:hideMark/>
          </w:tcPr>
          <w:p w14:paraId="18394F7A" w14:textId="77777777" w:rsidR="00180653" w:rsidRPr="00180653" w:rsidRDefault="003B0DE2" w:rsidP="00180653">
            <w:pPr>
              <w:jc w:val="left"/>
              <w:rPr>
                <w:rFonts w:eastAsia="Times New Roman" w:cs="Arial"/>
                <w:color w:val="0563C1"/>
                <w:u w:val="single"/>
                <w:lang w:eastAsia="el-GR"/>
              </w:rPr>
            </w:pPr>
            <w:hyperlink r:id="rId195" w:history="1">
              <w:r w:rsidR="00180653" w:rsidRPr="00180653">
                <w:rPr>
                  <w:rFonts w:eastAsia="Times New Roman" w:cs="Arial"/>
                  <w:color w:val="0563C1"/>
                  <w:u w:val="single"/>
                  <w:lang w:eastAsia="el-GR"/>
                </w:rPr>
                <w:t xml:space="preserve">www.clpindia.in </w:t>
              </w:r>
            </w:hyperlink>
          </w:p>
        </w:tc>
        <w:tc>
          <w:tcPr>
            <w:tcW w:w="1843" w:type="dxa"/>
            <w:noWrap/>
            <w:vAlign w:val="center"/>
            <w:hideMark/>
          </w:tcPr>
          <w:p w14:paraId="69AABF5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India</w:t>
            </w:r>
          </w:p>
        </w:tc>
      </w:tr>
      <w:tr w:rsidR="00180653" w:rsidRPr="00180653" w14:paraId="23AD5A31" w14:textId="77777777" w:rsidTr="0022057B">
        <w:trPr>
          <w:trHeight w:val="287"/>
        </w:trPr>
        <w:tc>
          <w:tcPr>
            <w:tcW w:w="2835" w:type="dxa"/>
            <w:noWrap/>
            <w:vAlign w:val="center"/>
            <w:hideMark/>
          </w:tcPr>
          <w:p w14:paraId="68E1D0E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Hydrologic Social Enterprise Ltd. </w:t>
            </w:r>
          </w:p>
        </w:tc>
        <w:tc>
          <w:tcPr>
            <w:tcW w:w="3686" w:type="dxa"/>
            <w:noWrap/>
            <w:hideMark/>
          </w:tcPr>
          <w:p w14:paraId="3A174266" w14:textId="77777777" w:rsidR="00180653" w:rsidRPr="00180653" w:rsidRDefault="003B0DE2" w:rsidP="00180653">
            <w:pPr>
              <w:jc w:val="left"/>
              <w:rPr>
                <w:rFonts w:eastAsia="Times New Roman" w:cs="Arial"/>
                <w:color w:val="0563C1"/>
                <w:u w:val="single"/>
                <w:lang w:eastAsia="el-GR"/>
              </w:rPr>
            </w:pPr>
            <w:hyperlink r:id="rId196" w:history="1">
              <w:r w:rsidR="00180653" w:rsidRPr="00180653">
                <w:rPr>
                  <w:rFonts w:eastAsia="Times New Roman" w:cs="Arial"/>
                  <w:color w:val="0563C1"/>
                  <w:u w:val="single"/>
                  <w:lang w:eastAsia="el-GR"/>
                </w:rPr>
                <w:t xml:space="preserve">www.hydrologichealth.com </w:t>
              </w:r>
            </w:hyperlink>
          </w:p>
        </w:tc>
        <w:tc>
          <w:tcPr>
            <w:tcW w:w="1843" w:type="dxa"/>
            <w:noWrap/>
            <w:vAlign w:val="center"/>
            <w:hideMark/>
          </w:tcPr>
          <w:p w14:paraId="295B03C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Cambodia</w:t>
            </w:r>
          </w:p>
        </w:tc>
      </w:tr>
      <w:tr w:rsidR="00180653" w:rsidRPr="00180653" w14:paraId="1AC2535A" w14:textId="77777777" w:rsidTr="0022057B">
        <w:trPr>
          <w:trHeight w:val="287"/>
        </w:trPr>
        <w:tc>
          <w:tcPr>
            <w:tcW w:w="2835" w:type="dxa"/>
            <w:noWrap/>
            <w:vAlign w:val="center"/>
            <w:hideMark/>
          </w:tcPr>
          <w:p w14:paraId="4C69BC4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Infinite Solutions </w:t>
            </w:r>
          </w:p>
        </w:tc>
        <w:tc>
          <w:tcPr>
            <w:tcW w:w="3686" w:type="dxa"/>
            <w:noWrap/>
            <w:hideMark/>
          </w:tcPr>
          <w:p w14:paraId="0F69C026" w14:textId="77777777" w:rsidR="00180653" w:rsidRPr="00180653" w:rsidRDefault="003B0DE2" w:rsidP="00180653">
            <w:pPr>
              <w:jc w:val="left"/>
              <w:rPr>
                <w:rFonts w:eastAsia="Times New Roman" w:cs="Arial"/>
                <w:color w:val="0563C1"/>
                <w:u w:val="single"/>
                <w:lang w:eastAsia="el-GR"/>
              </w:rPr>
            </w:pPr>
            <w:hyperlink r:id="rId197" w:history="1">
              <w:r w:rsidR="00180653" w:rsidRPr="00180653">
                <w:rPr>
                  <w:rFonts w:eastAsia="Times New Roman" w:cs="Arial"/>
                  <w:color w:val="0563C1"/>
                  <w:u w:val="single"/>
                  <w:lang w:eastAsia="el-GR"/>
                </w:rPr>
                <w:t xml:space="preserve">www.infisolutions.org </w:t>
              </w:r>
            </w:hyperlink>
          </w:p>
        </w:tc>
        <w:tc>
          <w:tcPr>
            <w:tcW w:w="1843" w:type="dxa"/>
            <w:noWrap/>
            <w:vAlign w:val="center"/>
            <w:hideMark/>
          </w:tcPr>
          <w:p w14:paraId="66FD340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India</w:t>
            </w:r>
          </w:p>
        </w:tc>
      </w:tr>
      <w:tr w:rsidR="00180653" w:rsidRPr="00180653" w14:paraId="72B9D53A" w14:textId="77777777" w:rsidTr="0022057B">
        <w:trPr>
          <w:trHeight w:val="287"/>
        </w:trPr>
        <w:tc>
          <w:tcPr>
            <w:tcW w:w="2835" w:type="dxa"/>
            <w:noWrap/>
            <w:vAlign w:val="center"/>
            <w:hideMark/>
          </w:tcPr>
          <w:p w14:paraId="2C0476DE"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InfiniteEARTH</w:t>
            </w:r>
            <w:proofErr w:type="spellEnd"/>
            <w:r w:rsidRPr="00180653">
              <w:rPr>
                <w:rFonts w:eastAsia="Times New Roman" w:cs="Arial"/>
                <w:color w:val="000000"/>
                <w:lang w:eastAsia="el-GR"/>
              </w:rPr>
              <w:t xml:space="preserve"> Ltd </w:t>
            </w:r>
          </w:p>
        </w:tc>
        <w:tc>
          <w:tcPr>
            <w:tcW w:w="3686" w:type="dxa"/>
            <w:noWrap/>
            <w:hideMark/>
          </w:tcPr>
          <w:p w14:paraId="4250EDF4" w14:textId="77777777" w:rsidR="00180653" w:rsidRPr="00180653" w:rsidRDefault="003B0DE2" w:rsidP="00180653">
            <w:pPr>
              <w:jc w:val="left"/>
              <w:rPr>
                <w:rFonts w:eastAsia="Times New Roman" w:cs="Arial"/>
                <w:color w:val="0563C1"/>
                <w:u w:val="single"/>
                <w:lang w:eastAsia="el-GR"/>
              </w:rPr>
            </w:pPr>
            <w:hyperlink r:id="rId198" w:history="1">
              <w:r w:rsidR="00180653" w:rsidRPr="00180653">
                <w:rPr>
                  <w:rFonts w:eastAsia="Times New Roman" w:cs="Arial"/>
                  <w:color w:val="0563C1"/>
                  <w:u w:val="single"/>
                  <w:lang w:eastAsia="el-GR"/>
                </w:rPr>
                <w:t xml:space="preserve">www.infinite-earth.com </w:t>
              </w:r>
            </w:hyperlink>
          </w:p>
        </w:tc>
        <w:tc>
          <w:tcPr>
            <w:tcW w:w="1843" w:type="dxa"/>
            <w:noWrap/>
            <w:vAlign w:val="center"/>
            <w:hideMark/>
          </w:tcPr>
          <w:p w14:paraId="35C5722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Hong Kong</w:t>
            </w:r>
          </w:p>
        </w:tc>
      </w:tr>
      <w:tr w:rsidR="00180653" w:rsidRPr="00180653" w14:paraId="52A57645" w14:textId="77777777" w:rsidTr="0022057B">
        <w:trPr>
          <w:trHeight w:val="287"/>
        </w:trPr>
        <w:tc>
          <w:tcPr>
            <w:tcW w:w="2835" w:type="dxa"/>
            <w:noWrap/>
            <w:vAlign w:val="center"/>
            <w:hideMark/>
          </w:tcPr>
          <w:p w14:paraId="5E360AB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Korea Energy Agency</w:t>
            </w:r>
          </w:p>
        </w:tc>
        <w:tc>
          <w:tcPr>
            <w:tcW w:w="3686" w:type="dxa"/>
            <w:noWrap/>
            <w:hideMark/>
          </w:tcPr>
          <w:p w14:paraId="5A45865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 </w:t>
            </w:r>
            <w:hyperlink r:id="rId199" w:history="1">
              <w:r w:rsidRPr="00180653">
                <w:rPr>
                  <w:rFonts w:eastAsia="Times New Roman" w:cs="Arial"/>
                  <w:color w:val="0000FF"/>
                  <w:u w:val="single"/>
                  <w:lang w:eastAsia="el-GR"/>
                </w:rPr>
                <w:t>http://www.energy.or.kr</w:t>
              </w:r>
            </w:hyperlink>
          </w:p>
        </w:tc>
        <w:tc>
          <w:tcPr>
            <w:tcW w:w="1843" w:type="dxa"/>
            <w:noWrap/>
            <w:vAlign w:val="center"/>
            <w:hideMark/>
          </w:tcPr>
          <w:p w14:paraId="383E8C9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Korea</w:t>
            </w:r>
          </w:p>
        </w:tc>
      </w:tr>
      <w:tr w:rsidR="00180653" w:rsidRPr="00180653" w14:paraId="75FD8E5F" w14:textId="77777777" w:rsidTr="0022057B">
        <w:trPr>
          <w:trHeight w:val="287"/>
        </w:trPr>
        <w:tc>
          <w:tcPr>
            <w:tcW w:w="2835" w:type="dxa"/>
            <w:noWrap/>
            <w:vAlign w:val="center"/>
            <w:hideMark/>
          </w:tcPr>
          <w:p w14:paraId="30B70BF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MAFF/National Biodigester </w:t>
            </w:r>
            <w:proofErr w:type="spellStart"/>
            <w:r w:rsidRPr="00180653">
              <w:rPr>
                <w:rFonts w:eastAsia="Times New Roman" w:cs="Arial"/>
                <w:color w:val="000000"/>
                <w:lang w:eastAsia="el-GR"/>
              </w:rPr>
              <w:t>Programme</w:t>
            </w:r>
            <w:proofErr w:type="spellEnd"/>
          </w:p>
        </w:tc>
        <w:tc>
          <w:tcPr>
            <w:tcW w:w="3686" w:type="dxa"/>
            <w:noWrap/>
            <w:hideMark/>
          </w:tcPr>
          <w:p w14:paraId="795390FE" w14:textId="77777777" w:rsidR="00180653" w:rsidRPr="00180653" w:rsidRDefault="003B0DE2" w:rsidP="00180653">
            <w:pPr>
              <w:jc w:val="left"/>
              <w:rPr>
                <w:rFonts w:eastAsia="Times New Roman" w:cs="Arial"/>
                <w:color w:val="0563C1"/>
                <w:u w:val="single"/>
                <w:lang w:eastAsia="el-GR"/>
              </w:rPr>
            </w:pPr>
            <w:hyperlink r:id="rId200" w:history="1">
              <w:r w:rsidR="00180653" w:rsidRPr="00180653">
                <w:rPr>
                  <w:rFonts w:eastAsia="Times New Roman" w:cs="Arial"/>
                  <w:color w:val="0563C1"/>
                  <w:u w:val="single"/>
                  <w:lang w:eastAsia="el-GR"/>
                </w:rPr>
                <w:t xml:space="preserve">www.nbp.org.kh </w:t>
              </w:r>
            </w:hyperlink>
          </w:p>
        </w:tc>
        <w:tc>
          <w:tcPr>
            <w:tcW w:w="1843" w:type="dxa"/>
            <w:noWrap/>
            <w:vAlign w:val="center"/>
            <w:hideMark/>
          </w:tcPr>
          <w:p w14:paraId="15EE674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Cambodia</w:t>
            </w:r>
          </w:p>
        </w:tc>
      </w:tr>
      <w:tr w:rsidR="00180653" w:rsidRPr="00180653" w14:paraId="6CF928F4" w14:textId="77777777" w:rsidTr="0022057B">
        <w:trPr>
          <w:trHeight w:val="287"/>
        </w:trPr>
        <w:tc>
          <w:tcPr>
            <w:tcW w:w="2835" w:type="dxa"/>
            <w:noWrap/>
            <w:vAlign w:val="center"/>
            <w:hideMark/>
          </w:tcPr>
          <w:p w14:paraId="1B4BC275"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Microenergy</w:t>
            </w:r>
            <w:proofErr w:type="spellEnd"/>
            <w:r w:rsidRPr="00180653">
              <w:rPr>
                <w:rFonts w:eastAsia="Times New Roman" w:cs="Arial"/>
                <w:color w:val="000000"/>
                <w:lang w:eastAsia="el-GR"/>
              </w:rPr>
              <w:t xml:space="preserve"> Credits </w:t>
            </w:r>
          </w:p>
        </w:tc>
        <w:tc>
          <w:tcPr>
            <w:tcW w:w="3686" w:type="dxa"/>
            <w:noWrap/>
            <w:hideMark/>
          </w:tcPr>
          <w:p w14:paraId="446FC45E" w14:textId="77777777" w:rsidR="00180653" w:rsidRPr="00180653" w:rsidRDefault="003B0DE2" w:rsidP="00180653">
            <w:pPr>
              <w:jc w:val="left"/>
              <w:rPr>
                <w:rFonts w:eastAsia="Times New Roman" w:cs="Arial"/>
                <w:color w:val="0563C1"/>
                <w:u w:val="single"/>
                <w:lang w:eastAsia="el-GR"/>
              </w:rPr>
            </w:pPr>
            <w:hyperlink r:id="rId201" w:history="1">
              <w:r w:rsidR="00180653" w:rsidRPr="00180653">
                <w:rPr>
                  <w:rFonts w:eastAsia="Times New Roman" w:cs="Arial"/>
                  <w:color w:val="0563C1"/>
                  <w:u w:val="single"/>
                  <w:lang w:eastAsia="el-GR"/>
                </w:rPr>
                <w:t xml:space="preserve">www.microenergycredits.com </w:t>
              </w:r>
            </w:hyperlink>
          </w:p>
        </w:tc>
        <w:tc>
          <w:tcPr>
            <w:tcW w:w="1843" w:type="dxa"/>
            <w:noWrap/>
            <w:vAlign w:val="center"/>
            <w:hideMark/>
          </w:tcPr>
          <w:p w14:paraId="0ECD170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India</w:t>
            </w:r>
          </w:p>
        </w:tc>
      </w:tr>
      <w:tr w:rsidR="00180653" w:rsidRPr="00180653" w14:paraId="7D8EDB69" w14:textId="77777777" w:rsidTr="0022057B">
        <w:trPr>
          <w:trHeight w:val="287"/>
        </w:trPr>
        <w:tc>
          <w:tcPr>
            <w:tcW w:w="2835" w:type="dxa"/>
            <w:noWrap/>
            <w:vAlign w:val="center"/>
            <w:hideMark/>
          </w:tcPr>
          <w:p w14:paraId="2DA5086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Nexus - Carbon for Development Overseas Environmental</w:t>
            </w:r>
          </w:p>
        </w:tc>
        <w:tc>
          <w:tcPr>
            <w:tcW w:w="3686" w:type="dxa"/>
            <w:noWrap/>
            <w:hideMark/>
          </w:tcPr>
          <w:p w14:paraId="2F416477" w14:textId="77777777" w:rsidR="00180653" w:rsidRPr="00180653" w:rsidRDefault="003B0DE2" w:rsidP="00180653">
            <w:pPr>
              <w:jc w:val="left"/>
              <w:rPr>
                <w:rFonts w:eastAsia="Times New Roman" w:cs="Arial"/>
                <w:color w:val="0563C1"/>
                <w:u w:val="single"/>
                <w:lang w:eastAsia="el-GR"/>
              </w:rPr>
            </w:pPr>
            <w:hyperlink r:id="rId202" w:history="1">
              <w:r w:rsidR="00180653" w:rsidRPr="00180653">
                <w:rPr>
                  <w:rFonts w:eastAsia="Times New Roman" w:cs="Arial"/>
                  <w:color w:val="0563C1"/>
                  <w:u w:val="single"/>
                  <w:lang w:eastAsia="el-GR"/>
                </w:rPr>
                <w:t xml:space="preserve">www.nexus-c4d.org </w:t>
              </w:r>
            </w:hyperlink>
          </w:p>
        </w:tc>
        <w:tc>
          <w:tcPr>
            <w:tcW w:w="1843" w:type="dxa"/>
            <w:noWrap/>
            <w:vAlign w:val="center"/>
            <w:hideMark/>
          </w:tcPr>
          <w:p w14:paraId="7AB7F06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Singapore</w:t>
            </w:r>
          </w:p>
        </w:tc>
      </w:tr>
      <w:tr w:rsidR="00180653" w:rsidRPr="00180653" w14:paraId="4A528AEE" w14:textId="77777777" w:rsidTr="0022057B">
        <w:trPr>
          <w:trHeight w:val="287"/>
        </w:trPr>
        <w:tc>
          <w:tcPr>
            <w:tcW w:w="2835" w:type="dxa"/>
            <w:noWrap/>
            <w:vAlign w:val="center"/>
            <w:hideMark/>
          </w:tcPr>
          <w:p w14:paraId="6C84414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Cooperation Center - JCREDIT </w:t>
            </w:r>
          </w:p>
        </w:tc>
        <w:tc>
          <w:tcPr>
            <w:tcW w:w="3686" w:type="dxa"/>
            <w:noWrap/>
            <w:hideMark/>
          </w:tcPr>
          <w:p w14:paraId="28CA3869" w14:textId="77777777" w:rsidR="00180653" w:rsidRPr="00180653" w:rsidRDefault="003B0DE2" w:rsidP="00180653">
            <w:pPr>
              <w:jc w:val="left"/>
              <w:rPr>
                <w:rFonts w:eastAsia="Times New Roman" w:cs="Arial"/>
                <w:color w:val="0563C1"/>
                <w:u w:val="single"/>
                <w:lang w:eastAsia="el-GR"/>
              </w:rPr>
            </w:pPr>
            <w:hyperlink r:id="rId203" w:history="1">
              <w:r w:rsidR="00180653" w:rsidRPr="00180653">
                <w:rPr>
                  <w:rFonts w:eastAsia="Times New Roman" w:cs="Arial"/>
                  <w:color w:val="0563C1"/>
                  <w:u w:val="single"/>
                  <w:lang w:eastAsia="el-GR"/>
                </w:rPr>
                <w:t xml:space="preserve">www.oecc.or.jp </w:t>
              </w:r>
            </w:hyperlink>
          </w:p>
        </w:tc>
        <w:tc>
          <w:tcPr>
            <w:tcW w:w="1843" w:type="dxa"/>
            <w:noWrap/>
            <w:vAlign w:val="center"/>
            <w:hideMark/>
          </w:tcPr>
          <w:p w14:paraId="70E2DD5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Japan</w:t>
            </w:r>
          </w:p>
        </w:tc>
      </w:tr>
      <w:tr w:rsidR="00180653" w:rsidRPr="00180653" w14:paraId="7AD15225" w14:textId="77777777" w:rsidTr="0022057B">
        <w:trPr>
          <w:trHeight w:val="287"/>
        </w:trPr>
        <w:tc>
          <w:tcPr>
            <w:tcW w:w="2835" w:type="dxa"/>
            <w:noWrap/>
            <w:vAlign w:val="center"/>
            <w:hideMark/>
          </w:tcPr>
          <w:p w14:paraId="5BA8A00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PEAR Carbon Offset Initiative </w:t>
            </w:r>
          </w:p>
        </w:tc>
        <w:tc>
          <w:tcPr>
            <w:tcW w:w="3686" w:type="dxa"/>
            <w:noWrap/>
            <w:hideMark/>
          </w:tcPr>
          <w:p w14:paraId="6F0F3481" w14:textId="77777777" w:rsidR="00180653" w:rsidRPr="00180653" w:rsidRDefault="003B0DE2" w:rsidP="00180653">
            <w:pPr>
              <w:jc w:val="left"/>
              <w:rPr>
                <w:rFonts w:eastAsia="Times New Roman" w:cs="Arial"/>
                <w:color w:val="0563C1"/>
                <w:u w:val="single"/>
                <w:lang w:eastAsia="el-GR"/>
              </w:rPr>
            </w:pPr>
            <w:hyperlink r:id="rId204" w:history="1">
              <w:r w:rsidR="00180653" w:rsidRPr="00180653">
                <w:rPr>
                  <w:rFonts w:eastAsia="Times New Roman" w:cs="Arial"/>
                  <w:color w:val="0563C1"/>
                  <w:u w:val="single"/>
                  <w:lang w:eastAsia="el-GR"/>
                </w:rPr>
                <w:t xml:space="preserve">www.pear-carbon-offset.org </w:t>
              </w:r>
            </w:hyperlink>
          </w:p>
        </w:tc>
        <w:tc>
          <w:tcPr>
            <w:tcW w:w="1843" w:type="dxa"/>
            <w:noWrap/>
            <w:vAlign w:val="center"/>
            <w:hideMark/>
          </w:tcPr>
          <w:p w14:paraId="355E398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Japan</w:t>
            </w:r>
          </w:p>
        </w:tc>
      </w:tr>
      <w:tr w:rsidR="00180653" w:rsidRPr="00180653" w14:paraId="4B13AE8D" w14:textId="77777777" w:rsidTr="0022057B">
        <w:trPr>
          <w:trHeight w:val="287"/>
        </w:trPr>
        <w:tc>
          <w:tcPr>
            <w:tcW w:w="2835" w:type="dxa"/>
            <w:noWrap/>
            <w:vAlign w:val="center"/>
            <w:hideMark/>
          </w:tcPr>
          <w:p w14:paraId="4B49437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lastRenderedPageBreak/>
              <w:t xml:space="preserve">Shan Shui Conservation Center </w:t>
            </w:r>
          </w:p>
        </w:tc>
        <w:tc>
          <w:tcPr>
            <w:tcW w:w="3686" w:type="dxa"/>
            <w:noWrap/>
            <w:hideMark/>
          </w:tcPr>
          <w:p w14:paraId="54ACEC0A" w14:textId="77777777" w:rsidR="00180653" w:rsidRPr="00180653" w:rsidRDefault="003B0DE2" w:rsidP="00180653">
            <w:pPr>
              <w:jc w:val="left"/>
              <w:rPr>
                <w:rFonts w:eastAsia="Times New Roman" w:cs="Arial"/>
                <w:color w:val="0563C1"/>
                <w:u w:val="single"/>
                <w:lang w:eastAsia="el-GR"/>
              </w:rPr>
            </w:pPr>
            <w:hyperlink r:id="rId205" w:history="1">
              <w:r w:rsidR="00180653" w:rsidRPr="00180653">
                <w:rPr>
                  <w:rFonts w:eastAsia="Times New Roman" w:cs="Arial"/>
                  <w:color w:val="0563C1"/>
                  <w:u w:val="single"/>
                  <w:lang w:eastAsia="el-GR"/>
                </w:rPr>
                <w:t xml:space="preserve">www.shanshui.org </w:t>
              </w:r>
            </w:hyperlink>
          </w:p>
        </w:tc>
        <w:tc>
          <w:tcPr>
            <w:tcW w:w="1843" w:type="dxa"/>
            <w:noWrap/>
            <w:vAlign w:val="center"/>
            <w:hideMark/>
          </w:tcPr>
          <w:p w14:paraId="08E818F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China</w:t>
            </w:r>
          </w:p>
        </w:tc>
      </w:tr>
      <w:tr w:rsidR="00180653" w:rsidRPr="00180653" w14:paraId="2800FAA1" w14:textId="77777777" w:rsidTr="0022057B">
        <w:trPr>
          <w:trHeight w:val="287"/>
        </w:trPr>
        <w:tc>
          <w:tcPr>
            <w:tcW w:w="2835" w:type="dxa"/>
            <w:noWrap/>
            <w:vAlign w:val="center"/>
            <w:hideMark/>
          </w:tcPr>
          <w:p w14:paraId="4D1C2EBD"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Sindicatum</w:t>
            </w:r>
            <w:proofErr w:type="spellEnd"/>
            <w:r w:rsidRPr="00180653">
              <w:rPr>
                <w:rFonts w:eastAsia="Times New Roman" w:cs="Arial"/>
                <w:color w:val="000000"/>
                <w:lang w:eastAsia="el-GR"/>
              </w:rPr>
              <w:t xml:space="preserve"> Sustainable Resources </w:t>
            </w:r>
          </w:p>
        </w:tc>
        <w:tc>
          <w:tcPr>
            <w:tcW w:w="3686" w:type="dxa"/>
            <w:noWrap/>
            <w:hideMark/>
          </w:tcPr>
          <w:p w14:paraId="4D39E87E" w14:textId="77777777" w:rsidR="00180653" w:rsidRPr="00180653" w:rsidRDefault="003B0DE2" w:rsidP="00180653">
            <w:pPr>
              <w:jc w:val="left"/>
              <w:rPr>
                <w:rFonts w:eastAsia="Times New Roman" w:cs="Arial"/>
                <w:color w:val="0563C1"/>
                <w:u w:val="single"/>
                <w:lang w:eastAsia="el-GR"/>
              </w:rPr>
            </w:pPr>
            <w:hyperlink r:id="rId206" w:history="1">
              <w:r w:rsidR="00180653" w:rsidRPr="00180653">
                <w:rPr>
                  <w:rFonts w:eastAsia="Times New Roman" w:cs="Arial"/>
                  <w:color w:val="0563C1"/>
                  <w:u w:val="single"/>
                  <w:lang w:eastAsia="el-GR"/>
                </w:rPr>
                <w:t xml:space="preserve">www.sindicatum.com </w:t>
              </w:r>
            </w:hyperlink>
          </w:p>
        </w:tc>
        <w:tc>
          <w:tcPr>
            <w:tcW w:w="1843" w:type="dxa"/>
            <w:noWrap/>
            <w:vAlign w:val="center"/>
            <w:hideMark/>
          </w:tcPr>
          <w:p w14:paraId="41990FD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Singapore</w:t>
            </w:r>
          </w:p>
        </w:tc>
      </w:tr>
      <w:tr w:rsidR="00180653" w:rsidRPr="00180653" w14:paraId="617E331A" w14:textId="77777777" w:rsidTr="0022057B">
        <w:trPr>
          <w:trHeight w:val="287"/>
        </w:trPr>
        <w:tc>
          <w:tcPr>
            <w:tcW w:w="2835" w:type="dxa"/>
            <w:noWrap/>
            <w:vAlign w:val="center"/>
            <w:hideMark/>
          </w:tcPr>
          <w:p w14:paraId="489BB85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SKG SANGHA </w:t>
            </w:r>
          </w:p>
        </w:tc>
        <w:tc>
          <w:tcPr>
            <w:tcW w:w="3686" w:type="dxa"/>
            <w:noWrap/>
            <w:hideMark/>
          </w:tcPr>
          <w:p w14:paraId="18FB06B8" w14:textId="77777777" w:rsidR="00180653" w:rsidRPr="00180653" w:rsidRDefault="003B0DE2" w:rsidP="00180653">
            <w:pPr>
              <w:jc w:val="left"/>
              <w:rPr>
                <w:rFonts w:eastAsia="Times New Roman" w:cs="Arial"/>
                <w:color w:val="0563C1"/>
                <w:u w:val="single"/>
                <w:lang w:eastAsia="el-GR"/>
              </w:rPr>
            </w:pPr>
            <w:hyperlink r:id="rId207" w:history="1">
              <w:r w:rsidR="00180653" w:rsidRPr="00180653">
                <w:rPr>
                  <w:rFonts w:eastAsia="Times New Roman" w:cs="Arial"/>
                  <w:color w:val="0563C1"/>
                  <w:u w:val="single"/>
                  <w:lang w:eastAsia="el-GR"/>
                </w:rPr>
                <w:t xml:space="preserve">www.skgsangha.org </w:t>
              </w:r>
            </w:hyperlink>
          </w:p>
        </w:tc>
        <w:tc>
          <w:tcPr>
            <w:tcW w:w="1843" w:type="dxa"/>
            <w:noWrap/>
            <w:vAlign w:val="center"/>
            <w:hideMark/>
          </w:tcPr>
          <w:p w14:paraId="713D8E0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India</w:t>
            </w:r>
          </w:p>
        </w:tc>
      </w:tr>
      <w:tr w:rsidR="00180653" w:rsidRPr="00180653" w14:paraId="3AB8D208" w14:textId="77777777" w:rsidTr="0022057B">
        <w:trPr>
          <w:trHeight w:val="287"/>
        </w:trPr>
        <w:tc>
          <w:tcPr>
            <w:tcW w:w="2835" w:type="dxa"/>
            <w:noWrap/>
            <w:vAlign w:val="center"/>
            <w:hideMark/>
          </w:tcPr>
          <w:p w14:paraId="417B4BD4"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Tamiladu</w:t>
            </w:r>
            <w:proofErr w:type="spellEnd"/>
            <w:r w:rsidRPr="00180653">
              <w:rPr>
                <w:rFonts w:eastAsia="Times New Roman" w:cs="Arial"/>
                <w:color w:val="000000"/>
                <w:lang w:eastAsia="el-GR"/>
              </w:rPr>
              <w:t xml:space="preserve"> Spinning Mills Association (TASMA)</w:t>
            </w:r>
          </w:p>
        </w:tc>
        <w:tc>
          <w:tcPr>
            <w:tcW w:w="3686" w:type="dxa"/>
            <w:noWrap/>
            <w:hideMark/>
          </w:tcPr>
          <w:p w14:paraId="3218E69F" w14:textId="77777777" w:rsidR="00180653" w:rsidRPr="00180653" w:rsidRDefault="003B0DE2" w:rsidP="00180653">
            <w:pPr>
              <w:jc w:val="left"/>
              <w:rPr>
                <w:rFonts w:eastAsia="Times New Roman" w:cs="Arial"/>
                <w:color w:val="0563C1"/>
                <w:u w:val="single"/>
                <w:lang w:eastAsia="el-GR"/>
              </w:rPr>
            </w:pPr>
            <w:hyperlink r:id="rId208" w:history="1">
              <w:r w:rsidR="00180653" w:rsidRPr="00180653">
                <w:rPr>
                  <w:rFonts w:eastAsia="Times New Roman" w:cs="Arial"/>
                  <w:color w:val="0563C1"/>
                  <w:u w:val="single"/>
                  <w:lang w:eastAsia="el-GR"/>
                </w:rPr>
                <w:t>www.tasma.in</w:t>
              </w:r>
            </w:hyperlink>
          </w:p>
        </w:tc>
        <w:tc>
          <w:tcPr>
            <w:tcW w:w="1843" w:type="dxa"/>
            <w:noWrap/>
            <w:vAlign w:val="center"/>
            <w:hideMark/>
          </w:tcPr>
          <w:p w14:paraId="00543D1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India</w:t>
            </w:r>
          </w:p>
        </w:tc>
      </w:tr>
      <w:tr w:rsidR="00180653" w:rsidRPr="00180653" w14:paraId="0094DFB7" w14:textId="77777777" w:rsidTr="0022057B">
        <w:trPr>
          <w:trHeight w:val="287"/>
        </w:trPr>
        <w:tc>
          <w:tcPr>
            <w:tcW w:w="2835" w:type="dxa"/>
            <w:noWrap/>
            <w:vAlign w:val="center"/>
            <w:hideMark/>
          </w:tcPr>
          <w:p w14:paraId="5F5E509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The Carbon Consulting Company </w:t>
            </w:r>
          </w:p>
        </w:tc>
        <w:tc>
          <w:tcPr>
            <w:tcW w:w="3686" w:type="dxa"/>
            <w:noWrap/>
            <w:hideMark/>
          </w:tcPr>
          <w:p w14:paraId="4047080D" w14:textId="77777777" w:rsidR="00180653" w:rsidRPr="00180653" w:rsidRDefault="003B0DE2" w:rsidP="00180653">
            <w:pPr>
              <w:jc w:val="left"/>
              <w:rPr>
                <w:rFonts w:eastAsia="Times New Roman" w:cs="Arial"/>
                <w:color w:val="0563C1"/>
                <w:u w:val="single"/>
                <w:lang w:eastAsia="el-GR"/>
              </w:rPr>
            </w:pPr>
            <w:hyperlink r:id="rId209" w:history="1">
              <w:r w:rsidR="00180653" w:rsidRPr="00180653">
                <w:rPr>
                  <w:rFonts w:eastAsia="Times New Roman" w:cs="Arial"/>
                  <w:color w:val="0563C1"/>
                  <w:u w:val="single"/>
                  <w:lang w:eastAsia="el-GR"/>
                </w:rPr>
                <w:t xml:space="preserve">www.carbonconsultingcompany.com </w:t>
              </w:r>
            </w:hyperlink>
          </w:p>
        </w:tc>
        <w:tc>
          <w:tcPr>
            <w:tcW w:w="1843" w:type="dxa"/>
            <w:noWrap/>
            <w:vAlign w:val="center"/>
            <w:hideMark/>
          </w:tcPr>
          <w:p w14:paraId="000CA7F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Sri Lanka</w:t>
            </w:r>
          </w:p>
        </w:tc>
      </w:tr>
      <w:tr w:rsidR="00180653" w:rsidRPr="00180653" w14:paraId="0542AA79" w14:textId="77777777" w:rsidTr="0022057B">
        <w:trPr>
          <w:trHeight w:val="287"/>
        </w:trPr>
        <w:tc>
          <w:tcPr>
            <w:tcW w:w="2835" w:type="dxa"/>
            <w:noWrap/>
            <w:vAlign w:val="center"/>
            <w:hideMark/>
          </w:tcPr>
          <w:p w14:paraId="6A57244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Think Green </w:t>
            </w:r>
          </w:p>
        </w:tc>
        <w:tc>
          <w:tcPr>
            <w:tcW w:w="3686" w:type="dxa"/>
            <w:noWrap/>
            <w:hideMark/>
          </w:tcPr>
          <w:p w14:paraId="2C18AE01" w14:textId="77777777" w:rsidR="00180653" w:rsidRPr="00180653" w:rsidRDefault="00180653" w:rsidP="00180653">
            <w:pPr>
              <w:jc w:val="left"/>
              <w:rPr>
                <w:rFonts w:eastAsia="Times New Roman" w:cs="Arial"/>
                <w:color w:val="000000"/>
                <w:lang w:eastAsia="el-GR"/>
              </w:rPr>
            </w:pPr>
          </w:p>
        </w:tc>
        <w:tc>
          <w:tcPr>
            <w:tcW w:w="1843" w:type="dxa"/>
            <w:noWrap/>
            <w:vAlign w:val="center"/>
            <w:hideMark/>
          </w:tcPr>
          <w:p w14:paraId="49D82CF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Pakistan</w:t>
            </w:r>
          </w:p>
        </w:tc>
      </w:tr>
      <w:tr w:rsidR="00180653" w:rsidRPr="00180653" w14:paraId="448A2DA7" w14:textId="77777777" w:rsidTr="0022057B">
        <w:trPr>
          <w:trHeight w:val="287"/>
        </w:trPr>
        <w:tc>
          <w:tcPr>
            <w:tcW w:w="2835" w:type="dxa"/>
            <w:noWrap/>
            <w:vAlign w:val="center"/>
            <w:hideMark/>
          </w:tcPr>
          <w:p w14:paraId="69929F2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Value Network Venture Advisory Services LLP </w:t>
            </w:r>
          </w:p>
        </w:tc>
        <w:tc>
          <w:tcPr>
            <w:tcW w:w="3686" w:type="dxa"/>
            <w:noWrap/>
            <w:hideMark/>
          </w:tcPr>
          <w:p w14:paraId="38F061AD" w14:textId="77777777" w:rsidR="00180653" w:rsidRPr="00180653" w:rsidRDefault="003B0DE2" w:rsidP="00180653">
            <w:pPr>
              <w:jc w:val="left"/>
              <w:rPr>
                <w:rFonts w:eastAsia="Times New Roman" w:cs="Arial"/>
                <w:color w:val="0563C1"/>
                <w:u w:val="single"/>
                <w:lang w:eastAsia="el-GR"/>
              </w:rPr>
            </w:pPr>
            <w:hyperlink r:id="rId210" w:history="1">
              <w:r w:rsidR="00180653" w:rsidRPr="00180653">
                <w:rPr>
                  <w:rFonts w:eastAsia="Times New Roman" w:cs="Arial"/>
                  <w:color w:val="0563C1"/>
                  <w:u w:val="single"/>
                  <w:lang w:eastAsia="el-GR"/>
                </w:rPr>
                <w:t xml:space="preserve">www.vnvadvisory.com </w:t>
              </w:r>
            </w:hyperlink>
          </w:p>
        </w:tc>
        <w:tc>
          <w:tcPr>
            <w:tcW w:w="1843" w:type="dxa"/>
            <w:noWrap/>
            <w:vAlign w:val="center"/>
            <w:hideMark/>
          </w:tcPr>
          <w:p w14:paraId="78E000C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India</w:t>
            </w:r>
          </w:p>
        </w:tc>
      </w:tr>
      <w:tr w:rsidR="00180653" w:rsidRPr="00180653" w14:paraId="74CCBDDE" w14:textId="77777777" w:rsidTr="0022057B">
        <w:trPr>
          <w:trHeight w:val="287"/>
        </w:trPr>
        <w:tc>
          <w:tcPr>
            <w:tcW w:w="2835" w:type="dxa"/>
            <w:noWrap/>
            <w:vAlign w:val="center"/>
            <w:hideMark/>
          </w:tcPr>
          <w:p w14:paraId="0406406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Vert Conservation PTE LTD </w:t>
            </w:r>
          </w:p>
        </w:tc>
        <w:tc>
          <w:tcPr>
            <w:tcW w:w="3686" w:type="dxa"/>
            <w:noWrap/>
            <w:hideMark/>
          </w:tcPr>
          <w:p w14:paraId="7EE175FF" w14:textId="77777777" w:rsidR="00180653" w:rsidRPr="00180653" w:rsidRDefault="003B0DE2" w:rsidP="00180653">
            <w:pPr>
              <w:jc w:val="left"/>
              <w:rPr>
                <w:rFonts w:eastAsia="Times New Roman" w:cs="Arial"/>
                <w:color w:val="0563C1"/>
                <w:u w:val="single"/>
                <w:lang w:eastAsia="el-GR"/>
              </w:rPr>
            </w:pPr>
            <w:hyperlink r:id="rId211" w:history="1">
              <w:r w:rsidR="00180653" w:rsidRPr="00180653">
                <w:rPr>
                  <w:rFonts w:eastAsia="Times New Roman" w:cs="Arial"/>
                  <w:color w:val="0563C1"/>
                  <w:u w:val="single"/>
                  <w:lang w:eastAsia="el-GR"/>
                </w:rPr>
                <w:t xml:space="preserve">www.vertconservation.com </w:t>
              </w:r>
            </w:hyperlink>
          </w:p>
        </w:tc>
        <w:tc>
          <w:tcPr>
            <w:tcW w:w="1843" w:type="dxa"/>
            <w:noWrap/>
            <w:vAlign w:val="center"/>
            <w:hideMark/>
          </w:tcPr>
          <w:p w14:paraId="2A78BBE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Singapore</w:t>
            </w:r>
          </w:p>
        </w:tc>
      </w:tr>
      <w:tr w:rsidR="00180653" w:rsidRPr="00180653" w14:paraId="2D77DF3D" w14:textId="77777777" w:rsidTr="0022057B">
        <w:trPr>
          <w:trHeight w:val="287"/>
        </w:trPr>
        <w:tc>
          <w:tcPr>
            <w:tcW w:w="2835" w:type="dxa"/>
            <w:noWrap/>
            <w:vAlign w:val="center"/>
            <w:hideMark/>
          </w:tcPr>
          <w:p w14:paraId="6D9CD5A5" w14:textId="77777777" w:rsidR="00180653" w:rsidRPr="00180653" w:rsidRDefault="00180653" w:rsidP="00180653">
            <w:pPr>
              <w:jc w:val="left"/>
              <w:rPr>
                <w:rFonts w:eastAsia="Times New Roman" w:cs="Arial"/>
                <w:b/>
                <w:bCs/>
                <w:color w:val="000000"/>
                <w:lang w:eastAsia="el-GR"/>
              </w:rPr>
            </w:pPr>
            <w:r w:rsidRPr="00180653">
              <w:rPr>
                <w:rFonts w:eastAsia="Times New Roman" w:cs="Arial"/>
                <w:b/>
                <w:bCs/>
                <w:color w:val="000000"/>
                <w:lang w:eastAsia="el-GR"/>
              </w:rPr>
              <w:t>Europe</w:t>
            </w:r>
          </w:p>
        </w:tc>
        <w:tc>
          <w:tcPr>
            <w:tcW w:w="3686" w:type="dxa"/>
            <w:noWrap/>
            <w:hideMark/>
          </w:tcPr>
          <w:p w14:paraId="34BD1FA4" w14:textId="77777777" w:rsidR="00180653" w:rsidRPr="00180653" w:rsidRDefault="00180653" w:rsidP="00180653">
            <w:pPr>
              <w:jc w:val="left"/>
              <w:rPr>
                <w:rFonts w:eastAsia="Times New Roman" w:cs="Arial"/>
                <w:b/>
                <w:bCs/>
                <w:color w:val="000000"/>
                <w:lang w:eastAsia="el-GR"/>
              </w:rPr>
            </w:pPr>
          </w:p>
        </w:tc>
        <w:tc>
          <w:tcPr>
            <w:tcW w:w="1843" w:type="dxa"/>
            <w:noWrap/>
            <w:vAlign w:val="center"/>
            <w:hideMark/>
          </w:tcPr>
          <w:p w14:paraId="5673A46D" w14:textId="77777777" w:rsidR="00180653" w:rsidRPr="00180653" w:rsidRDefault="00180653" w:rsidP="00180653">
            <w:pPr>
              <w:jc w:val="left"/>
              <w:rPr>
                <w:rFonts w:eastAsia="Times New Roman" w:cs="Arial"/>
                <w:lang w:eastAsia="el-GR"/>
              </w:rPr>
            </w:pPr>
          </w:p>
        </w:tc>
      </w:tr>
      <w:tr w:rsidR="00180653" w:rsidRPr="00180653" w14:paraId="2FD50B09" w14:textId="77777777" w:rsidTr="0022057B">
        <w:trPr>
          <w:trHeight w:val="287"/>
        </w:trPr>
        <w:tc>
          <w:tcPr>
            <w:tcW w:w="2835" w:type="dxa"/>
            <w:noWrap/>
            <w:vAlign w:val="center"/>
            <w:hideMark/>
          </w:tcPr>
          <w:p w14:paraId="6ABBE16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2050 Consulting </w:t>
            </w:r>
          </w:p>
        </w:tc>
        <w:tc>
          <w:tcPr>
            <w:tcW w:w="3686" w:type="dxa"/>
            <w:noWrap/>
            <w:hideMark/>
          </w:tcPr>
          <w:p w14:paraId="44C2253F" w14:textId="77777777" w:rsidR="00180653" w:rsidRPr="00180653" w:rsidRDefault="003B0DE2" w:rsidP="00180653">
            <w:pPr>
              <w:jc w:val="left"/>
              <w:rPr>
                <w:rFonts w:eastAsia="Times New Roman" w:cs="Arial"/>
                <w:color w:val="0563C1"/>
                <w:u w:val="single"/>
                <w:lang w:eastAsia="el-GR"/>
              </w:rPr>
            </w:pPr>
            <w:hyperlink r:id="rId212" w:history="1">
              <w:r w:rsidR="00180653" w:rsidRPr="00180653">
                <w:rPr>
                  <w:rFonts w:eastAsia="Times New Roman" w:cs="Arial"/>
                  <w:color w:val="0563C1"/>
                  <w:u w:val="single"/>
                  <w:lang w:eastAsia="el-GR"/>
                </w:rPr>
                <w:t xml:space="preserve">www.2050.se </w:t>
              </w:r>
            </w:hyperlink>
          </w:p>
        </w:tc>
        <w:tc>
          <w:tcPr>
            <w:tcW w:w="1843" w:type="dxa"/>
            <w:noWrap/>
            <w:vAlign w:val="center"/>
            <w:hideMark/>
          </w:tcPr>
          <w:p w14:paraId="671BC80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Sweden</w:t>
            </w:r>
          </w:p>
        </w:tc>
      </w:tr>
      <w:tr w:rsidR="00180653" w:rsidRPr="00180653" w14:paraId="63D434DB" w14:textId="77777777" w:rsidTr="0022057B">
        <w:trPr>
          <w:trHeight w:val="287"/>
        </w:trPr>
        <w:tc>
          <w:tcPr>
            <w:tcW w:w="2835" w:type="dxa"/>
            <w:noWrap/>
            <w:vAlign w:val="center"/>
            <w:hideMark/>
          </w:tcPr>
          <w:p w14:paraId="1B1519F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Aera Group </w:t>
            </w:r>
          </w:p>
        </w:tc>
        <w:tc>
          <w:tcPr>
            <w:tcW w:w="3686" w:type="dxa"/>
            <w:noWrap/>
            <w:hideMark/>
          </w:tcPr>
          <w:p w14:paraId="1392977D" w14:textId="77777777" w:rsidR="00180653" w:rsidRPr="00180653" w:rsidRDefault="003B0DE2" w:rsidP="00180653">
            <w:pPr>
              <w:jc w:val="left"/>
              <w:rPr>
                <w:rFonts w:eastAsia="Times New Roman" w:cs="Arial"/>
                <w:color w:val="000000"/>
                <w:lang w:eastAsia="el-GR"/>
              </w:rPr>
            </w:pPr>
            <w:hyperlink r:id="rId213" w:history="1">
              <w:r w:rsidR="00180653" w:rsidRPr="00180653">
                <w:rPr>
                  <w:rFonts w:eastAsia="Times New Roman" w:cs="Arial"/>
                  <w:color w:val="0000FF"/>
                  <w:u w:val="single"/>
                  <w:lang w:eastAsia="el-GR"/>
                </w:rPr>
                <w:t>aera-group.fr</w:t>
              </w:r>
            </w:hyperlink>
            <w:r w:rsidR="00180653" w:rsidRPr="00180653">
              <w:rPr>
                <w:rFonts w:eastAsia="Times New Roman" w:cs="Arial"/>
                <w:color w:val="000000"/>
                <w:lang w:eastAsia="el-GR"/>
              </w:rPr>
              <w:t xml:space="preserve"> </w:t>
            </w:r>
          </w:p>
        </w:tc>
        <w:tc>
          <w:tcPr>
            <w:tcW w:w="1843" w:type="dxa"/>
            <w:noWrap/>
            <w:vAlign w:val="center"/>
            <w:hideMark/>
          </w:tcPr>
          <w:p w14:paraId="79CA601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France</w:t>
            </w:r>
          </w:p>
        </w:tc>
      </w:tr>
      <w:tr w:rsidR="00180653" w:rsidRPr="00180653" w14:paraId="44050CDE" w14:textId="77777777" w:rsidTr="0022057B">
        <w:trPr>
          <w:trHeight w:val="287"/>
        </w:trPr>
        <w:tc>
          <w:tcPr>
            <w:tcW w:w="2835" w:type="dxa"/>
            <w:noWrap/>
            <w:vAlign w:val="center"/>
            <w:hideMark/>
          </w:tcPr>
          <w:p w14:paraId="5EFC96E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ALLCOT Group </w:t>
            </w:r>
          </w:p>
        </w:tc>
        <w:tc>
          <w:tcPr>
            <w:tcW w:w="3686" w:type="dxa"/>
            <w:noWrap/>
            <w:hideMark/>
          </w:tcPr>
          <w:p w14:paraId="1B3580CC" w14:textId="77777777" w:rsidR="00180653" w:rsidRPr="00180653" w:rsidRDefault="003B0DE2" w:rsidP="00180653">
            <w:pPr>
              <w:jc w:val="left"/>
              <w:rPr>
                <w:rFonts w:eastAsia="Times New Roman" w:cs="Arial"/>
                <w:color w:val="0563C1"/>
                <w:u w:val="single"/>
                <w:lang w:eastAsia="el-GR"/>
              </w:rPr>
            </w:pPr>
            <w:hyperlink r:id="rId214" w:history="1">
              <w:r w:rsidR="00180653" w:rsidRPr="00180653">
                <w:rPr>
                  <w:rFonts w:eastAsia="Times New Roman" w:cs="Arial"/>
                  <w:color w:val="0563C1"/>
                  <w:u w:val="single"/>
                  <w:lang w:eastAsia="el-GR"/>
                </w:rPr>
                <w:t xml:space="preserve">www.allcot.com </w:t>
              </w:r>
            </w:hyperlink>
          </w:p>
        </w:tc>
        <w:tc>
          <w:tcPr>
            <w:tcW w:w="1843" w:type="dxa"/>
            <w:noWrap/>
            <w:vAlign w:val="center"/>
            <w:hideMark/>
          </w:tcPr>
          <w:p w14:paraId="6E9ACF0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Switzerland</w:t>
            </w:r>
          </w:p>
        </w:tc>
      </w:tr>
      <w:tr w:rsidR="00180653" w:rsidRPr="00180653" w14:paraId="7007F728" w14:textId="77777777" w:rsidTr="0022057B">
        <w:trPr>
          <w:trHeight w:val="287"/>
        </w:trPr>
        <w:tc>
          <w:tcPr>
            <w:tcW w:w="2835" w:type="dxa"/>
            <w:noWrap/>
            <w:vAlign w:val="center"/>
            <w:hideMark/>
          </w:tcPr>
          <w:p w14:paraId="10CB8BE0"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Althelia</w:t>
            </w:r>
            <w:proofErr w:type="spellEnd"/>
            <w:r w:rsidRPr="00180653">
              <w:rPr>
                <w:rFonts w:eastAsia="Times New Roman" w:cs="Arial"/>
                <w:color w:val="000000"/>
                <w:lang w:eastAsia="el-GR"/>
              </w:rPr>
              <w:t xml:space="preserve"> Ecosphere </w:t>
            </w:r>
          </w:p>
        </w:tc>
        <w:tc>
          <w:tcPr>
            <w:tcW w:w="3686" w:type="dxa"/>
            <w:noWrap/>
            <w:hideMark/>
          </w:tcPr>
          <w:p w14:paraId="6BC1C113" w14:textId="77777777" w:rsidR="00180653" w:rsidRPr="00180653" w:rsidRDefault="003B0DE2" w:rsidP="00180653">
            <w:pPr>
              <w:jc w:val="left"/>
              <w:rPr>
                <w:rFonts w:eastAsia="Times New Roman" w:cs="Arial"/>
                <w:color w:val="0563C1"/>
                <w:u w:val="single"/>
                <w:lang w:eastAsia="el-GR"/>
              </w:rPr>
            </w:pPr>
            <w:hyperlink r:id="rId215" w:history="1">
              <w:r w:rsidR="00180653" w:rsidRPr="00180653">
                <w:rPr>
                  <w:rFonts w:eastAsia="Times New Roman" w:cs="Arial"/>
                  <w:color w:val="0563C1"/>
                  <w:u w:val="single"/>
                  <w:lang w:eastAsia="el-GR"/>
                </w:rPr>
                <w:t xml:space="preserve">www.althelia.com </w:t>
              </w:r>
            </w:hyperlink>
          </w:p>
        </w:tc>
        <w:tc>
          <w:tcPr>
            <w:tcW w:w="1843" w:type="dxa"/>
            <w:noWrap/>
            <w:vAlign w:val="center"/>
            <w:hideMark/>
          </w:tcPr>
          <w:p w14:paraId="0318F8A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027DA063" w14:textId="77777777" w:rsidTr="0022057B">
        <w:trPr>
          <w:trHeight w:val="287"/>
        </w:trPr>
        <w:tc>
          <w:tcPr>
            <w:tcW w:w="2835" w:type="dxa"/>
            <w:noWrap/>
            <w:vAlign w:val="center"/>
            <w:hideMark/>
          </w:tcPr>
          <w:p w14:paraId="7CA1A73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AzzeroCO2 </w:t>
            </w:r>
          </w:p>
        </w:tc>
        <w:tc>
          <w:tcPr>
            <w:tcW w:w="3686" w:type="dxa"/>
            <w:noWrap/>
            <w:hideMark/>
          </w:tcPr>
          <w:p w14:paraId="609949FD" w14:textId="77777777" w:rsidR="00180653" w:rsidRPr="00180653" w:rsidRDefault="003B0DE2" w:rsidP="00180653">
            <w:pPr>
              <w:jc w:val="left"/>
              <w:rPr>
                <w:rFonts w:eastAsia="Times New Roman" w:cs="Arial"/>
                <w:color w:val="0563C1"/>
                <w:u w:val="single"/>
                <w:lang w:eastAsia="el-GR"/>
              </w:rPr>
            </w:pPr>
            <w:hyperlink r:id="rId216" w:history="1">
              <w:r w:rsidR="00180653" w:rsidRPr="00180653">
                <w:rPr>
                  <w:rFonts w:eastAsia="Times New Roman" w:cs="Arial"/>
                  <w:color w:val="0563C1"/>
                  <w:u w:val="single"/>
                  <w:lang w:eastAsia="el-GR"/>
                </w:rPr>
                <w:t xml:space="preserve">www.azzeroco2.it </w:t>
              </w:r>
            </w:hyperlink>
          </w:p>
        </w:tc>
        <w:tc>
          <w:tcPr>
            <w:tcW w:w="1843" w:type="dxa"/>
            <w:noWrap/>
            <w:vAlign w:val="center"/>
            <w:hideMark/>
          </w:tcPr>
          <w:p w14:paraId="73B85AB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Italy</w:t>
            </w:r>
          </w:p>
        </w:tc>
      </w:tr>
      <w:tr w:rsidR="00180653" w:rsidRPr="00180653" w14:paraId="70CE2100" w14:textId="77777777" w:rsidTr="0022057B">
        <w:trPr>
          <w:trHeight w:val="327"/>
        </w:trPr>
        <w:tc>
          <w:tcPr>
            <w:tcW w:w="2835" w:type="dxa"/>
            <w:noWrap/>
            <w:vAlign w:val="center"/>
            <w:hideMark/>
          </w:tcPr>
          <w:p w14:paraId="287EB189"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BaumInvest</w:t>
            </w:r>
            <w:proofErr w:type="spellEnd"/>
            <w:r w:rsidRPr="00180653">
              <w:rPr>
                <w:rFonts w:eastAsia="Times New Roman" w:cs="Arial"/>
                <w:color w:val="000000"/>
                <w:lang w:eastAsia="el-GR"/>
              </w:rPr>
              <w:t xml:space="preserve"> GmbH &amp; Co KG </w:t>
            </w:r>
          </w:p>
        </w:tc>
        <w:tc>
          <w:tcPr>
            <w:tcW w:w="3686" w:type="dxa"/>
            <w:noWrap/>
            <w:hideMark/>
          </w:tcPr>
          <w:p w14:paraId="1F6D97C3" w14:textId="77777777" w:rsidR="00180653" w:rsidRPr="00180653" w:rsidRDefault="003B0DE2" w:rsidP="00180653">
            <w:pPr>
              <w:jc w:val="left"/>
              <w:rPr>
                <w:rFonts w:eastAsia="Times New Roman" w:cs="Arial"/>
                <w:color w:val="0563C1"/>
                <w:u w:val="single"/>
                <w:lang w:eastAsia="el-GR"/>
              </w:rPr>
            </w:pPr>
            <w:hyperlink r:id="rId217" w:history="1">
              <w:r w:rsidR="00180653" w:rsidRPr="00180653">
                <w:rPr>
                  <w:rFonts w:eastAsia="Times New Roman" w:cs="Arial"/>
                  <w:color w:val="0563C1"/>
                  <w:u w:val="single"/>
                  <w:lang w:eastAsia="el-GR"/>
                </w:rPr>
                <w:t xml:space="preserve">www.bauminvest.de </w:t>
              </w:r>
            </w:hyperlink>
          </w:p>
        </w:tc>
        <w:tc>
          <w:tcPr>
            <w:tcW w:w="1843" w:type="dxa"/>
            <w:noWrap/>
            <w:vAlign w:val="center"/>
            <w:hideMark/>
          </w:tcPr>
          <w:p w14:paraId="4A63C6C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6DE9F66D" w14:textId="77777777" w:rsidTr="0022057B">
        <w:trPr>
          <w:trHeight w:val="287"/>
        </w:trPr>
        <w:tc>
          <w:tcPr>
            <w:tcW w:w="2835" w:type="dxa"/>
            <w:noWrap/>
            <w:vAlign w:val="center"/>
            <w:hideMark/>
          </w:tcPr>
          <w:p w14:paraId="2ED4F33D"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BioCarbon</w:t>
            </w:r>
            <w:proofErr w:type="spellEnd"/>
            <w:r w:rsidRPr="00180653">
              <w:rPr>
                <w:rFonts w:eastAsia="Times New Roman" w:cs="Arial"/>
                <w:color w:val="000000"/>
                <w:lang w:eastAsia="el-GR"/>
              </w:rPr>
              <w:t xml:space="preserve"> Group </w:t>
            </w:r>
          </w:p>
        </w:tc>
        <w:tc>
          <w:tcPr>
            <w:tcW w:w="3686" w:type="dxa"/>
            <w:noWrap/>
            <w:hideMark/>
          </w:tcPr>
          <w:p w14:paraId="3A8436EA" w14:textId="77777777" w:rsidR="00180653" w:rsidRPr="00180653" w:rsidRDefault="003B0DE2" w:rsidP="00180653">
            <w:pPr>
              <w:jc w:val="left"/>
              <w:rPr>
                <w:rFonts w:eastAsia="Times New Roman" w:cs="Arial"/>
                <w:color w:val="0563C1"/>
                <w:u w:val="single"/>
                <w:lang w:eastAsia="el-GR"/>
              </w:rPr>
            </w:pPr>
            <w:hyperlink r:id="rId218" w:history="1">
              <w:r w:rsidR="00180653" w:rsidRPr="00180653">
                <w:rPr>
                  <w:rFonts w:eastAsia="Times New Roman" w:cs="Arial"/>
                  <w:color w:val="0563C1"/>
                  <w:u w:val="single"/>
                  <w:lang w:eastAsia="el-GR"/>
                </w:rPr>
                <w:t xml:space="preserve">www.biocarbongroup.com </w:t>
              </w:r>
            </w:hyperlink>
          </w:p>
        </w:tc>
        <w:tc>
          <w:tcPr>
            <w:tcW w:w="1843" w:type="dxa"/>
            <w:noWrap/>
            <w:vAlign w:val="center"/>
            <w:hideMark/>
          </w:tcPr>
          <w:p w14:paraId="7D3B7AF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4223624D" w14:textId="77777777" w:rsidTr="0022057B">
        <w:trPr>
          <w:trHeight w:val="287"/>
        </w:trPr>
        <w:tc>
          <w:tcPr>
            <w:tcW w:w="2835" w:type="dxa"/>
            <w:noWrap/>
            <w:hideMark/>
          </w:tcPr>
          <w:p w14:paraId="439FAE8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Bischoff &amp; </w:t>
            </w:r>
            <w:proofErr w:type="spellStart"/>
            <w:r w:rsidRPr="00180653">
              <w:rPr>
                <w:rFonts w:eastAsia="Times New Roman" w:cs="Arial"/>
                <w:color w:val="000000"/>
                <w:lang w:eastAsia="el-GR"/>
              </w:rPr>
              <w:t>Ditze</w:t>
            </w:r>
            <w:proofErr w:type="spellEnd"/>
            <w:r w:rsidRPr="00180653">
              <w:rPr>
                <w:rFonts w:eastAsia="Times New Roman" w:cs="Arial"/>
                <w:color w:val="000000"/>
                <w:lang w:eastAsia="el-GR"/>
              </w:rPr>
              <w:t xml:space="preserve"> Energy GmbH </w:t>
            </w:r>
          </w:p>
        </w:tc>
        <w:tc>
          <w:tcPr>
            <w:tcW w:w="3686" w:type="dxa"/>
            <w:noWrap/>
            <w:hideMark/>
          </w:tcPr>
          <w:p w14:paraId="5FF85A45" w14:textId="77777777" w:rsidR="00180653" w:rsidRPr="00180653" w:rsidRDefault="003B0DE2" w:rsidP="00180653">
            <w:pPr>
              <w:jc w:val="left"/>
              <w:rPr>
                <w:rFonts w:eastAsia="Times New Roman" w:cs="Arial"/>
                <w:color w:val="0563C1"/>
                <w:u w:val="single"/>
                <w:lang w:eastAsia="el-GR"/>
              </w:rPr>
            </w:pPr>
            <w:hyperlink r:id="rId219" w:history="1">
              <w:r w:rsidR="00180653" w:rsidRPr="00180653">
                <w:rPr>
                  <w:rFonts w:eastAsia="Times New Roman" w:cs="Arial"/>
                  <w:color w:val="0563C1"/>
                  <w:u w:val="single"/>
                  <w:lang w:eastAsia="el-GR"/>
                </w:rPr>
                <w:t xml:space="preserve">www.bd-energy.com </w:t>
              </w:r>
            </w:hyperlink>
          </w:p>
        </w:tc>
        <w:tc>
          <w:tcPr>
            <w:tcW w:w="1843" w:type="dxa"/>
            <w:noWrap/>
            <w:vAlign w:val="center"/>
            <w:hideMark/>
          </w:tcPr>
          <w:p w14:paraId="55ABFD5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5ED1A7C2" w14:textId="77777777" w:rsidTr="0022057B">
        <w:trPr>
          <w:trHeight w:val="287"/>
        </w:trPr>
        <w:tc>
          <w:tcPr>
            <w:tcW w:w="2835" w:type="dxa"/>
            <w:noWrap/>
            <w:hideMark/>
          </w:tcPr>
          <w:p w14:paraId="627F006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Bosques </w:t>
            </w:r>
            <w:proofErr w:type="spellStart"/>
            <w:r w:rsidRPr="00180653">
              <w:rPr>
                <w:rFonts w:eastAsia="Times New Roman" w:cs="Arial"/>
                <w:color w:val="000000"/>
                <w:lang w:eastAsia="el-GR"/>
              </w:rPr>
              <w:t>Sostenibles</w:t>
            </w:r>
            <w:proofErr w:type="spellEnd"/>
            <w:r w:rsidRPr="00180653">
              <w:rPr>
                <w:rFonts w:eastAsia="Times New Roman" w:cs="Arial"/>
                <w:color w:val="000000"/>
                <w:lang w:eastAsia="el-GR"/>
              </w:rPr>
              <w:t xml:space="preserve"> </w:t>
            </w:r>
          </w:p>
        </w:tc>
        <w:tc>
          <w:tcPr>
            <w:tcW w:w="3686" w:type="dxa"/>
            <w:noWrap/>
            <w:hideMark/>
          </w:tcPr>
          <w:p w14:paraId="3D4081B5" w14:textId="77777777" w:rsidR="00180653" w:rsidRPr="00180653" w:rsidRDefault="003B0DE2" w:rsidP="00180653">
            <w:pPr>
              <w:jc w:val="left"/>
              <w:rPr>
                <w:rFonts w:eastAsia="Times New Roman" w:cs="Arial"/>
                <w:color w:val="0563C1"/>
                <w:u w:val="single"/>
                <w:lang w:eastAsia="el-GR"/>
              </w:rPr>
            </w:pPr>
            <w:hyperlink r:id="rId220" w:history="1">
              <w:r w:rsidR="00180653" w:rsidRPr="00180653">
                <w:rPr>
                  <w:rFonts w:eastAsia="Times New Roman" w:cs="Arial"/>
                  <w:color w:val="0563C1"/>
                  <w:u w:val="single"/>
                  <w:lang w:eastAsia="el-GR"/>
                </w:rPr>
                <w:t xml:space="preserve">www.bosquessostenibles.com </w:t>
              </w:r>
            </w:hyperlink>
          </w:p>
        </w:tc>
        <w:tc>
          <w:tcPr>
            <w:tcW w:w="1843" w:type="dxa"/>
            <w:noWrap/>
            <w:vAlign w:val="center"/>
            <w:hideMark/>
          </w:tcPr>
          <w:p w14:paraId="6EBCDF5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Spain</w:t>
            </w:r>
          </w:p>
        </w:tc>
      </w:tr>
      <w:tr w:rsidR="00180653" w:rsidRPr="00180653" w14:paraId="1D1F23FB" w14:textId="77777777" w:rsidTr="0022057B">
        <w:trPr>
          <w:trHeight w:val="287"/>
        </w:trPr>
        <w:tc>
          <w:tcPr>
            <w:tcW w:w="2835" w:type="dxa"/>
            <w:noWrap/>
            <w:hideMark/>
          </w:tcPr>
          <w:p w14:paraId="2C1DA78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Carbon Clear </w:t>
            </w:r>
          </w:p>
        </w:tc>
        <w:tc>
          <w:tcPr>
            <w:tcW w:w="3686" w:type="dxa"/>
            <w:noWrap/>
            <w:hideMark/>
          </w:tcPr>
          <w:p w14:paraId="08AFB42B" w14:textId="77777777" w:rsidR="00180653" w:rsidRPr="00180653" w:rsidRDefault="003B0DE2" w:rsidP="00180653">
            <w:pPr>
              <w:jc w:val="left"/>
              <w:rPr>
                <w:rFonts w:eastAsia="Times New Roman" w:cs="Arial"/>
                <w:color w:val="0563C1"/>
                <w:u w:val="single"/>
                <w:lang w:eastAsia="el-GR"/>
              </w:rPr>
            </w:pPr>
            <w:hyperlink r:id="rId221" w:history="1">
              <w:r w:rsidR="00180653" w:rsidRPr="00180653">
                <w:rPr>
                  <w:rFonts w:eastAsia="Times New Roman" w:cs="Arial"/>
                  <w:color w:val="0563C1"/>
                  <w:u w:val="single"/>
                  <w:lang w:eastAsia="el-GR"/>
                </w:rPr>
                <w:t xml:space="preserve">www.carbon-clear.com </w:t>
              </w:r>
            </w:hyperlink>
          </w:p>
        </w:tc>
        <w:tc>
          <w:tcPr>
            <w:tcW w:w="1843" w:type="dxa"/>
            <w:noWrap/>
            <w:vAlign w:val="center"/>
            <w:hideMark/>
          </w:tcPr>
          <w:p w14:paraId="579F80D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10C97D85" w14:textId="77777777" w:rsidTr="0022057B">
        <w:trPr>
          <w:trHeight w:val="287"/>
        </w:trPr>
        <w:tc>
          <w:tcPr>
            <w:tcW w:w="2835" w:type="dxa"/>
            <w:noWrap/>
            <w:hideMark/>
          </w:tcPr>
          <w:p w14:paraId="4EB4268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Carbon Expert </w:t>
            </w:r>
          </w:p>
        </w:tc>
        <w:tc>
          <w:tcPr>
            <w:tcW w:w="3686" w:type="dxa"/>
            <w:noWrap/>
            <w:hideMark/>
          </w:tcPr>
          <w:p w14:paraId="7036FAC8" w14:textId="77777777" w:rsidR="00180653" w:rsidRPr="00180653" w:rsidRDefault="003B0DE2" w:rsidP="00180653">
            <w:pPr>
              <w:jc w:val="left"/>
              <w:rPr>
                <w:rFonts w:eastAsia="Times New Roman" w:cs="Arial"/>
                <w:color w:val="0563C1"/>
                <w:u w:val="single"/>
                <w:lang w:eastAsia="el-GR"/>
              </w:rPr>
            </w:pPr>
            <w:hyperlink r:id="rId222" w:history="1">
              <w:r w:rsidR="00180653" w:rsidRPr="00180653">
                <w:rPr>
                  <w:rFonts w:eastAsia="Times New Roman" w:cs="Arial"/>
                  <w:color w:val="0563C1"/>
                  <w:u w:val="single"/>
                  <w:lang w:eastAsia="el-GR"/>
                </w:rPr>
                <w:t xml:space="preserve">www.carbonexpert.ro </w:t>
              </w:r>
            </w:hyperlink>
          </w:p>
        </w:tc>
        <w:tc>
          <w:tcPr>
            <w:tcW w:w="1843" w:type="dxa"/>
            <w:noWrap/>
            <w:vAlign w:val="center"/>
            <w:hideMark/>
          </w:tcPr>
          <w:p w14:paraId="083FC08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Romania</w:t>
            </w:r>
          </w:p>
        </w:tc>
      </w:tr>
      <w:tr w:rsidR="00180653" w:rsidRPr="00180653" w14:paraId="166D18F6" w14:textId="77777777" w:rsidTr="0022057B">
        <w:trPr>
          <w:trHeight w:val="287"/>
        </w:trPr>
        <w:tc>
          <w:tcPr>
            <w:tcW w:w="2835" w:type="dxa"/>
            <w:noWrap/>
            <w:hideMark/>
          </w:tcPr>
          <w:p w14:paraId="1CE10A9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Carbon Online Ltd </w:t>
            </w:r>
          </w:p>
        </w:tc>
        <w:tc>
          <w:tcPr>
            <w:tcW w:w="3686" w:type="dxa"/>
            <w:noWrap/>
            <w:hideMark/>
          </w:tcPr>
          <w:p w14:paraId="005F3FCF" w14:textId="77777777" w:rsidR="00180653" w:rsidRPr="00180653" w:rsidRDefault="003B0DE2" w:rsidP="00180653">
            <w:pPr>
              <w:jc w:val="left"/>
              <w:rPr>
                <w:rFonts w:eastAsia="Times New Roman" w:cs="Arial"/>
                <w:color w:val="0563C1"/>
                <w:u w:val="single"/>
                <w:lang w:eastAsia="el-GR"/>
              </w:rPr>
            </w:pPr>
            <w:hyperlink r:id="rId223" w:history="1">
              <w:r w:rsidR="00180653" w:rsidRPr="00180653">
                <w:rPr>
                  <w:rFonts w:eastAsia="Times New Roman" w:cs="Arial"/>
                  <w:color w:val="0563C1"/>
                  <w:u w:val="single"/>
                  <w:lang w:eastAsia="el-GR"/>
                </w:rPr>
                <w:t xml:space="preserve">www.carbononline.co </w:t>
              </w:r>
            </w:hyperlink>
          </w:p>
        </w:tc>
        <w:tc>
          <w:tcPr>
            <w:tcW w:w="1843" w:type="dxa"/>
            <w:noWrap/>
            <w:vAlign w:val="center"/>
            <w:hideMark/>
          </w:tcPr>
          <w:p w14:paraId="611FA79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Hungary</w:t>
            </w:r>
          </w:p>
        </w:tc>
      </w:tr>
      <w:tr w:rsidR="00180653" w:rsidRPr="00180653" w14:paraId="2B4AB518" w14:textId="77777777" w:rsidTr="0022057B">
        <w:trPr>
          <w:trHeight w:val="287"/>
        </w:trPr>
        <w:tc>
          <w:tcPr>
            <w:tcW w:w="2835" w:type="dxa"/>
            <w:noWrap/>
            <w:hideMark/>
          </w:tcPr>
          <w:p w14:paraId="726353B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carbon-connect AG </w:t>
            </w:r>
          </w:p>
        </w:tc>
        <w:tc>
          <w:tcPr>
            <w:tcW w:w="3686" w:type="dxa"/>
            <w:noWrap/>
            <w:hideMark/>
          </w:tcPr>
          <w:p w14:paraId="678F2563" w14:textId="77777777" w:rsidR="00180653" w:rsidRPr="00180653" w:rsidRDefault="003B0DE2" w:rsidP="00180653">
            <w:pPr>
              <w:jc w:val="left"/>
              <w:rPr>
                <w:rFonts w:eastAsia="Times New Roman" w:cs="Arial"/>
                <w:color w:val="0563C1"/>
                <w:u w:val="single"/>
                <w:lang w:eastAsia="el-GR"/>
              </w:rPr>
            </w:pPr>
            <w:hyperlink r:id="rId224" w:history="1">
              <w:r w:rsidR="00180653" w:rsidRPr="00180653">
                <w:rPr>
                  <w:rFonts w:eastAsia="Times New Roman" w:cs="Arial"/>
                  <w:color w:val="0563C1"/>
                  <w:u w:val="single"/>
                  <w:lang w:eastAsia="el-GR"/>
                </w:rPr>
                <w:t xml:space="preserve">www.carbon-connect.ch </w:t>
              </w:r>
            </w:hyperlink>
          </w:p>
        </w:tc>
        <w:tc>
          <w:tcPr>
            <w:tcW w:w="1843" w:type="dxa"/>
            <w:noWrap/>
            <w:vAlign w:val="center"/>
            <w:hideMark/>
          </w:tcPr>
          <w:p w14:paraId="799A30A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Switzerland</w:t>
            </w:r>
          </w:p>
        </w:tc>
      </w:tr>
      <w:tr w:rsidR="00180653" w:rsidRPr="00180653" w14:paraId="36756407" w14:textId="77777777" w:rsidTr="0022057B">
        <w:trPr>
          <w:trHeight w:val="287"/>
        </w:trPr>
        <w:tc>
          <w:tcPr>
            <w:tcW w:w="2835" w:type="dxa"/>
            <w:noWrap/>
            <w:hideMark/>
          </w:tcPr>
          <w:p w14:paraId="6C121596"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CarbonSinkGroup</w:t>
            </w:r>
            <w:proofErr w:type="spellEnd"/>
            <w:r w:rsidRPr="00180653">
              <w:rPr>
                <w:rFonts w:eastAsia="Times New Roman" w:cs="Arial"/>
                <w:color w:val="000000"/>
                <w:lang w:eastAsia="el-GR"/>
              </w:rPr>
              <w:t xml:space="preserve"> </w:t>
            </w:r>
          </w:p>
        </w:tc>
        <w:tc>
          <w:tcPr>
            <w:tcW w:w="3686" w:type="dxa"/>
            <w:noWrap/>
            <w:hideMark/>
          </w:tcPr>
          <w:p w14:paraId="0CD2FA5B" w14:textId="77777777" w:rsidR="00180653" w:rsidRPr="00180653" w:rsidRDefault="003B0DE2" w:rsidP="00180653">
            <w:pPr>
              <w:jc w:val="left"/>
              <w:rPr>
                <w:rFonts w:eastAsia="Times New Roman" w:cs="Arial"/>
                <w:color w:val="0563C1"/>
                <w:u w:val="single"/>
                <w:lang w:eastAsia="el-GR"/>
              </w:rPr>
            </w:pPr>
            <w:hyperlink r:id="rId225" w:history="1">
              <w:r w:rsidR="00180653" w:rsidRPr="00180653">
                <w:rPr>
                  <w:rFonts w:eastAsia="Times New Roman" w:cs="Arial"/>
                  <w:color w:val="0563C1"/>
                  <w:u w:val="single"/>
                  <w:lang w:eastAsia="el-GR"/>
                </w:rPr>
                <w:t xml:space="preserve">www.carbonsink.it </w:t>
              </w:r>
            </w:hyperlink>
          </w:p>
        </w:tc>
        <w:tc>
          <w:tcPr>
            <w:tcW w:w="1843" w:type="dxa"/>
            <w:noWrap/>
            <w:vAlign w:val="center"/>
            <w:hideMark/>
          </w:tcPr>
          <w:p w14:paraId="14DB270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Italy</w:t>
            </w:r>
          </w:p>
        </w:tc>
      </w:tr>
      <w:tr w:rsidR="00180653" w:rsidRPr="00180653" w14:paraId="4C25DDB5" w14:textId="77777777" w:rsidTr="0022057B">
        <w:trPr>
          <w:trHeight w:val="287"/>
        </w:trPr>
        <w:tc>
          <w:tcPr>
            <w:tcW w:w="2835" w:type="dxa"/>
            <w:noWrap/>
            <w:hideMark/>
          </w:tcPr>
          <w:p w14:paraId="508B3FA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China Carbon </w:t>
            </w:r>
          </w:p>
        </w:tc>
        <w:tc>
          <w:tcPr>
            <w:tcW w:w="3686" w:type="dxa"/>
            <w:noWrap/>
            <w:hideMark/>
          </w:tcPr>
          <w:p w14:paraId="0914CA39" w14:textId="77777777" w:rsidR="00180653" w:rsidRPr="00180653" w:rsidRDefault="003B0DE2" w:rsidP="00180653">
            <w:pPr>
              <w:jc w:val="left"/>
              <w:rPr>
                <w:rFonts w:eastAsia="Times New Roman" w:cs="Arial"/>
                <w:color w:val="0563C1"/>
                <w:u w:val="single"/>
                <w:lang w:eastAsia="el-GR"/>
              </w:rPr>
            </w:pPr>
            <w:hyperlink r:id="rId226" w:history="1">
              <w:r w:rsidR="00180653" w:rsidRPr="00180653">
                <w:rPr>
                  <w:rFonts w:eastAsia="Times New Roman" w:cs="Arial"/>
                  <w:color w:val="0563C1"/>
                  <w:u w:val="single"/>
                  <w:lang w:eastAsia="el-GR"/>
                </w:rPr>
                <w:t xml:space="preserve">www.chinacarbonfund.com </w:t>
              </w:r>
            </w:hyperlink>
          </w:p>
        </w:tc>
        <w:tc>
          <w:tcPr>
            <w:tcW w:w="1843" w:type="dxa"/>
            <w:noWrap/>
            <w:vAlign w:val="center"/>
            <w:hideMark/>
          </w:tcPr>
          <w:p w14:paraId="7D9EB22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Netherlands</w:t>
            </w:r>
          </w:p>
        </w:tc>
      </w:tr>
      <w:tr w:rsidR="00180653" w:rsidRPr="00180653" w14:paraId="5C421E77" w14:textId="77777777" w:rsidTr="0022057B">
        <w:trPr>
          <w:trHeight w:val="287"/>
        </w:trPr>
        <w:tc>
          <w:tcPr>
            <w:tcW w:w="2835" w:type="dxa"/>
            <w:noWrap/>
            <w:hideMark/>
          </w:tcPr>
          <w:p w14:paraId="63B74AAF"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Clevel</w:t>
            </w:r>
            <w:proofErr w:type="spellEnd"/>
          </w:p>
        </w:tc>
        <w:tc>
          <w:tcPr>
            <w:tcW w:w="3686" w:type="dxa"/>
            <w:noWrap/>
            <w:hideMark/>
          </w:tcPr>
          <w:p w14:paraId="09B904ED" w14:textId="77777777" w:rsidR="00180653" w:rsidRPr="00180653" w:rsidRDefault="003B0DE2" w:rsidP="00180653">
            <w:pPr>
              <w:jc w:val="left"/>
              <w:rPr>
                <w:rFonts w:eastAsia="Times New Roman" w:cs="Arial"/>
                <w:color w:val="0563C1"/>
                <w:u w:val="single"/>
                <w:lang w:eastAsia="el-GR"/>
              </w:rPr>
            </w:pPr>
            <w:hyperlink r:id="rId227" w:history="1">
              <w:r w:rsidR="00180653" w:rsidRPr="00180653">
                <w:rPr>
                  <w:rFonts w:eastAsia="Times New Roman" w:cs="Arial"/>
                  <w:color w:val="0563C1"/>
                  <w:u w:val="single"/>
                  <w:lang w:eastAsia="el-GR"/>
                </w:rPr>
                <w:t>www.clevel.co.uk</w:t>
              </w:r>
            </w:hyperlink>
          </w:p>
        </w:tc>
        <w:tc>
          <w:tcPr>
            <w:tcW w:w="1843" w:type="dxa"/>
            <w:noWrap/>
            <w:vAlign w:val="center"/>
            <w:hideMark/>
          </w:tcPr>
          <w:p w14:paraId="19FEBA6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64283F4F" w14:textId="77777777" w:rsidTr="0022057B">
        <w:trPr>
          <w:trHeight w:val="287"/>
        </w:trPr>
        <w:tc>
          <w:tcPr>
            <w:tcW w:w="2835" w:type="dxa"/>
            <w:noWrap/>
            <w:hideMark/>
          </w:tcPr>
          <w:p w14:paraId="6F97B0A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lastRenderedPageBreak/>
              <w:t xml:space="preserve">Climate Care </w:t>
            </w:r>
          </w:p>
        </w:tc>
        <w:tc>
          <w:tcPr>
            <w:tcW w:w="3686" w:type="dxa"/>
            <w:noWrap/>
            <w:hideMark/>
          </w:tcPr>
          <w:p w14:paraId="2960759F" w14:textId="77777777" w:rsidR="00180653" w:rsidRPr="00180653" w:rsidRDefault="003B0DE2" w:rsidP="00180653">
            <w:pPr>
              <w:jc w:val="left"/>
              <w:rPr>
                <w:rFonts w:eastAsia="Times New Roman" w:cs="Arial"/>
                <w:color w:val="0563C1"/>
                <w:u w:val="single"/>
                <w:lang w:eastAsia="el-GR"/>
              </w:rPr>
            </w:pPr>
            <w:hyperlink r:id="rId228" w:history="1">
              <w:r w:rsidR="00180653" w:rsidRPr="00180653">
                <w:rPr>
                  <w:rFonts w:eastAsia="Times New Roman" w:cs="Arial"/>
                  <w:color w:val="0563C1"/>
                  <w:u w:val="single"/>
                  <w:lang w:eastAsia="el-GR"/>
                </w:rPr>
                <w:t xml:space="preserve">www.climatecare.org </w:t>
              </w:r>
            </w:hyperlink>
          </w:p>
        </w:tc>
        <w:tc>
          <w:tcPr>
            <w:tcW w:w="1843" w:type="dxa"/>
            <w:noWrap/>
            <w:vAlign w:val="center"/>
            <w:hideMark/>
          </w:tcPr>
          <w:p w14:paraId="748D19E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31536F9F" w14:textId="77777777" w:rsidTr="0022057B">
        <w:trPr>
          <w:trHeight w:val="287"/>
        </w:trPr>
        <w:tc>
          <w:tcPr>
            <w:tcW w:w="2835" w:type="dxa"/>
            <w:noWrap/>
            <w:hideMark/>
          </w:tcPr>
          <w:p w14:paraId="7711AC1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Climate Neutral Group </w:t>
            </w:r>
          </w:p>
        </w:tc>
        <w:tc>
          <w:tcPr>
            <w:tcW w:w="3686" w:type="dxa"/>
            <w:noWrap/>
            <w:hideMark/>
          </w:tcPr>
          <w:p w14:paraId="7C04BC62" w14:textId="77777777" w:rsidR="00180653" w:rsidRPr="00180653" w:rsidRDefault="003B0DE2" w:rsidP="00180653">
            <w:pPr>
              <w:jc w:val="left"/>
              <w:rPr>
                <w:rFonts w:eastAsia="Times New Roman" w:cs="Arial"/>
                <w:color w:val="0563C1"/>
                <w:u w:val="single"/>
                <w:lang w:eastAsia="el-GR"/>
              </w:rPr>
            </w:pPr>
            <w:hyperlink r:id="rId229" w:history="1">
              <w:r w:rsidR="00180653" w:rsidRPr="00180653">
                <w:rPr>
                  <w:rFonts w:eastAsia="Times New Roman" w:cs="Arial"/>
                  <w:color w:val="0563C1"/>
                  <w:u w:val="single"/>
                  <w:lang w:eastAsia="el-GR"/>
                </w:rPr>
                <w:t xml:space="preserve">www.climateneutralgroup.com </w:t>
              </w:r>
            </w:hyperlink>
          </w:p>
        </w:tc>
        <w:tc>
          <w:tcPr>
            <w:tcW w:w="1843" w:type="dxa"/>
            <w:noWrap/>
            <w:vAlign w:val="center"/>
            <w:hideMark/>
          </w:tcPr>
          <w:p w14:paraId="5CBBF28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Netherlands</w:t>
            </w:r>
          </w:p>
        </w:tc>
      </w:tr>
      <w:tr w:rsidR="00180653" w:rsidRPr="00180653" w14:paraId="2D6BC9B0" w14:textId="77777777" w:rsidTr="0022057B">
        <w:trPr>
          <w:trHeight w:val="287"/>
        </w:trPr>
        <w:tc>
          <w:tcPr>
            <w:tcW w:w="2835" w:type="dxa"/>
            <w:noWrap/>
            <w:hideMark/>
          </w:tcPr>
          <w:p w14:paraId="68EDED0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Climate Partner </w:t>
            </w:r>
          </w:p>
        </w:tc>
        <w:tc>
          <w:tcPr>
            <w:tcW w:w="3686" w:type="dxa"/>
            <w:noWrap/>
            <w:hideMark/>
          </w:tcPr>
          <w:p w14:paraId="0AABA760" w14:textId="77777777" w:rsidR="00180653" w:rsidRPr="00180653" w:rsidRDefault="003B0DE2" w:rsidP="00180653">
            <w:pPr>
              <w:jc w:val="left"/>
              <w:rPr>
                <w:rFonts w:eastAsia="Times New Roman" w:cs="Arial"/>
                <w:color w:val="0563C1"/>
                <w:u w:val="single"/>
                <w:lang w:eastAsia="el-GR"/>
              </w:rPr>
            </w:pPr>
            <w:hyperlink r:id="rId230" w:history="1">
              <w:r w:rsidR="00180653" w:rsidRPr="00180653">
                <w:rPr>
                  <w:rFonts w:eastAsia="Times New Roman" w:cs="Arial"/>
                  <w:color w:val="0563C1"/>
                  <w:u w:val="single"/>
                  <w:lang w:eastAsia="el-GR"/>
                </w:rPr>
                <w:t xml:space="preserve">www.climatepartner.com </w:t>
              </w:r>
            </w:hyperlink>
          </w:p>
        </w:tc>
        <w:tc>
          <w:tcPr>
            <w:tcW w:w="1843" w:type="dxa"/>
            <w:noWrap/>
            <w:vAlign w:val="center"/>
            <w:hideMark/>
          </w:tcPr>
          <w:p w14:paraId="7640C25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5AF6C363" w14:textId="77777777" w:rsidTr="0022057B">
        <w:trPr>
          <w:trHeight w:val="287"/>
        </w:trPr>
        <w:tc>
          <w:tcPr>
            <w:tcW w:w="2835" w:type="dxa"/>
            <w:noWrap/>
            <w:hideMark/>
          </w:tcPr>
          <w:p w14:paraId="1B252F32"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Climex</w:t>
            </w:r>
            <w:proofErr w:type="spellEnd"/>
            <w:r w:rsidRPr="00180653">
              <w:rPr>
                <w:rFonts w:eastAsia="Times New Roman" w:cs="Arial"/>
                <w:color w:val="000000"/>
                <w:lang w:eastAsia="el-GR"/>
              </w:rPr>
              <w:t xml:space="preserve"> </w:t>
            </w:r>
          </w:p>
        </w:tc>
        <w:tc>
          <w:tcPr>
            <w:tcW w:w="3686" w:type="dxa"/>
            <w:noWrap/>
            <w:hideMark/>
          </w:tcPr>
          <w:p w14:paraId="7C9044DC" w14:textId="77777777" w:rsidR="00180653" w:rsidRPr="00180653" w:rsidRDefault="003B0DE2" w:rsidP="00180653">
            <w:pPr>
              <w:jc w:val="left"/>
              <w:rPr>
                <w:rFonts w:eastAsia="Times New Roman" w:cs="Arial"/>
                <w:color w:val="0563C1"/>
                <w:u w:val="single"/>
                <w:lang w:eastAsia="el-GR"/>
              </w:rPr>
            </w:pPr>
            <w:hyperlink r:id="rId231" w:history="1">
              <w:r w:rsidR="00180653" w:rsidRPr="00180653">
                <w:rPr>
                  <w:rFonts w:eastAsia="Times New Roman" w:cs="Arial"/>
                  <w:color w:val="0563C1"/>
                  <w:u w:val="single"/>
                  <w:lang w:eastAsia="el-GR"/>
                </w:rPr>
                <w:t xml:space="preserve">www.climex.com </w:t>
              </w:r>
            </w:hyperlink>
          </w:p>
        </w:tc>
        <w:tc>
          <w:tcPr>
            <w:tcW w:w="1843" w:type="dxa"/>
            <w:noWrap/>
            <w:vAlign w:val="center"/>
            <w:hideMark/>
          </w:tcPr>
          <w:p w14:paraId="45AEB8D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Netherlands</w:t>
            </w:r>
          </w:p>
        </w:tc>
      </w:tr>
      <w:tr w:rsidR="00180653" w:rsidRPr="00180653" w14:paraId="5EC21418" w14:textId="77777777" w:rsidTr="0022057B">
        <w:trPr>
          <w:trHeight w:val="287"/>
        </w:trPr>
        <w:tc>
          <w:tcPr>
            <w:tcW w:w="2835" w:type="dxa"/>
            <w:noWrap/>
            <w:hideMark/>
          </w:tcPr>
          <w:p w14:paraId="47B2834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CO2 </w:t>
            </w:r>
            <w:proofErr w:type="spellStart"/>
            <w:r w:rsidRPr="00180653">
              <w:rPr>
                <w:rFonts w:eastAsia="Times New Roman" w:cs="Arial"/>
                <w:color w:val="000000"/>
                <w:lang w:eastAsia="el-GR"/>
              </w:rPr>
              <w:t>Solidaire</w:t>
            </w:r>
            <w:proofErr w:type="spellEnd"/>
            <w:r w:rsidRPr="00180653">
              <w:rPr>
                <w:rFonts w:eastAsia="Times New Roman" w:cs="Arial"/>
                <w:color w:val="000000"/>
                <w:lang w:eastAsia="el-GR"/>
              </w:rPr>
              <w:t xml:space="preserve"> </w:t>
            </w:r>
          </w:p>
        </w:tc>
        <w:tc>
          <w:tcPr>
            <w:tcW w:w="3686" w:type="dxa"/>
            <w:noWrap/>
            <w:hideMark/>
          </w:tcPr>
          <w:p w14:paraId="26634497" w14:textId="77777777" w:rsidR="00180653" w:rsidRPr="00180653" w:rsidRDefault="003B0DE2" w:rsidP="00180653">
            <w:pPr>
              <w:jc w:val="left"/>
              <w:rPr>
                <w:rFonts w:eastAsia="Times New Roman" w:cs="Arial"/>
                <w:color w:val="0563C1"/>
                <w:u w:val="single"/>
                <w:lang w:eastAsia="el-GR"/>
              </w:rPr>
            </w:pPr>
            <w:hyperlink r:id="rId232" w:history="1">
              <w:r w:rsidR="00180653" w:rsidRPr="00180653">
                <w:rPr>
                  <w:rFonts w:eastAsia="Times New Roman" w:cs="Arial"/>
                  <w:color w:val="0563C1"/>
                  <w:u w:val="single"/>
                  <w:lang w:eastAsia="el-GR"/>
                </w:rPr>
                <w:t xml:space="preserve">www.co2solidaire.org </w:t>
              </w:r>
            </w:hyperlink>
          </w:p>
        </w:tc>
        <w:tc>
          <w:tcPr>
            <w:tcW w:w="1843" w:type="dxa"/>
            <w:noWrap/>
            <w:vAlign w:val="center"/>
            <w:hideMark/>
          </w:tcPr>
          <w:p w14:paraId="494B09C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France</w:t>
            </w:r>
          </w:p>
        </w:tc>
      </w:tr>
      <w:tr w:rsidR="00180653" w:rsidRPr="00180653" w14:paraId="704E0F11" w14:textId="77777777" w:rsidTr="0022057B">
        <w:trPr>
          <w:trHeight w:val="287"/>
        </w:trPr>
        <w:tc>
          <w:tcPr>
            <w:tcW w:w="2835" w:type="dxa"/>
            <w:noWrap/>
            <w:hideMark/>
          </w:tcPr>
          <w:p w14:paraId="5689B48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co2balance </w:t>
            </w:r>
          </w:p>
        </w:tc>
        <w:tc>
          <w:tcPr>
            <w:tcW w:w="3686" w:type="dxa"/>
            <w:noWrap/>
            <w:hideMark/>
          </w:tcPr>
          <w:p w14:paraId="7BDFC11C" w14:textId="77777777" w:rsidR="00180653" w:rsidRPr="00180653" w:rsidRDefault="003B0DE2" w:rsidP="00180653">
            <w:pPr>
              <w:jc w:val="left"/>
              <w:rPr>
                <w:rFonts w:eastAsia="Times New Roman" w:cs="Arial"/>
                <w:color w:val="0563C1"/>
                <w:u w:val="single"/>
                <w:lang w:eastAsia="el-GR"/>
              </w:rPr>
            </w:pPr>
            <w:hyperlink r:id="rId233" w:history="1">
              <w:r w:rsidR="00180653" w:rsidRPr="00180653">
                <w:rPr>
                  <w:rFonts w:eastAsia="Times New Roman" w:cs="Arial"/>
                  <w:color w:val="0563C1"/>
                  <w:u w:val="single"/>
                  <w:lang w:eastAsia="el-GR"/>
                </w:rPr>
                <w:t xml:space="preserve">www.co2balance.com </w:t>
              </w:r>
            </w:hyperlink>
          </w:p>
        </w:tc>
        <w:tc>
          <w:tcPr>
            <w:tcW w:w="1843" w:type="dxa"/>
            <w:noWrap/>
            <w:vAlign w:val="center"/>
            <w:hideMark/>
          </w:tcPr>
          <w:p w14:paraId="52004B1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203C6D9B" w14:textId="77777777" w:rsidTr="0022057B">
        <w:trPr>
          <w:trHeight w:val="287"/>
        </w:trPr>
        <w:tc>
          <w:tcPr>
            <w:tcW w:w="2835" w:type="dxa"/>
            <w:noWrap/>
            <w:hideMark/>
          </w:tcPr>
          <w:p w14:paraId="7DA4EB3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CO2OL </w:t>
            </w:r>
          </w:p>
        </w:tc>
        <w:tc>
          <w:tcPr>
            <w:tcW w:w="3686" w:type="dxa"/>
            <w:noWrap/>
            <w:hideMark/>
          </w:tcPr>
          <w:p w14:paraId="3AE0C0D9" w14:textId="77777777" w:rsidR="00180653" w:rsidRPr="00180653" w:rsidRDefault="003B0DE2" w:rsidP="00180653">
            <w:pPr>
              <w:jc w:val="left"/>
              <w:rPr>
                <w:rFonts w:eastAsia="Times New Roman" w:cs="Arial"/>
                <w:color w:val="0563C1"/>
                <w:u w:val="single"/>
                <w:lang w:eastAsia="el-GR"/>
              </w:rPr>
            </w:pPr>
            <w:hyperlink r:id="rId234" w:history="1">
              <w:r w:rsidR="00180653" w:rsidRPr="00180653">
                <w:rPr>
                  <w:rFonts w:eastAsia="Times New Roman" w:cs="Arial"/>
                  <w:color w:val="0563C1"/>
                  <w:u w:val="single"/>
                  <w:lang w:eastAsia="el-GR"/>
                </w:rPr>
                <w:t xml:space="preserve">www.co2ol.de </w:t>
              </w:r>
            </w:hyperlink>
          </w:p>
        </w:tc>
        <w:tc>
          <w:tcPr>
            <w:tcW w:w="1843" w:type="dxa"/>
            <w:noWrap/>
            <w:vAlign w:val="center"/>
            <w:hideMark/>
          </w:tcPr>
          <w:p w14:paraId="5B53284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2BDF1E44" w14:textId="77777777" w:rsidTr="0022057B">
        <w:trPr>
          <w:trHeight w:val="287"/>
        </w:trPr>
        <w:tc>
          <w:tcPr>
            <w:tcW w:w="2835" w:type="dxa"/>
            <w:noWrap/>
            <w:hideMark/>
          </w:tcPr>
          <w:p w14:paraId="49458FE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Concern Universal </w:t>
            </w:r>
          </w:p>
        </w:tc>
        <w:tc>
          <w:tcPr>
            <w:tcW w:w="3686" w:type="dxa"/>
            <w:noWrap/>
            <w:hideMark/>
          </w:tcPr>
          <w:p w14:paraId="0CAF4EEB" w14:textId="77777777" w:rsidR="00180653" w:rsidRPr="00180653" w:rsidRDefault="003B0DE2" w:rsidP="00180653">
            <w:pPr>
              <w:jc w:val="left"/>
              <w:rPr>
                <w:rFonts w:eastAsia="Times New Roman" w:cs="Arial"/>
                <w:color w:val="0563C1"/>
                <w:u w:val="single"/>
                <w:lang w:eastAsia="el-GR"/>
              </w:rPr>
            </w:pPr>
            <w:hyperlink r:id="rId235" w:history="1">
              <w:r w:rsidR="00180653" w:rsidRPr="00180653">
                <w:rPr>
                  <w:rFonts w:eastAsia="Times New Roman" w:cs="Arial"/>
                  <w:color w:val="0563C1"/>
                  <w:u w:val="single"/>
                  <w:lang w:eastAsia="el-GR"/>
                </w:rPr>
                <w:t xml:space="preserve">www.concern-universal.org </w:t>
              </w:r>
            </w:hyperlink>
          </w:p>
        </w:tc>
        <w:tc>
          <w:tcPr>
            <w:tcW w:w="1843" w:type="dxa"/>
            <w:noWrap/>
            <w:vAlign w:val="center"/>
            <w:hideMark/>
          </w:tcPr>
          <w:p w14:paraId="3C733C5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2C34AB84" w14:textId="77777777" w:rsidTr="0022057B">
        <w:trPr>
          <w:trHeight w:val="287"/>
        </w:trPr>
        <w:tc>
          <w:tcPr>
            <w:tcW w:w="2835" w:type="dxa"/>
            <w:noWrap/>
            <w:hideMark/>
          </w:tcPr>
          <w:p w14:paraId="2998DAD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Cool Earth </w:t>
            </w:r>
          </w:p>
        </w:tc>
        <w:tc>
          <w:tcPr>
            <w:tcW w:w="3686" w:type="dxa"/>
            <w:noWrap/>
            <w:hideMark/>
          </w:tcPr>
          <w:p w14:paraId="680F3BAC" w14:textId="77777777" w:rsidR="00180653" w:rsidRPr="00180653" w:rsidRDefault="003B0DE2" w:rsidP="00180653">
            <w:pPr>
              <w:jc w:val="left"/>
              <w:rPr>
                <w:rFonts w:eastAsia="Times New Roman" w:cs="Arial"/>
                <w:color w:val="0563C1"/>
                <w:u w:val="single"/>
                <w:lang w:eastAsia="el-GR"/>
              </w:rPr>
            </w:pPr>
            <w:hyperlink r:id="rId236" w:history="1">
              <w:r w:rsidR="00180653" w:rsidRPr="00180653">
                <w:rPr>
                  <w:rFonts w:eastAsia="Times New Roman" w:cs="Arial"/>
                  <w:color w:val="0563C1"/>
                  <w:u w:val="single"/>
                  <w:lang w:eastAsia="el-GR"/>
                </w:rPr>
                <w:t xml:space="preserve">www.coolearth.org </w:t>
              </w:r>
            </w:hyperlink>
          </w:p>
        </w:tc>
        <w:tc>
          <w:tcPr>
            <w:tcW w:w="1843" w:type="dxa"/>
            <w:noWrap/>
            <w:vAlign w:val="center"/>
            <w:hideMark/>
          </w:tcPr>
          <w:p w14:paraId="2B7114B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7674EA2E" w14:textId="77777777" w:rsidTr="0022057B">
        <w:trPr>
          <w:trHeight w:val="287"/>
        </w:trPr>
        <w:tc>
          <w:tcPr>
            <w:tcW w:w="2835" w:type="dxa"/>
            <w:noWrap/>
            <w:hideMark/>
          </w:tcPr>
          <w:p w14:paraId="7BA4A42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Die </w:t>
            </w:r>
            <w:proofErr w:type="spellStart"/>
            <w:r w:rsidRPr="00180653">
              <w:rPr>
                <w:rFonts w:eastAsia="Times New Roman" w:cs="Arial"/>
                <w:color w:val="000000"/>
                <w:lang w:eastAsia="el-GR"/>
              </w:rPr>
              <w:t>Ofenmacher</w:t>
            </w:r>
            <w:proofErr w:type="spellEnd"/>
            <w:r w:rsidRPr="00180653">
              <w:rPr>
                <w:rFonts w:eastAsia="Times New Roman" w:cs="Arial"/>
                <w:color w:val="000000"/>
                <w:lang w:eastAsia="el-GR"/>
              </w:rPr>
              <w:t xml:space="preserve"> </w:t>
            </w:r>
            <w:proofErr w:type="spellStart"/>
            <w:r w:rsidRPr="00180653">
              <w:rPr>
                <w:rFonts w:eastAsia="Times New Roman" w:cs="Arial"/>
                <w:color w:val="000000"/>
                <w:lang w:eastAsia="el-GR"/>
              </w:rPr>
              <w:t>e.V.</w:t>
            </w:r>
            <w:proofErr w:type="spellEnd"/>
            <w:r w:rsidRPr="00180653">
              <w:rPr>
                <w:rFonts w:eastAsia="Times New Roman" w:cs="Arial"/>
                <w:color w:val="000000"/>
                <w:lang w:eastAsia="el-GR"/>
              </w:rPr>
              <w:t xml:space="preserve"> </w:t>
            </w:r>
          </w:p>
        </w:tc>
        <w:tc>
          <w:tcPr>
            <w:tcW w:w="3686" w:type="dxa"/>
            <w:noWrap/>
            <w:hideMark/>
          </w:tcPr>
          <w:p w14:paraId="763AEED1" w14:textId="77777777" w:rsidR="00180653" w:rsidRPr="00180653" w:rsidRDefault="003B0DE2" w:rsidP="00180653">
            <w:pPr>
              <w:jc w:val="left"/>
              <w:rPr>
                <w:rFonts w:eastAsia="Times New Roman" w:cs="Arial"/>
                <w:color w:val="0563C1"/>
                <w:u w:val="single"/>
                <w:lang w:eastAsia="el-GR"/>
              </w:rPr>
            </w:pPr>
            <w:hyperlink r:id="rId237" w:history="1">
              <w:r w:rsidR="00180653" w:rsidRPr="00180653">
                <w:rPr>
                  <w:rFonts w:eastAsia="Times New Roman" w:cs="Arial"/>
                  <w:color w:val="0563C1"/>
                  <w:u w:val="single"/>
                  <w:lang w:eastAsia="el-GR"/>
                </w:rPr>
                <w:t xml:space="preserve">www.ofenmacher.org </w:t>
              </w:r>
            </w:hyperlink>
          </w:p>
        </w:tc>
        <w:tc>
          <w:tcPr>
            <w:tcW w:w="1843" w:type="dxa"/>
            <w:noWrap/>
            <w:vAlign w:val="center"/>
            <w:hideMark/>
          </w:tcPr>
          <w:p w14:paraId="4DE8C90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203F2575" w14:textId="77777777" w:rsidTr="0022057B">
        <w:trPr>
          <w:trHeight w:val="287"/>
        </w:trPr>
        <w:tc>
          <w:tcPr>
            <w:tcW w:w="2835" w:type="dxa"/>
            <w:noWrap/>
            <w:hideMark/>
          </w:tcPr>
          <w:p w14:paraId="7E48E257"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EcoAct</w:t>
            </w:r>
            <w:proofErr w:type="spellEnd"/>
            <w:r w:rsidRPr="00180653">
              <w:rPr>
                <w:rFonts w:eastAsia="Times New Roman" w:cs="Arial"/>
                <w:color w:val="000000"/>
                <w:lang w:eastAsia="el-GR"/>
              </w:rPr>
              <w:t xml:space="preserve"> </w:t>
            </w:r>
          </w:p>
        </w:tc>
        <w:tc>
          <w:tcPr>
            <w:tcW w:w="3686" w:type="dxa"/>
            <w:noWrap/>
            <w:hideMark/>
          </w:tcPr>
          <w:p w14:paraId="4D2018B8" w14:textId="77777777" w:rsidR="00180653" w:rsidRPr="00180653" w:rsidRDefault="003B0DE2" w:rsidP="00180653">
            <w:pPr>
              <w:jc w:val="left"/>
              <w:rPr>
                <w:rFonts w:eastAsia="Times New Roman" w:cs="Arial"/>
                <w:color w:val="0563C1"/>
                <w:u w:val="single"/>
                <w:lang w:eastAsia="el-GR"/>
              </w:rPr>
            </w:pPr>
            <w:hyperlink r:id="rId238" w:history="1">
              <w:r w:rsidR="00180653" w:rsidRPr="00180653">
                <w:rPr>
                  <w:rFonts w:eastAsia="Times New Roman" w:cs="Arial"/>
                  <w:color w:val="0563C1"/>
                  <w:u w:val="single"/>
                  <w:lang w:eastAsia="el-GR"/>
                </w:rPr>
                <w:t xml:space="preserve">www.eco-act.com </w:t>
              </w:r>
            </w:hyperlink>
          </w:p>
        </w:tc>
        <w:tc>
          <w:tcPr>
            <w:tcW w:w="1843" w:type="dxa"/>
            <w:noWrap/>
            <w:vAlign w:val="center"/>
            <w:hideMark/>
          </w:tcPr>
          <w:p w14:paraId="6361211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France</w:t>
            </w:r>
          </w:p>
        </w:tc>
      </w:tr>
      <w:tr w:rsidR="00180653" w:rsidRPr="00180653" w14:paraId="0000E396" w14:textId="77777777" w:rsidTr="0022057B">
        <w:trPr>
          <w:trHeight w:val="287"/>
        </w:trPr>
        <w:tc>
          <w:tcPr>
            <w:tcW w:w="2835" w:type="dxa"/>
            <w:noWrap/>
            <w:hideMark/>
          </w:tcPr>
          <w:p w14:paraId="318CB287"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EcoWay</w:t>
            </w:r>
            <w:proofErr w:type="spellEnd"/>
            <w:r w:rsidRPr="00180653">
              <w:rPr>
                <w:rFonts w:eastAsia="Times New Roman" w:cs="Arial"/>
                <w:color w:val="000000"/>
                <w:lang w:eastAsia="el-GR"/>
              </w:rPr>
              <w:t xml:space="preserve"> </w:t>
            </w:r>
            <w:proofErr w:type="spellStart"/>
            <w:r w:rsidRPr="00180653">
              <w:rPr>
                <w:rFonts w:eastAsia="Times New Roman" w:cs="Arial"/>
                <w:color w:val="000000"/>
                <w:lang w:eastAsia="el-GR"/>
              </w:rPr>
              <w:t>S.p.a</w:t>
            </w:r>
            <w:proofErr w:type="spellEnd"/>
            <w:r w:rsidRPr="00180653">
              <w:rPr>
                <w:rFonts w:eastAsia="Times New Roman" w:cs="Arial"/>
                <w:color w:val="000000"/>
                <w:lang w:eastAsia="el-GR"/>
              </w:rPr>
              <w:t xml:space="preserve">. </w:t>
            </w:r>
          </w:p>
        </w:tc>
        <w:tc>
          <w:tcPr>
            <w:tcW w:w="3686" w:type="dxa"/>
            <w:noWrap/>
            <w:hideMark/>
          </w:tcPr>
          <w:p w14:paraId="7DA9A148" w14:textId="77777777" w:rsidR="00180653" w:rsidRPr="00180653" w:rsidRDefault="003B0DE2" w:rsidP="00180653">
            <w:pPr>
              <w:jc w:val="left"/>
              <w:rPr>
                <w:rFonts w:eastAsia="Times New Roman" w:cs="Arial"/>
                <w:color w:val="0563C1"/>
                <w:u w:val="single"/>
                <w:lang w:eastAsia="el-GR"/>
              </w:rPr>
            </w:pPr>
            <w:hyperlink r:id="rId239" w:history="1">
              <w:r w:rsidR="00180653" w:rsidRPr="00180653">
                <w:rPr>
                  <w:rFonts w:eastAsia="Times New Roman" w:cs="Arial"/>
                  <w:color w:val="0563C1"/>
                  <w:u w:val="single"/>
                  <w:lang w:eastAsia="el-GR"/>
                </w:rPr>
                <w:t xml:space="preserve">www.ecoway.it </w:t>
              </w:r>
            </w:hyperlink>
          </w:p>
        </w:tc>
        <w:tc>
          <w:tcPr>
            <w:tcW w:w="1843" w:type="dxa"/>
            <w:noWrap/>
            <w:vAlign w:val="center"/>
            <w:hideMark/>
          </w:tcPr>
          <w:p w14:paraId="6F9D48D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Italy</w:t>
            </w:r>
          </w:p>
        </w:tc>
      </w:tr>
      <w:tr w:rsidR="00180653" w:rsidRPr="00180653" w14:paraId="42E1DF15" w14:textId="77777777" w:rsidTr="0022057B">
        <w:trPr>
          <w:trHeight w:val="287"/>
        </w:trPr>
        <w:tc>
          <w:tcPr>
            <w:tcW w:w="2835" w:type="dxa"/>
            <w:noWrap/>
            <w:hideMark/>
          </w:tcPr>
          <w:p w14:paraId="3D27A5D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Face the Future </w:t>
            </w:r>
          </w:p>
        </w:tc>
        <w:tc>
          <w:tcPr>
            <w:tcW w:w="3686" w:type="dxa"/>
            <w:noWrap/>
            <w:hideMark/>
          </w:tcPr>
          <w:p w14:paraId="35130E37" w14:textId="77777777" w:rsidR="00180653" w:rsidRPr="00180653" w:rsidRDefault="003B0DE2" w:rsidP="00180653">
            <w:pPr>
              <w:jc w:val="left"/>
              <w:rPr>
                <w:rFonts w:eastAsia="Times New Roman" w:cs="Arial"/>
                <w:color w:val="0563C1"/>
                <w:u w:val="single"/>
                <w:lang w:eastAsia="el-GR"/>
              </w:rPr>
            </w:pPr>
            <w:hyperlink r:id="rId240" w:history="1">
              <w:r w:rsidR="00180653" w:rsidRPr="00180653">
                <w:rPr>
                  <w:rFonts w:eastAsia="Times New Roman" w:cs="Arial"/>
                  <w:color w:val="0563C1"/>
                  <w:u w:val="single"/>
                  <w:lang w:eastAsia="el-GR"/>
                </w:rPr>
                <w:t xml:space="preserve">www.facethefuture.com </w:t>
              </w:r>
            </w:hyperlink>
          </w:p>
        </w:tc>
        <w:tc>
          <w:tcPr>
            <w:tcW w:w="1843" w:type="dxa"/>
            <w:noWrap/>
            <w:vAlign w:val="center"/>
            <w:hideMark/>
          </w:tcPr>
          <w:p w14:paraId="3715301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Netherlands</w:t>
            </w:r>
          </w:p>
        </w:tc>
      </w:tr>
      <w:tr w:rsidR="00180653" w:rsidRPr="00180653" w14:paraId="5C5B2F6D" w14:textId="77777777" w:rsidTr="0022057B">
        <w:trPr>
          <w:trHeight w:val="287"/>
        </w:trPr>
        <w:tc>
          <w:tcPr>
            <w:tcW w:w="2835" w:type="dxa"/>
            <w:noWrap/>
            <w:hideMark/>
          </w:tcPr>
          <w:p w14:paraId="6E37F97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Fair Recycling Foundation </w:t>
            </w:r>
          </w:p>
        </w:tc>
        <w:tc>
          <w:tcPr>
            <w:tcW w:w="3686" w:type="dxa"/>
            <w:noWrap/>
            <w:hideMark/>
          </w:tcPr>
          <w:p w14:paraId="746A96C8" w14:textId="77777777" w:rsidR="00180653" w:rsidRPr="00180653" w:rsidRDefault="003B0DE2" w:rsidP="00180653">
            <w:pPr>
              <w:jc w:val="left"/>
              <w:rPr>
                <w:rFonts w:eastAsia="Times New Roman" w:cs="Arial"/>
                <w:color w:val="0563C1"/>
                <w:u w:val="single"/>
                <w:lang w:eastAsia="el-GR"/>
              </w:rPr>
            </w:pPr>
            <w:hyperlink r:id="rId241" w:history="1">
              <w:r w:rsidR="00180653" w:rsidRPr="00180653">
                <w:rPr>
                  <w:rFonts w:eastAsia="Times New Roman" w:cs="Arial"/>
                  <w:color w:val="0563C1"/>
                  <w:u w:val="single"/>
                  <w:lang w:eastAsia="el-GR"/>
                </w:rPr>
                <w:t xml:space="preserve">www.fair-recycling.com </w:t>
              </w:r>
            </w:hyperlink>
          </w:p>
        </w:tc>
        <w:tc>
          <w:tcPr>
            <w:tcW w:w="1843" w:type="dxa"/>
            <w:noWrap/>
            <w:vAlign w:val="center"/>
            <w:hideMark/>
          </w:tcPr>
          <w:p w14:paraId="3827725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Switzerland</w:t>
            </w:r>
          </w:p>
        </w:tc>
      </w:tr>
      <w:tr w:rsidR="00180653" w:rsidRPr="00180653" w14:paraId="095FB7AA" w14:textId="77777777" w:rsidTr="0022057B">
        <w:trPr>
          <w:trHeight w:val="287"/>
        </w:trPr>
        <w:tc>
          <w:tcPr>
            <w:tcW w:w="2835" w:type="dxa"/>
            <w:noWrap/>
            <w:hideMark/>
          </w:tcPr>
          <w:p w14:paraId="31375A0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Fair Climate Fund</w:t>
            </w:r>
          </w:p>
        </w:tc>
        <w:tc>
          <w:tcPr>
            <w:tcW w:w="3686" w:type="dxa"/>
            <w:noWrap/>
            <w:hideMark/>
          </w:tcPr>
          <w:p w14:paraId="33860B9F" w14:textId="77777777" w:rsidR="00180653" w:rsidRPr="00180653" w:rsidRDefault="003B0DE2" w:rsidP="00180653">
            <w:pPr>
              <w:jc w:val="left"/>
              <w:rPr>
                <w:rFonts w:eastAsia="Times New Roman" w:cs="Arial"/>
                <w:color w:val="0563C1"/>
                <w:u w:val="single"/>
                <w:lang w:eastAsia="el-GR"/>
              </w:rPr>
            </w:pPr>
            <w:hyperlink r:id="rId242" w:history="1">
              <w:r w:rsidR="00180653" w:rsidRPr="00180653">
                <w:rPr>
                  <w:rFonts w:eastAsia="Times New Roman" w:cs="Arial"/>
                  <w:color w:val="0563C1"/>
                  <w:u w:val="single"/>
                  <w:lang w:eastAsia="el-GR"/>
                </w:rPr>
                <w:t xml:space="preserve">www.fairclimatefund.nl </w:t>
              </w:r>
            </w:hyperlink>
          </w:p>
        </w:tc>
        <w:tc>
          <w:tcPr>
            <w:tcW w:w="1843" w:type="dxa"/>
            <w:noWrap/>
            <w:vAlign w:val="center"/>
            <w:hideMark/>
          </w:tcPr>
          <w:p w14:paraId="3878B25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Netherlands</w:t>
            </w:r>
          </w:p>
        </w:tc>
      </w:tr>
      <w:tr w:rsidR="00180653" w:rsidRPr="00180653" w14:paraId="7542F75E" w14:textId="77777777" w:rsidTr="0022057B">
        <w:trPr>
          <w:trHeight w:val="287"/>
        </w:trPr>
        <w:tc>
          <w:tcPr>
            <w:tcW w:w="2835" w:type="dxa"/>
            <w:noWrap/>
            <w:hideMark/>
          </w:tcPr>
          <w:p w14:paraId="38159D5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First Climate </w:t>
            </w:r>
          </w:p>
        </w:tc>
        <w:tc>
          <w:tcPr>
            <w:tcW w:w="3686" w:type="dxa"/>
            <w:noWrap/>
            <w:hideMark/>
          </w:tcPr>
          <w:p w14:paraId="30430A39" w14:textId="77777777" w:rsidR="00180653" w:rsidRPr="00180653" w:rsidRDefault="003B0DE2" w:rsidP="00180653">
            <w:pPr>
              <w:jc w:val="left"/>
              <w:rPr>
                <w:rFonts w:eastAsia="Times New Roman" w:cs="Arial"/>
                <w:color w:val="0563C1"/>
                <w:u w:val="single"/>
                <w:lang w:eastAsia="el-GR"/>
              </w:rPr>
            </w:pPr>
            <w:hyperlink r:id="rId243" w:history="1">
              <w:r w:rsidR="00180653" w:rsidRPr="00180653">
                <w:rPr>
                  <w:rFonts w:eastAsia="Times New Roman" w:cs="Arial"/>
                  <w:color w:val="0563C1"/>
                  <w:u w:val="single"/>
                  <w:lang w:eastAsia="el-GR"/>
                </w:rPr>
                <w:t xml:space="preserve">www.firstclimate-climateneutral.com/gb </w:t>
              </w:r>
            </w:hyperlink>
          </w:p>
        </w:tc>
        <w:tc>
          <w:tcPr>
            <w:tcW w:w="1843" w:type="dxa"/>
            <w:noWrap/>
            <w:vAlign w:val="center"/>
            <w:hideMark/>
          </w:tcPr>
          <w:p w14:paraId="16EBF5D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354D6043" w14:textId="77777777" w:rsidTr="0022057B">
        <w:trPr>
          <w:trHeight w:val="287"/>
        </w:trPr>
        <w:tc>
          <w:tcPr>
            <w:tcW w:w="2835" w:type="dxa"/>
            <w:noWrap/>
            <w:hideMark/>
          </w:tcPr>
          <w:p w14:paraId="2518CF2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Forest Carbon Ltd</w:t>
            </w:r>
          </w:p>
        </w:tc>
        <w:tc>
          <w:tcPr>
            <w:tcW w:w="3686" w:type="dxa"/>
            <w:noWrap/>
            <w:hideMark/>
          </w:tcPr>
          <w:p w14:paraId="43D0DF44" w14:textId="77777777" w:rsidR="00180653" w:rsidRPr="00180653" w:rsidRDefault="003B0DE2" w:rsidP="00180653">
            <w:pPr>
              <w:jc w:val="left"/>
              <w:rPr>
                <w:rFonts w:eastAsia="Times New Roman" w:cs="Arial"/>
                <w:color w:val="0563C1"/>
                <w:u w:val="single"/>
                <w:lang w:eastAsia="el-GR"/>
              </w:rPr>
            </w:pPr>
            <w:hyperlink r:id="rId244" w:history="1">
              <w:r w:rsidR="00180653" w:rsidRPr="00180653">
                <w:rPr>
                  <w:rFonts w:eastAsia="Times New Roman" w:cs="Arial"/>
                  <w:color w:val="0563C1"/>
                  <w:u w:val="single"/>
                  <w:lang w:eastAsia="el-GR"/>
                </w:rPr>
                <w:t xml:space="preserve">www.forestcarbon.co.uk </w:t>
              </w:r>
            </w:hyperlink>
          </w:p>
        </w:tc>
        <w:tc>
          <w:tcPr>
            <w:tcW w:w="1843" w:type="dxa"/>
            <w:noWrap/>
            <w:vAlign w:val="center"/>
            <w:hideMark/>
          </w:tcPr>
          <w:p w14:paraId="3F121F7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19F9E947" w14:textId="77777777" w:rsidTr="0022057B">
        <w:trPr>
          <w:trHeight w:val="287"/>
        </w:trPr>
        <w:tc>
          <w:tcPr>
            <w:tcW w:w="2835" w:type="dxa"/>
            <w:noWrap/>
            <w:hideMark/>
          </w:tcPr>
          <w:p w14:paraId="7472A9E0"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FutureCamp</w:t>
            </w:r>
            <w:proofErr w:type="spellEnd"/>
            <w:r w:rsidRPr="00180653">
              <w:rPr>
                <w:rFonts w:eastAsia="Times New Roman" w:cs="Arial"/>
                <w:color w:val="000000"/>
                <w:lang w:eastAsia="el-GR"/>
              </w:rPr>
              <w:t xml:space="preserve"> Climate GmbH </w:t>
            </w:r>
          </w:p>
        </w:tc>
        <w:tc>
          <w:tcPr>
            <w:tcW w:w="3686" w:type="dxa"/>
            <w:noWrap/>
            <w:hideMark/>
          </w:tcPr>
          <w:p w14:paraId="6DEBF7C6" w14:textId="77777777" w:rsidR="00180653" w:rsidRPr="00180653" w:rsidRDefault="003B0DE2" w:rsidP="00180653">
            <w:pPr>
              <w:jc w:val="left"/>
              <w:rPr>
                <w:rFonts w:eastAsia="Times New Roman" w:cs="Arial"/>
                <w:color w:val="000000"/>
                <w:lang w:eastAsia="el-GR"/>
              </w:rPr>
            </w:pPr>
            <w:hyperlink r:id="rId245" w:history="1">
              <w:r w:rsidR="00180653" w:rsidRPr="00180653">
                <w:rPr>
                  <w:rFonts w:eastAsia="Times New Roman" w:cs="Arial"/>
                  <w:color w:val="0000FF"/>
                  <w:u w:val="single"/>
                  <w:lang w:eastAsia="el-GR"/>
                </w:rPr>
                <w:t>future-camp.de</w:t>
              </w:r>
            </w:hyperlink>
          </w:p>
        </w:tc>
        <w:tc>
          <w:tcPr>
            <w:tcW w:w="1843" w:type="dxa"/>
            <w:noWrap/>
            <w:vAlign w:val="center"/>
            <w:hideMark/>
          </w:tcPr>
          <w:p w14:paraId="108D5B7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2B6D7972" w14:textId="77777777" w:rsidTr="0022057B">
        <w:trPr>
          <w:trHeight w:val="287"/>
        </w:trPr>
        <w:tc>
          <w:tcPr>
            <w:tcW w:w="2835" w:type="dxa"/>
            <w:noWrap/>
            <w:hideMark/>
          </w:tcPr>
          <w:p w14:paraId="2376F98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Green Innovation </w:t>
            </w:r>
            <w:proofErr w:type="spellStart"/>
            <w:r w:rsidRPr="00180653">
              <w:rPr>
                <w:rFonts w:eastAsia="Times New Roman" w:cs="Arial"/>
                <w:color w:val="000000"/>
                <w:lang w:eastAsia="el-GR"/>
              </w:rPr>
              <w:t>Srl</w:t>
            </w:r>
            <w:proofErr w:type="spellEnd"/>
            <w:r w:rsidRPr="00180653">
              <w:rPr>
                <w:rFonts w:eastAsia="Times New Roman" w:cs="Arial"/>
                <w:color w:val="000000"/>
                <w:lang w:eastAsia="el-GR"/>
              </w:rPr>
              <w:t xml:space="preserve"> </w:t>
            </w:r>
          </w:p>
        </w:tc>
        <w:tc>
          <w:tcPr>
            <w:tcW w:w="3686" w:type="dxa"/>
            <w:noWrap/>
            <w:hideMark/>
          </w:tcPr>
          <w:p w14:paraId="264E5986" w14:textId="77777777" w:rsidR="00180653" w:rsidRPr="00180653" w:rsidRDefault="003B0DE2" w:rsidP="00180653">
            <w:pPr>
              <w:jc w:val="left"/>
              <w:rPr>
                <w:rFonts w:eastAsia="Times New Roman" w:cs="Arial"/>
                <w:color w:val="0563C1"/>
                <w:u w:val="single"/>
                <w:lang w:eastAsia="el-GR"/>
              </w:rPr>
            </w:pPr>
            <w:hyperlink r:id="rId246" w:history="1">
              <w:r w:rsidR="00180653" w:rsidRPr="00180653">
                <w:rPr>
                  <w:rFonts w:eastAsia="Times New Roman" w:cs="Arial"/>
                  <w:color w:val="0563C1"/>
                  <w:u w:val="single"/>
                  <w:lang w:eastAsia="el-GR"/>
                </w:rPr>
                <w:t xml:space="preserve">www.co2-zero.it </w:t>
              </w:r>
            </w:hyperlink>
          </w:p>
        </w:tc>
        <w:tc>
          <w:tcPr>
            <w:tcW w:w="1843" w:type="dxa"/>
            <w:noWrap/>
            <w:vAlign w:val="center"/>
            <w:hideMark/>
          </w:tcPr>
          <w:p w14:paraId="26CD421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Italy</w:t>
            </w:r>
          </w:p>
        </w:tc>
      </w:tr>
      <w:tr w:rsidR="00180653" w:rsidRPr="00180653" w14:paraId="50C82BE9" w14:textId="77777777" w:rsidTr="0022057B">
        <w:trPr>
          <w:trHeight w:val="287"/>
        </w:trPr>
        <w:tc>
          <w:tcPr>
            <w:tcW w:w="2835" w:type="dxa"/>
            <w:noWrap/>
            <w:hideMark/>
          </w:tcPr>
          <w:p w14:paraId="21D8E56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Green Resources </w:t>
            </w:r>
          </w:p>
        </w:tc>
        <w:tc>
          <w:tcPr>
            <w:tcW w:w="3686" w:type="dxa"/>
            <w:noWrap/>
            <w:hideMark/>
          </w:tcPr>
          <w:p w14:paraId="18E48159" w14:textId="77777777" w:rsidR="00180653" w:rsidRPr="00180653" w:rsidRDefault="003B0DE2" w:rsidP="00180653">
            <w:pPr>
              <w:jc w:val="left"/>
              <w:rPr>
                <w:rFonts w:eastAsia="Times New Roman" w:cs="Arial"/>
                <w:color w:val="0563C1"/>
                <w:u w:val="single"/>
                <w:lang w:eastAsia="el-GR"/>
              </w:rPr>
            </w:pPr>
            <w:hyperlink r:id="rId247" w:history="1">
              <w:r w:rsidR="00180653" w:rsidRPr="00180653">
                <w:rPr>
                  <w:rFonts w:eastAsia="Times New Roman" w:cs="Arial"/>
                  <w:color w:val="0563C1"/>
                  <w:u w:val="single"/>
                  <w:lang w:eastAsia="el-GR"/>
                </w:rPr>
                <w:t xml:space="preserve">www.greenresources.no </w:t>
              </w:r>
            </w:hyperlink>
          </w:p>
        </w:tc>
        <w:tc>
          <w:tcPr>
            <w:tcW w:w="1843" w:type="dxa"/>
            <w:noWrap/>
            <w:vAlign w:val="center"/>
            <w:hideMark/>
          </w:tcPr>
          <w:p w14:paraId="1142F54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Norway</w:t>
            </w:r>
          </w:p>
        </w:tc>
      </w:tr>
      <w:tr w:rsidR="00180653" w:rsidRPr="00180653" w14:paraId="7E961795" w14:textId="77777777" w:rsidTr="0022057B">
        <w:trPr>
          <w:trHeight w:val="287"/>
        </w:trPr>
        <w:tc>
          <w:tcPr>
            <w:tcW w:w="2835" w:type="dxa"/>
            <w:noWrap/>
            <w:hideMark/>
          </w:tcPr>
          <w:p w14:paraId="2A496D4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GTE Carbon Trading </w:t>
            </w:r>
          </w:p>
        </w:tc>
        <w:tc>
          <w:tcPr>
            <w:tcW w:w="3686" w:type="dxa"/>
            <w:noWrap/>
            <w:hideMark/>
          </w:tcPr>
          <w:p w14:paraId="5DF2ECC7" w14:textId="77777777" w:rsidR="00180653" w:rsidRPr="00180653" w:rsidRDefault="003B0DE2" w:rsidP="00180653">
            <w:pPr>
              <w:jc w:val="left"/>
              <w:rPr>
                <w:rFonts w:eastAsia="Times New Roman" w:cs="Arial"/>
                <w:color w:val="0563C1"/>
                <w:u w:val="single"/>
                <w:lang w:eastAsia="el-GR"/>
              </w:rPr>
            </w:pPr>
            <w:hyperlink r:id="rId248" w:history="1">
              <w:r w:rsidR="00180653" w:rsidRPr="00180653">
                <w:rPr>
                  <w:rFonts w:eastAsia="Times New Roman" w:cs="Arial"/>
                  <w:color w:val="0563C1"/>
                  <w:u w:val="single"/>
                  <w:lang w:eastAsia="el-GR"/>
                </w:rPr>
                <w:t xml:space="preserve">www.gtecarbon.com </w:t>
              </w:r>
            </w:hyperlink>
          </w:p>
        </w:tc>
        <w:tc>
          <w:tcPr>
            <w:tcW w:w="1843" w:type="dxa"/>
            <w:noWrap/>
            <w:hideMark/>
          </w:tcPr>
          <w:p w14:paraId="4B7264E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Turkey</w:t>
            </w:r>
          </w:p>
        </w:tc>
      </w:tr>
      <w:tr w:rsidR="00180653" w:rsidRPr="00180653" w14:paraId="573AEB49" w14:textId="77777777" w:rsidTr="0022057B">
        <w:trPr>
          <w:trHeight w:val="287"/>
        </w:trPr>
        <w:tc>
          <w:tcPr>
            <w:tcW w:w="2835" w:type="dxa"/>
            <w:noWrap/>
            <w:hideMark/>
          </w:tcPr>
          <w:p w14:paraId="5F13A04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Initiative </w:t>
            </w:r>
            <w:proofErr w:type="spellStart"/>
            <w:r w:rsidRPr="00180653">
              <w:rPr>
                <w:rFonts w:eastAsia="Times New Roman" w:cs="Arial"/>
                <w:color w:val="000000"/>
                <w:lang w:eastAsia="el-GR"/>
              </w:rPr>
              <w:t>Développement</w:t>
            </w:r>
            <w:proofErr w:type="spellEnd"/>
            <w:r w:rsidRPr="00180653">
              <w:rPr>
                <w:rFonts w:eastAsia="Times New Roman" w:cs="Arial"/>
                <w:color w:val="000000"/>
                <w:lang w:eastAsia="el-GR"/>
              </w:rPr>
              <w:t xml:space="preserve"> (ID) </w:t>
            </w:r>
          </w:p>
        </w:tc>
        <w:tc>
          <w:tcPr>
            <w:tcW w:w="3686" w:type="dxa"/>
            <w:noWrap/>
            <w:hideMark/>
          </w:tcPr>
          <w:p w14:paraId="0EF85BB3" w14:textId="77777777" w:rsidR="00180653" w:rsidRPr="00180653" w:rsidRDefault="003B0DE2" w:rsidP="00180653">
            <w:pPr>
              <w:jc w:val="left"/>
              <w:rPr>
                <w:rFonts w:eastAsia="Times New Roman" w:cs="Arial"/>
                <w:color w:val="0563C1"/>
                <w:u w:val="single"/>
                <w:lang w:eastAsia="el-GR"/>
              </w:rPr>
            </w:pPr>
            <w:hyperlink r:id="rId249" w:history="1">
              <w:r w:rsidR="00180653" w:rsidRPr="00180653">
                <w:rPr>
                  <w:rFonts w:eastAsia="Times New Roman" w:cs="Arial"/>
                  <w:color w:val="0563C1"/>
                  <w:u w:val="single"/>
                  <w:lang w:eastAsia="el-GR"/>
                </w:rPr>
                <w:t xml:space="preserve">www.id-ong.org </w:t>
              </w:r>
            </w:hyperlink>
          </w:p>
        </w:tc>
        <w:tc>
          <w:tcPr>
            <w:tcW w:w="1843" w:type="dxa"/>
            <w:noWrap/>
            <w:hideMark/>
          </w:tcPr>
          <w:p w14:paraId="68E2935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France</w:t>
            </w:r>
          </w:p>
        </w:tc>
      </w:tr>
      <w:tr w:rsidR="00180653" w:rsidRPr="00180653" w14:paraId="08038526" w14:textId="77777777" w:rsidTr="0022057B">
        <w:trPr>
          <w:trHeight w:val="287"/>
        </w:trPr>
        <w:tc>
          <w:tcPr>
            <w:tcW w:w="2835" w:type="dxa"/>
            <w:noWrap/>
            <w:hideMark/>
          </w:tcPr>
          <w:p w14:paraId="0A612D55"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Lavola</w:t>
            </w:r>
            <w:proofErr w:type="spellEnd"/>
            <w:r w:rsidRPr="00180653">
              <w:rPr>
                <w:rFonts w:eastAsia="Times New Roman" w:cs="Arial"/>
                <w:color w:val="000000"/>
                <w:lang w:eastAsia="el-GR"/>
              </w:rPr>
              <w:t xml:space="preserve"> 1981, SA </w:t>
            </w:r>
          </w:p>
        </w:tc>
        <w:tc>
          <w:tcPr>
            <w:tcW w:w="3686" w:type="dxa"/>
            <w:noWrap/>
            <w:hideMark/>
          </w:tcPr>
          <w:p w14:paraId="4D14D93D" w14:textId="77777777" w:rsidR="00180653" w:rsidRPr="00180653" w:rsidRDefault="003B0DE2" w:rsidP="00180653">
            <w:pPr>
              <w:jc w:val="left"/>
              <w:rPr>
                <w:rFonts w:eastAsia="Times New Roman" w:cs="Arial"/>
                <w:color w:val="0563C1"/>
                <w:u w:val="single"/>
                <w:lang w:eastAsia="el-GR"/>
              </w:rPr>
            </w:pPr>
            <w:hyperlink r:id="rId250" w:history="1">
              <w:r w:rsidR="00180653" w:rsidRPr="00180653">
                <w:rPr>
                  <w:rFonts w:eastAsia="Times New Roman" w:cs="Arial"/>
                  <w:color w:val="0563C1"/>
                  <w:u w:val="single"/>
                  <w:lang w:eastAsia="el-GR"/>
                </w:rPr>
                <w:t xml:space="preserve">www.clean-co2.com </w:t>
              </w:r>
            </w:hyperlink>
          </w:p>
        </w:tc>
        <w:tc>
          <w:tcPr>
            <w:tcW w:w="1843" w:type="dxa"/>
            <w:noWrap/>
            <w:hideMark/>
          </w:tcPr>
          <w:p w14:paraId="33DEDE5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Spain</w:t>
            </w:r>
          </w:p>
        </w:tc>
      </w:tr>
      <w:tr w:rsidR="00180653" w:rsidRPr="00180653" w14:paraId="23EAC2E1" w14:textId="77777777" w:rsidTr="0022057B">
        <w:trPr>
          <w:trHeight w:val="287"/>
        </w:trPr>
        <w:tc>
          <w:tcPr>
            <w:tcW w:w="2835" w:type="dxa"/>
            <w:noWrap/>
            <w:hideMark/>
          </w:tcPr>
          <w:p w14:paraId="0A17AD5E"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Mavi</w:t>
            </w:r>
            <w:proofErr w:type="spellEnd"/>
            <w:r w:rsidRPr="00180653">
              <w:rPr>
                <w:rFonts w:eastAsia="Times New Roman" w:cs="Arial"/>
                <w:color w:val="000000"/>
                <w:lang w:eastAsia="el-GR"/>
              </w:rPr>
              <w:t xml:space="preserve"> Consultants </w:t>
            </w:r>
          </w:p>
        </w:tc>
        <w:tc>
          <w:tcPr>
            <w:tcW w:w="3686" w:type="dxa"/>
            <w:noWrap/>
            <w:hideMark/>
          </w:tcPr>
          <w:p w14:paraId="4962A938" w14:textId="77777777" w:rsidR="00180653" w:rsidRPr="00180653" w:rsidRDefault="003B0DE2" w:rsidP="00180653">
            <w:pPr>
              <w:jc w:val="left"/>
              <w:rPr>
                <w:rFonts w:eastAsia="Times New Roman" w:cs="Arial"/>
                <w:color w:val="0563C1"/>
                <w:u w:val="single"/>
                <w:lang w:eastAsia="el-GR"/>
              </w:rPr>
            </w:pPr>
            <w:hyperlink r:id="rId251" w:history="1">
              <w:r w:rsidR="00180653" w:rsidRPr="00180653">
                <w:rPr>
                  <w:rFonts w:eastAsia="Times New Roman" w:cs="Arial"/>
                  <w:color w:val="0563C1"/>
                  <w:u w:val="single"/>
                  <w:lang w:eastAsia="el-GR"/>
                </w:rPr>
                <w:t xml:space="preserve">www.maviconsultants.com </w:t>
              </w:r>
            </w:hyperlink>
          </w:p>
        </w:tc>
        <w:tc>
          <w:tcPr>
            <w:tcW w:w="1843" w:type="dxa"/>
            <w:noWrap/>
            <w:hideMark/>
          </w:tcPr>
          <w:p w14:paraId="69029A6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Turkey</w:t>
            </w:r>
          </w:p>
        </w:tc>
      </w:tr>
      <w:tr w:rsidR="00180653" w:rsidRPr="00180653" w14:paraId="46D905D9" w14:textId="77777777" w:rsidTr="0022057B">
        <w:trPr>
          <w:trHeight w:val="287"/>
        </w:trPr>
        <w:tc>
          <w:tcPr>
            <w:tcW w:w="2835" w:type="dxa"/>
            <w:noWrap/>
            <w:hideMark/>
          </w:tcPr>
          <w:p w14:paraId="0042FA93"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Microsol</w:t>
            </w:r>
            <w:proofErr w:type="spellEnd"/>
            <w:r w:rsidRPr="00180653">
              <w:rPr>
                <w:rFonts w:eastAsia="Times New Roman" w:cs="Arial"/>
                <w:color w:val="000000"/>
                <w:lang w:eastAsia="el-GR"/>
              </w:rPr>
              <w:t xml:space="preserve"> </w:t>
            </w:r>
          </w:p>
        </w:tc>
        <w:tc>
          <w:tcPr>
            <w:tcW w:w="3686" w:type="dxa"/>
            <w:noWrap/>
            <w:hideMark/>
          </w:tcPr>
          <w:p w14:paraId="24937BCC" w14:textId="77777777" w:rsidR="00180653" w:rsidRPr="00180653" w:rsidRDefault="003B0DE2" w:rsidP="00180653">
            <w:pPr>
              <w:jc w:val="left"/>
              <w:rPr>
                <w:rFonts w:eastAsia="Times New Roman" w:cs="Arial"/>
                <w:color w:val="0563C1"/>
                <w:u w:val="single"/>
                <w:lang w:eastAsia="el-GR"/>
              </w:rPr>
            </w:pPr>
            <w:hyperlink r:id="rId252" w:history="1">
              <w:r w:rsidR="00180653" w:rsidRPr="00180653">
                <w:rPr>
                  <w:rFonts w:eastAsia="Times New Roman" w:cs="Arial"/>
                  <w:color w:val="0563C1"/>
                  <w:u w:val="single"/>
                  <w:lang w:eastAsia="el-GR"/>
                </w:rPr>
                <w:t xml:space="preserve">www.microsol-int.com </w:t>
              </w:r>
            </w:hyperlink>
          </w:p>
        </w:tc>
        <w:tc>
          <w:tcPr>
            <w:tcW w:w="1843" w:type="dxa"/>
            <w:noWrap/>
            <w:hideMark/>
          </w:tcPr>
          <w:p w14:paraId="490102E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France</w:t>
            </w:r>
          </w:p>
        </w:tc>
      </w:tr>
      <w:tr w:rsidR="00180653" w:rsidRPr="00180653" w14:paraId="77BDFDD9" w14:textId="77777777" w:rsidTr="0022057B">
        <w:trPr>
          <w:trHeight w:val="287"/>
        </w:trPr>
        <w:tc>
          <w:tcPr>
            <w:tcW w:w="2835" w:type="dxa"/>
            <w:noWrap/>
            <w:hideMark/>
          </w:tcPr>
          <w:p w14:paraId="0EC23CF0"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myclimate</w:t>
            </w:r>
            <w:proofErr w:type="spellEnd"/>
            <w:r w:rsidRPr="00180653">
              <w:rPr>
                <w:rFonts w:eastAsia="Times New Roman" w:cs="Arial"/>
                <w:color w:val="000000"/>
                <w:lang w:eastAsia="el-GR"/>
              </w:rPr>
              <w:t xml:space="preserve"> </w:t>
            </w:r>
          </w:p>
        </w:tc>
        <w:tc>
          <w:tcPr>
            <w:tcW w:w="3686" w:type="dxa"/>
            <w:noWrap/>
            <w:hideMark/>
          </w:tcPr>
          <w:p w14:paraId="4CA87444" w14:textId="77777777" w:rsidR="00180653" w:rsidRPr="00180653" w:rsidRDefault="003B0DE2" w:rsidP="00180653">
            <w:pPr>
              <w:jc w:val="left"/>
              <w:rPr>
                <w:rFonts w:eastAsia="Times New Roman" w:cs="Arial"/>
                <w:color w:val="0563C1"/>
                <w:u w:val="single"/>
                <w:lang w:eastAsia="el-GR"/>
              </w:rPr>
            </w:pPr>
            <w:hyperlink r:id="rId253" w:history="1">
              <w:r w:rsidR="00180653" w:rsidRPr="00180653">
                <w:rPr>
                  <w:rFonts w:eastAsia="Times New Roman" w:cs="Arial"/>
                  <w:color w:val="0563C1"/>
                  <w:u w:val="single"/>
                  <w:lang w:eastAsia="el-GR"/>
                </w:rPr>
                <w:t xml:space="preserve">www.myclimate.org </w:t>
              </w:r>
            </w:hyperlink>
          </w:p>
        </w:tc>
        <w:tc>
          <w:tcPr>
            <w:tcW w:w="1843" w:type="dxa"/>
            <w:noWrap/>
            <w:hideMark/>
          </w:tcPr>
          <w:p w14:paraId="75812D9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Switzerland</w:t>
            </w:r>
          </w:p>
        </w:tc>
      </w:tr>
      <w:tr w:rsidR="00180653" w:rsidRPr="00180653" w14:paraId="35FD7400" w14:textId="77777777" w:rsidTr="0022057B">
        <w:trPr>
          <w:trHeight w:val="287"/>
        </w:trPr>
        <w:tc>
          <w:tcPr>
            <w:tcW w:w="2835" w:type="dxa"/>
            <w:noWrap/>
            <w:hideMark/>
          </w:tcPr>
          <w:p w14:paraId="4EC0568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Natural Capital Partners </w:t>
            </w:r>
          </w:p>
        </w:tc>
        <w:tc>
          <w:tcPr>
            <w:tcW w:w="3686" w:type="dxa"/>
            <w:noWrap/>
            <w:hideMark/>
          </w:tcPr>
          <w:p w14:paraId="43C389A0" w14:textId="77777777" w:rsidR="00180653" w:rsidRPr="00180653" w:rsidRDefault="003B0DE2" w:rsidP="00180653">
            <w:pPr>
              <w:jc w:val="left"/>
              <w:rPr>
                <w:rFonts w:eastAsia="Times New Roman" w:cs="Arial"/>
                <w:color w:val="0563C1"/>
                <w:u w:val="single"/>
                <w:lang w:eastAsia="el-GR"/>
              </w:rPr>
            </w:pPr>
            <w:hyperlink r:id="rId254" w:history="1">
              <w:r w:rsidR="00180653" w:rsidRPr="00180653">
                <w:rPr>
                  <w:rFonts w:eastAsia="Times New Roman" w:cs="Arial"/>
                  <w:color w:val="0563C1"/>
                  <w:u w:val="single"/>
                  <w:lang w:eastAsia="el-GR"/>
                </w:rPr>
                <w:t xml:space="preserve">www.naturalcapitalpartners.com </w:t>
              </w:r>
            </w:hyperlink>
          </w:p>
        </w:tc>
        <w:tc>
          <w:tcPr>
            <w:tcW w:w="1843" w:type="dxa"/>
            <w:noWrap/>
            <w:hideMark/>
          </w:tcPr>
          <w:p w14:paraId="3F83952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1108A173" w14:textId="77777777" w:rsidTr="0022057B">
        <w:trPr>
          <w:trHeight w:val="287"/>
        </w:trPr>
        <w:tc>
          <w:tcPr>
            <w:tcW w:w="2835" w:type="dxa"/>
            <w:noWrap/>
            <w:hideMark/>
          </w:tcPr>
          <w:p w14:paraId="5757E962"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Numerco</w:t>
            </w:r>
            <w:proofErr w:type="spellEnd"/>
            <w:r w:rsidRPr="00180653">
              <w:rPr>
                <w:rFonts w:eastAsia="Times New Roman" w:cs="Arial"/>
                <w:color w:val="000000"/>
                <w:lang w:eastAsia="el-GR"/>
              </w:rPr>
              <w:t xml:space="preserve"> </w:t>
            </w:r>
          </w:p>
        </w:tc>
        <w:tc>
          <w:tcPr>
            <w:tcW w:w="3686" w:type="dxa"/>
            <w:noWrap/>
            <w:hideMark/>
          </w:tcPr>
          <w:p w14:paraId="62A13615" w14:textId="77777777" w:rsidR="00180653" w:rsidRPr="00180653" w:rsidRDefault="003B0DE2" w:rsidP="00180653">
            <w:pPr>
              <w:jc w:val="left"/>
              <w:rPr>
                <w:rFonts w:eastAsia="Times New Roman" w:cs="Arial"/>
                <w:color w:val="0563C1"/>
                <w:u w:val="single"/>
                <w:lang w:eastAsia="el-GR"/>
              </w:rPr>
            </w:pPr>
            <w:hyperlink r:id="rId255" w:history="1">
              <w:r w:rsidR="00180653" w:rsidRPr="00180653">
                <w:rPr>
                  <w:rFonts w:eastAsia="Times New Roman" w:cs="Arial"/>
                  <w:color w:val="0563C1"/>
                  <w:u w:val="single"/>
                  <w:lang w:eastAsia="el-GR"/>
                </w:rPr>
                <w:t>www.numerco.com</w:t>
              </w:r>
            </w:hyperlink>
          </w:p>
        </w:tc>
        <w:tc>
          <w:tcPr>
            <w:tcW w:w="1843" w:type="dxa"/>
            <w:noWrap/>
            <w:hideMark/>
          </w:tcPr>
          <w:p w14:paraId="5DA4A98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7A45F108" w14:textId="77777777" w:rsidTr="0022057B">
        <w:trPr>
          <w:trHeight w:val="287"/>
        </w:trPr>
        <w:tc>
          <w:tcPr>
            <w:tcW w:w="2835" w:type="dxa"/>
            <w:noWrap/>
            <w:hideMark/>
          </w:tcPr>
          <w:p w14:paraId="1326607E"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OurOffsetLtd</w:t>
            </w:r>
            <w:proofErr w:type="spellEnd"/>
            <w:r w:rsidRPr="00180653">
              <w:rPr>
                <w:rFonts w:eastAsia="Times New Roman" w:cs="Arial"/>
                <w:color w:val="000000"/>
                <w:lang w:eastAsia="el-GR"/>
              </w:rPr>
              <w:t xml:space="preserve"> </w:t>
            </w:r>
          </w:p>
        </w:tc>
        <w:tc>
          <w:tcPr>
            <w:tcW w:w="3686" w:type="dxa"/>
            <w:noWrap/>
            <w:hideMark/>
          </w:tcPr>
          <w:p w14:paraId="42507F97" w14:textId="77777777" w:rsidR="00180653" w:rsidRPr="00180653" w:rsidRDefault="003B0DE2" w:rsidP="00180653">
            <w:pPr>
              <w:jc w:val="left"/>
              <w:rPr>
                <w:rFonts w:eastAsia="Times New Roman" w:cs="Arial"/>
                <w:color w:val="0563C1"/>
                <w:u w:val="single"/>
                <w:lang w:eastAsia="el-GR"/>
              </w:rPr>
            </w:pPr>
            <w:hyperlink r:id="rId256" w:history="1">
              <w:r w:rsidR="00180653" w:rsidRPr="00180653">
                <w:rPr>
                  <w:rFonts w:eastAsia="Times New Roman" w:cs="Arial"/>
                  <w:color w:val="0563C1"/>
                  <w:u w:val="single"/>
                  <w:lang w:eastAsia="el-GR"/>
                </w:rPr>
                <w:t xml:space="preserve">www.ouroffset.com </w:t>
              </w:r>
            </w:hyperlink>
          </w:p>
        </w:tc>
        <w:tc>
          <w:tcPr>
            <w:tcW w:w="1843" w:type="dxa"/>
            <w:noWrap/>
            <w:hideMark/>
          </w:tcPr>
          <w:p w14:paraId="253B981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Hungary</w:t>
            </w:r>
          </w:p>
        </w:tc>
      </w:tr>
      <w:tr w:rsidR="00180653" w:rsidRPr="00180653" w14:paraId="24EEE4BE" w14:textId="77777777" w:rsidTr="0022057B">
        <w:trPr>
          <w:trHeight w:val="287"/>
        </w:trPr>
        <w:tc>
          <w:tcPr>
            <w:tcW w:w="2835" w:type="dxa"/>
            <w:noWrap/>
            <w:hideMark/>
          </w:tcPr>
          <w:p w14:paraId="683CC1D4"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PrimaKlima</w:t>
            </w:r>
            <w:proofErr w:type="spellEnd"/>
            <w:r w:rsidRPr="00180653">
              <w:rPr>
                <w:rFonts w:eastAsia="Times New Roman" w:cs="Arial"/>
                <w:color w:val="000000"/>
                <w:lang w:eastAsia="el-GR"/>
              </w:rPr>
              <w:t xml:space="preserve"> -</w:t>
            </w:r>
            <w:proofErr w:type="spellStart"/>
            <w:r w:rsidRPr="00180653">
              <w:rPr>
                <w:rFonts w:eastAsia="Times New Roman" w:cs="Arial"/>
                <w:color w:val="000000"/>
                <w:lang w:eastAsia="el-GR"/>
              </w:rPr>
              <w:t>weltweit</w:t>
            </w:r>
            <w:proofErr w:type="spellEnd"/>
            <w:r w:rsidRPr="00180653">
              <w:rPr>
                <w:rFonts w:eastAsia="Times New Roman" w:cs="Arial"/>
                <w:color w:val="000000"/>
                <w:lang w:eastAsia="el-GR"/>
              </w:rPr>
              <w:t xml:space="preserve">- </w:t>
            </w:r>
            <w:proofErr w:type="spellStart"/>
            <w:r w:rsidRPr="00180653">
              <w:rPr>
                <w:rFonts w:eastAsia="Times New Roman" w:cs="Arial"/>
                <w:color w:val="000000"/>
                <w:lang w:eastAsia="el-GR"/>
              </w:rPr>
              <w:t>e.V.</w:t>
            </w:r>
            <w:proofErr w:type="spellEnd"/>
            <w:r w:rsidRPr="00180653">
              <w:rPr>
                <w:rFonts w:eastAsia="Times New Roman" w:cs="Arial"/>
                <w:color w:val="000000"/>
                <w:lang w:eastAsia="el-GR"/>
              </w:rPr>
              <w:t xml:space="preserve"> </w:t>
            </w:r>
          </w:p>
        </w:tc>
        <w:tc>
          <w:tcPr>
            <w:tcW w:w="3686" w:type="dxa"/>
            <w:noWrap/>
            <w:hideMark/>
          </w:tcPr>
          <w:p w14:paraId="7DE4E104" w14:textId="77777777" w:rsidR="00180653" w:rsidRPr="00180653" w:rsidRDefault="003B0DE2" w:rsidP="00180653">
            <w:pPr>
              <w:jc w:val="left"/>
              <w:rPr>
                <w:rFonts w:eastAsia="Times New Roman" w:cs="Arial"/>
                <w:color w:val="0563C1"/>
                <w:u w:val="single"/>
                <w:lang w:eastAsia="el-GR"/>
              </w:rPr>
            </w:pPr>
            <w:hyperlink r:id="rId257" w:history="1">
              <w:r w:rsidR="00180653" w:rsidRPr="00180653">
                <w:rPr>
                  <w:rFonts w:eastAsia="Times New Roman" w:cs="Arial"/>
                  <w:color w:val="0563C1"/>
                  <w:u w:val="single"/>
                  <w:lang w:eastAsia="el-GR"/>
                </w:rPr>
                <w:t xml:space="preserve">www.primaklima.org </w:t>
              </w:r>
            </w:hyperlink>
          </w:p>
        </w:tc>
        <w:tc>
          <w:tcPr>
            <w:tcW w:w="1843" w:type="dxa"/>
            <w:noWrap/>
            <w:hideMark/>
          </w:tcPr>
          <w:p w14:paraId="5099521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720B2BD9" w14:textId="77777777" w:rsidTr="0022057B">
        <w:trPr>
          <w:trHeight w:val="287"/>
        </w:trPr>
        <w:tc>
          <w:tcPr>
            <w:tcW w:w="2835" w:type="dxa"/>
            <w:noWrap/>
            <w:hideMark/>
          </w:tcPr>
          <w:p w14:paraId="7BCA233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lastRenderedPageBreak/>
              <w:t xml:space="preserve">South Pole Carbon Asset Management Ltd. </w:t>
            </w:r>
          </w:p>
        </w:tc>
        <w:tc>
          <w:tcPr>
            <w:tcW w:w="3686" w:type="dxa"/>
            <w:noWrap/>
            <w:hideMark/>
          </w:tcPr>
          <w:p w14:paraId="14B4E44C" w14:textId="77777777" w:rsidR="00180653" w:rsidRPr="00180653" w:rsidRDefault="003B0DE2" w:rsidP="00180653">
            <w:pPr>
              <w:jc w:val="left"/>
              <w:rPr>
                <w:rFonts w:eastAsia="Times New Roman" w:cs="Arial"/>
                <w:color w:val="0563C1"/>
                <w:u w:val="single"/>
                <w:lang w:eastAsia="el-GR"/>
              </w:rPr>
            </w:pPr>
            <w:hyperlink r:id="rId258" w:history="1">
              <w:r w:rsidR="00180653" w:rsidRPr="00180653">
                <w:rPr>
                  <w:rFonts w:eastAsia="Times New Roman" w:cs="Arial"/>
                  <w:color w:val="0563C1"/>
                  <w:u w:val="single"/>
                  <w:lang w:eastAsia="el-GR"/>
                </w:rPr>
                <w:t xml:space="preserve">www.southpolecarbon.com </w:t>
              </w:r>
            </w:hyperlink>
          </w:p>
        </w:tc>
        <w:tc>
          <w:tcPr>
            <w:tcW w:w="1843" w:type="dxa"/>
            <w:noWrap/>
            <w:hideMark/>
          </w:tcPr>
          <w:p w14:paraId="7AA6F4D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Switzerland</w:t>
            </w:r>
          </w:p>
        </w:tc>
      </w:tr>
      <w:tr w:rsidR="00180653" w:rsidRPr="00180653" w14:paraId="0FB0241A" w14:textId="77777777" w:rsidTr="0022057B">
        <w:trPr>
          <w:trHeight w:val="287"/>
        </w:trPr>
        <w:tc>
          <w:tcPr>
            <w:tcW w:w="2835" w:type="dxa"/>
            <w:noWrap/>
            <w:hideMark/>
          </w:tcPr>
          <w:p w14:paraId="319E24EF"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Stichting</w:t>
            </w:r>
            <w:proofErr w:type="spellEnd"/>
            <w:r w:rsidRPr="00180653">
              <w:rPr>
                <w:rFonts w:eastAsia="Times New Roman" w:cs="Arial"/>
                <w:color w:val="000000"/>
                <w:lang w:eastAsia="el-GR"/>
              </w:rPr>
              <w:t xml:space="preserve"> HIVOS </w:t>
            </w:r>
          </w:p>
        </w:tc>
        <w:tc>
          <w:tcPr>
            <w:tcW w:w="3686" w:type="dxa"/>
            <w:noWrap/>
            <w:hideMark/>
          </w:tcPr>
          <w:p w14:paraId="1AFBBD78" w14:textId="77777777" w:rsidR="00180653" w:rsidRPr="00180653" w:rsidRDefault="003B0DE2" w:rsidP="00180653">
            <w:pPr>
              <w:jc w:val="left"/>
              <w:rPr>
                <w:rFonts w:eastAsia="Times New Roman" w:cs="Arial"/>
                <w:color w:val="0563C1"/>
                <w:u w:val="single"/>
                <w:lang w:eastAsia="el-GR"/>
              </w:rPr>
            </w:pPr>
            <w:hyperlink r:id="rId259" w:history="1">
              <w:r w:rsidR="00180653" w:rsidRPr="00180653">
                <w:rPr>
                  <w:rFonts w:eastAsia="Times New Roman" w:cs="Arial"/>
                  <w:color w:val="0563C1"/>
                  <w:u w:val="single"/>
                  <w:lang w:eastAsia="el-GR"/>
                </w:rPr>
                <w:t xml:space="preserve">www.hivos.org </w:t>
              </w:r>
            </w:hyperlink>
          </w:p>
        </w:tc>
        <w:tc>
          <w:tcPr>
            <w:tcW w:w="1843" w:type="dxa"/>
            <w:noWrap/>
            <w:hideMark/>
          </w:tcPr>
          <w:p w14:paraId="46A0538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Netherlands</w:t>
            </w:r>
          </w:p>
        </w:tc>
      </w:tr>
      <w:tr w:rsidR="00180653" w:rsidRPr="00180653" w14:paraId="2E5BA43F" w14:textId="77777777" w:rsidTr="0022057B">
        <w:trPr>
          <w:trHeight w:val="287"/>
        </w:trPr>
        <w:tc>
          <w:tcPr>
            <w:tcW w:w="2835" w:type="dxa"/>
            <w:noWrap/>
            <w:hideMark/>
          </w:tcPr>
          <w:p w14:paraId="7365C1AC" w14:textId="77777777" w:rsidR="00180653" w:rsidRPr="00180653" w:rsidRDefault="00180653" w:rsidP="00180653">
            <w:pPr>
              <w:jc w:val="left"/>
              <w:rPr>
                <w:rFonts w:eastAsia="Times New Roman" w:cs="Arial"/>
                <w:color w:val="000000"/>
                <w:lang w:val="de-DE" w:eastAsia="el-GR"/>
              </w:rPr>
            </w:pPr>
            <w:r w:rsidRPr="00180653">
              <w:rPr>
                <w:rFonts w:eastAsia="Times New Roman" w:cs="Arial"/>
                <w:color w:val="000000"/>
                <w:lang w:val="de-DE" w:eastAsia="el-GR"/>
              </w:rPr>
              <w:t xml:space="preserve">UPM Umwelt-Projekt-Management GmbH </w:t>
            </w:r>
          </w:p>
        </w:tc>
        <w:tc>
          <w:tcPr>
            <w:tcW w:w="3686" w:type="dxa"/>
            <w:noWrap/>
            <w:hideMark/>
          </w:tcPr>
          <w:p w14:paraId="21C3E796" w14:textId="77777777" w:rsidR="00180653" w:rsidRPr="00180653" w:rsidRDefault="003B0DE2" w:rsidP="00180653">
            <w:pPr>
              <w:jc w:val="left"/>
              <w:rPr>
                <w:rFonts w:eastAsia="Times New Roman" w:cs="Arial"/>
                <w:color w:val="0563C1"/>
                <w:u w:val="single"/>
                <w:lang w:eastAsia="el-GR"/>
              </w:rPr>
            </w:pPr>
            <w:hyperlink r:id="rId260" w:history="1">
              <w:r w:rsidR="00180653" w:rsidRPr="00180653">
                <w:rPr>
                  <w:rFonts w:eastAsia="Times New Roman" w:cs="Arial"/>
                  <w:color w:val="0563C1"/>
                  <w:u w:val="single"/>
                  <w:lang w:eastAsia="el-GR"/>
                </w:rPr>
                <w:t xml:space="preserve">www.upm-cdm.eu </w:t>
              </w:r>
            </w:hyperlink>
          </w:p>
        </w:tc>
        <w:tc>
          <w:tcPr>
            <w:tcW w:w="1843" w:type="dxa"/>
            <w:noWrap/>
            <w:hideMark/>
          </w:tcPr>
          <w:p w14:paraId="739821F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Germany</w:t>
            </w:r>
          </w:p>
        </w:tc>
      </w:tr>
      <w:tr w:rsidR="00180653" w:rsidRPr="00180653" w14:paraId="7A992FC6" w14:textId="77777777" w:rsidTr="0022057B">
        <w:trPr>
          <w:trHeight w:val="287"/>
        </w:trPr>
        <w:tc>
          <w:tcPr>
            <w:tcW w:w="2835" w:type="dxa"/>
            <w:noWrap/>
            <w:hideMark/>
          </w:tcPr>
          <w:p w14:paraId="0CB8E2A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Wind to Market SA </w:t>
            </w:r>
          </w:p>
        </w:tc>
        <w:tc>
          <w:tcPr>
            <w:tcW w:w="3686" w:type="dxa"/>
            <w:noWrap/>
            <w:hideMark/>
          </w:tcPr>
          <w:p w14:paraId="2BDAD085" w14:textId="77777777" w:rsidR="00180653" w:rsidRPr="00180653" w:rsidRDefault="003B0DE2" w:rsidP="00180653">
            <w:pPr>
              <w:jc w:val="left"/>
              <w:rPr>
                <w:rFonts w:eastAsia="Times New Roman" w:cs="Arial"/>
                <w:color w:val="0563C1"/>
                <w:u w:val="single"/>
                <w:lang w:eastAsia="el-GR"/>
              </w:rPr>
            </w:pPr>
            <w:hyperlink r:id="rId261" w:history="1">
              <w:r w:rsidR="00180653" w:rsidRPr="00180653">
                <w:rPr>
                  <w:rFonts w:eastAsia="Times New Roman" w:cs="Arial"/>
                  <w:color w:val="0563C1"/>
                  <w:u w:val="single"/>
                  <w:lang w:eastAsia="el-GR"/>
                </w:rPr>
                <w:t xml:space="preserve">www.w2m.es </w:t>
              </w:r>
            </w:hyperlink>
          </w:p>
        </w:tc>
        <w:tc>
          <w:tcPr>
            <w:tcW w:w="1843" w:type="dxa"/>
            <w:noWrap/>
            <w:hideMark/>
          </w:tcPr>
          <w:p w14:paraId="047E413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Spain</w:t>
            </w:r>
          </w:p>
        </w:tc>
      </w:tr>
      <w:tr w:rsidR="00180653" w:rsidRPr="00180653" w14:paraId="464B628E" w14:textId="77777777" w:rsidTr="0022057B">
        <w:trPr>
          <w:trHeight w:val="287"/>
        </w:trPr>
        <w:tc>
          <w:tcPr>
            <w:tcW w:w="2835" w:type="dxa"/>
            <w:noWrap/>
            <w:hideMark/>
          </w:tcPr>
          <w:p w14:paraId="61CAB9B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Woodland Trust </w:t>
            </w:r>
          </w:p>
        </w:tc>
        <w:tc>
          <w:tcPr>
            <w:tcW w:w="3686" w:type="dxa"/>
            <w:noWrap/>
            <w:hideMark/>
          </w:tcPr>
          <w:p w14:paraId="39445669" w14:textId="77777777" w:rsidR="00180653" w:rsidRPr="00180653" w:rsidRDefault="003B0DE2" w:rsidP="00180653">
            <w:pPr>
              <w:jc w:val="left"/>
              <w:rPr>
                <w:rFonts w:eastAsia="Times New Roman" w:cs="Arial"/>
                <w:color w:val="0563C1"/>
                <w:u w:val="single"/>
                <w:lang w:eastAsia="el-GR"/>
              </w:rPr>
            </w:pPr>
            <w:hyperlink r:id="rId262" w:history="1">
              <w:r w:rsidR="00180653" w:rsidRPr="00180653">
                <w:rPr>
                  <w:rFonts w:eastAsia="Times New Roman" w:cs="Arial"/>
                  <w:color w:val="0563C1"/>
                  <w:u w:val="single"/>
                  <w:lang w:eastAsia="el-GR"/>
                </w:rPr>
                <w:t xml:space="preserve">www.woodland-trust.org.uk </w:t>
              </w:r>
            </w:hyperlink>
          </w:p>
        </w:tc>
        <w:tc>
          <w:tcPr>
            <w:tcW w:w="1843" w:type="dxa"/>
            <w:noWrap/>
            <w:hideMark/>
          </w:tcPr>
          <w:p w14:paraId="0DB3D05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52397709" w14:textId="77777777" w:rsidTr="0022057B">
        <w:trPr>
          <w:trHeight w:val="287"/>
        </w:trPr>
        <w:tc>
          <w:tcPr>
            <w:tcW w:w="2835" w:type="dxa"/>
            <w:noWrap/>
            <w:hideMark/>
          </w:tcPr>
          <w:p w14:paraId="5510C51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World Land Trust </w:t>
            </w:r>
          </w:p>
        </w:tc>
        <w:tc>
          <w:tcPr>
            <w:tcW w:w="3686" w:type="dxa"/>
            <w:noWrap/>
            <w:hideMark/>
          </w:tcPr>
          <w:p w14:paraId="7F65E595" w14:textId="77777777" w:rsidR="00180653" w:rsidRPr="00180653" w:rsidRDefault="003B0DE2" w:rsidP="00180653">
            <w:pPr>
              <w:jc w:val="left"/>
              <w:rPr>
                <w:rFonts w:eastAsia="Times New Roman" w:cs="Arial"/>
                <w:color w:val="0563C1"/>
                <w:u w:val="single"/>
                <w:lang w:eastAsia="el-GR"/>
              </w:rPr>
            </w:pPr>
            <w:hyperlink r:id="rId263" w:history="1">
              <w:r w:rsidR="00180653" w:rsidRPr="00180653">
                <w:rPr>
                  <w:rFonts w:eastAsia="Times New Roman" w:cs="Arial"/>
                  <w:color w:val="0563C1"/>
                  <w:u w:val="single"/>
                  <w:lang w:eastAsia="el-GR"/>
                </w:rPr>
                <w:t>www.worldlandtrust.org</w:t>
              </w:r>
            </w:hyperlink>
          </w:p>
        </w:tc>
        <w:tc>
          <w:tcPr>
            <w:tcW w:w="1843" w:type="dxa"/>
            <w:noWrap/>
            <w:hideMark/>
          </w:tcPr>
          <w:p w14:paraId="03258A5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483F0A10" w14:textId="77777777" w:rsidTr="0022057B">
        <w:trPr>
          <w:trHeight w:val="287"/>
        </w:trPr>
        <w:tc>
          <w:tcPr>
            <w:tcW w:w="2835" w:type="dxa"/>
            <w:noWrap/>
            <w:hideMark/>
          </w:tcPr>
          <w:p w14:paraId="0198740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Yorkshire Dales Millennium Trust </w:t>
            </w:r>
          </w:p>
        </w:tc>
        <w:tc>
          <w:tcPr>
            <w:tcW w:w="3686" w:type="dxa"/>
            <w:noWrap/>
            <w:hideMark/>
          </w:tcPr>
          <w:p w14:paraId="50A826A1" w14:textId="77777777" w:rsidR="00180653" w:rsidRPr="00180653" w:rsidRDefault="003B0DE2" w:rsidP="00180653">
            <w:pPr>
              <w:jc w:val="left"/>
              <w:rPr>
                <w:rFonts w:eastAsia="Times New Roman" w:cs="Arial"/>
                <w:color w:val="0563C1"/>
                <w:u w:val="single"/>
                <w:lang w:eastAsia="el-GR"/>
              </w:rPr>
            </w:pPr>
            <w:hyperlink r:id="rId264" w:history="1">
              <w:r w:rsidR="00180653" w:rsidRPr="00180653">
                <w:rPr>
                  <w:rFonts w:eastAsia="Times New Roman" w:cs="Arial"/>
                  <w:color w:val="0563C1"/>
                  <w:u w:val="single"/>
                  <w:lang w:eastAsia="el-GR"/>
                </w:rPr>
                <w:t xml:space="preserve">www.ydmt.org </w:t>
              </w:r>
            </w:hyperlink>
          </w:p>
        </w:tc>
        <w:tc>
          <w:tcPr>
            <w:tcW w:w="1843" w:type="dxa"/>
            <w:noWrap/>
            <w:hideMark/>
          </w:tcPr>
          <w:p w14:paraId="5DDED28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Kingdom</w:t>
            </w:r>
          </w:p>
        </w:tc>
      </w:tr>
      <w:tr w:rsidR="00180653" w:rsidRPr="00180653" w14:paraId="49455D81" w14:textId="77777777" w:rsidTr="0022057B">
        <w:trPr>
          <w:trHeight w:val="287"/>
        </w:trPr>
        <w:tc>
          <w:tcPr>
            <w:tcW w:w="2835" w:type="dxa"/>
            <w:noWrap/>
            <w:hideMark/>
          </w:tcPr>
          <w:p w14:paraId="3571E82C"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ZeroMission</w:t>
            </w:r>
            <w:proofErr w:type="spellEnd"/>
            <w:r w:rsidRPr="00180653">
              <w:rPr>
                <w:rFonts w:eastAsia="Times New Roman" w:cs="Arial"/>
                <w:color w:val="000000"/>
                <w:lang w:eastAsia="el-GR"/>
              </w:rPr>
              <w:t xml:space="preserve"> </w:t>
            </w:r>
          </w:p>
        </w:tc>
        <w:tc>
          <w:tcPr>
            <w:tcW w:w="3686" w:type="dxa"/>
            <w:noWrap/>
            <w:hideMark/>
          </w:tcPr>
          <w:p w14:paraId="6DE4AA16" w14:textId="77777777" w:rsidR="00180653" w:rsidRPr="00180653" w:rsidRDefault="003B0DE2" w:rsidP="00180653">
            <w:pPr>
              <w:jc w:val="left"/>
              <w:rPr>
                <w:rFonts w:eastAsia="Times New Roman" w:cs="Arial"/>
                <w:color w:val="0563C1"/>
                <w:u w:val="single"/>
                <w:lang w:eastAsia="el-GR"/>
              </w:rPr>
            </w:pPr>
            <w:hyperlink r:id="rId265" w:history="1">
              <w:r w:rsidR="00180653" w:rsidRPr="00180653">
                <w:rPr>
                  <w:rFonts w:eastAsia="Times New Roman" w:cs="Arial"/>
                  <w:color w:val="0563C1"/>
                  <w:u w:val="single"/>
                  <w:lang w:eastAsia="el-GR"/>
                </w:rPr>
                <w:t xml:space="preserve">www.zeromission.se </w:t>
              </w:r>
            </w:hyperlink>
          </w:p>
        </w:tc>
        <w:tc>
          <w:tcPr>
            <w:tcW w:w="1843" w:type="dxa"/>
            <w:noWrap/>
            <w:hideMark/>
          </w:tcPr>
          <w:p w14:paraId="785E007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Sweden</w:t>
            </w:r>
          </w:p>
        </w:tc>
      </w:tr>
      <w:tr w:rsidR="00180653" w:rsidRPr="00180653" w14:paraId="790A4D9D" w14:textId="77777777" w:rsidTr="0022057B">
        <w:trPr>
          <w:trHeight w:val="287"/>
        </w:trPr>
        <w:tc>
          <w:tcPr>
            <w:tcW w:w="2835" w:type="dxa"/>
            <w:noWrap/>
            <w:hideMark/>
          </w:tcPr>
          <w:p w14:paraId="0520EA38" w14:textId="77777777" w:rsidR="00180653" w:rsidRPr="00180653" w:rsidRDefault="00180653" w:rsidP="00180653">
            <w:pPr>
              <w:jc w:val="left"/>
              <w:rPr>
                <w:rFonts w:eastAsia="Times New Roman" w:cs="Arial"/>
                <w:b/>
                <w:bCs/>
                <w:color w:val="000000"/>
                <w:lang w:eastAsia="el-GR"/>
              </w:rPr>
            </w:pPr>
            <w:proofErr w:type="spellStart"/>
            <w:r w:rsidRPr="00180653">
              <w:rPr>
                <w:rFonts w:eastAsia="Times New Roman" w:cs="Arial"/>
                <w:b/>
                <w:bCs/>
                <w:color w:val="000000"/>
                <w:lang w:eastAsia="el-GR"/>
              </w:rPr>
              <w:t>Latn</w:t>
            </w:r>
            <w:proofErr w:type="spellEnd"/>
            <w:r w:rsidRPr="00180653">
              <w:rPr>
                <w:rFonts w:eastAsia="Times New Roman" w:cs="Arial"/>
                <w:b/>
                <w:bCs/>
                <w:color w:val="000000"/>
                <w:lang w:eastAsia="el-GR"/>
              </w:rPr>
              <w:t xml:space="preserve"> America</w:t>
            </w:r>
          </w:p>
        </w:tc>
        <w:tc>
          <w:tcPr>
            <w:tcW w:w="3686" w:type="dxa"/>
            <w:noWrap/>
            <w:hideMark/>
          </w:tcPr>
          <w:p w14:paraId="5AC61D57" w14:textId="77777777" w:rsidR="00180653" w:rsidRPr="00180653" w:rsidRDefault="00180653" w:rsidP="00180653">
            <w:pPr>
              <w:jc w:val="left"/>
              <w:rPr>
                <w:rFonts w:eastAsia="Times New Roman" w:cs="Arial"/>
                <w:b/>
                <w:bCs/>
                <w:color w:val="000000"/>
                <w:lang w:eastAsia="el-GR"/>
              </w:rPr>
            </w:pPr>
          </w:p>
        </w:tc>
        <w:tc>
          <w:tcPr>
            <w:tcW w:w="1843" w:type="dxa"/>
            <w:noWrap/>
            <w:hideMark/>
          </w:tcPr>
          <w:p w14:paraId="7D6078E1" w14:textId="77777777" w:rsidR="00180653" w:rsidRPr="00180653" w:rsidRDefault="00180653" w:rsidP="00180653">
            <w:pPr>
              <w:jc w:val="left"/>
              <w:rPr>
                <w:rFonts w:eastAsia="Times New Roman" w:cs="Arial"/>
                <w:lang w:eastAsia="el-GR"/>
              </w:rPr>
            </w:pPr>
          </w:p>
        </w:tc>
      </w:tr>
      <w:tr w:rsidR="00180653" w:rsidRPr="00180653" w14:paraId="4755DF0E" w14:textId="77777777" w:rsidTr="0022057B">
        <w:trPr>
          <w:trHeight w:val="287"/>
        </w:trPr>
        <w:tc>
          <w:tcPr>
            <w:tcW w:w="2835" w:type="dxa"/>
            <w:noWrap/>
            <w:hideMark/>
          </w:tcPr>
          <w:p w14:paraId="1B50863C" w14:textId="77777777" w:rsidR="00180653" w:rsidRPr="00180653" w:rsidRDefault="00180653" w:rsidP="00180653">
            <w:pPr>
              <w:jc w:val="left"/>
              <w:rPr>
                <w:rFonts w:eastAsia="Times New Roman" w:cs="Arial"/>
                <w:color w:val="000000"/>
                <w:lang w:val="es-ES" w:eastAsia="el-GR"/>
              </w:rPr>
            </w:pPr>
            <w:r w:rsidRPr="00180653">
              <w:rPr>
                <w:rFonts w:eastAsia="Times New Roman" w:cs="Arial"/>
                <w:color w:val="000000"/>
                <w:lang w:val="es-ES" w:eastAsia="el-GR"/>
              </w:rPr>
              <w:t xml:space="preserve">AMBIO S.C. de R.L. </w:t>
            </w:r>
          </w:p>
        </w:tc>
        <w:tc>
          <w:tcPr>
            <w:tcW w:w="3686" w:type="dxa"/>
            <w:noWrap/>
            <w:hideMark/>
          </w:tcPr>
          <w:p w14:paraId="7B3A6B8F" w14:textId="77777777" w:rsidR="00180653" w:rsidRPr="00180653" w:rsidRDefault="003B0DE2" w:rsidP="00180653">
            <w:pPr>
              <w:jc w:val="left"/>
              <w:rPr>
                <w:rFonts w:eastAsia="Times New Roman" w:cs="Arial"/>
                <w:color w:val="0563C1"/>
                <w:u w:val="single"/>
                <w:lang w:eastAsia="el-GR"/>
              </w:rPr>
            </w:pPr>
            <w:hyperlink r:id="rId266" w:history="1">
              <w:r w:rsidR="00180653" w:rsidRPr="00180653">
                <w:rPr>
                  <w:rFonts w:eastAsia="Times New Roman" w:cs="Arial"/>
                  <w:color w:val="0563C1"/>
                  <w:u w:val="single"/>
                  <w:lang w:eastAsia="el-GR"/>
                </w:rPr>
                <w:t xml:space="preserve">www.ambio.org.mx </w:t>
              </w:r>
            </w:hyperlink>
          </w:p>
        </w:tc>
        <w:tc>
          <w:tcPr>
            <w:tcW w:w="1843" w:type="dxa"/>
            <w:noWrap/>
            <w:hideMark/>
          </w:tcPr>
          <w:p w14:paraId="0B3D3CE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Mexico</w:t>
            </w:r>
          </w:p>
        </w:tc>
      </w:tr>
      <w:tr w:rsidR="00180653" w:rsidRPr="00180653" w14:paraId="4FD9FE26" w14:textId="77777777" w:rsidTr="0022057B">
        <w:trPr>
          <w:trHeight w:val="287"/>
        </w:trPr>
        <w:tc>
          <w:tcPr>
            <w:tcW w:w="2835" w:type="dxa"/>
            <w:noWrap/>
            <w:hideMark/>
          </w:tcPr>
          <w:p w14:paraId="445AE8F6"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Biofílica</w:t>
            </w:r>
            <w:proofErr w:type="spellEnd"/>
            <w:r w:rsidRPr="00180653">
              <w:rPr>
                <w:rFonts w:eastAsia="Times New Roman" w:cs="Arial"/>
                <w:color w:val="000000"/>
                <w:lang w:eastAsia="el-GR"/>
              </w:rPr>
              <w:t xml:space="preserve"> </w:t>
            </w:r>
          </w:p>
        </w:tc>
        <w:tc>
          <w:tcPr>
            <w:tcW w:w="3686" w:type="dxa"/>
            <w:noWrap/>
            <w:hideMark/>
          </w:tcPr>
          <w:p w14:paraId="6EA80D24" w14:textId="77777777" w:rsidR="00180653" w:rsidRPr="00180653" w:rsidRDefault="003B0DE2" w:rsidP="00180653">
            <w:pPr>
              <w:jc w:val="left"/>
              <w:rPr>
                <w:rFonts w:eastAsia="Times New Roman" w:cs="Arial"/>
                <w:color w:val="0563C1"/>
                <w:u w:val="single"/>
                <w:lang w:eastAsia="el-GR"/>
              </w:rPr>
            </w:pPr>
            <w:hyperlink r:id="rId267" w:history="1">
              <w:r w:rsidR="00180653" w:rsidRPr="00180653">
                <w:rPr>
                  <w:rFonts w:eastAsia="Times New Roman" w:cs="Arial"/>
                  <w:color w:val="0563C1"/>
                  <w:u w:val="single"/>
                  <w:lang w:eastAsia="el-GR"/>
                </w:rPr>
                <w:t xml:space="preserve">www.biofilica.com.br </w:t>
              </w:r>
            </w:hyperlink>
          </w:p>
        </w:tc>
        <w:tc>
          <w:tcPr>
            <w:tcW w:w="1843" w:type="dxa"/>
            <w:noWrap/>
            <w:hideMark/>
          </w:tcPr>
          <w:p w14:paraId="400D0DD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Brazil</w:t>
            </w:r>
          </w:p>
        </w:tc>
      </w:tr>
      <w:tr w:rsidR="00180653" w:rsidRPr="00180653" w14:paraId="39358106" w14:textId="77777777" w:rsidTr="0022057B">
        <w:trPr>
          <w:trHeight w:val="287"/>
        </w:trPr>
        <w:tc>
          <w:tcPr>
            <w:tcW w:w="2835" w:type="dxa"/>
            <w:noWrap/>
            <w:hideMark/>
          </w:tcPr>
          <w:p w14:paraId="78F7E559"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Brasil</w:t>
            </w:r>
            <w:proofErr w:type="spellEnd"/>
            <w:r w:rsidRPr="00180653">
              <w:rPr>
                <w:rFonts w:eastAsia="Times New Roman" w:cs="Arial"/>
                <w:color w:val="000000"/>
                <w:lang w:eastAsia="el-GR"/>
              </w:rPr>
              <w:t xml:space="preserve"> Mata Viva </w:t>
            </w:r>
          </w:p>
        </w:tc>
        <w:tc>
          <w:tcPr>
            <w:tcW w:w="3686" w:type="dxa"/>
            <w:noWrap/>
            <w:hideMark/>
          </w:tcPr>
          <w:p w14:paraId="59267699" w14:textId="77777777" w:rsidR="00180653" w:rsidRPr="00180653" w:rsidRDefault="003B0DE2" w:rsidP="00180653">
            <w:pPr>
              <w:jc w:val="left"/>
              <w:rPr>
                <w:rFonts w:eastAsia="Times New Roman" w:cs="Arial"/>
                <w:color w:val="0563C1"/>
                <w:u w:val="single"/>
                <w:lang w:eastAsia="el-GR"/>
              </w:rPr>
            </w:pPr>
            <w:hyperlink r:id="rId268" w:history="1">
              <w:r w:rsidR="00180653" w:rsidRPr="00180653">
                <w:rPr>
                  <w:rFonts w:eastAsia="Times New Roman" w:cs="Arial"/>
                  <w:color w:val="0563C1"/>
                  <w:u w:val="single"/>
                  <w:lang w:eastAsia="el-GR"/>
                </w:rPr>
                <w:t xml:space="preserve">www.brasilmataviva.com.br </w:t>
              </w:r>
            </w:hyperlink>
          </w:p>
        </w:tc>
        <w:tc>
          <w:tcPr>
            <w:tcW w:w="1843" w:type="dxa"/>
            <w:noWrap/>
            <w:hideMark/>
          </w:tcPr>
          <w:p w14:paraId="33A0C1B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Brazil</w:t>
            </w:r>
          </w:p>
        </w:tc>
      </w:tr>
      <w:tr w:rsidR="00180653" w:rsidRPr="00180653" w14:paraId="64F7349F" w14:textId="77777777" w:rsidTr="0022057B">
        <w:trPr>
          <w:trHeight w:val="287"/>
        </w:trPr>
        <w:tc>
          <w:tcPr>
            <w:tcW w:w="2835" w:type="dxa"/>
            <w:noWrap/>
            <w:hideMark/>
          </w:tcPr>
          <w:p w14:paraId="54A3855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CIMA-Cordillera Azul </w:t>
            </w:r>
          </w:p>
        </w:tc>
        <w:tc>
          <w:tcPr>
            <w:tcW w:w="3686" w:type="dxa"/>
            <w:noWrap/>
            <w:hideMark/>
          </w:tcPr>
          <w:p w14:paraId="203F435C" w14:textId="77777777" w:rsidR="00180653" w:rsidRPr="00180653" w:rsidRDefault="003B0DE2" w:rsidP="00180653">
            <w:pPr>
              <w:jc w:val="left"/>
              <w:rPr>
                <w:rFonts w:eastAsia="Times New Roman" w:cs="Arial"/>
                <w:color w:val="0563C1"/>
                <w:u w:val="single"/>
                <w:lang w:eastAsia="el-GR"/>
              </w:rPr>
            </w:pPr>
            <w:hyperlink r:id="rId269" w:history="1">
              <w:r w:rsidR="00180653" w:rsidRPr="00180653">
                <w:rPr>
                  <w:rFonts w:eastAsia="Times New Roman" w:cs="Arial"/>
                  <w:color w:val="0563C1"/>
                  <w:u w:val="single"/>
                  <w:lang w:eastAsia="el-GR"/>
                </w:rPr>
                <w:t xml:space="preserve">www.cima.org.pe </w:t>
              </w:r>
            </w:hyperlink>
          </w:p>
        </w:tc>
        <w:tc>
          <w:tcPr>
            <w:tcW w:w="1843" w:type="dxa"/>
            <w:noWrap/>
            <w:hideMark/>
          </w:tcPr>
          <w:p w14:paraId="3607D15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Peru</w:t>
            </w:r>
          </w:p>
        </w:tc>
      </w:tr>
      <w:tr w:rsidR="00180653" w:rsidRPr="00180653" w14:paraId="70FCE5DB" w14:textId="77777777" w:rsidTr="0022057B">
        <w:trPr>
          <w:trHeight w:val="287"/>
        </w:trPr>
        <w:tc>
          <w:tcPr>
            <w:tcW w:w="2835" w:type="dxa"/>
            <w:noWrap/>
            <w:hideMark/>
          </w:tcPr>
          <w:p w14:paraId="7AAAAA2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COLBUN S.A. </w:t>
            </w:r>
          </w:p>
        </w:tc>
        <w:tc>
          <w:tcPr>
            <w:tcW w:w="3686" w:type="dxa"/>
            <w:noWrap/>
            <w:hideMark/>
          </w:tcPr>
          <w:p w14:paraId="004F6834" w14:textId="77777777" w:rsidR="00180653" w:rsidRPr="00180653" w:rsidRDefault="003B0DE2" w:rsidP="00180653">
            <w:pPr>
              <w:jc w:val="left"/>
              <w:rPr>
                <w:rFonts w:eastAsia="Times New Roman" w:cs="Arial"/>
                <w:color w:val="0563C1"/>
                <w:u w:val="single"/>
                <w:lang w:eastAsia="el-GR"/>
              </w:rPr>
            </w:pPr>
            <w:hyperlink r:id="rId270" w:history="1">
              <w:r w:rsidR="00180653" w:rsidRPr="00180653">
                <w:rPr>
                  <w:rFonts w:eastAsia="Times New Roman" w:cs="Arial"/>
                  <w:color w:val="0563C1"/>
                  <w:u w:val="single"/>
                  <w:lang w:eastAsia="el-GR"/>
                </w:rPr>
                <w:t xml:space="preserve">www.colbun.cl </w:t>
              </w:r>
            </w:hyperlink>
          </w:p>
        </w:tc>
        <w:tc>
          <w:tcPr>
            <w:tcW w:w="1843" w:type="dxa"/>
            <w:noWrap/>
            <w:hideMark/>
          </w:tcPr>
          <w:p w14:paraId="015D3D1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Chile</w:t>
            </w:r>
          </w:p>
        </w:tc>
      </w:tr>
      <w:tr w:rsidR="00180653" w:rsidRPr="00180653" w14:paraId="07F71304" w14:textId="77777777" w:rsidTr="0022057B">
        <w:trPr>
          <w:trHeight w:val="287"/>
        </w:trPr>
        <w:tc>
          <w:tcPr>
            <w:tcW w:w="2835" w:type="dxa"/>
            <w:noWrap/>
            <w:hideMark/>
          </w:tcPr>
          <w:p w14:paraId="310AF69C"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Cooperativa</w:t>
            </w:r>
            <w:proofErr w:type="spellEnd"/>
            <w:r w:rsidRPr="00180653">
              <w:rPr>
                <w:rFonts w:eastAsia="Times New Roman" w:cs="Arial"/>
                <w:color w:val="000000"/>
                <w:lang w:eastAsia="el-GR"/>
              </w:rPr>
              <w:t xml:space="preserve"> </w:t>
            </w:r>
            <w:proofErr w:type="spellStart"/>
            <w:r w:rsidRPr="00180653">
              <w:rPr>
                <w:rFonts w:eastAsia="Times New Roman" w:cs="Arial"/>
                <w:color w:val="000000"/>
                <w:lang w:eastAsia="el-GR"/>
              </w:rPr>
              <w:t>Agraria</w:t>
            </w:r>
            <w:proofErr w:type="spellEnd"/>
            <w:r w:rsidRPr="00180653">
              <w:rPr>
                <w:rFonts w:eastAsia="Times New Roman" w:cs="Arial"/>
                <w:color w:val="000000"/>
                <w:lang w:eastAsia="el-GR"/>
              </w:rPr>
              <w:t xml:space="preserve"> </w:t>
            </w:r>
            <w:proofErr w:type="spellStart"/>
            <w:r w:rsidRPr="00180653">
              <w:rPr>
                <w:rFonts w:eastAsia="Times New Roman" w:cs="Arial"/>
                <w:color w:val="000000"/>
                <w:lang w:eastAsia="el-GR"/>
              </w:rPr>
              <w:t>Cacaotera</w:t>
            </w:r>
            <w:proofErr w:type="spellEnd"/>
            <w:r w:rsidRPr="00180653">
              <w:rPr>
                <w:rFonts w:eastAsia="Times New Roman" w:cs="Arial"/>
                <w:color w:val="000000"/>
                <w:lang w:eastAsia="el-GR"/>
              </w:rPr>
              <w:t xml:space="preserve"> ACOPAGRO </w:t>
            </w:r>
          </w:p>
        </w:tc>
        <w:tc>
          <w:tcPr>
            <w:tcW w:w="3686" w:type="dxa"/>
            <w:noWrap/>
            <w:hideMark/>
          </w:tcPr>
          <w:p w14:paraId="0CA39B10" w14:textId="77777777" w:rsidR="00180653" w:rsidRPr="00180653" w:rsidRDefault="003B0DE2" w:rsidP="00180653">
            <w:pPr>
              <w:jc w:val="left"/>
              <w:rPr>
                <w:rFonts w:eastAsia="Times New Roman" w:cs="Arial"/>
                <w:color w:val="0563C1"/>
                <w:u w:val="single"/>
                <w:lang w:eastAsia="el-GR"/>
              </w:rPr>
            </w:pPr>
            <w:hyperlink r:id="rId271" w:history="1">
              <w:r w:rsidR="00180653" w:rsidRPr="00180653">
                <w:rPr>
                  <w:rFonts w:eastAsia="Times New Roman" w:cs="Arial"/>
                  <w:color w:val="0563C1"/>
                  <w:u w:val="single"/>
                  <w:lang w:eastAsia="el-GR"/>
                </w:rPr>
                <w:t xml:space="preserve">www.acopagro.com.pe </w:t>
              </w:r>
            </w:hyperlink>
          </w:p>
        </w:tc>
        <w:tc>
          <w:tcPr>
            <w:tcW w:w="1843" w:type="dxa"/>
            <w:noWrap/>
            <w:hideMark/>
          </w:tcPr>
          <w:p w14:paraId="7B8066D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Peru</w:t>
            </w:r>
          </w:p>
        </w:tc>
      </w:tr>
      <w:tr w:rsidR="00180653" w:rsidRPr="00180653" w14:paraId="4FD4327E" w14:textId="77777777" w:rsidTr="0022057B">
        <w:trPr>
          <w:trHeight w:val="287"/>
        </w:trPr>
        <w:tc>
          <w:tcPr>
            <w:tcW w:w="2835" w:type="dxa"/>
            <w:noWrap/>
            <w:hideMark/>
          </w:tcPr>
          <w:p w14:paraId="2CA1352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Green Farm CO2FREE </w:t>
            </w:r>
          </w:p>
        </w:tc>
        <w:tc>
          <w:tcPr>
            <w:tcW w:w="3686" w:type="dxa"/>
            <w:noWrap/>
            <w:hideMark/>
          </w:tcPr>
          <w:p w14:paraId="3F800110" w14:textId="77777777" w:rsidR="00180653" w:rsidRPr="00180653" w:rsidRDefault="003B0DE2" w:rsidP="00180653">
            <w:pPr>
              <w:jc w:val="left"/>
              <w:rPr>
                <w:rFonts w:eastAsia="Times New Roman" w:cs="Arial"/>
                <w:color w:val="0563C1"/>
                <w:u w:val="single"/>
                <w:lang w:eastAsia="el-GR"/>
              </w:rPr>
            </w:pPr>
            <w:hyperlink r:id="rId272" w:history="1">
              <w:r w:rsidR="00180653" w:rsidRPr="00180653">
                <w:rPr>
                  <w:rFonts w:eastAsia="Times New Roman" w:cs="Arial"/>
                  <w:color w:val="0563C1"/>
                  <w:u w:val="single"/>
                  <w:lang w:eastAsia="el-GR"/>
                </w:rPr>
                <w:t xml:space="preserve">www.greenfarmco2free.com.br </w:t>
              </w:r>
            </w:hyperlink>
          </w:p>
        </w:tc>
        <w:tc>
          <w:tcPr>
            <w:tcW w:w="1843" w:type="dxa"/>
            <w:noWrap/>
            <w:hideMark/>
          </w:tcPr>
          <w:p w14:paraId="2CB5A6F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Brazil</w:t>
            </w:r>
          </w:p>
        </w:tc>
      </w:tr>
      <w:tr w:rsidR="00180653" w:rsidRPr="00180653" w14:paraId="082AB0B4" w14:textId="77777777" w:rsidTr="0022057B">
        <w:trPr>
          <w:trHeight w:val="287"/>
        </w:trPr>
        <w:tc>
          <w:tcPr>
            <w:tcW w:w="2835" w:type="dxa"/>
            <w:noWrap/>
            <w:hideMark/>
          </w:tcPr>
          <w:p w14:paraId="1AA1EBE9"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Greenoxx</w:t>
            </w:r>
            <w:proofErr w:type="spellEnd"/>
            <w:r w:rsidRPr="00180653">
              <w:rPr>
                <w:rFonts w:eastAsia="Times New Roman" w:cs="Arial"/>
                <w:color w:val="000000"/>
                <w:lang w:eastAsia="el-GR"/>
              </w:rPr>
              <w:t xml:space="preserve"> NGO </w:t>
            </w:r>
          </w:p>
        </w:tc>
        <w:tc>
          <w:tcPr>
            <w:tcW w:w="3686" w:type="dxa"/>
            <w:noWrap/>
            <w:hideMark/>
          </w:tcPr>
          <w:p w14:paraId="50E3FED8" w14:textId="77777777" w:rsidR="00180653" w:rsidRPr="00180653" w:rsidRDefault="003B0DE2" w:rsidP="00180653">
            <w:pPr>
              <w:jc w:val="left"/>
              <w:rPr>
                <w:rFonts w:eastAsia="Times New Roman" w:cs="Arial"/>
                <w:color w:val="0563C1"/>
                <w:u w:val="single"/>
                <w:lang w:eastAsia="el-GR"/>
              </w:rPr>
            </w:pPr>
            <w:hyperlink r:id="rId273" w:history="1">
              <w:r w:rsidR="00180653" w:rsidRPr="00180653">
                <w:rPr>
                  <w:rFonts w:eastAsia="Times New Roman" w:cs="Arial"/>
                  <w:color w:val="0563C1"/>
                  <w:u w:val="single"/>
                  <w:lang w:eastAsia="el-GR"/>
                </w:rPr>
                <w:t xml:space="preserve">www.greenoxx.com </w:t>
              </w:r>
            </w:hyperlink>
          </w:p>
        </w:tc>
        <w:tc>
          <w:tcPr>
            <w:tcW w:w="1843" w:type="dxa"/>
            <w:noWrap/>
            <w:hideMark/>
          </w:tcPr>
          <w:p w14:paraId="55B47CF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Uruguay</w:t>
            </w:r>
          </w:p>
        </w:tc>
      </w:tr>
      <w:tr w:rsidR="00180653" w:rsidRPr="00180653" w14:paraId="13B833D4" w14:textId="77777777" w:rsidTr="0022057B">
        <w:trPr>
          <w:trHeight w:val="287"/>
        </w:trPr>
        <w:tc>
          <w:tcPr>
            <w:tcW w:w="2835" w:type="dxa"/>
            <w:noWrap/>
            <w:hideMark/>
          </w:tcPr>
          <w:p w14:paraId="68C999DE" w14:textId="77777777" w:rsidR="00180653" w:rsidRPr="00180653" w:rsidRDefault="00180653" w:rsidP="00180653">
            <w:pPr>
              <w:jc w:val="left"/>
              <w:rPr>
                <w:rFonts w:eastAsia="Times New Roman" w:cs="Arial"/>
                <w:color w:val="000000"/>
                <w:lang w:val="es-ES" w:eastAsia="el-GR"/>
              </w:rPr>
            </w:pPr>
            <w:r w:rsidRPr="00180653">
              <w:rPr>
                <w:rFonts w:eastAsia="Times New Roman" w:cs="Arial"/>
                <w:color w:val="000000"/>
                <w:lang w:val="es-ES" w:eastAsia="el-GR"/>
              </w:rPr>
              <w:t xml:space="preserve">Grupo Ecológico Sierra Gorda, I.A.P. </w:t>
            </w:r>
          </w:p>
        </w:tc>
        <w:tc>
          <w:tcPr>
            <w:tcW w:w="3686" w:type="dxa"/>
            <w:noWrap/>
            <w:hideMark/>
          </w:tcPr>
          <w:p w14:paraId="1920C77F" w14:textId="77777777" w:rsidR="00180653" w:rsidRPr="00180653" w:rsidRDefault="003B0DE2" w:rsidP="00180653">
            <w:pPr>
              <w:jc w:val="left"/>
              <w:rPr>
                <w:rFonts w:eastAsia="Times New Roman" w:cs="Arial"/>
                <w:color w:val="0563C1"/>
                <w:u w:val="single"/>
                <w:lang w:eastAsia="el-GR"/>
              </w:rPr>
            </w:pPr>
            <w:hyperlink r:id="rId274" w:history="1">
              <w:r w:rsidR="00180653" w:rsidRPr="00180653">
                <w:rPr>
                  <w:rFonts w:eastAsia="Times New Roman" w:cs="Arial"/>
                  <w:color w:val="0563C1"/>
                  <w:u w:val="single"/>
                  <w:lang w:eastAsia="el-GR"/>
                </w:rPr>
                <w:t xml:space="preserve">www.sierragorda.net </w:t>
              </w:r>
            </w:hyperlink>
          </w:p>
        </w:tc>
        <w:tc>
          <w:tcPr>
            <w:tcW w:w="1843" w:type="dxa"/>
            <w:noWrap/>
            <w:hideMark/>
          </w:tcPr>
          <w:p w14:paraId="1992118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Mexico</w:t>
            </w:r>
          </w:p>
        </w:tc>
      </w:tr>
      <w:tr w:rsidR="00180653" w:rsidRPr="00180653" w14:paraId="6C6F88B1" w14:textId="77777777" w:rsidTr="0022057B">
        <w:trPr>
          <w:trHeight w:val="287"/>
        </w:trPr>
        <w:tc>
          <w:tcPr>
            <w:tcW w:w="2835" w:type="dxa"/>
            <w:noWrap/>
            <w:hideMark/>
          </w:tcPr>
          <w:p w14:paraId="1CA90B2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MÉXICO2 </w:t>
            </w:r>
          </w:p>
        </w:tc>
        <w:tc>
          <w:tcPr>
            <w:tcW w:w="3686" w:type="dxa"/>
            <w:noWrap/>
            <w:hideMark/>
          </w:tcPr>
          <w:p w14:paraId="1C1EC246" w14:textId="77777777" w:rsidR="00180653" w:rsidRPr="00180653" w:rsidRDefault="003B0DE2" w:rsidP="00180653">
            <w:pPr>
              <w:jc w:val="left"/>
              <w:rPr>
                <w:rFonts w:eastAsia="Times New Roman" w:cs="Arial"/>
                <w:color w:val="0563C1"/>
                <w:u w:val="single"/>
                <w:lang w:eastAsia="el-GR"/>
              </w:rPr>
            </w:pPr>
            <w:hyperlink r:id="rId275" w:history="1">
              <w:r w:rsidR="00180653" w:rsidRPr="00180653">
                <w:rPr>
                  <w:rFonts w:eastAsia="Times New Roman" w:cs="Arial"/>
                  <w:color w:val="0563C1"/>
                  <w:u w:val="single"/>
                  <w:lang w:eastAsia="el-GR"/>
                </w:rPr>
                <w:t xml:space="preserve">www.mexico2.com.mx </w:t>
              </w:r>
            </w:hyperlink>
          </w:p>
        </w:tc>
        <w:tc>
          <w:tcPr>
            <w:tcW w:w="1843" w:type="dxa"/>
            <w:noWrap/>
            <w:hideMark/>
          </w:tcPr>
          <w:p w14:paraId="630FB3B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Mexico</w:t>
            </w:r>
          </w:p>
        </w:tc>
      </w:tr>
      <w:tr w:rsidR="00180653" w:rsidRPr="00180653" w14:paraId="7378CEA2" w14:textId="77777777" w:rsidTr="0022057B">
        <w:trPr>
          <w:trHeight w:val="287"/>
        </w:trPr>
        <w:tc>
          <w:tcPr>
            <w:tcW w:w="2835" w:type="dxa"/>
            <w:noWrap/>
            <w:hideMark/>
          </w:tcPr>
          <w:p w14:paraId="0DDBD422"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Mindo</w:t>
            </w:r>
            <w:proofErr w:type="spellEnd"/>
            <w:r w:rsidRPr="00180653">
              <w:rPr>
                <w:rFonts w:eastAsia="Times New Roman" w:cs="Arial"/>
                <w:color w:val="000000"/>
                <w:lang w:eastAsia="el-GR"/>
              </w:rPr>
              <w:t xml:space="preserve"> </w:t>
            </w:r>
            <w:proofErr w:type="spellStart"/>
            <w:r w:rsidRPr="00180653">
              <w:rPr>
                <w:rFonts w:eastAsia="Times New Roman" w:cs="Arial"/>
                <w:color w:val="000000"/>
                <w:lang w:eastAsia="el-GR"/>
              </w:rPr>
              <w:t>Cloudforest</w:t>
            </w:r>
            <w:proofErr w:type="spellEnd"/>
            <w:r w:rsidRPr="00180653">
              <w:rPr>
                <w:rFonts w:eastAsia="Times New Roman" w:cs="Arial"/>
                <w:color w:val="000000"/>
                <w:lang w:eastAsia="el-GR"/>
              </w:rPr>
              <w:t xml:space="preserve"> Foundation </w:t>
            </w:r>
          </w:p>
        </w:tc>
        <w:tc>
          <w:tcPr>
            <w:tcW w:w="3686" w:type="dxa"/>
            <w:noWrap/>
            <w:hideMark/>
          </w:tcPr>
          <w:p w14:paraId="4565CA22" w14:textId="77777777" w:rsidR="00180653" w:rsidRPr="00180653" w:rsidRDefault="003B0DE2" w:rsidP="00180653">
            <w:pPr>
              <w:jc w:val="left"/>
              <w:rPr>
                <w:rFonts w:eastAsia="Times New Roman" w:cs="Arial"/>
                <w:color w:val="0563C1"/>
                <w:u w:val="single"/>
                <w:lang w:eastAsia="el-GR"/>
              </w:rPr>
            </w:pPr>
            <w:hyperlink r:id="rId276" w:history="1">
              <w:r w:rsidR="00180653" w:rsidRPr="00180653">
                <w:rPr>
                  <w:rFonts w:eastAsia="Times New Roman" w:cs="Arial"/>
                  <w:color w:val="0563C1"/>
                  <w:u w:val="single"/>
                  <w:lang w:eastAsia="el-GR"/>
                </w:rPr>
                <w:t xml:space="preserve">www.mindocloudforest.org </w:t>
              </w:r>
            </w:hyperlink>
          </w:p>
        </w:tc>
        <w:tc>
          <w:tcPr>
            <w:tcW w:w="1843" w:type="dxa"/>
            <w:noWrap/>
            <w:hideMark/>
          </w:tcPr>
          <w:p w14:paraId="6D08538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Ecuador</w:t>
            </w:r>
          </w:p>
        </w:tc>
      </w:tr>
      <w:tr w:rsidR="00180653" w:rsidRPr="00180653" w14:paraId="7C31222C" w14:textId="77777777" w:rsidTr="0022057B">
        <w:trPr>
          <w:trHeight w:val="287"/>
        </w:trPr>
        <w:tc>
          <w:tcPr>
            <w:tcW w:w="2835" w:type="dxa"/>
            <w:noWrap/>
            <w:hideMark/>
          </w:tcPr>
          <w:p w14:paraId="7C9C1B6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Monte Rosa S.A. </w:t>
            </w:r>
          </w:p>
        </w:tc>
        <w:tc>
          <w:tcPr>
            <w:tcW w:w="3686" w:type="dxa"/>
            <w:noWrap/>
            <w:hideMark/>
          </w:tcPr>
          <w:p w14:paraId="0BD436AE" w14:textId="77777777" w:rsidR="00180653" w:rsidRPr="00180653" w:rsidRDefault="003B0DE2" w:rsidP="00180653">
            <w:pPr>
              <w:jc w:val="left"/>
              <w:rPr>
                <w:rFonts w:eastAsia="Times New Roman" w:cs="Arial"/>
                <w:color w:val="0563C1"/>
                <w:u w:val="single"/>
                <w:lang w:eastAsia="el-GR"/>
              </w:rPr>
            </w:pPr>
            <w:hyperlink r:id="rId277" w:history="1">
              <w:r w:rsidR="00180653" w:rsidRPr="00180653">
                <w:rPr>
                  <w:rFonts w:eastAsia="Times New Roman" w:cs="Arial"/>
                  <w:color w:val="0563C1"/>
                  <w:u w:val="single"/>
                  <w:lang w:eastAsia="el-GR"/>
                </w:rPr>
                <w:t xml:space="preserve">www.pantaleon.com </w:t>
              </w:r>
            </w:hyperlink>
          </w:p>
        </w:tc>
        <w:tc>
          <w:tcPr>
            <w:tcW w:w="1843" w:type="dxa"/>
            <w:noWrap/>
            <w:hideMark/>
          </w:tcPr>
          <w:p w14:paraId="6742793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Nicaragua</w:t>
            </w:r>
          </w:p>
        </w:tc>
      </w:tr>
      <w:tr w:rsidR="00180653" w:rsidRPr="00180653" w14:paraId="431E7259" w14:textId="77777777" w:rsidTr="0022057B">
        <w:trPr>
          <w:trHeight w:val="287"/>
        </w:trPr>
        <w:tc>
          <w:tcPr>
            <w:tcW w:w="2835" w:type="dxa"/>
            <w:noWrap/>
            <w:hideMark/>
          </w:tcPr>
          <w:p w14:paraId="03F8E11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ONF International - Brazil </w:t>
            </w:r>
          </w:p>
        </w:tc>
        <w:tc>
          <w:tcPr>
            <w:tcW w:w="3686" w:type="dxa"/>
            <w:noWrap/>
            <w:hideMark/>
          </w:tcPr>
          <w:p w14:paraId="7DE08AAB" w14:textId="77777777" w:rsidR="00180653" w:rsidRPr="00180653" w:rsidRDefault="003B0DE2" w:rsidP="00180653">
            <w:pPr>
              <w:jc w:val="left"/>
              <w:rPr>
                <w:rFonts w:eastAsia="Times New Roman" w:cs="Arial"/>
                <w:color w:val="0563C1"/>
                <w:u w:val="single"/>
                <w:lang w:eastAsia="el-GR"/>
              </w:rPr>
            </w:pPr>
            <w:hyperlink r:id="rId278" w:history="1">
              <w:r w:rsidR="00180653" w:rsidRPr="00180653">
                <w:rPr>
                  <w:rFonts w:eastAsia="Times New Roman" w:cs="Arial"/>
                  <w:color w:val="0563C1"/>
                  <w:u w:val="single"/>
                  <w:lang w:eastAsia="el-GR"/>
                </w:rPr>
                <w:t xml:space="preserve">www.onfinternational.org </w:t>
              </w:r>
            </w:hyperlink>
          </w:p>
        </w:tc>
        <w:tc>
          <w:tcPr>
            <w:tcW w:w="1843" w:type="dxa"/>
            <w:noWrap/>
            <w:hideMark/>
          </w:tcPr>
          <w:p w14:paraId="2A34B55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Brazil</w:t>
            </w:r>
          </w:p>
        </w:tc>
      </w:tr>
      <w:tr w:rsidR="00180653" w:rsidRPr="00180653" w14:paraId="76795EC5" w14:textId="77777777" w:rsidTr="0022057B">
        <w:trPr>
          <w:trHeight w:val="287"/>
        </w:trPr>
        <w:tc>
          <w:tcPr>
            <w:tcW w:w="2835" w:type="dxa"/>
            <w:noWrap/>
            <w:hideMark/>
          </w:tcPr>
          <w:p w14:paraId="021597B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Pacific Hydro </w:t>
            </w:r>
            <w:proofErr w:type="spellStart"/>
            <w:r w:rsidRPr="00180653">
              <w:rPr>
                <w:rFonts w:eastAsia="Times New Roman" w:cs="Arial"/>
                <w:color w:val="000000"/>
                <w:lang w:eastAsia="el-GR"/>
              </w:rPr>
              <w:t>Chacayes</w:t>
            </w:r>
            <w:proofErr w:type="spellEnd"/>
            <w:r w:rsidRPr="00180653">
              <w:rPr>
                <w:rFonts w:eastAsia="Times New Roman" w:cs="Arial"/>
                <w:color w:val="000000"/>
                <w:lang w:eastAsia="el-GR"/>
              </w:rPr>
              <w:t xml:space="preserve"> </w:t>
            </w:r>
          </w:p>
        </w:tc>
        <w:tc>
          <w:tcPr>
            <w:tcW w:w="3686" w:type="dxa"/>
            <w:noWrap/>
            <w:hideMark/>
          </w:tcPr>
          <w:p w14:paraId="11697FED" w14:textId="77777777" w:rsidR="00180653" w:rsidRPr="00180653" w:rsidRDefault="003B0DE2" w:rsidP="00180653">
            <w:pPr>
              <w:jc w:val="left"/>
              <w:rPr>
                <w:rFonts w:eastAsia="Times New Roman" w:cs="Arial"/>
                <w:color w:val="0563C1"/>
                <w:u w:val="single"/>
                <w:lang w:eastAsia="el-GR"/>
              </w:rPr>
            </w:pPr>
            <w:hyperlink r:id="rId279" w:history="1">
              <w:r w:rsidR="00180653" w:rsidRPr="00180653">
                <w:rPr>
                  <w:rFonts w:eastAsia="Times New Roman" w:cs="Arial"/>
                  <w:color w:val="0563C1"/>
                  <w:u w:val="single"/>
                  <w:lang w:eastAsia="el-GR"/>
                </w:rPr>
                <w:t xml:space="preserve">www.pacifichydro.cl </w:t>
              </w:r>
            </w:hyperlink>
          </w:p>
        </w:tc>
        <w:tc>
          <w:tcPr>
            <w:tcW w:w="1843" w:type="dxa"/>
            <w:noWrap/>
            <w:hideMark/>
          </w:tcPr>
          <w:p w14:paraId="175D6F0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Chile</w:t>
            </w:r>
          </w:p>
        </w:tc>
      </w:tr>
      <w:tr w:rsidR="00180653" w:rsidRPr="00180653" w14:paraId="066CCCBB" w14:textId="77777777" w:rsidTr="0022057B">
        <w:trPr>
          <w:trHeight w:val="287"/>
        </w:trPr>
        <w:tc>
          <w:tcPr>
            <w:tcW w:w="2835" w:type="dxa"/>
            <w:noWrap/>
            <w:hideMark/>
          </w:tcPr>
          <w:p w14:paraId="293595BE"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Pronatura</w:t>
            </w:r>
            <w:proofErr w:type="spellEnd"/>
            <w:r w:rsidRPr="00180653">
              <w:rPr>
                <w:rFonts w:eastAsia="Times New Roman" w:cs="Arial"/>
                <w:color w:val="000000"/>
                <w:lang w:eastAsia="el-GR"/>
              </w:rPr>
              <w:t xml:space="preserve"> Mexico </w:t>
            </w:r>
          </w:p>
        </w:tc>
        <w:tc>
          <w:tcPr>
            <w:tcW w:w="3686" w:type="dxa"/>
            <w:noWrap/>
            <w:hideMark/>
          </w:tcPr>
          <w:p w14:paraId="07BE5C57" w14:textId="77777777" w:rsidR="00180653" w:rsidRPr="00180653" w:rsidRDefault="003B0DE2" w:rsidP="00180653">
            <w:pPr>
              <w:jc w:val="left"/>
              <w:rPr>
                <w:rFonts w:eastAsia="Times New Roman" w:cs="Arial"/>
                <w:color w:val="0563C1"/>
                <w:u w:val="single"/>
                <w:lang w:eastAsia="el-GR"/>
              </w:rPr>
            </w:pPr>
            <w:hyperlink r:id="rId280" w:history="1">
              <w:r w:rsidR="00180653" w:rsidRPr="00180653">
                <w:rPr>
                  <w:rFonts w:eastAsia="Times New Roman" w:cs="Arial"/>
                  <w:color w:val="0563C1"/>
                  <w:u w:val="single"/>
                  <w:lang w:eastAsia="el-GR"/>
                </w:rPr>
                <w:t xml:space="preserve">www.pronatura.org.mx </w:t>
              </w:r>
            </w:hyperlink>
          </w:p>
        </w:tc>
        <w:tc>
          <w:tcPr>
            <w:tcW w:w="1843" w:type="dxa"/>
            <w:noWrap/>
            <w:hideMark/>
          </w:tcPr>
          <w:p w14:paraId="2CE91F9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México</w:t>
            </w:r>
          </w:p>
        </w:tc>
      </w:tr>
      <w:tr w:rsidR="00180653" w:rsidRPr="00180653" w14:paraId="01ED3855" w14:textId="77777777" w:rsidTr="0022057B">
        <w:trPr>
          <w:trHeight w:val="287"/>
        </w:trPr>
        <w:tc>
          <w:tcPr>
            <w:tcW w:w="2835" w:type="dxa"/>
            <w:noWrap/>
            <w:hideMark/>
          </w:tcPr>
          <w:p w14:paraId="16F6C74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Proyecto Mirador </w:t>
            </w:r>
          </w:p>
        </w:tc>
        <w:tc>
          <w:tcPr>
            <w:tcW w:w="3686" w:type="dxa"/>
            <w:noWrap/>
            <w:hideMark/>
          </w:tcPr>
          <w:p w14:paraId="1446A743" w14:textId="77777777" w:rsidR="00180653" w:rsidRPr="00180653" w:rsidRDefault="003B0DE2" w:rsidP="00180653">
            <w:pPr>
              <w:jc w:val="left"/>
              <w:rPr>
                <w:rFonts w:eastAsia="Times New Roman" w:cs="Arial"/>
                <w:color w:val="0563C1"/>
                <w:u w:val="single"/>
                <w:lang w:eastAsia="el-GR"/>
              </w:rPr>
            </w:pPr>
            <w:hyperlink r:id="rId281" w:history="1">
              <w:r w:rsidR="00180653" w:rsidRPr="00180653">
                <w:rPr>
                  <w:rFonts w:eastAsia="Times New Roman" w:cs="Arial"/>
                  <w:color w:val="0563C1"/>
                  <w:u w:val="single"/>
                  <w:lang w:eastAsia="el-GR"/>
                </w:rPr>
                <w:t xml:space="preserve">www.proyectomirador.org </w:t>
              </w:r>
            </w:hyperlink>
          </w:p>
        </w:tc>
        <w:tc>
          <w:tcPr>
            <w:tcW w:w="1843" w:type="dxa"/>
            <w:noWrap/>
            <w:hideMark/>
          </w:tcPr>
          <w:p w14:paraId="758B73F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Honduras</w:t>
            </w:r>
          </w:p>
        </w:tc>
      </w:tr>
      <w:tr w:rsidR="00180653" w:rsidRPr="00180653" w14:paraId="09B6D815" w14:textId="77777777" w:rsidTr="0022057B">
        <w:trPr>
          <w:trHeight w:val="287"/>
        </w:trPr>
        <w:tc>
          <w:tcPr>
            <w:tcW w:w="2835" w:type="dxa"/>
            <w:noWrap/>
            <w:hideMark/>
          </w:tcPr>
          <w:p w14:paraId="0496C7C2"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Secacao</w:t>
            </w:r>
            <w:proofErr w:type="spellEnd"/>
            <w:r w:rsidRPr="00180653">
              <w:rPr>
                <w:rFonts w:eastAsia="Times New Roman" w:cs="Arial"/>
                <w:color w:val="000000"/>
                <w:lang w:eastAsia="el-GR"/>
              </w:rPr>
              <w:t xml:space="preserve"> Group </w:t>
            </w:r>
          </w:p>
        </w:tc>
        <w:tc>
          <w:tcPr>
            <w:tcW w:w="3686" w:type="dxa"/>
            <w:noWrap/>
            <w:hideMark/>
          </w:tcPr>
          <w:p w14:paraId="277A1DC5" w14:textId="77777777" w:rsidR="00180653" w:rsidRPr="00180653" w:rsidRDefault="003B0DE2" w:rsidP="00180653">
            <w:pPr>
              <w:jc w:val="left"/>
              <w:rPr>
                <w:rFonts w:eastAsia="Times New Roman" w:cs="Arial"/>
                <w:color w:val="0563C1"/>
                <w:u w:val="single"/>
                <w:lang w:eastAsia="el-GR"/>
              </w:rPr>
            </w:pPr>
            <w:hyperlink r:id="rId282" w:history="1">
              <w:r w:rsidR="00180653" w:rsidRPr="00180653">
                <w:rPr>
                  <w:rFonts w:eastAsia="Times New Roman" w:cs="Arial"/>
                  <w:color w:val="0563C1"/>
                  <w:u w:val="single"/>
                  <w:lang w:eastAsia="el-GR"/>
                </w:rPr>
                <w:t xml:space="preserve">www.gruposecacao.com </w:t>
              </w:r>
            </w:hyperlink>
          </w:p>
        </w:tc>
        <w:tc>
          <w:tcPr>
            <w:tcW w:w="1843" w:type="dxa"/>
            <w:noWrap/>
            <w:hideMark/>
          </w:tcPr>
          <w:p w14:paraId="12D4D33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Guatemala</w:t>
            </w:r>
          </w:p>
        </w:tc>
      </w:tr>
      <w:tr w:rsidR="00180653" w:rsidRPr="00180653" w14:paraId="348D6963" w14:textId="77777777" w:rsidTr="0022057B">
        <w:trPr>
          <w:trHeight w:val="287"/>
        </w:trPr>
        <w:tc>
          <w:tcPr>
            <w:tcW w:w="2835" w:type="dxa"/>
            <w:noWrap/>
            <w:hideMark/>
          </w:tcPr>
          <w:p w14:paraId="468C4E3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Sustainable Carbon </w:t>
            </w:r>
          </w:p>
        </w:tc>
        <w:tc>
          <w:tcPr>
            <w:tcW w:w="3686" w:type="dxa"/>
            <w:noWrap/>
            <w:hideMark/>
          </w:tcPr>
          <w:p w14:paraId="0FA19F76" w14:textId="77777777" w:rsidR="00180653" w:rsidRPr="00180653" w:rsidRDefault="003B0DE2" w:rsidP="00180653">
            <w:pPr>
              <w:jc w:val="left"/>
              <w:rPr>
                <w:rFonts w:eastAsia="Times New Roman" w:cs="Arial"/>
                <w:color w:val="0563C1"/>
                <w:u w:val="single"/>
                <w:lang w:eastAsia="el-GR"/>
              </w:rPr>
            </w:pPr>
            <w:hyperlink r:id="rId283" w:history="1">
              <w:r w:rsidR="00180653" w:rsidRPr="00180653">
                <w:rPr>
                  <w:rFonts w:eastAsia="Times New Roman" w:cs="Arial"/>
                  <w:color w:val="0563C1"/>
                  <w:u w:val="single"/>
                  <w:lang w:eastAsia="el-GR"/>
                </w:rPr>
                <w:t xml:space="preserve">www.sustainablecarbon.com </w:t>
              </w:r>
            </w:hyperlink>
          </w:p>
        </w:tc>
        <w:tc>
          <w:tcPr>
            <w:tcW w:w="1843" w:type="dxa"/>
            <w:noWrap/>
            <w:hideMark/>
          </w:tcPr>
          <w:p w14:paraId="466F3D3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Brazil</w:t>
            </w:r>
          </w:p>
        </w:tc>
      </w:tr>
      <w:tr w:rsidR="00180653" w:rsidRPr="00180653" w14:paraId="22EB86A1" w14:textId="77777777" w:rsidTr="0022057B">
        <w:trPr>
          <w:trHeight w:val="287"/>
        </w:trPr>
        <w:tc>
          <w:tcPr>
            <w:tcW w:w="2835" w:type="dxa"/>
            <w:noWrap/>
            <w:hideMark/>
          </w:tcPr>
          <w:p w14:paraId="3010CA17" w14:textId="77777777" w:rsidR="00180653" w:rsidRPr="00180653" w:rsidRDefault="00180653" w:rsidP="00180653">
            <w:pPr>
              <w:jc w:val="left"/>
              <w:rPr>
                <w:rFonts w:eastAsia="Times New Roman" w:cs="Arial"/>
                <w:b/>
                <w:bCs/>
                <w:color w:val="000000"/>
                <w:lang w:eastAsia="el-GR"/>
              </w:rPr>
            </w:pPr>
            <w:r w:rsidRPr="00180653">
              <w:rPr>
                <w:rFonts w:eastAsia="Times New Roman" w:cs="Arial"/>
                <w:b/>
                <w:bCs/>
                <w:color w:val="000000"/>
                <w:lang w:eastAsia="el-GR"/>
              </w:rPr>
              <w:lastRenderedPageBreak/>
              <w:t>North America</w:t>
            </w:r>
          </w:p>
        </w:tc>
        <w:tc>
          <w:tcPr>
            <w:tcW w:w="3686" w:type="dxa"/>
            <w:noWrap/>
            <w:hideMark/>
          </w:tcPr>
          <w:p w14:paraId="0F25A701" w14:textId="77777777" w:rsidR="00180653" w:rsidRPr="00180653" w:rsidRDefault="00180653" w:rsidP="00180653">
            <w:pPr>
              <w:jc w:val="left"/>
              <w:rPr>
                <w:rFonts w:eastAsia="Times New Roman" w:cs="Arial"/>
                <w:b/>
                <w:bCs/>
                <w:color w:val="000000"/>
                <w:lang w:eastAsia="el-GR"/>
              </w:rPr>
            </w:pPr>
          </w:p>
        </w:tc>
        <w:tc>
          <w:tcPr>
            <w:tcW w:w="1843" w:type="dxa"/>
            <w:noWrap/>
            <w:hideMark/>
          </w:tcPr>
          <w:p w14:paraId="32849241" w14:textId="77777777" w:rsidR="00180653" w:rsidRPr="00180653" w:rsidRDefault="00180653" w:rsidP="00180653">
            <w:pPr>
              <w:jc w:val="left"/>
              <w:rPr>
                <w:rFonts w:eastAsia="Times New Roman" w:cs="Arial"/>
                <w:lang w:eastAsia="el-GR"/>
              </w:rPr>
            </w:pPr>
          </w:p>
        </w:tc>
      </w:tr>
      <w:tr w:rsidR="00180653" w:rsidRPr="00180653" w14:paraId="743B9C4C" w14:textId="77777777" w:rsidTr="0022057B">
        <w:trPr>
          <w:trHeight w:val="287"/>
        </w:trPr>
        <w:tc>
          <w:tcPr>
            <w:tcW w:w="2835" w:type="dxa"/>
            <w:noWrap/>
            <w:hideMark/>
          </w:tcPr>
          <w:p w14:paraId="40989F1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3Degrees </w:t>
            </w:r>
          </w:p>
        </w:tc>
        <w:tc>
          <w:tcPr>
            <w:tcW w:w="3686" w:type="dxa"/>
            <w:noWrap/>
            <w:hideMark/>
          </w:tcPr>
          <w:p w14:paraId="3A1CE018" w14:textId="77777777" w:rsidR="00180653" w:rsidRPr="00180653" w:rsidRDefault="003B0DE2" w:rsidP="00180653">
            <w:pPr>
              <w:jc w:val="left"/>
              <w:rPr>
                <w:rFonts w:eastAsia="Times New Roman" w:cs="Arial"/>
                <w:color w:val="0563C1"/>
                <w:u w:val="single"/>
                <w:lang w:eastAsia="el-GR"/>
              </w:rPr>
            </w:pPr>
            <w:hyperlink r:id="rId284" w:history="1">
              <w:r w:rsidR="00180653" w:rsidRPr="00180653">
                <w:rPr>
                  <w:rFonts w:eastAsia="Times New Roman" w:cs="Arial"/>
                  <w:color w:val="0563C1"/>
                  <w:u w:val="single"/>
                  <w:lang w:eastAsia="el-GR"/>
                </w:rPr>
                <w:t>www.3degreesinc.com</w:t>
              </w:r>
            </w:hyperlink>
          </w:p>
        </w:tc>
        <w:tc>
          <w:tcPr>
            <w:tcW w:w="1843" w:type="dxa"/>
            <w:noWrap/>
            <w:hideMark/>
          </w:tcPr>
          <w:p w14:paraId="00CDDA4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263B85EB" w14:textId="77777777" w:rsidTr="0022057B">
        <w:trPr>
          <w:trHeight w:val="287"/>
        </w:trPr>
        <w:tc>
          <w:tcPr>
            <w:tcW w:w="2835" w:type="dxa"/>
            <w:noWrap/>
            <w:hideMark/>
          </w:tcPr>
          <w:p w14:paraId="2DE80CE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Blue Source, LLC </w:t>
            </w:r>
          </w:p>
        </w:tc>
        <w:tc>
          <w:tcPr>
            <w:tcW w:w="3686" w:type="dxa"/>
            <w:noWrap/>
            <w:hideMark/>
          </w:tcPr>
          <w:p w14:paraId="3A4360D1" w14:textId="77777777" w:rsidR="00180653" w:rsidRPr="00180653" w:rsidRDefault="003B0DE2" w:rsidP="00180653">
            <w:pPr>
              <w:jc w:val="left"/>
              <w:rPr>
                <w:rFonts w:eastAsia="Times New Roman" w:cs="Arial"/>
                <w:color w:val="0563C1"/>
                <w:u w:val="single"/>
                <w:lang w:eastAsia="el-GR"/>
              </w:rPr>
            </w:pPr>
            <w:hyperlink r:id="rId285" w:history="1">
              <w:r w:rsidR="00180653" w:rsidRPr="00180653">
                <w:rPr>
                  <w:rFonts w:eastAsia="Times New Roman" w:cs="Arial"/>
                  <w:color w:val="0563C1"/>
                  <w:u w:val="single"/>
                  <w:lang w:eastAsia="el-GR"/>
                </w:rPr>
                <w:t xml:space="preserve">www.bluesource.com </w:t>
              </w:r>
            </w:hyperlink>
          </w:p>
        </w:tc>
        <w:tc>
          <w:tcPr>
            <w:tcW w:w="1843" w:type="dxa"/>
            <w:noWrap/>
            <w:hideMark/>
          </w:tcPr>
          <w:p w14:paraId="45E6118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0DF2E942" w14:textId="77777777" w:rsidTr="0022057B">
        <w:trPr>
          <w:trHeight w:val="287"/>
        </w:trPr>
        <w:tc>
          <w:tcPr>
            <w:tcW w:w="2835" w:type="dxa"/>
            <w:noWrap/>
            <w:hideMark/>
          </w:tcPr>
          <w:p w14:paraId="548D575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Bonneville Environmental Foundation </w:t>
            </w:r>
          </w:p>
        </w:tc>
        <w:tc>
          <w:tcPr>
            <w:tcW w:w="3686" w:type="dxa"/>
            <w:noWrap/>
            <w:hideMark/>
          </w:tcPr>
          <w:p w14:paraId="4D5CB60A" w14:textId="77777777" w:rsidR="00180653" w:rsidRPr="00180653" w:rsidRDefault="003B0DE2" w:rsidP="00180653">
            <w:pPr>
              <w:jc w:val="left"/>
              <w:rPr>
                <w:rFonts w:eastAsia="Times New Roman" w:cs="Arial"/>
                <w:color w:val="0563C1"/>
                <w:u w:val="single"/>
                <w:lang w:eastAsia="el-GR"/>
              </w:rPr>
            </w:pPr>
            <w:hyperlink r:id="rId286" w:history="1">
              <w:r w:rsidR="00180653" w:rsidRPr="00180653">
                <w:rPr>
                  <w:rFonts w:eastAsia="Times New Roman" w:cs="Arial"/>
                  <w:color w:val="0563C1"/>
                  <w:u w:val="single"/>
                  <w:lang w:eastAsia="el-GR"/>
                </w:rPr>
                <w:t xml:space="preserve">www.b-e-f.org </w:t>
              </w:r>
            </w:hyperlink>
          </w:p>
        </w:tc>
        <w:tc>
          <w:tcPr>
            <w:tcW w:w="1843" w:type="dxa"/>
            <w:noWrap/>
            <w:hideMark/>
          </w:tcPr>
          <w:p w14:paraId="78C08D1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2B434444" w14:textId="77777777" w:rsidTr="0022057B">
        <w:trPr>
          <w:trHeight w:val="287"/>
        </w:trPr>
        <w:tc>
          <w:tcPr>
            <w:tcW w:w="2835" w:type="dxa"/>
            <w:noWrap/>
            <w:hideMark/>
          </w:tcPr>
          <w:p w14:paraId="3AEB3A5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Brinkman Climate </w:t>
            </w:r>
          </w:p>
        </w:tc>
        <w:tc>
          <w:tcPr>
            <w:tcW w:w="3686" w:type="dxa"/>
            <w:noWrap/>
            <w:hideMark/>
          </w:tcPr>
          <w:p w14:paraId="6D2A836E" w14:textId="77777777" w:rsidR="00180653" w:rsidRPr="00180653" w:rsidRDefault="003B0DE2" w:rsidP="00180653">
            <w:pPr>
              <w:jc w:val="left"/>
              <w:rPr>
                <w:rFonts w:eastAsia="Times New Roman" w:cs="Arial"/>
                <w:color w:val="0563C1"/>
                <w:u w:val="single"/>
                <w:lang w:eastAsia="el-GR"/>
              </w:rPr>
            </w:pPr>
            <w:hyperlink r:id="rId287" w:history="1">
              <w:r w:rsidR="00180653" w:rsidRPr="00180653">
                <w:rPr>
                  <w:rFonts w:eastAsia="Times New Roman" w:cs="Arial"/>
                  <w:color w:val="0563C1"/>
                  <w:u w:val="single"/>
                  <w:lang w:eastAsia="el-GR"/>
                </w:rPr>
                <w:t xml:space="preserve">www.brinkmanclimate.com </w:t>
              </w:r>
            </w:hyperlink>
          </w:p>
        </w:tc>
        <w:tc>
          <w:tcPr>
            <w:tcW w:w="1843" w:type="dxa"/>
            <w:noWrap/>
            <w:hideMark/>
          </w:tcPr>
          <w:p w14:paraId="1301130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Canada</w:t>
            </w:r>
          </w:p>
        </w:tc>
      </w:tr>
      <w:tr w:rsidR="00180653" w:rsidRPr="00180653" w14:paraId="65CDDC71" w14:textId="77777777" w:rsidTr="0022057B">
        <w:trPr>
          <w:trHeight w:val="287"/>
        </w:trPr>
        <w:tc>
          <w:tcPr>
            <w:tcW w:w="2835" w:type="dxa"/>
            <w:noWrap/>
            <w:hideMark/>
          </w:tcPr>
          <w:p w14:paraId="4E9EA6F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Carbon Offsets </w:t>
            </w:r>
            <w:proofErr w:type="gramStart"/>
            <w:r w:rsidRPr="00180653">
              <w:rPr>
                <w:rFonts w:eastAsia="Times New Roman" w:cs="Arial"/>
                <w:color w:val="000000"/>
                <w:lang w:eastAsia="el-GR"/>
              </w:rPr>
              <w:t>To</w:t>
            </w:r>
            <w:proofErr w:type="gramEnd"/>
            <w:r w:rsidRPr="00180653">
              <w:rPr>
                <w:rFonts w:eastAsia="Times New Roman" w:cs="Arial"/>
                <w:color w:val="000000"/>
                <w:lang w:eastAsia="el-GR"/>
              </w:rPr>
              <w:t xml:space="preserve"> Alleviate Poverty (COTAP) </w:t>
            </w:r>
          </w:p>
        </w:tc>
        <w:tc>
          <w:tcPr>
            <w:tcW w:w="3686" w:type="dxa"/>
            <w:noWrap/>
            <w:hideMark/>
          </w:tcPr>
          <w:p w14:paraId="377734E8" w14:textId="77777777" w:rsidR="00180653" w:rsidRPr="00180653" w:rsidRDefault="003B0DE2" w:rsidP="00180653">
            <w:pPr>
              <w:jc w:val="left"/>
              <w:rPr>
                <w:rFonts w:eastAsia="Times New Roman" w:cs="Arial"/>
                <w:color w:val="000000"/>
                <w:lang w:eastAsia="el-GR"/>
              </w:rPr>
            </w:pPr>
            <w:hyperlink r:id="rId288" w:history="1">
              <w:r w:rsidR="00180653" w:rsidRPr="00180653">
                <w:rPr>
                  <w:rFonts w:eastAsia="Times New Roman" w:cs="Arial"/>
                  <w:color w:val="0000FF"/>
                  <w:u w:val="single"/>
                  <w:lang w:eastAsia="el-GR"/>
                </w:rPr>
                <w:t>COTAP.org</w:t>
              </w:r>
            </w:hyperlink>
            <w:r w:rsidR="00180653" w:rsidRPr="00180653">
              <w:rPr>
                <w:rFonts w:eastAsia="Times New Roman" w:cs="Arial"/>
                <w:color w:val="000000"/>
                <w:lang w:eastAsia="el-GR"/>
              </w:rPr>
              <w:t xml:space="preserve"> </w:t>
            </w:r>
          </w:p>
        </w:tc>
        <w:tc>
          <w:tcPr>
            <w:tcW w:w="1843" w:type="dxa"/>
            <w:noWrap/>
            <w:hideMark/>
          </w:tcPr>
          <w:p w14:paraId="73357B7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79453D4E" w14:textId="77777777" w:rsidTr="0022057B">
        <w:trPr>
          <w:trHeight w:val="287"/>
        </w:trPr>
        <w:tc>
          <w:tcPr>
            <w:tcW w:w="2835" w:type="dxa"/>
            <w:noWrap/>
            <w:hideMark/>
          </w:tcPr>
          <w:p w14:paraId="258ECA0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Carbonfund.org Foundation, Inc. </w:t>
            </w:r>
          </w:p>
        </w:tc>
        <w:tc>
          <w:tcPr>
            <w:tcW w:w="3686" w:type="dxa"/>
            <w:noWrap/>
            <w:hideMark/>
          </w:tcPr>
          <w:p w14:paraId="71E8FC07" w14:textId="77777777" w:rsidR="00180653" w:rsidRPr="00180653" w:rsidRDefault="003B0DE2" w:rsidP="00180653">
            <w:pPr>
              <w:jc w:val="left"/>
              <w:rPr>
                <w:rFonts w:eastAsia="Times New Roman" w:cs="Arial"/>
                <w:color w:val="0563C1"/>
                <w:u w:val="single"/>
                <w:lang w:eastAsia="el-GR"/>
              </w:rPr>
            </w:pPr>
            <w:hyperlink r:id="rId289" w:history="1">
              <w:r w:rsidR="00180653" w:rsidRPr="00180653">
                <w:rPr>
                  <w:rFonts w:eastAsia="Times New Roman" w:cs="Arial"/>
                  <w:color w:val="0563C1"/>
                  <w:u w:val="single"/>
                  <w:lang w:eastAsia="el-GR"/>
                </w:rPr>
                <w:t xml:space="preserve">www.carbonfund.org </w:t>
              </w:r>
            </w:hyperlink>
          </w:p>
        </w:tc>
        <w:tc>
          <w:tcPr>
            <w:tcW w:w="1843" w:type="dxa"/>
            <w:noWrap/>
            <w:hideMark/>
          </w:tcPr>
          <w:p w14:paraId="12198D0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00EC6786" w14:textId="77777777" w:rsidTr="0022057B">
        <w:trPr>
          <w:trHeight w:val="287"/>
        </w:trPr>
        <w:tc>
          <w:tcPr>
            <w:tcW w:w="2835" w:type="dxa"/>
            <w:noWrap/>
            <w:hideMark/>
          </w:tcPr>
          <w:p w14:paraId="704DD6C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Clean Air Action Corp </w:t>
            </w:r>
          </w:p>
        </w:tc>
        <w:tc>
          <w:tcPr>
            <w:tcW w:w="3686" w:type="dxa"/>
            <w:noWrap/>
            <w:hideMark/>
          </w:tcPr>
          <w:p w14:paraId="7534F9BD" w14:textId="77777777" w:rsidR="00180653" w:rsidRPr="00180653" w:rsidRDefault="003B0DE2" w:rsidP="00180653">
            <w:pPr>
              <w:jc w:val="left"/>
              <w:rPr>
                <w:rFonts w:eastAsia="Times New Roman" w:cs="Arial"/>
                <w:color w:val="0563C1"/>
                <w:u w:val="single"/>
                <w:lang w:eastAsia="el-GR"/>
              </w:rPr>
            </w:pPr>
            <w:hyperlink r:id="rId290" w:history="1">
              <w:r w:rsidR="00180653" w:rsidRPr="00180653">
                <w:rPr>
                  <w:rFonts w:eastAsia="Times New Roman" w:cs="Arial"/>
                  <w:color w:val="0563C1"/>
                  <w:u w:val="single"/>
                  <w:lang w:eastAsia="el-GR"/>
                </w:rPr>
                <w:t xml:space="preserve">www.cleanairaction.com </w:t>
              </w:r>
            </w:hyperlink>
          </w:p>
        </w:tc>
        <w:tc>
          <w:tcPr>
            <w:tcW w:w="1843" w:type="dxa"/>
            <w:noWrap/>
            <w:hideMark/>
          </w:tcPr>
          <w:p w14:paraId="0C5DAE1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631A7457" w14:textId="77777777" w:rsidTr="0022057B">
        <w:trPr>
          <w:trHeight w:val="287"/>
        </w:trPr>
        <w:tc>
          <w:tcPr>
            <w:tcW w:w="2835" w:type="dxa"/>
            <w:noWrap/>
            <w:hideMark/>
          </w:tcPr>
          <w:p w14:paraId="084C37E1"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ClimeCo</w:t>
            </w:r>
            <w:proofErr w:type="spellEnd"/>
            <w:r w:rsidRPr="00180653">
              <w:rPr>
                <w:rFonts w:eastAsia="Times New Roman" w:cs="Arial"/>
                <w:color w:val="000000"/>
                <w:lang w:eastAsia="el-GR"/>
              </w:rPr>
              <w:t xml:space="preserve"> Corporation </w:t>
            </w:r>
          </w:p>
        </w:tc>
        <w:tc>
          <w:tcPr>
            <w:tcW w:w="3686" w:type="dxa"/>
            <w:noWrap/>
            <w:hideMark/>
          </w:tcPr>
          <w:p w14:paraId="6F086F0E" w14:textId="77777777" w:rsidR="00180653" w:rsidRPr="00180653" w:rsidRDefault="003B0DE2" w:rsidP="00180653">
            <w:pPr>
              <w:jc w:val="left"/>
              <w:rPr>
                <w:rFonts w:eastAsia="Times New Roman" w:cs="Arial"/>
                <w:color w:val="000000"/>
                <w:lang w:eastAsia="el-GR"/>
              </w:rPr>
            </w:pPr>
            <w:hyperlink r:id="rId291" w:history="1">
              <w:r w:rsidR="00180653" w:rsidRPr="00180653">
                <w:rPr>
                  <w:rFonts w:eastAsia="Times New Roman" w:cs="Arial"/>
                  <w:color w:val="0000FF"/>
                  <w:u w:val="single"/>
                  <w:lang w:eastAsia="el-GR"/>
                </w:rPr>
                <w:t>climeco.com</w:t>
              </w:r>
            </w:hyperlink>
            <w:r w:rsidR="00180653" w:rsidRPr="00180653">
              <w:rPr>
                <w:rFonts w:eastAsia="Times New Roman" w:cs="Arial"/>
                <w:color w:val="000000"/>
                <w:lang w:eastAsia="el-GR"/>
              </w:rPr>
              <w:t xml:space="preserve"> </w:t>
            </w:r>
          </w:p>
        </w:tc>
        <w:tc>
          <w:tcPr>
            <w:tcW w:w="1843" w:type="dxa"/>
            <w:noWrap/>
            <w:hideMark/>
          </w:tcPr>
          <w:p w14:paraId="319959E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6D76CFAA" w14:textId="77777777" w:rsidTr="0022057B">
        <w:trPr>
          <w:trHeight w:val="287"/>
        </w:trPr>
        <w:tc>
          <w:tcPr>
            <w:tcW w:w="2835" w:type="dxa"/>
            <w:noWrap/>
            <w:hideMark/>
          </w:tcPr>
          <w:p w14:paraId="08EE18C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Clinton Development Initiative </w:t>
            </w:r>
          </w:p>
        </w:tc>
        <w:tc>
          <w:tcPr>
            <w:tcW w:w="3686" w:type="dxa"/>
            <w:noWrap/>
            <w:hideMark/>
          </w:tcPr>
          <w:p w14:paraId="31387436" w14:textId="77777777" w:rsidR="00180653" w:rsidRPr="00180653" w:rsidRDefault="003B0DE2" w:rsidP="00180653">
            <w:pPr>
              <w:jc w:val="left"/>
              <w:rPr>
                <w:rFonts w:eastAsia="Times New Roman" w:cs="Arial"/>
                <w:color w:val="0563C1"/>
                <w:u w:val="single"/>
                <w:lang w:eastAsia="el-GR"/>
              </w:rPr>
            </w:pPr>
            <w:hyperlink r:id="rId292" w:history="1">
              <w:r w:rsidR="00180653" w:rsidRPr="00180653">
                <w:rPr>
                  <w:rFonts w:eastAsia="Times New Roman" w:cs="Arial"/>
                  <w:color w:val="0563C1"/>
                  <w:u w:val="single"/>
                  <w:lang w:eastAsia="el-GR"/>
                </w:rPr>
                <w:t xml:space="preserve">www.clintonfoundation.org </w:t>
              </w:r>
            </w:hyperlink>
          </w:p>
        </w:tc>
        <w:tc>
          <w:tcPr>
            <w:tcW w:w="1843" w:type="dxa"/>
            <w:noWrap/>
            <w:hideMark/>
          </w:tcPr>
          <w:p w14:paraId="5DCF1C2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1C74EBC8" w14:textId="77777777" w:rsidTr="0022057B">
        <w:trPr>
          <w:trHeight w:val="287"/>
        </w:trPr>
        <w:tc>
          <w:tcPr>
            <w:tcW w:w="2835" w:type="dxa"/>
            <w:noWrap/>
            <w:hideMark/>
          </w:tcPr>
          <w:p w14:paraId="0209970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Code REDD </w:t>
            </w:r>
          </w:p>
        </w:tc>
        <w:tc>
          <w:tcPr>
            <w:tcW w:w="3686" w:type="dxa"/>
            <w:noWrap/>
            <w:hideMark/>
          </w:tcPr>
          <w:p w14:paraId="44F2F115" w14:textId="77777777" w:rsidR="00180653" w:rsidRPr="00180653" w:rsidRDefault="003B0DE2" w:rsidP="00180653">
            <w:pPr>
              <w:jc w:val="left"/>
              <w:rPr>
                <w:rFonts w:eastAsia="Times New Roman" w:cs="Arial"/>
                <w:color w:val="000000"/>
                <w:lang w:eastAsia="el-GR"/>
              </w:rPr>
            </w:pPr>
            <w:hyperlink r:id="rId293" w:history="1">
              <w:r w:rsidR="00180653" w:rsidRPr="00180653">
                <w:rPr>
                  <w:rFonts w:eastAsia="Times New Roman" w:cs="Arial"/>
                  <w:color w:val="0000FF"/>
                  <w:u w:val="single"/>
                  <w:lang w:eastAsia="el-GR"/>
                </w:rPr>
                <w:t>www.coderedd.org</w:t>
              </w:r>
            </w:hyperlink>
            <w:r w:rsidR="00180653" w:rsidRPr="00180653">
              <w:rPr>
                <w:rFonts w:eastAsia="Times New Roman" w:cs="Arial"/>
                <w:color w:val="000000"/>
                <w:lang w:eastAsia="el-GR"/>
              </w:rPr>
              <w:t xml:space="preserve"> </w:t>
            </w:r>
          </w:p>
        </w:tc>
        <w:tc>
          <w:tcPr>
            <w:tcW w:w="1843" w:type="dxa"/>
            <w:noWrap/>
            <w:hideMark/>
          </w:tcPr>
          <w:p w14:paraId="371785C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623623B4" w14:textId="77777777" w:rsidTr="0022057B">
        <w:trPr>
          <w:trHeight w:val="287"/>
        </w:trPr>
        <w:tc>
          <w:tcPr>
            <w:tcW w:w="2835" w:type="dxa"/>
            <w:noWrap/>
            <w:hideMark/>
          </w:tcPr>
          <w:p w14:paraId="4C86171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Community Energy, Inc. </w:t>
            </w:r>
          </w:p>
        </w:tc>
        <w:tc>
          <w:tcPr>
            <w:tcW w:w="3686" w:type="dxa"/>
            <w:noWrap/>
            <w:hideMark/>
          </w:tcPr>
          <w:p w14:paraId="4F31D455" w14:textId="77777777" w:rsidR="00180653" w:rsidRPr="00180653" w:rsidRDefault="003B0DE2" w:rsidP="00180653">
            <w:pPr>
              <w:jc w:val="left"/>
              <w:rPr>
                <w:rFonts w:eastAsia="Times New Roman" w:cs="Arial"/>
                <w:color w:val="0563C1"/>
                <w:u w:val="single"/>
                <w:lang w:eastAsia="el-GR"/>
              </w:rPr>
            </w:pPr>
            <w:hyperlink r:id="rId294" w:history="1">
              <w:r w:rsidR="00180653" w:rsidRPr="00180653">
                <w:rPr>
                  <w:rFonts w:eastAsia="Times New Roman" w:cs="Arial"/>
                  <w:color w:val="0563C1"/>
                  <w:u w:val="single"/>
                  <w:lang w:eastAsia="el-GR"/>
                </w:rPr>
                <w:t xml:space="preserve">www.communityenergyinc.com </w:t>
              </w:r>
            </w:hyperlink>
          </w:p>
        </w:tc>
        <w:tc>
          <w:tcPr>
            <w:tcW w:w="1843" w:type="dxa"/>
            <w:noWrap/>
            <w:hideMark/>
          </w:tcPr>
          <w:p w14:paraId="45AB931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6B2AA8E4" w14:textId="77777777" w:rsidTr="0022057B">
        <w:trPr>
          <w:trHeight w:val="287"/>
        </w:trPr>
        <w:tc>
          <w:tcPr>
            <w:tcW w:w="2835" w:type="dxa"/>
            <w:noWrap/>
            <w:hideMark/>
          </w:tcPr>
          <w:p w14:paraId="5204AE7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Conservation International </w:t>
            </w:r>
          </w:p>
        </w:tc>
        <w:tc>
          <w:tcPr>
            <w:tcW w:w="3686" w:type="dxa"/>
            <w:noWrap/>
            <w:hideMark/>
          </w:tcPr>
          <w:p w14:paraId="18A70C84" w14:textId="77777777" w:rsidR="00180653" w:rsidRPr="00180653" w:rsidRDefault="003B0DE2" w:rsidP="00180653">
            <w:pPr>
              <w:jc w:val="left"/>
              <w:rPr>
                <w:rFonts w:eastAsia="Times New Roman" w:cs="Arial"/>
                <w:color w:val="000000"/>
                <w:lang w:eastAsia="el-GR"/>
              </w:rPr>
            </w:pPr>
            <w:hyperlink r:id="rId295" w:history="1">
              <w:r w:rsidR="00180653" w:rsidRPr="00180653">
                <w:rPr>
                  <w:rFonts w:eastAsia="Times New Roman" w:cs="Arial"/>
                  <w:color w:val="0000FF"/>
                  <w:u w:val="single"/>
                  <w:lang w:eastAsia="el-GR"/>
                </w:rPr>
                <w:t>conservation.org</w:t>
              </w:r>
            </w:hyperlink>
            <w:r w:rsidR="00180653" w:rsidRPr="00180653">
              <w:rPr>
                <w:rFonts w:eastAsia="Times New Roman" w:cs="Arial"/>
                <w:color w:val="000000"/>
                <w:lang w:eastAsia="el-GR"/>
              </w:rPr>
              <w:t xml:space="preserve"> </w:t>
            </w:r>
          </w:p>
        </w:tc>
        <w:tc>
          <w:tcPr>
            <w:tcW w:w="1843" w:type="dxa"/>
            <w:noWrap/>
            <w:hideMark/>
          </w:tcPr>
          <w:p w14:paraId="5B97D74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63611211" w14:textId="77777777" w:rsidTr="0022057B">
        <w:trPr>
          <w:trHeight w:val="287"/>
        </w:trPr>
        <w:tc>
          <w:tcPr>
            <w:tcW w:w="2835" w:type="dxa"/>
            <w:noWrap/>
            <w:hideMark/>
          </w:tcPr>
          <w:p w14:paraId="5E9E147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Diversified Pure Chem, LLC </w:t>
            </w:r>
          </w:p>
        </w:tc>
        <w:tc>
          <w:tcPr>
            <w:tcW w:w="3686" w:type="dxa"/>
            <w:noWrap/>
            <w:hideMark/>
          </w:tcPr>
          <w:p w14:paraId="7183C06A" w14:textId="77777777" w:rsidR="00180653" w:rsidRPr="00180653" w:rsidRDefault="003B0DE2" w:rsidP="00180653">
            <w:pPr>
              <w:jc w:val="left"/>
              <w:rPr>
                <w:rFonts w:eastAsia="Times New Roman" w:cs="Arial"/>
                <w:color w:val="0563C1"/>
                <w:u w:val="single"/>
                <w:lang w:eastAsia="el-GR"/>
              </w:rPr>
            </w:pPr>
            <w:hyperlink r:id="rId296" w:history="1">
              <w:r w:rsidR="00180653" w:rsidRPr="00180653">
                <w:rPr>
                  <w:rFonts w:eastAsia="Times New Roman" w:cs="Arial"/>
                  <w:color w:val="0563C1"/>
                  <w:u w:val="single"/>
                  <w:lang w:eastAsia="el-GR"/>
                </w:rPr>
                <w:t xml:space="preserve">www.divpc.com </w:t>
              </w:r>
            </w:hyperlink>
          </w:p>
        </w:tc>
        <w:tc>
          <w:tcPr>
            <w:tcW w:w="1843" w:type="dxa"/>
            <w:noWrap/>
            <w:hideMark/>
          </w:tcPr>
          <w:p w14:paraId="6679A2A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2204AB55" w14:textId="77777777" w:rsidTr="0022057B">
        <w:trPr>
          <w:trHeight w:val="287"/>
        </w:trPr>
        <w:tc>
          <w:tcPr>
            <w:tcW w:w="2835" w:type="dxa"/>
            <w:noWrap/>
            <w:hideMark/>
          </w:tcPr>
          <w:p w14:paraId="1DFF01A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ECOTIERRA </w:t>
            </w:r>
          </w:p>
        </w:tc>
        <w:tc>
          <w:tcPr>
            <w:tcW w:w="3686" w:type="dxa"/>
            <w:noWrap/>
            <w:hideMark/>
          </w:tcPr>
          <w:p w14:paraId="5AEE1CBB" w14:textId="77777777" w:rsidR="00180653" w:rsidRPr="00180653" w:rsidRDefault="003B0DE2" w:rsidP="00180653">
            <w:pPr>
              <w:jc w:val="left"/>
              <w:rPr>
                <w:rFonts w:eastAsia="Times New Roman" w:cs="Arial"/>
                <w:color w:val="0563C1"/>
                <w:u w:val="single"/>
                <w:lang w:eastAsia="el-GR"/>
              </w:rPr>
            </w:pPr>
            <w:hyperlink r:id="rId297" w:history="1">
              <w:r w:rsidR="00180653" w:rsidRPr="00180653">
                <w:rPr>
                  <w:rFonts w:eastAsia="Times New Roman" w:cs="Arial"/>
                  <w:color w:val="0563C1"/>
                  <w:u w:val="single"/>
                  <w:lang w:eastAsia="el-GR"/>
                </w:rPr>
                <w:t xml:space="preserve">www.ecotierra.co/en </w:t>
              </w:r>
            </w:hyperlink>
          </w:p>
        </w:tc>
        <w:tc>
          <w:tcPr>
            <w:tcW w:w="1843" w:type="dxa"/>
            <w:noWrap/>
            <w:hideMark/>
          </w:tcPr>
          <w:p w14:paraId="7BD1285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Canada</w:t>
            </w:r>
          </w:p>
        </w:tc>
      </w:tr>
      <w:tr w:rsidR="00180653" w:rsidRPr="00180653" w14:paraId="0C9B26F2" w14:textId="77777777" w:rsidTr="0022057B">
        <w:trPr>
          <w:trHeight w:val="287"/>
        </w:trPr>
        <w:tc>
          <w:tcPr>
            <w:tcW w:w="2835" w:type="dxa"/>
            <w:noWrap/>
            <w:hideMark/>
          </w:tcPr>
          <w:p w14:paraId="282D91C1"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Ecotrust</w:t>
            </w:r>
            <w:proofErr w:type="spellEnd"/>
            <w:r w:rsidRPr="00180653">
              <w:rPr>
                <w:rFonts w:eastAsia="Times New Roman" w:cs="Arial"/>
                <w:color w:val="000000"/>
                <w:lang w:eastAsia="el-GR"/>
              </w:rPr>
              <w:t xml:space="preserve"> Forest Management </w:t>
            </w:r>
          </w:p>
        </w:tc>
        <w:tc>
          <w:tcPr>
            <w:tcW w:w="3686" w:type="dxa"/>
            <w:noWrap/>
            <w:hideMark/>
          </w:tcPr>
          <w:p w14:paraId="773D6397" w14:textId="77777777" w:rsidR="00180653" w:rsidRPr="00180653" w:rsidRDefault="003B0DE2" w:rsidP="00180653">
            <w:pPr>
              <w:jc w:val="left"/>
              <w:rPr>
                <w:rFonts w:eastAsia="Times New Roman" w:cs="Arial"/>
                <w:color w:val="0563C1"/>
                <w:u w:val="single"/>
                <w:lang w:eastAsia="el-GR"/>
              </w:rPr>
            </w:pPr>
            <w:hyperlink r:id="rId298" w:history="1">
              <w:r w:rsidR="00180653" w:rsidRPr="00180653">
                <w:rPr>
                  <w:rFonts w:eastAsia="Times New Roman" w:cs="Arial"/>
                  <w:color w:val="0563C1"/>
                  <w:u w:val="single"/>
                  <w:lang w:eastAsia="el-GR"/>
                </w:rPr>
                <w:t xml:space="preserve">www.ecotrustforests.com </w:t>
              </w:r>
            </w:hyperlink>
          </w:p>
        </w:tc>
        <w:tc>
          <w:tcPr>
            <w:tcW w:w="1843" w:type="dxa"/>
            <w:noWrap/>
            <w:hideMark/>
          </w:tcPr>
          <w:p w14:paraId="092286D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5E0079C7" w14:textId="77777777" w:rsidTr="0022057B">
        <w:trPr>
          <w:trHeight w:val="287"/>
        </w:trPr>
        <w:tc>
          <w:tcPr>
            <w:tcW w:w="2835" w:type="dxa"/>
            <w:noWrap/>
            <w:hideMark/>
          </w:tcPr>
          <w:p w14:paraId="3731C0A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Element Markets </w:t>
            </w:r>
          </w:p>
        </w:tc>
        <w:tc>
          <w:tcPr>
            <w:tcW w:w="3686" w:type="dxa"/>
            <w:noWrap/>
            <w:hideMark/>
          </w:tcPr>
          <w:p w14:paraId="0AB94727" w14:textId="77777777" w:rsidR="00180653" w:rsidRPr="00180653" w:rsidRDefault="003B0DE2" w:rsidP="00180653">
            <w:pPr>
              <w:jc w:val="left"/>
              <w:rPr>
                <w:rFonts w:eastAsia="Times New Roman" w:cs="Arial"/>
                <w:color w:val="0563C1"/>
                <w:u w:val="single"/>
                <w:lang w:eastAsia="el-GR"/>
              </w:rPr>
            </w:pPr>
            <w:hyperlink r:id="rId299" w:history="1">
              <w:r w:rsidR="00180653" w:rsidRPr="00180653">
                <w:rPr>
                  <w:rFonts w:eastAsia="Times New Roman" w:cs="Arial"/>
                  <w:color w:val="0563C1"/>
                  <w:u w:val="single"/>
                  <w:lang w:eastAsia="el-GR"/>
                </w:rPr>
                <w:t xml:space="preserve">www.elementmarkets.com </w:t>
              </w:r>
            </w:hyperlink>
          </w:p>
        </w:tc>
        <w:tc>
          <w:tcPr>
            <w:tcW w:w="1843" w:type="dxa"/>
            <w:noWrap/>
            <w:hideMark/>
          </w:tcPr>
          <w:p w14:paraId="00EB4D4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6228F5B9" w14:textId="77777777" w:rsidTr="0022057B">
        <w:trPr>
          <w:trHeight w:val="287"/>
        </w:trPr>
        <w:tc>
          <w:tcPr>
            <w:tcW w:w="2835" w:type="dxa"/>
            <w:noWrap/>
            <w:hideMark/>
          </w:tcPr>
          <w:p w14:paraId="534CB118"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Envirofit</w:t>
            </w:r>
            <w:proofErr w:type="spellEnd"/>
            <w:r w:rsidRPr="00180653">
              <w:rPr>
                <w:rFonts w:eastAsia="Times New Roman" w:cs="Arial"/>
                <w:color w:val="000000"/>
                <w:lang w:eastAsia="el-GR"/>
              </w:rPr>
              <w:t xml:space="preserve"> </w:t>
            </w:r>
          </w:p>
        </w:tc>
        <w:tc>
          <w:tcPr>
            <w:tcW w:w="3686" w:type="dxa"/>
            <w:noWrap/>
            <w:hideMark/>
          </w:tcPr>
          <w:p w14:paraId="4032B6F1" w14:textId="77777777" w:rsidR="00180653" w:rsidRPr="00180653" w:rsidRDefault="003B0DE2" w:rsidP="00180653">
            <w:pPr>
              <w:jc w:val="left"/>
              <w:rPr>
                <w:rFonts w:eastAsia="Times New Roman" w:cs="Arial"/>
                <w:color w:val="0563C1"/>
                <w:u w:val="single"/>
                <w:lang w:eastAsia="el-GR"/>
              </w:rPr>
            </w:pPr>
            <w:hyperlink r:id="rId300" w:history="1">
              <w:r w:rsidR="00180653" w:rsidRPr="00180653">
                <w:rPr>
                  <w:rFonts w:eastAsia="Times New Roman" w:cs="Arial"/>
                  <w:color w:val="0563C1"/>
                  <w:u w:val="single"/>
                  <w:lang w:eastAsia="el-GR"/>
                </w:rPr>
                <w:t xml:space="preserve">www.envirofit.org </w:t>
              </w:r>
            </w:hyperlink>
          </w:p>
        </w:tc>
        <w:tc>
          <w:tcPr>
            <w:tcW w:w="1843" w:type="dxa"/>
            <w:noWrap/>
            <w:hideMark/>
          </w:tcPr>
          <w:p w14:paraId="74A1117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61FD3BDA" w14:textId="77777777" w:rsidTr="0022057B">
        <w:trPr>
          <w:trHeight w:val="287"/>
        </w:trPr>
        <w:tc>
          <w:tcPr>
            <w:tcW w:w="2835" w:type="dxa"/>
            <w:noWrap/>
            <w:hideMark/>
          </w:tcPr>
          <w:p w14:paraId="5867AA3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Environmental Attribute Advisors </w:t>
            </w:r>
          </w:p>
        </w:tc>
        <w:tc>
          <w:tcPr>
            <w:tcW w:w="3686" w:type="dxa"/>
            <w:noWrap/>
            <w:hideMark/>
          </w:tcPr>
          <w:p w14:paraId="1BFA3BC1" w14:textId="77777777" w:rsidR="00180653" w:rsidRPr="00180653" w:rsidRDefault="003B0DE2" w:rsidP="00180653">
            <w:pPr>
              <w:jc w:val="left"/>
              <w:rPr>
                <w:rFonts w:eastAsia="Times New Roman" w:cs="Arial"/>
                <w:color w:val="0563C1"/>
                <w:u w:val="single"/>
                <w:lang w:eastAsia="el-GR"/>
              </w:rPr>
            </w:pPr>
            <w:hyperlink r:id="rId301" w:history="1">
              <w:r w:rsidR="00180653" w:rsidRPr="00180653">
                <w:rPr>
                  <w:rFonts w:eastAsia="Times New Roman" w:cs="Arial"/>
                  <w:color w:val="0563C1"/>
                  <w:u w:val="single"/>
                  <w:lang w:eastAsia="el-GR"/>
                </w:rPr>
                <w:t xml:space="preserve">www.enviadvi.com </w:t>
              </w:r>
            </w:hyperlink>
          </w:p>
        </w:tc>
        <w:tc>
          <w:tcPr>
            <w:tcW w:w="1843" w:type="dxa"/>
            <w:noWrap/>
            <w:hideMark/>
          </w:tcPr>
          <w:p w14:paraId="69D315E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4D3EF7A1" w14:textId="77777777" w:rsidTr="0022057B">
        <w:trPr>
          <w:trHeight w:val="287"/>
        </w:trPr>
        <w:tc>
          <w:tcPr>
            <w:tcW w:w="2835" w:type="dxa"/>
            <w:noWrap/>
            <w:hideMark/>
          </w:tcPr>
          <w:p w14:paraId="4AEE05B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Forest Carbon Offsets LLC </w:t>
            </w:r>
          </w:p>
        </w:tc>
        <w:tc>
          <w:tcPr>
            <w:tcW w:w="3686" w:type="dxa"/>
            <w:noWrap/>
            <w:hideMark/>
          </w:tcPr>
          <w:p w14:paraId="285E306C" w14:textId="77777777" w:rsidR="00180653" w:rsidRPr="00180653" w:rsidRDefault="003B0DE2" w:rsidP="00180653">
            <w:pPr>
              <w:jc w:val="left"/>
              <w:rPr>
                <w:rFonts w:eastAsia="Times New Roman" w:cs="Arial"/>
                <w:color w:val="0563C1"/>
                <w:u w:val="single"/>
                <w:lang w:eastAsia="el-GR"/>
              </w:rPr>
            </w:pPr>
            <w:hyperlink r:id="rId302" w:history="1">
              <w:r w:rsidR="00180653" w:rsidRPr="00180653">
                <w:rPr>
                  <w:rFonts w:eastAsia="Times New Roman" w:cs="Arial"/>
                  <w:color w:val="0563C1"/>
                  <w:u w:val="single"/>
                  <w:lang w:eastAsia="el-GR"/>
                </w:rPr>
                <w:t xml:space="preserve">www.forestcarbonoffsets.net </w:t>
              </w:r>
            </w:hyperlink>
          </w:p>
        </w:tc>
        <w:tc>
          <w:tcPr>
            <w:tcW w:w="1843" w:type="dxa"/>
            <w:noWrap/>
            <w:hideMark/>
          </w:tcPr>
          <w:p w14:paraId="40746B2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15B76300" w14:textId="77777777" w:rsidTr="0022057B">
        <w:trPr>
          <w:trHeight w:val="287"/>
        </w:trPr>
        <w:tc>
          <w:tcPr>
            <w:tcW w:w="2835" w:type="dxa"/>
            <w:noWrap/>
            <w:hideMark/>
          </w:tcPr>
          <w:p w14:paraId="03AEB422"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GreenTrees</w:t>
            </w:r>
            <w:proofErr w:type="spellEnd"/>
            <w:r w:rsidRPr="00180653">
              <w:rPr>
                <w:rFonts w:eastAsia="Times New Roman" w:cs="Arial"/>
                <w:color w:val="000000"/>
                <w:lang w:eastAsia="el-GR"/>
              </w:rPr>
              <w:t xml:space="preserve"> (C2Invest) </w:t>
            </w:r>
          </w:p>
        </w:tc>
        <w:tc>
          <w:tcPr>
            <w:tcW w:w="3686" w:type="dxa"/>
            <w:noWrap/>
            <w:hideMark/>
          </w:tcPr>
          <w:p w14:paraId="60412B41" w14:textId="77777777" w:rsidR="00180653" w:rsidRPr="00180653" w:rsidRDefault="003B0DE2" w:rsidP="00180653">
            <w:pPr>
              <w:jc w:val="left"/>
              <w:rPr>
                <w:rFonts w:eastAsia="Times New Roman" w:cs="Arial"/>
                <w:color w:val="0563C1"/>
                <w:u w:val="single"/>
                <w:lang w:eastAsia="el-GR"/>
              </w:rPr>
            </w:pPr>
            <w:hyperlink r:id="rId303" w:history="1">
              <w:r w:rsidR="00180653" w:rsidRPr="00180653">
                <w:rPr>
                  <w:rFonts w:eastAsia="Times New Roman" w:cs="Arial"/>
                  <w:color w:val="0563C1"/>
                  <w:u w:val="single"/>
                  <w:lang w:eastAsia="el-GR"/>
                </w:rPr>
                <w:t xml:space="preserve">www.c2invest.net </w:t>
              </w:r>
            </w:hyperlink>
          </w:p>
        </w:tc>
        <w:tc>
          <w:tcPr>
            <w:tcW w:w="1843" w:type="dxa"/>
            <w:noWrap/>
            <w:hideMark/>
          </w:tcPr>
          <w:p w14:paraId="3F25519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7E3F2A86" w14:textId="77777777" w:rsidTr="0022057B">
        <w:trPr>
          <w:trHeight w:val="287"/>
        </w:trPr>
        <w:tc>
          <w:tcPr>
            <w:tcW w:w="2835" w:type="dxa"/>
            <w:noWrap/>
            <w:hideMark/>
          </w:tcPr>
          <w:p w14:paraId="375DAE5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Impact Carbon </w:t>
            </w:r>
          </w:p>
        </w:tc>
        <w:tc>
          <w:tcPr>
            <w:tcW w:w="3686" w:type="dxa"/>
            <w:noWrap/>
            <w:hideMark/>
          </w:tcPr>
          <w:p w14:paraId="1FF75545" w14:textId="77777777" w:rsidR="00180653" w:rsidRPr="00180653" w:rsidRDefault="003B0DE2" w:rsidP="00180653">
            <w:pPr>
              <w:jc w:val="left"/>
              <w:rPr>
                <w:rFonts w:eastAsia="Times New Roman" w:cs="Arial"/>
                <w:color w:val="0563C1"/>
                <w:u w:val="single"/>
                <w:lang w:eastAsia="el-GR"/>
              </w:rPr>
            </w:pPr>
            <w:hyperlink r:id="rId304" w:history="1">
              <w:r w:rsidR="00180653" w:rsidRPr="00180653">
                <w:rPr>
                  <w:rFonts w:eastAsia="Times New Roman" w:cs="Arial"/>
                  <w:color w:val="0563C1"/>
                  <w:u w:val="single"/>
                  <w:lang w:eastAsia="el-GR"/>
                </w:rPr>
                <w:t xml:space="preserve">www.impactcarbon.org </w:t>
              </w:r>
            </w:hyperlink>
          </w:p>
        </w:tc>
        <w:tc>
          <w:tcPr>
            <w:tcW w:w="1843" w:type="dxa"/>
            <w:noWrap/>
            <w:hideMark/>
          </w:tcPr>
          <w:p w14:paraId="6E8EFAFA"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40B05975" w14:textId="77777777" w:rsidTr="0022057B">
        <w:trPr>
          <w:trHeight w:val="287"/>
        </w:trPr>
        <w:tc>
          <w:tcPr>
            <w:tcW w:w="2835" w:type="dxa"/>
            <w:noWrap/>
            <w:hideMark/>
          </w:tcPr>
          <w:p w14:paraId="584F517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Less Emissions Inc. </w:t>
            </w:r>
          </w:p>
        </w:tc>
        <w:tc>
          <w:tcPr>
            <w:tcW w:w="3686" w:type="dxa"/>
            <w:noWrap/>
            <w:hideMark/>
          </w:tcPr>
          <w:p w14:paraId="75F5F728" w14:textId="77777777" w:rsidR="00180653" w:rsidRPr="00180653" w:rsidRDefault="003B0DE2" w:rsidP="00180653">
            <w:pPr>
              <w:jc w:val="left"/>
              <w:rPr>
                <w:rFonts w:eastAsia="Times New Roman" w:cs="Arial"/>
                <w:color w:val="0563C1"/>
                <w:u w:val="single"/>
                <w:lang w:eastAsia="el-GR"/>
              </w:rPr>
            </w:pPr>
            <w:hyperlink r:id="rId305" w:history="1">
              <w:r w:rsidR="00180653" w:rsidRPr="00180653">
                <w:rPr>
                  <w:rFonts w:eastAsia="Times New Roman" w:cs="Arial"/>
                  <w:color w:val="0563C1"/>
                  <w:u w:val="single"/>
                  <w:lang w:eastAsia="el-GR"/>
                </w:rPr>
                <w:t xml:space="preserve">www.less.ca </w:t>
              </w:r>
            </w:hyperlink>
          </w:p>
        </w:tc>
        <w:tc>
          <w:tcPr>
            <w:tcW w:w="1843" w:type="dxa"/>
            <w:noWrap/>
            <w:hideMark/>
          </w:tcPr>
          <w:p w14:paraId="7817B60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Canada</w:t>
            </w:r>
          </w:p>
        </w:tc>
      </w:tr>
      <w:tr w:rsidR="00180653" w:rsidRPr="00180653" w14:paraId="267C2894" w14:textId="77777777" w:rsidTr="0022057B">
        <w:trPr>
          <w:trHeight w:val="287"/>
        </w:trPr>
        <w:tc>
          <w:tcPr>
            <w:tcW w:w="2835" w:type="dxa"/>
            <w:noWrap/>
            <w:hideMark/>
          </w:tcPr>
          <w:p w14:paraId="4864A8A8"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Mikro</w:t>
            </w:r>
            <w:proofErr w:type="spellEnd"/>
            <w:r w:rsidRPr="00180653">
              <w:rPr>
                <w:rFonts w:eastAsia="Times New Roman" w:cs="Arial"/>
                <w:color w:val="000000"/>
                <w:lang w:eastAsia="el-GR"/>
              </w:rPr>
              <w:t xml:space="preserve">-Tek Inc </w:t>
            </w:r>
          </w:p>
        </w:tc>
        <w:tc>
          <w:tcPr>
            <w:tcW w:w="3686" w:type="dxa"/>
            <w:noWrap/>
            <w:hideMark/>
          </w:tcPr>
          <w:p w14:paraId="58A715FD" w14:textId="77777777" w:rsidR="00180653" w:rsidRPr="00180653" w:rsidRDefault="003B0DE2" w:rsidP="00180653">
            <w:pPr>
              <w:jc w:val="left"/>
              <w:rPr>
                <w:rFonts w:eastAsia="Times New Roman" w:cs="Arial"/>
                <w:color w:val="0563C1"/>
                <w:u w:val="single"/>
                <w:lang w:eastAsia="el-GR"/>
              </w:rPr>
            </w:pPr>
            <w:hyperlink r:id="rId306" w:history="1">
              <w:r w:rsidR="00180653" w:rsidRPr="00180653">
                <w:rPr>
                  <w:rFonts w:eastAsia="Times New Roman" w:cs="Arial"/>
                  <w:color w:val="0563C1"/>
                  <w:u w:val="single"/>
                  <w:lang w:eastAsia="el-GR"/>
                </w:rPr>
                <w:t xml:space="preserve">www.mikro-tek.com </w:t>
              </w:r>
            </w:hyperlink>
          </w:p>
        </w:tc>
        <w:tc>
          <w:tcPr>
            <w:tcW w:w="1843" w:type="dxa"/>
            <w:noWrap/>
            <w:hideMark/>
          </w:tcPr>
          <w:p w14:paraId="1D03666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Canada</w:t>
            </w:r>
          </w:p>
        </w:tc>
      </w:tr>
      <w:tr w:rsidR="00180653" w:rsidRPr="00180653" w14:paraId="2AC6FAB3" w14:textId="77777777" w:rsidTr="0022057B">
        <w:trPr>
          <w:trHeight w:val="287"/>
        </w:trPr>
        <w:tc>
          <w:tcPr>
            <w:tcW w:w="2835" w:type="dxa"/>
            <w:noWrap/>
            <w:hideMark/>
          </w:tcPr>
          <w:p w14:paraId="042D8139"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NativeEnergy</w:t>
            </w:r>
            <w:proofErr w:type="spellEnd"/>
            <w:r w:rsidRPr="00180653">
              <w:rPr>
                <w:rFonts w:eastAsia="Times New Roman" w:cs="Arial"/>
                <w:color w:val="000000"/>
                <w:lang w:eastAsia="el-GR"/>
              </w:rPr>
              <w:t xml:space="preserve"> Inc. </w:t>
            </w:r>
          </w:p>
        </w:tc>
        <w:tc>
          <w:tcPr>
            <w:tcW w:w="3686" w:type="dxa"/>
            <w:noWrap/>
            <w:hideMark/>
          </w:tcPr>
          <w:p w14:paraId="60C317CF" w14:textId="77777777" w:rsidR="00180653" w:rsidRPr="00180653" w:rsidRDefault="003B0DE2" w:rsidP="00180653">
            <w:pPr>
              <w:jc w:val="left"/>
              <w:rPr>
                <w:rFonts w:eastAsia="Times New Roman" w:cs="Arial"/>
                <w:color w:val="0563C1"/>
                <w:u w:val="single"/>
                <w:lang w:eastAsia="el-GR"/>
              </w:rPr>
            </w:pPr>
            <w:hyperlink r:id="rId307" w:history="1">
              <w:r w:rsidR="00180653" w:rsidRPr="00180653">
                <w:rPr>
                  <w:rFonts w:eastAsia="Times New Roman" w:cs="Arial"/>
                  <w:color w:val="0563C1"/>
                  <w:u w:val="single"/>
                  <w:lang w:eastAsia="el-GR"/>
                </w:rPr>
                <w:t xml:space="preserve">www.nativeenergy.com </w:t>
              </w:r>
            </w:hyperlink>
          </w:p>
        </w:tc>
        <w:tc>
          <w:tcPr>
            <w:tcW w:w="1843" w:type="dxa"/>
            <w:noWrap/>
            <w:hideMark/>
          </w:tcPr>
          <w:p w14:paraId="3775519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15BC18E3" w14:textId="77777777" w:rsidTr="0022057B">
        <w:trPr>
          <w:trHeight w:val="287"/>
        </w:trPr>
        <w:tc>
          <w:tcPr>
            <w:tcW w:w="2835" w:type="dxa"/>
            <w:noWrap/>
            <w:hideMark/>
          </w:tcPr>
          <w:p w14:paraId="2E8C6265"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lastRenderedPageBreak/>
              <w:t>NatureBank</w:t>
            </w:r>
            <w:proofErr w:type="spellEnd"/>
            <w:r w:rsidRPr="00180653">
              <w:rPr>
                <w:rFonts w:eastAsia="Times New Roman" w:cs="Arial"/>
                <w:color w:val="000000"/>
                <w:lang w:eastAsia="el-GR"/>
              </w:rPr>
              <w:t xml:space="preserve"> </w:t>
            </w:r>
          </w:p>
        </w:tc>
        <w:tc>
          <w:tcPr>
            <w:tcW w:w="3686" w:type="dxa"/>
            <w:noWrap/>
            <w:hideMark/>
          </w:tcPr>
          <w:p w14:paraId="5AA78D76" w14:textId="77777777" w:rsidR="00180653" w:rsidRPr="00180653" w:rsidRDefault="003B0DE2" w:rsidP="00180653">
            <w:pPr>
              <w:jc w:val="left"/>
              <w:rPr>
                <w:rFonts w:eastAsia="Times New Roman" w:cs="Arial"/>
                <w:color w:val="000000"/>
                <w:lang w:eastAsia="el-GR"/>
              </w:rPr>
            </w:pPr>
            <w:hyperlink r:id="rId308" w:history="1">
              <w:r w:rsidR="00180653" w:rsidRPr="00180653">
                <w:rPr>
                  <w:rFonts w:eastAsia="Times New Roman" w:cs="Arial"/>
                  <w:color w:val="0000FF"/>
                  <w:u w:val="single"/>
                  <w:lang w:eastAsia="el-GR"/>
                </w:rPr>
                <w:t>naturebank.com</w:t>
              </w:r>
            </w:hyperlink>
            <w:r w:rsidR="00180653" w:rsidRPr="00180653">
              <w:rPr>
                <w:rFonts w:eastAsia="Times New Roman" w:cs="Arial"/>
                <w:color w:val="000000"/>
                <w:lang w:eastAsia="el-GR"/>
              </w:rPr>
              <w:t xml:space="preserve"> </w:t>
            </w:r>
          </w:p>
        </w:tc>
        <w:tc>
          <w:tcPr>
            <w:tcW w:w="1843" w:type="dxa"/>
            <w:noWrap/>
            <w:hideMark/>
          </w:tcPr>
          <w:p w14:paraId="68EAE0B9"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Canada</w:t>
            </w:r>
          </w:p>
        </w:tc>
      </w:tr>
      <w:tr w:rsidR="00180653" w:rsidRPr="00180653" w14:paraId="185E2895" w14:textId="77777777" w:rsidTr="0022057B">
        <w:trPr>
          <w:trHeight w:val="287"/>
        </w:trPr>
        <w:tc>
          <w:tcPr>
            <w:tcW w:w="2835" w:type="dxa"/>
            <w:noWrap/>
            <w:hideMark/>
          </w:tcPr>
          <w:p w14:paraId="6C1383B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Origin Climate </w:t>
            </w:r>
          </w:p>
        </w:tc>
        <w:tc>
          <w:tcPr>
            <w:tcW w:w="3686" w:type="dxa"/>
            <w:noWrap/>
            <w:hideMark/>
          </w:tcPr>
          <w:p w14:paraId="43B12015" w14:textId="77777777" w:rsidR="00180653" w:rsidRPr="00180653" w:rsidRDefault="003B0DE2" w:rsidP="00180653">
            <w:pPr>
              <w:jc w:val="left"/>
              <w:rPr>
                <w:rFonts w:eastAsia="Times New Roman" w:cs="Arial"/>
                <w:color w:val="0563C1"/>
                <w:u w:val="single"/>
                <w:lang w:eastAsia="el-GR"/>
              </w:rPr>
            </w:pPr>
            <w:hyperlink r:id="rId309" w:history="1">
              <w:r w:rsidR="00180653" w:rsidRPr="00180653">
                <w:rPr>
                  <w:rFonts w:eastAsia="Times New Roman" w:cs="Arial"/>
                  <w:color w:val="0563C1"/>
                  <w:u w:val="single"/>
                  <w:lang w:eastAsia="el-GR"/>
                </w:rPr>
                <w:t xml:space="preserve">www.originclimate.com </w:t>
              </w:r>
            </w:hyperlink>
          </w:p>
        </w:tc>
        <w:tc>
          <w:tcPr>
            <w:tcW w:w="1843" w:type="dxa"/>
            <w:noWrap/>
            <w:hideMark/>
          </w:tcPr>
          <w:p w14:paraId="7D28916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4828F4D6" w14:textId="77777777" w:rsidTr="0022057B">
        <w:trPr>
          <w:trHeight w:val="287"/>
        </w:trPr>
        <w:tc>
          <w:tcPr>
            <w:tcW w:w="2835" w:type="dxa"/>
            <w:noWrap/>
            <w:hideMark/>
          </w:tcPr>
          <w:p w14:paraId="6F4796C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Renewable Choice Energy </w:t>
            </w:r>
          </w:p>
        </w:tc>
        <w:tc>
          <w:tcPr>
            <w:tcW w:w="3686" w:type="dxa"/>
            <w:noWrap/>
            <w:hideMark/>
          </w:tcPr>
          <w:p w14:paraId="2870F291" w14:textId="77777777" w:rsidR="00180653" w:rsidRPr="00180653" w:rsidRDefault="003B0DE2" w:rsidP="00180653">
            <w:pPr>
              <w:jc w:val="left"/>
              <w:rPr>
                <w:rFonts w:eastAsia="Times New Roman" w:cs="Arial"/>
                <w:color w:val="0563C1"/>
                <w:u w:val="single"/>
                <w:lang w:eastAsia="el-GR"/>
              </w:rPr>
            </w:pPr>
            <w:hyperlink r:id="rId310" w:history="1">
              <w:r w:rsidR="00180653" w:rsidRPr="00180653">
                <w:rPr>
                  <w:rFonts w:eastAsia="Times New Roman" w:cs="Arial"/>
                  <w:color w:val="0563C1"/>
                  <w:u w:val="single"/>
                  <w:lang w:eastAsia="el-GR"/>
                </w:rPr>
                <w:t xml:space="preserve">www.renewablechoice.com </w:t>
              </w:r>
            </w:hyperlink>
          </w:p>
        </w:tc>
        <w:tc>
          <w:tcPr>
            <w:tcW w:w="1843" w:type="dxa"/>
            <w:noWrap/>
            <w:hideMark/>
          </w:tcPr>
          <w:p w14:paraId="1016723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674D288D" w14:textId="77777777" w:rsidTr="0022057B">
        <w:trPr>
          <w:trHeight w:val="287"/>
        </w:trPr>
        <w:tc>
          <w:tcPr>
            <w:tcW w:w="2835" w:type="dxa"/>
            <w:noWrap/>
            <w:hideMark/>
          </w:tcPr>
          <w:p w14:paraId="6645807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Sustainable Travel International </w:t>
            </w:r>
          </w:p>
        </w:tc>
        <w:tc>
          <w:tcPr>
            <w:tcW w:w="3686" w:type="dxa"/>
            <w:noWrap/>
            <w:hideMark/>
          </w:tcPr>
          <w:p w14:paraId="135D72ED" w14:textId="77777777" w:rsidR="00180653" w:rsidRPr="00180653" w:rsidRDefault="003B0DE2" w:rsidP="00180653">
            <w:pPr>
              <w:jc w:val="left"/>
              <w:rPr>
                <w:rFonts w:eastAsia="Times New Roman" w:cs="Arial"/>
                <w:color w:val="0563C1"/>
                <w:u w:val="single"/>
                <w:lang w:eastAsia="el-GR"/>
              </w:rPr>
            </w:pPr>
            <w:hyperlink r:id="rId311" w:history="1">
              <w:r w:rsidR="00180653" w:rsidRPr="00180653">
                <w:rPr>
                  <w:rFonts w:eastAsia="Times New Roman" w:cs="Arial"/>
                  <w:color w:val="0563C1"/>
                  <w:u w:val="single"/>
                  <w:lang w:eastAsia="el-GR"/>
                </w:rPr>
                <w:t xml:space="preserve">www.sustainabletravel.org </w:t>
              </w:r>
            </w:hyperlink>
          </w:p>
        </w:tc>
        <w:tc>
          <w:tcPr>
            <w:tcW w:w="1843" w:type="dxa"/>
            <w:noWrap/>
            <w:hideMark/>
          </w:tcPr>
          <w:p w14:paraId="030EBBF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608679BE" w14:textId="77777777" w:rsidTr="0022057B">
        <w:trPr>
          <w:trHeight w:val="287"/>
        </w:trPr>
        <w:tc>
          <w:tcPr>
            <w:tcW w:w="2835" w:type="dxa"/>
            <w:noWrap/>
            <w:hideMark/>
          </w:tcPr>
          <w:p w14:paraId="161989C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Taking Root </w:t>
            </w:r>
          </w:p>
        </w:tc>
        <w:tc>
          <w:tcPr>
            <w:tcW w:w="3686" w:type="dxa"/>
            <w:noWrap/>
            <w:hideMark/>
          </w:tcPr>
          <w:p w14:paraId="6CC899D8" w14:textId="77777777" w:rsidR="00180653" w:rsidRPr="00180653" w:rsidRDefault="003B0DE2" w:rsidP="00180653">
            <w:pPr>
              <w:jc w:val="left"/>
              <w:rPr>
                <w:rFonts w:eastAsia="Times New Roman" w:cs="Arial"/>
                <w:color w:val="0563C1"/>
                <w:u w:val="single"/>
                <w:lang w:eastAsia="el-GR"/>
              </w:rPr>
            </w:pPr>
            <w:hyperlink r:id="rId312" w:history="1">
              <w:r w:rsidR="00180653" w:rsidRPr="00180653">
                <w:rPr>
                  <w:rFonts w:eastAsia="Times New Roman" w:cs="Arial"/>
                  <w:color w:val="0563C1"/>
                  <w:u w:val="single"/>
                  <w:lang w:eastAsia="el-GR"/>
                </w:rPr>
                <w:t xml:space="preserve">www.takingroot.org </w:t>
              </w:r>
            </w:hyperlink>
          </w:p>
        </w:tc>
        <w:tc>
          <w:tcPr>
            <w:tcW w:w="1843" w:type="dxa"/>
            <w:noWrap/>
            <w:hideMark/>
          </w:tcPr>
          <w:p w14:paraId="66C2F6E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Canada</w:t>
            </w:r>
          </w:p>
        </w:tc>
      </w:tr>
      <w:tr w:rsidR="00180653" w:rsidRPr="00180653" w14:paraId="2C20C6F5" w14:textId="77777777" w:rsidTr="0022057B">
        <w:trPr>
          <w:trHeight w:val="287"/>
        </w:trPr>
        <w:tc>
          <w:tcPr>
            <w:tcW w:w="2835" w:type="dxa"/>
            <w:noWrap/>
            <w:hideMark/>
          </w:tcPr>
          <w:p w14:paraId="21F963F6"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TerraPass</w:t>
            </w:r>
            <w:proofErr w:type="spellEnd"/>
            <w:r w:rsidRPr="00180653">
              <w:rPr>
                <w:rFonts w:eastAsia="Times New Roman" w:cs="Arial"/>
                <w:color w:val="000000"/>
                <w:lang w:eastAsia="el-GR"/>
              </w:rPr>
              <w:t xml:space="preserve"> </w:t>
            </w:r>
          </w:p>
        </w:tc>
        <w:tc>
          <w:tcPr>
            <w:tcW w:w="3686" w:type="dxa"/>
            <w:noWrap/>
            <w:hideMark/>
          </w:tcPr>
          <w:p w14:paraId="777CAA75" w14:textId="77777777" w:rsidR="00180653" w:rsidRPr="00180653" w:rsidRDefault="003B0DE2" w:rsidP="00180653">
            <w:pPr>
              <w:jc w:val="left"/>
              <w:rPr>
                <w:rFonts w:eastAsia="Times New Roman" w:cs="Arial"/>
                <w:color w:val="0563C1"/>
                <w:u w:val="single"/>
                <w:lang w:eastAsia="el-GR"/>
              </w:rPr>
            </w:pPr>
            <w:hyperlink r:id="rId313" w:history="1">
              <w:r w:rsidR="00180653" w:rsidRPr="00180653">
                <w:rPr>
                  <w:rFonts w:eastAsia="Times New Roman" w:cs="Arial"/>
                  <w:color w:val="0563C1"/>
                  <w:u w:val="single"/>
                  <w:lang w:eastAsia="el-GR"/>
                </w:rPr>
                <w:t xml:space="preserve">www.terrapass.com </w:t>
              </w:r>
            </w:hyperlink>
          </w:p>
        </w:tc>
        <w:tc>
          <w:tcPr>
            <w:tcW w:w="1843" w:type="dxa"/>
            <w:noWrap/>
            <w:hideMark/>
          </w:tcPr>
          <w:p w14:paraId="04A43F6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58069F29" w14:textId="77777777" w:rsidTr="0022057B">
        <w:trPr>
          <w:trHeight w:val="287"/>
        </w:trPr>
        <w:tc>
          <w:tcPr>
            <w:tcW w:w="2835" w:type="dxa"/>
            <w:noWrap/>
            <w:hideMark/>
          </w:tcPr>
          <w:p w14:paraId="007D608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The Climate Trust </w:t>
            </w:r>
          </w:p>
        </w:tc>
        <w:tc>
          <w:tcPr>
            <w:tcW w:w="3686" w:type="dxa"/>
            <w:noWrap/>
            <w:hideMark/>
          </w:tcPr>
          <w:p w14:paraId="64EBCA84" w14:textId="77777777" w:rsidR="00180653" w:rsidRPr="00180653" w:rsidRDefault="003B0DE2" w:rsidP="00180653">
            <w:pPr>
              <w:jc w:val="left"/>
              <w:rPr>
                <w:rFonts w:eastAsia="Times New Roman" w:cs="Arial"/>
                <w:color w:val="0563C1"/>
                <w:u w:val="single"/>
                <w:lang w:eastAsia="el-GR"/>
              </w:rPr>
            </w:pPr>
            <w:hyperlink r:id="rId314" w:history="1">
              <w:r w:rsidR="00180653" w:rsidRPr="00180653">
                <w:rPr>
                  <w:rFonts w:eastAsia="Times New Roman" w:cs="Arial"/>
                  <w:color w:val="0563C1"/>
                  <w:u w:val="single"/>
                  <w:lang w:eastAsia="el-GR"/>
                </w:rPr>
                <w:t xml:space="preserve">www.climatetrust.org </w:t>
              </w:r>
            </w:hyperlink>
          </w:p>
        </w:tc>
        <w:tc>
          <w:tcPr>
            <w:tcW w:w="1843" w:type="dxa"/>
            <w:noWrap/>
            <w:hideMark/>
          </w:tcPr>
          <w:p w14:paraId="44C516C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58B462B9" w14:textId="77777777" w:rsidTr="0022057B">
        <w:trPr>
          <w:trHeight w:val="287"/>
        </w:trPr>
        <w:tc>
          <w:tcPr>
            <w:tcW w:w="2835" w:type="dxa"/>
            <w:noWrap/>
            <w:hideMark/>
          </w:tcPr>
          <w:p w14:paraId="1114D8D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The Conservation Fund </w:t>
            </w:r>
          </w:p>
        </w:tc>
        <w:tc>
          <w:tcPr>
            <w:tcW w:w="3686" w:type="dxa"/>
            <w:noWrap/>
            <w:hideMark/>
          </w:tcPr>
          <w:p w14:paraId="67CE7322" w14:textId="77777777" w:rsidR="00180653" w:rsidRPr="00180653" w:rsidRDefault="003B0DE2" w:rsidP="00180653">
            <w:pPr>
              <w:jc w:val="left"/>
              <w:rPr>
                <w:rFonts w:eastAsia="Times New Roman" w:cs="Arial"/>
                <w:color w:val="0563C1"/>
                <w:u w:val="single"/>
                <w:lang w:eastAsia="el-GR"/>
              </w:rPr>
            </w:pPr>
            <w:hyperlink r:id="rId315" w:history="1">
              <w:r w:rsidR="00180653" w:rsidRPr="00180653">
                <w:rPr>
                  <w:rFonts w:eastAsia="Times New Roman" w:cs="Arial"/>
                  <w:color w:val="0563C1"/>
                  <w:u w:val="single"/>
                  <w:lang w:eastAsia="el-GR"/>
                </w:rPr>
                <w:t xml:space="preserve">www.conservationfund.org </w:t>
              </w:r>
            </w:hyperlink>
          </w:p>
        </w:tc>
        <w:tc>
          <w:tcPr>
            <w:tcW w:w="1843" w:type="dxa"/>
            <w:noWrap/>
            <w:hideMark/>
          </w:tcPr>
          <w:p w14:paraId="7623DBC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71492237" w14:textId="77777777" w:rsidTr="0022057B">
        <w:trPr>
          <w:trHeight w:val="287"/>
        </w:trPr>
        <w:tc>
          <w:tcPr>
            <w:tcW w:w="2835" w:type="dxa"/>
            <w:noWrap/>
            <w:hideMark/>
          </w:tcPr>
          <w:p w14:paraId="1B3C3AD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The Paradigm Project </w:t>
            </w:r>
          </w:p>
        </w:tc>
        <w:tc>
          <w:tcPr>
            <w:tcW w:w="3686" w:type="dxa"/>
            <w:noWrap/>
            <w:hideMark/>
          </w:tcPr>
          <w:p w14:paraId="70A9DF3C" w14:textId="77777777" w:rsidR="00180653" w:rsidRPr="00180653" w:rsidRDefault="003B0DE2" w:rsidP="00180653">
            <w:pPr>
              <w:jc w:val="left"/>
              <w:rPr>
                <w:rFonts w:eastAsia="Times New Roman" w:cs="Arial"/>
                <w:color w:val="0563C1"/>
                <w:u w:val="single"/>
                <w:lang w:eastAsia="el-GR"/>
              </w:rPr>
            </w:pPr>
            <w:hyperlink r:id="rId316" w:history="1">
              <w:r w:rsidR="00180653" w:rsidRPr="00180653">
                <w:rPr>
                  <w:rFonts w:eastAsia="Times New Roman" w:cs="Arial"/>
                  <w:color w:val="0563C1"/>
                  <w:u w:val="single"/>
                  <w:lang w:eastAsia="el-GR"/>
                </w:rPr>
                <w:t xml:space="preserve">www.theparadigmproject.org </w:t>
              </w:r>
            </w:hyperlink>
          </w:p>
        </w:tc>
        <w:tc>
          <w:tcPr>
            <w:tcW w:w="1843" w:type="dxa"/>
            <w:noWrap/>
            <w:hideMark/>
          </w:tcPr>
          <w:p w14:paraId="3FE5E32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13ABB49D" w14:textId="77777777" w:rsidTr="0022057B">
        <w:trPr>
          <w:trHeight w:val="287"/>
        </w:trPr>
        <w:tc>
          <w:tcPr>
            <w:tcW w:w="2835" w:type="dxa"/>
            <w:noWrap/>
            <w:hideMark/>
          </w:tcPr>
          <w:p w14:paraId="1DB29543"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Verus</w:t>
            </w:r>
            <w:proofErr w:type="spellEnd"/>
            <w:r w:rsidRPr="00180653">
              <w:rPr>
                <w:rFonts w:eastAsia="Times New Roman" w:cs="Arial"/>
                <w:color w:val="000000"/>
                <w:lang w:eastAsia="el-GR"/>
              </w:rPr>
              <w:t xml:space="preserve"> Carbon Neutral </w:t>
            </w:r>
          </w:p>
        </w:tc>
        <w:tc>
          <w:tcPr>
            <w:tcW w:w="3686" w:type="dxa"/>
            <w:noWrap/>
            <w:hideMark/>
          </w:tcPr>
          <w:p w14:paraId="6714F9CA" w14:textId="77777777" w:rsidR="00180653" w:rsidRPr="00180653" w:rsidRDefault="003B0DE2" w:rsidP="00180653">
            <w:pPr>
              <w:jc w:val="left"/>
              <w:rPr>
                <w:rFonts w:eastAsia="Times New Roman" w:cs="Arial"/>
                <w:color w:val="0563C1"/>
                <w:u w:val="single"/>
                <w:lang w:eastAsia="el-GR"/>
              </w:rPr>
            </w:pPr>
            <w:hyperlink r:id="rId317" w:history="1">
              <w:r w:rsidR="00180653" w:rsidRPr="00180653">
                <w:rPr>
                  <w:rFonts w:eastAsia="Times New Roman" w:cs="Arial"/>
                  <w:color w:val="0563C1"/>
                  <w:u w:val="single"/>
                  <w:lang w:eastAsia="el-GR"/>
                </w:rPr>
                <w:t xml:space="preserve">www.verus-co2.com </w:t>
              </w:r>
            </w:hyperlink>
          </w:p>
        </w:tc>
        <w:tc>
          <w:tcPr>
            <w:tcW w:w="1843" w:type="dxa"/>
            <w:noWrap/>
            <w:hideMark/>
          </w:tcPr>
          <w:p w14:paraId="2ABF9B0B"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15A9D243" w14:textId="77777777" w:rsidTr="0022057B">
        <w:trPr>
          <w:trHeight w:val="287"/>
        </w:trPr>
        <w:tc>
          <w:tcPr>
            <w:tcW w:w="2835" w:type="dxa"/>
            <w:noWrap/>
            <w:hideMark/>
          </w:tcPr>
          <w:p w14:paraId="3D3CA6A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Wildlife Conservation Society </w:t>
            </w:r>
          </w:p>
        </w:tc>
        <w:tc>
          <w:tcPr>
            <w:tcW w:w="3686" w:type="dxa"/>
            <w:noWrap/>
            <w:hideMark/>
          </w:tcPr>
          <w:p w14:paraId="5AD32B2A" w14:textId="77777777" w:rsidR="00180653" w:rsidRPr="00180653" w:rsidRDefault="003B0DE2" w:rsidP="00180653">
            <w:pPr>
              <w:jc w:val="left"/>
              <w:rPr>
                <w:rFonts w:eastAsia="Times New Roman" w:cs="Arial"/>
                <w:color w:val="0563C1"/>
                <w:u w:val="single"/>
                <w:lang w:eastAsia="el-GR"/>
              </w:rPr>
            </w:pPr>
            <w:hyperlink r:id="rId318" w:history="1">
              <w:r w:rsidR="00180653" w:rsidRPr="00180653">
                <w:rPr>
                  <w:rFonts w:eastAsia="Times New Roman" w:cs="Arial"/>
                  <w:color w:val="0563C1"/>
                  <w:u w:val="single"/>
                  <w:lang w:eastAsia="el-GR"/>
                </w:rPr>
                <w:t xml:space="preserve">www.wcs.org </w:t>
              </w:r>
            </w:hyperlink>
          </w:p>
        </w:tc>
        <w:tc>
          <w:tcPr>
            <w:tcW w:w="1843" w:type="dxa"/>
            <w:noWrap/>
            <w:hideMark/>
          </w:tcPr>
          <w:p w14:paraId="722BCEC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4A4C8BF9" w14:textId="77777777" w:rsidTr="0022057B">
        <w:trPr>
          <w:trHeight w:val="287"/>
        </w:trPr>
        <w:tc>
          <w:tcPr>
            <w:tcW w:w="2835" w:type="dxa"/>
            <w:noWrap/>
            <w:hideMark/>
          </w:tcPr>
          <w:p w14:paraId="2EF41FF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Wildlife Works LLC </w:t>
            </w:r>
          </w:p>
        </w:tc>
        <w:tc>
          <w:tcPr>
            <w:tcW w:w="3686" w:type="dxa"/>
            <w:noWrap/>
            <w:hideMark/>
          </w:tcPr>
          <w:p w14:paraId="667A44F4" w14:textId="77777777" w:rsidR="00180653" w:rsidRPr="00180653" w:rsidRDefault="003B0DE2" w:rsidP="00180653">
            <w:pPr>
              <w:jc w:val="left"/>
              <w:rPr>
                <w:rFonts w:eastAsia="Times New Roman" w:cs="Arial"/>
                <w:color w:val="0563C1"/>
                <w:u w:val="single"/>
                <w:lang w:eastAsia="el-GR"/>
              </w:rPr>
            </w:pPr>
            <w:hyperlink r:id="rId319" w:history="1">
              <w:r w:rsidR="00180653" w:rsidRPr="00180653">
                <w:rPr>
                  <w:rFonts w:eastAsia="Times New Roman" w:cs="Arial"/>
                  <w:color w:val="0563C1"/>
                  <w:u w:val="single"/>
                  <w:lang w:eastAsia="el-GR"/>
                </w:rPr>
                <w:t xml:space="preserve">www.wildlifeworks.com </w:t>
              </w:r>
            </w:hyperlink>
          </w:p>
        </w:tc>
        <w:tc>
          <w:tcPr>
            <w:tcW w:w="1843" w:type="dxa"/>
            <w:noWrap/>
            <w:hideMark/>
          </w:tcPr>
          <w:p w14:paraId="7BB42DC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United States</w:t>
            </w:r>
          </w:p>
        </w:tc>
      </w:tr>
      <w:tr w:rsidR="00180653" w:rsidRPr="00180653" w14:paraId="54343203" w14:textId="77777777" w:rsidTr="0022057B">
        <w:trPr>
          <w:trHeight w:val="287"/>
        </w:trPr>
        <w:tc>
          <w:tcPr>
            <w:tcW w:w="2835" w:type="dxa"/>
            <w:noWrap/>
            <w:hideMark/>
          </w:tcPr>
          <w:p w14:paraId="75A2AC4A" w14:textId="77777777" w:rsidR="00180653" w:rsidRPr="00180653" w:rsidRDefault="00180653" w:rsidP="00180653">
            <w:pPr>
              <w:jc w:val="left"/>
              <w:rPr>
                <w:rFonts w:eastAsia="Times New Roman" w:cs="Arial"/>
                <w:b/>
                <w:bCs/>
                <w:color w:val="000000"/>
                <w:lang w:eastAsia="el-GR"/>
              </w:rPr>
            </w:pPr>
            <w:proofErr w:type="spellStart"/>
            <w:r w:rsidRPr="00180653">
              <w:rPr>
                <w:rFonts w:eastAsia="Times New Roman" w:cs="Arial"/>
                <w:b/>
                <w:bCs/>
                <w:color w:val="000000"/>
                <w:lang w:eastAsia="el-GR"/>
              </w:rPr>
              <w:t>Ocenia</w:t>
            </w:r>
            <w:proofErr w:type="spellEnd"/>
          </w:p>
        </w:tc>
        <w:tc>
          <w:tcPr>
            <w:tcW w:w="3686" w:type="dxa"/>
            <w:noWrap/>
            <w:hideMark/>
          </w:tcPr>
          <w:p w14:paraId="7CB8951B" w14:textId="77777777" w:rsidR="00180653" w:rsidRPr="00180653" w:rsidRDefault="00180653" w:rsidP="00180653">
            <w:pPr>
              <w:jc w:val="left"/>
              <w:rPr>
                <w:rFonts w:eastAsia="Times New Roman" w:cs="Arial"/>
                <w:b/>
                <w:bCs/>
                <w:color w:val="000000"/>
                <w:lang w:eastAsia="el-GR"/>
              </w:rPr>
            </w:pPr>
          </w:p>
        </w:tc>
        <w:tc>
          <w:tcPr>
            <w:tcW w:w="1843" w:type="dxa"/>
            <w:noWrap/>
            <w:hideMark/>
          </w:tcPr>
          <w:p w14:paraId="503D2152" w14:textId="77777777" w:rsidR="00180653" w:rsidRPr="00180653" w:rsidRDefault="00180653" w:rsidP="00180653">
            <w:pPr>
              <w:jc w:val="left"/>
              <w:rPr>
                <w:rFonts w:eastAsia="Times New Roman" w:cs="Arial"/>
                <w:lang w:eastAsia="el-GR"/>
              </w:rPr>
            </w:pPr>
          </w:p>
        </w:tc>
      </w:tr>
      <w:tr w:rsidR="00180653" w:rsidRPr="00180653" w14:paraId="5669C69E" w14:textId="77777777" w:rsidTr="0022057B">
        <w:trPr>
          <w:trHeight w:val="287"/>
        </w:trPr>
        <w:tc>
          <w:tcPr>
            <w:tcW w:w="2835" w:type="dxa"/>
            <w:noWrap/>
            <w:hideMark/>
          </w:tcPr>
          <w:p w14:paraId="716F7427"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Carbon Neutral Australia </w:t>
            </w:r>
          </w:p>
        </w:tc>
        <w:tc>
          <w:tcPr>
            <w:tcW w:w="3686" w:type="dxa"/>
            <w:noWrap/>
            <w:hideMark/>
          </w:tcPr>
          <w:p w14:paraId="5BC7FEEB" w14:textId="77777777" w:rsidR="00180653" w:rsidRPr="00180653" w:rsidRDefault="003B0DE2" w:rsidP="00180653">
            <w:pPr>
              <w:jc w:val="left"/>
              <w:rPr>
                <w:rFonts w:eastAsia="Times New Roman" w:cs="Arial"/>
                <w:color w:val="0563C1"/>
                <w:u w:val="single"/>
                <w:lang w:eastAsia="el-GR"/>
              </w:rPr>
            </w:pPr>
            <w:hyperlink r:id="rId320" w:history="1">
              <w:r w:rsidR="00180653" w:rsidRPr="00180653">
                <w:rPr>
                  <w:rFonts w:eastAsia="Times New Roman" w:cs="Arial"/>
                  <w:color w:val="0563C1"/>
                  <w:u w:val="single"/>
                  <w:lang w:eastAsia="el-GR"/>
                </w:rPr>
                <w:t xml:space="preserve">www.carbonneutral.com.au </w:t>
              </w:r>
            </w:hyperlink>
          </w:p>
        </w:tc>
        <w:tc>
          <w:tcPr>
            <w:tcW w:w="1843" w:type="dxa"/>
            <w:noWrap/>
            <w:hideMark/>
          </w:tcPr>
          <w:p w14:paraId="228B55DD"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r w:rsidR="00180653" w:rsidRPr="00180653" w14:paraId="11EAA5AF" w14:textId="77777777" w:rsidTr="0022057B">
        <w:trPr>
          <w:trHeight w:val="287"/>
        </w:trPr>
        <w:tc>
          <w:tcPr>
            <w:tcW w:w="2835" w:type="dxa"/>
            <w:noWrap/>
            <w:hideMark/>
          </w:tcPr>
          <w:p w14:paraId="32F5723E"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Carbon Trade Exchange </w:t>
            </w:r>
          </w:p>
        </w:tc>
        <w:tc>
          <w:tcPr>
            <w:tcW w:w="3686" w:type="dxa"/>
            <w:noWrap/>
            <w:hideMark/>
          </w:tcPr>
          <w:p w14:paraId="0D2C7C02" w14:textId="77777777" w:rsidR="00180653" w:rsidRPr="00180653" w:rsidRDefault="003B0DE2" w:rsidP="00180653">
            <w:pPr>
              <w:jc w:val="left"/>
              <w:rPr>
                <w:rFonts w:eastAsia="Times New Roman" w:cs="Arial"/>
                <w:color w:val="0563C1"/>
                <w:u w:val="single"/>
                <w:lang w:eastAsia="el-GR"/>
              </w:rPr>
            </w:pPr>
            <w:hyperlink r:id="rId321" w:history="1">
              <w:r w:rsidR="00180653" w:rsidRPr="00180653">
                <w:rPr>
                  <w:rFonts w:eastAsia="Times New Roman" w:cs="Arial"/>
                  <w:color w:val="0563C1"/>
                  <w:u w:val="single"/>
                  <w:lang w:eastAsia="el-GR"/>
                </w:rPr>
                <w:t xml:space="preserve">www.ctxglobal.com </w:t>
              </w:r>
            </w:hyperlink>
          </w:p>
        </w:tc>
        <w:tc>
          <w:tcPr>
            <w:tcW w:w="1843" w:type="dxa"/>
            <w:noWrap/>
            <w:hideMark/>
          </w:tcPr>
          <w:p w14:paraId="7E9E1723"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r w:rsidR="00180653" w:rsidRPr="00180653" w14:paraId="70535939" w14:textId="77777777" w:rsidTr="0022057B">
        <w:trPr>
          <w:trHeight w:val="287"/>
        </w:trPr>
        <w:tc>
          <w:tcPr>
            <w:tcW w:w="2835" w:type="dxa"/>
            <w:noWrap/>
            <w:hideMark/>
          </w:tcPr>
          <w:p w14:paraId="71E2E9BC"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Cassinia</w:t>
            </w:r>
            <w:proofErr w:type="spellEnd"/>
            <w:r w:rsidRPr="00180653">
              <w:rPr>
                <w:rFonts w:eastAsia="Times New Roman" w:cs="Arial"/>
                <w:color w:val="000000"/>
                <w:lang w:eastAsia="el-GR"/>
              </w:rPr>
              <w:t xml:space="preserve"> Environmental </w:t>
            </w:r>
          </w:p>
        </w:tc>
        <w:tc>
          <w:tcPr>
            <w:tcW w:w="3686" w:type="dxa"/>
            <w:noWrap/>
            <w:hideMark/>
          </w:tcPr>
          <w:p w14:paraId="292DD639" w14:textId="77777777" w:rsidR="00180653" w:rsidRPr="00180653" w:rsidRDefault="003B0DE2" w:rsidP="00180653">
            <w:pPr>
              <w:jc w:val="left"/>
              <w:rPr>
                <w:rFonts w:eastAsia="Times New Roman" w:cs="Arial"/>
                <w:color w:val="0563C1"/>
                <w:u w:val="single"/>
                <w:lang w:eastAsia="el-GR"/>
              </w:rPr>
            </w:pPr>
            <w:hyperlink r:id="rId322" w:history="1">
              <w:r w:rsidR="00180653" w:rsidRPr="00180653">
                <w:rPr>
                  <w:rFonts w:eastAsia="Times New Roman" w:cs="Arial"/>
                  <w:color w:val="0563C1"/>
                  <w:u w:val="single"/>
                  <w:lang w:eastAsia="el-GR"/>
                </w:rPr>
                <w:t xml:space="preserve">www.cassinia.com </w:t>
              </w:r>
            </w:hyperlink>
          </w:p>
        </w:tc>
        <w:tc>
          <w:tcPr>
            <w:tcW w:w="1843" w:type="dxa"/>
            <w:noWrap/>
            <w:hideMark/>
          </w:tcPr>
          <w:p w14:paraId="5E80052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r w:rsidR="00180653" w:rsidRPr="00180653" w14:paraId="0C32B72F" w14:textId="77777777" w:rsidTr="0022057B">
        <w:trPr>
          <w:trHeight w:val="287"/>
        </w:trPr>
        <w:tc>
          <w:tcPr>
            <w:tcW w:w="2835" w:type="dxa"/>
            <w:noWrap/>
            <w:hideMark/>
          </w:tcPr>
          <w:p w14:paraId="4892E3A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Climate Friendly Pty Ltd </w:t>
            </w:r>
          </w:p>
        </w:tc>
        <w:tc>
          <w:tcPr>
            <w:tcW w:w="3686" w:type="dxa"/>
            <w:noWrap/>
            <w:hideMark/>
          </w:tcPr>
          <w:p w14:paraId="463478ED" w14:textId="77777777" w:rsidR="00180653" w:rsidRPr="00180653" w:rsidRDefault="003B0DE2" w:rsidP="00180653">
            <w:pPr>
              <w:jc w:val="left"/>
              <w:rPr>
                <w:rFonts w:eastAsia="Times New Roman" w:cs="Arial"/>
                <w:color w:val="0563C1"/>
                <w:u w:val="single"/>
                <w:lang w:eastAsia="el-GR"/>
              </w:rPr>
            </w:pPr>
            <w:hyperlink r:id="rId323" w:history="1">
              <w:r w:rsidR="00180653" w:rsidRPr="00180653">
                <w:rPr>
                  <w:rFonts w:eastAsia="Times New Roman" w:cs="Arial"/>
                  <w:color w:val="0563C1"/>
                  <w:u w:val="single"/>
                  <w:lang w:eastAsia="el-GR"/>
                </w:rPr>
                <w:t xml:space="preserve">www.climatefriendly.com </w:t>
              </w:r>
            </w:hyperlink>
          </w:p>
        </w:tc>
        <w:tc>
          <w:tcPr>
            <w:tcW w:w="1843" w:type="dxa"/>
            <w:noWrap/>
            <w:hideMark/>
          </w:tcPr>
          <w:p w14:paraId="660FEE38"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r w:rsidR="00180653" w:rsidRPr="00180653" w14:paraId="0AB9F8D5" w14:textId="77777777" w:rsidTr="0022057B">
        <w:trPr>
          <w:trHeight w:val="287"/>
        </w:trPr>
        <w:tc>
          <w:tcPr>
            <w:tcW w:w="2835" w:type="dxa"/>
            <w:noWrap/>
            <w:hideMark/>
          </w:tcPr>
          <w:p w14:paraId="10AA3B9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Cool Planet Energy Pty Ltd </w:t>
            </w:r>
          </w:p>
        </w:tc>
        <w:tc>
          <w:tcPr>
            <w:tcW w:w="3686" w:type="dxa"/>
            <w:noWrap/>
            <w:hideMark/>
          </w:tcPr>
          <w:p w14:paraId="6DBC4466" w14:textId="77777777" w:rsidR="00180653" w:rsidRPr="00180653" w:rsidRDefault="003B0DE2" w:rsidP="00180653">
            <w:pPr>
              <w:jc w:val="left"/>
              <w:rPr>
                <w:rFonts w:eastAsia="Times New Roman" w:cs="Arial"/>
                <w:color w:val="0563C1"/>
                <w:u w:val="single"/>
                <w:lang w:eastAsia="el-GR"/>
              </w:rPr>
            </w:pPr>
            <w:hyperlink r:id="rId324" w:history="1">
              <w:r w:rsidR="00180653" w:rsidRPr="00180653">
                <w:rPr>
                  <w:rFonts w:eastAsia="Times New Roman" w:cs="Arial"/>
                  <w:color w:val="0563C1"/>
                  <w:u w:val="single"/>
                  <w:lang w:eastAsia="el-GR"/>
                </w:rPr>
                <w:t xml:space="preserve">www.coolplanet.com.au </w:t>
              </w:r>
            </w:hyperlink>
          </w:p>
        </w:tc>
        <w:tc>
          <w:tcPr>
            <w:tcW w:w="1843" w:type="dxa"/>
            <w:noWrap/>
            <w:hideMark/>
          </w:tcPr>
          <w:p w14:paraId="6A9900A0"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r w:rsidR="00180653" w:rsidRPr="00180653" w14:paraId="05D0A5E6" w14:textId="77777777" w:rsidTr="0022057B">
        <w:trPr>
          <w:trHeight w:val="287"/>
        </w:trPr>
        <w:tc>
          <w:tcPr>
            <w:tcW w:w="2835" w:type="dxa"/>
            <w:noWrap/>
            <w:hideMark/>
          </w:tcPr>
          <w:p w14:paraId="1B8BBCC7"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Ekos</w:t>
            </w:r>
            <w:proofErr w:type="spellEnd"/>
            <w:r w:rsidRPr="00180653">
              <w:rPr>
                <w:rFonts w:eastAsia="Times New Roman" w:cs="Arial"/>
                <w:color w:val="000000"/>
                <w:lang w:eastAsia="el-GR"/>
              </w:rPr>
              <w:t xml:space="preserve"> </w:t>
            </w:r>
          </w:p>
        </w:tc>
        <w:tc>
          <w:tcPr>
            <w:tcW w:w="3686" w:type="dxa"/>
            <w:noWrap/>
            <w:hideMark/>
          </w:tcPr>
          <w:p w14:paraId="5AD5D703" w14:textId="77777777" w:rsidR="00180653" w:rsidRPr="00180653" w:rsidRDefault="003B0DE2" w:rsidP="00180653">
            <w:pPr>
              <w:jc w:val="left"/>
              <w:rPr>
                <w:rFonts w:eastAsia="Times New Roman" w:cs="Arial"/>
                <w:color w:val="0563C1"/>
                <w:u w:val="single"/>
                <w:lang w:eastAsia="el-GR"/>
              </w:rPr>
            </w:pPr>
            <w:hyperlink r:id="rId325" w:history="1">
              <w:r w:rsidR="00180653" w:rsidRPr="00180653">
                <w:rPr>
                  <w:rFonts w:eastAsia="Times New Roman" w:cs="Arial"/>
                  <w:color w:val="0563C1"/>
                  <w:u w:val="single"/>
                  <w:lang w:eastAsia="el-GR"/>
                </w:rPr>
                <w:t xml:space="preserve">www.ekos.org.nz </w:t>
              </w:r>
            </w:hyperlink>
          </w:p>
        </w:tc>
        <w:tc>
          <w:tcPr>
            <w:tcW w:w="1843" w:type="dxa"/>
            <w:noWrap/>
            <w:hideMark/>
          </w:tcPr>
          <w:p w14:paraId="58A67B2F"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New Zealand</w:t>
            </w:r>
          </w:p>
        </w:tc>
      </w:tr>
      <w:tr w:rsidR="00180653" w:rsidRPr="00180653" w14:paraId="642A1F4B" w14:textId="77777777" w:rsidTr="0022057B">
        <w:trPr>
          <w:trHeight w:val="287"/>
        </w:trPr>
        <w:tc>
          <w:tcPr>
            <w:tcW w:w="2835" w:type="dxa"/>
            <w:noWrap/>
            <w:hideMark/>
          </w:tcPr>
          <w:p w14:paraId="30792AA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Enviro-Mark Solutions (Landcare Research) </w:t>
            </w:r>
          </w:p>
        </w:tc>
        <w:tc>
          <w:tcPr>
            <w:tcW w:w="3686" w:type="dxa"/>
            <w:noWrap/>
            <w:hideMark/>
          </w:tcPr>
          <w:p w14:paraId="3365B75C" w14:textId="77777777" w:rsidR="00180653" w:rsidRPr="00180653" w:rsidRDefault="003B0DE2" w:rsidP="00180653">
            <w:pPr>
              <w:jc w:val="left"/>
              <w:rPr>
                <w:rFonts w:eastAsia="Times New Roman" w:cs="Arial"/>
                <w:color w:val="0563C1"/>
                <w:u w:val="single"/>
                <w:lang w:eastAsia="el-GR"/>
              </w:rPr>
            </w:pPr>
            <w:hyperlink r:id="rId326" w:history="1">
              <w:r w:rsidR="00180653" w:rsidRPr="00180653">
                <w:rPr>
                  <w:rFonts w:eastAsia="Times New Roman" w:cs="Arial"/>
                  <w:color w:val="0563C1"/>
                  <w:u w:val="single"/>
                  <w:lang w:eastAsia="el-GR"/>
                </w:rPr>
                <w:t xml:space="preserve">www.enviro-mark.com </w:t>
              </w:r>
            </w:hyperlink>
          </w:p>
        </w:tc>
        <w:tc>
          <w:tcPr>
            <w:tcW w:w="1843" w:type="dxa"/>
            <w:noWrap/>
            <w:hideMark/>
          </w:tcPr>
          <w:p w14:paraId="60381FD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New Zealand</w:t>
            </w:r>
          </w:p>
        </w:tc>
      </w:tr>
      <w:tr w:rsidR="00180653" w:rsidRPr="00180653" w14:paraId="2C76AA12" w14:textId="77777777" w:rsidTr="0022057B">
        <w:trPr>
          <w:trHeight w:val="287"/>
        </w:trPr>
        <w:tc>
          <w:tcPr>
            <w:tcW w:w="2835" w:type="dxa"/>
            <w:noWrap/>
            <w:hideMark/>
          </w:tcPr>
          <w:p w14:paraId="3EFF762F"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GreenCollar</w:t>
            </w:r>
            <w:proofErr w:type="spellEnd"/>
            <w:r w:rsidRPr="00180653">
              <w:rPr>
                <w:rFonts w:eastAsia="Times New Roman" w:cs="Arial"/>
                <w:color w:val="000000"/>
                <w:lang w:eastAsia="el-GR"/>
              </w:rPr>
              <w:t xml:space="preserve"> Climate Solution </w:t>
            </w:r>
          </w:p>
        </w:tc>
        <w:tc>
          <w:tcPr>
            <w:tcW w:w="3686" w:type="dxa"/>
            <w:noWrap/>
            <w:hideMark/>
          </w:tcPr>
          <w:p w14:paraId="6965BF2A" w14:textId="77777777" w:rsidR="00180653" w:rsidRPr="00180653" w:rsidRDefault="003B0DE2" w:rsidP="00180653">
            <w:pPr>
              <w:jc w:val="left"/>
              <w:rPr>
                <w:rFonts w:eastAsia="Times New Roman" w:cs="Arial"/>
                <w:color w:val="0563C1"/>
                <w:u w:val="single"/>
                <w:lang w:eastAsia="el-GR"/>
              </w:rPr>
            </w:pPr>
            <w:hyperlink r:id="rId327" w:history="1">
              <w:r w:rsidR="00180653" w:rsidRPr="00180653">
                <w:rPr>
                  <w:rFonts w:eastAsia="Times New Roman" w:cs="Arial"/>
                  <w:color w:val="0563C1"/>
                  <w:u w:val="single"/>
                  <w:lang w:eastAsia="el-GR"/>
                </w:rPr>
                <w:t xml:space="preserve">www.greencollarclimate.com.au </w:t>
              </w:r>
            </w:hyperlink>
          </w:p>
        </w:tc>
        <w:tc>
          <w:tcPr>
            <w:tcW w:w="1843" w:type="dxa"/>
            <w:noWrap/>
            <w:hideMark/>
          </w:tcPr>
          <w:p w14:paraId="7F63A32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r w:rsidR="00180653" w:rsidRPr="00180653" w14:paraId="59F1F993" w14:textId="77777777" w:rsidTr="0022057B">
        <w:trPr>
          <w:trHeight w:val="287"/>
        </w:trPr>
        <w:tc>
          <w:tcPr>
            <w:tcW w:w="2835" w:type="dxa"/>
            <w:noWrap/>
            <w:hideMark/>
          </w:tcPr>
          <w:p w14:paraId="5F67301B"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Greenfleet</w:t>
            </w:r>
            <w:proofErr w:type="spellEnd"/>
            <w:r w:rsidRPr="00180653">
              <w:rPr>
                <w:rFonts w:eastAsia="Times New Roman" w:cs="Arial"/>
                <w:color w:val="000000"/>
                <w:lang w:eastAsia="el-GR"/>
              </w:rPr>
              <w:t xml:space="preserve"> </w:t>
            </w:r>
          </w:p>
        </w:tc>
        <w:tc>
          <w:tcPr>
            <w:tcW w:w="3686" w:type="dxa"/>
            <w:noWrap/>
            <w:hideMark/>
          </w:tcPr>
          <w:p w14:paraId="14AD6529" w14:textId="77777777" w:rsidR="00180653" w:rsidRPr="00180653" w:rsidRDefault="003B0DE2" w:rsidP="00180653">
            <w:pPr>
              <w:jc w:val="left"/>
              <w:rPr>
                <w:rFonts w:eastAsia="Times New Roman" w:cs="Arial"/>
                <w:color w:val="0563C1"/>
                <w:u w:val="single"/>
                <w:lang w:eastAsia="el-GR"/>
              </w:rPr>
            </w:pPr>
            <w:hyperlink r:id="rId328" w:history="1">
              <w:r w:rsidR="00180653" w:rsidRPr="00180653">
                <w:rPr>
                  <w:rFonts w:eastAsia="Times New Roman" w:cs="Arial"/>
                  <w:color w:val="0563C1"/>
                  <w:u w:val="single"/>
                  <w:lang w:eastAsia="el-GR"/>
                </w:rPr>
                <w:t xml:space="preserve">www.greenfleet.com.au </w:t>
              </w:r>
            </w:hyperlink>
          </w:p>
        </w:tc>
        <w:tc>
          <w:tcPr>
            <w:tcW w:w="1843" w:type="dxa"/>
            <w:noWrap/>
            <w:hideMark/>
          </w:tcPr>
          <w:p w14:paraId="5B0E9834"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r w:rsidR="00180653" w:rsidRPr="00180653" w14:paraId="535CA56E" w14:textId="77777777" w:rsidTr="0022057B">
        <w:trPr>
          <w:trHeight w:val="287"/>
        </w:trPr>
        <w:tc>
          <w:tcPr>
            <w:tcW w:w="2835" w:type="dxa"/>
            <w:noWrap/>
            <w:hideMark/>
          </w:tcPr>
          <w:p w14:paraId="330071D1"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New Leaf Carbon Project </w:t>
            </w:r>
          </w:p>
        </w:tc>
        <w:tc>
          <w:tcPr>
            <w:tcW w:w="3686" w:type="dxa"/>
            <w:noWrap/>
            <w:hideMark/>
          </w:tcPr>
          <w:p w14:paraId="331B2A9B" w14:textId="77777777" w:rsidR="00180653" w:rsidRPr="00180653" w:rsidRDefault="003B0DE2" w:rsidP="00180653">
            <w:pPr>
              <w:jc w:val="left"/>
              <w:rPr>
                <w:rFonts w:eastAsia="Times New Roman" w:cs="Arial"/>
                <w:color w:val="000000"/>
                <w:lang w:eastAsia="el-GR"/>
              </w:rPr>
            </w:pPr>
            <w:hyperlink r:id="rId329" w:history="1">
              <w:r w:rsidR="00180653" w:rsidRPr="00180653">
                <w:rPr>
                  <w:rFonts w:eastAsia="Times New Roman" w:cs="Arial"/>
                  <w:color w:val="0000FF"/>
                  <w:u w:val="single"/>
                  <w:lang w:eastAsia="el-GR"/>
                </w:rPr>
                <w:t>tasland.org.au</w:t>
              </w:r>
            </w:hyperlink>
            <w:r w:rsidR="00180653" w:rsidRPr="00180653">
              <w:rPr>
                <w:rFonts w:eastAsia="Times New Roman" w:cs="Arial"/>
                <w:color w:val="000000"/>
                <w:lang w:eastAsia="el-GR"/>
              </w:rPr>
              <w:t xml:space="preserve"> </w:t>
            </w:r>
          </w:p>
        </w:tc>
        <w:tc>
          <w:tcPr>
            <w:tcW w:w="1843" w:type="dxa"/>
            <w:noWrap/>
            <w:hideMark/>
          </w:tcPr>
          <w:p w14:paraId="343E4152"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r w:rsidR="00180653" w:rsidRPr="00180653" w14:paraId="171CF632" w14:textId="77777777" w:rsidTr="0022057B">
        <w:trPr>
          <w:trHeight w:val="287"/>
        </w:trPr>
        <w:tc>
          <w:tcPr>
            <w:tcW w:w="2835" w:type="dxa"/>
            <w:noWrap/>
            <w:hideMark/>
          </w:tcPr>
          <w:p w14:paraId="2443411C"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 xml:space="preserve">SIGMA GLOBAL </w:t>
            </w:r>
          </w:p>
        </w:tc>
        <w:tc>
          <w:tcPr>
            <w:tcW w:w="3686" w:type="dxa"/>
            <w:noWrap/>
            <w:hideMark/>
          </w:tcPr>
          <w:p w14:paraId="432581F9" w14:textId="77777777" w:rsidR="00180653" w:rsidRPr="00180653" w:rsidRDefault="003B0DE2" w:rsidP="00180653">
            <w:pPr>
              <w:jc w:val="left"/>
              <w:rPr>
                <w:rFonts w:eastAsia="Times New Roman" w:cs="Arial"/>
                <w:color w:val="0563C1"/>
                <w:u w:val="single"/>
                <w:lang w:eastAsia="el-GR"/>
              </w:rPr>
            </w:pPr>
            <w:hyperlink r:id="rId330" w:history="1">
              <w:r w:rsidR="00180653" w:rsidRPr="00180653">
                <w:rPr>
                  <w:rFonts w:eastAsia="Times New Roman" w:cs="Arial"/>
                  <w:color w:val="0563C1"/>
                  <w:u w:val="single"/>
                  <w:lang w:eastAsia="el-GR"/>
                </w:rPr>
                <w:t xml:space="preserve">www.sigmaglobalcompany.com </w:t>
              </w:r>
            </w:hyperlink>
          </w:p>
        </w:tc>
        <w:tc>
          <w:tcPr>
            <w:tcW w:w="1843" w:type="dxa"/>
            <w:noWrap/>
            <w:hideMark/>
          </w:tcPr>
          <w:p w14:paraId="10F80D25"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r w:rsidR="00180653" w:rsidRPr="00180653" w14:paraId="0926E912" w14:textId="77777777" w:rsidTr="0022057B">
        <w:trPr>
          <w:trHeight w:val="287"/>
        </w:trPr>
        <w:tc>
          <w:tcPr>
            <w:tcW w:w="2835" w:type="dxa"/>
            <w:noWrap/>
            <w:hideMark/>
          </w:tcPr>
          <w:p w14:paraId="4D1DA704" w14:textId="77777777" w:rsidR="00180653" w:rsidRPr="00180653" w:rsidRDefault="00180653" w:rsidP="00180653">
            <w:pPr>
              <w:jc w:val="left"/>
              <w:rPr>
                <w:rFonts w:eastAsia="Times New Roman" w:cs="Arial"/>
                <w:color w:val="000000"/>
                <w:lang w:eastAsia="el-GR"/>
              </w:rPr>
            </w:pPr>
            <w:proofErr w:type="spellStart"/>
            <w:r w:rsidRPr="00180653">
              <w:rPr>
                <w:rFonts w:eastAsia="Times New Roman" w:cs="Arial"/>
                <w:color w:val="000000"/>
                <w:lang w:eastAsia="el-GR"/>
              </w:rPr>
              <w:t>WeAct</w:t>
            </w:r>
            <w:proofErr w:type="spellEnd"/>
            <w:r w:rsidRPr="00180653">
              <w:rPr>
                <w:rFonts w:eastAsia="Times New Roman" w:cs="Arial"/>
                <w:color w:val="000000"/>
                <w:lang w:eastAsia="el-GR"/>
              </w:rPr>
              <w:t xml:space="preserve"> </w:t>
            </w:r>
          </w:p>
        </w:tc>
        <w:tc>
          <w:tcPr>
            <w:tcW w:w="3686" w:type="dxa"/>
            <w:noWrap/>
            <w:hideMark/>
          </w:tcPr>
          <w:p w14:paraId="059D2FE7" w14:textId="77777777" w:rsidR="00180653" w:rsidRPr="00180653" w:rsidRDefault="003B0DE2" w:rsidP="00180653">
            <w:pPr>
              <w:jc w:val="left"/>
              <w:rPr>
                <w:rFonts w:eastAsia="Times New Roman" w:cs="Arial"/>
                <w:color w:val="0563C1"/>
                <w:u w:val="single"/>
                <w:lang w:eastAsia="el-GR"/>
              </w:rPr>
            </w:pPr>
            <w:hyperlink r:id="rId331" w:history="1">
              <w:r w:rsidR="00180653" w:rsidRPr="00180653">
                <w:rPr>
                  <w:rFonts w:eastAsia="Times New Roman" w:cs="Arial"/>
                  <w:color w:val="0563C1"/>
                  <w:u w:val="single"/>
                  <w:lang w:eastAsia="el-GR"/>
                </w:rPr>
                <w:t xml:space="preserve">www.weact.com.au </w:t>
              </w:r>
            </w:hyperlink>
          </w:p>
        </w:tc>
        <w:tc>
          <w:tcPr>
            <w:tcW w:w="1843" w:type="dxa"/>
            <w:noWrap/>
            <w:hideMark/>
          </w:tcPr>
          <w:p w14:paraId="7A437686" w14:textId="77777777" w:rsidR="00180653" w:rsidRPr="00180653" w:rsidRDefault="00180653" w:rsidP="00180653">
            <w:pPr>
              <w:jc w:val="left"/>
              <w:rPr>
                <w:rFonts w:eastAsia="Times New Roman" w:cs="Arial"/>
                <w:color w:val="000000"/>
                <w:lang w:eastAsia="el-GR"/>
              </w:rPr>
            </w:pPr>
            <w:r w:rsidRPr="00180653">
              <w:rPr>
                <w:rFonts w:eastAsia="Times New Roman" w:cs="Arial"/>
                <w:color w:val="000000"/>
                <w:lang w:eastAsia="el-GR"/>
              </w:rPr>
              <w:t>Australia</w:t>
            </w:r>
          </w:p>
        </w:tc>
      </w:tr>
    </w:tbl>
    <w:p w14:paraId="7C101120" w14:textId="77777777" w:rsidR="005664B6" w:rsidRPr="00DB35D4" w:rsidRDefault="005664B6" w:rsidP="005664B6">
      <w:pPr>
        <w:rPr>
          <w:rFonts w:cs="Arial"/>
        </w:rPr>
      </w:pPr>
      <w:r w:rsidRPr="00DB35D4">
        <w:rPr>
          <w:rFonts w:cs="Arial"/>
        </w:rPr>
        <w:t>Not all the above-mentioned projects refer to LULUCF however for most of them are related to forest and agricultural applications.</w:t>
      </w:r>
    </w:p>
    <w:p w14:paraId="0F6DF53C" w14:textId="30508261" w:rsidR="005664B6" w:rsidRPr="00DB35D4" w:rsidRDefault="005664B6" w:rsidP="005664B6">
      <w:pPr>
        <w:rPr>
          <w:rFonts w:cs="Arial"/>
        </w:rPr>
      </w:pPr>
      <w:r w:rsidRPr="00DB35D4">
        <w:rPr>
          <w:rFonts w:cs="Arial"/>
        </w:rPr>
        <w:lastRenderedPageBreak/>
        <w:t xml:space="preserve">Additionally, a similar list giving additionally the type of the enterprise providing Carbon </w:t>
      </w:r>
      <w:r w:rsidRPr="00475531">
        <w:rPr>
          <w:rFonts w:cs="Arial"/>
        </w:rPr>
        <w:t>Offsets are given in</w:t>
      </w:r>
      <w:r w:rsidR="00475531" w:rsidRPr="00475531">
        <w:rPr>
          <w:rFonts w:cs="Arial"/>
        </w:rPr>
        <w:t xml:space="preserve"> Annex III.</w:t>
      </w:r>
    </w:p>
    <w:p w14:paraId="0865B4F9" w14:textId="77777777" w:rsidR="005664B6" w:rsidRPr="00DB35D4" w:rsidRDefault="005664B6" w:rsidP="005664B6">
      <w:pPr>
        <w:pStyle w:val="MAIL1"/>
      </w:pPr>
      <w:r w:rsidRPr="00DB35D4">
        <w:t xml:space="preserve"> </w:t>
      </w:r>
      <w:bookmarkStart w:id="355" w:name="_Toc90893012"/>
      <w:bookmarkStart w:id="356" w:name="_Toc91752466"/>
      <w:r w:rsidRPr="00DB35D4">
        <w:t>New methodologies and research not included in current standards</w:t>
      </w:r>
      <w:bookmarkEnd w:id="354"/>
      <w:bookmarkEnd w:id="355"/>
      <w:bookmarkEnd w:id="356"/>
    </w:p>
    <w:p w14:paraId="40DC7472" w14:textId="77777777" w:rsidR="005664B6" w:rsidRPr="00DB35D4" w:rsidRDefault="005664B6" w:rsidP="005664B6">
      <w:pPr>
        <w:pStyle w:val="MAIL11"/>
      </w:pPr>
      <w:bookmarkStart w:id="357" w:name="_Ref89077015"/>
      <w:bookmarkStart w:id="358" w:name="_Ref89077027"/>
      <w:bookmarkStart w:id="359" w:name="_Toc90893013"/>
      <w:bookmarkStart w:id="360" w:name="_Toc91752467"/>
      <w:r w:rsidRPr="00DB35D4">
        <w:t>Carbon Offsetting and Reduction Scheme for International Aviation – CORSIA</w:t>
      </w:r>
      <w:bookmarkEnd w:id="357"/>
      <w:bookmarkEnd w:id="358"/>
      <w:bookmarkEnd w:id="359"/>
      <w:bookmarkEnd w:id="360"/>
    </w:p>
    <w:p w14:paraId="646C17E6" w14:textId="77777777" w:rsidR="005664B6" w:rsidRPr="00DB35D4" w:rsidRDefault="005664B6" w:rsidP="005664B6">
      <w:pPr>
        <w:rPr>
          <w:rFonts w:cs="Arial"/>
        </w:rPr>
      </w:pPr>
      <w:r w:rsidRPr="00DB35D4">
        <w:rPr>
          <w:rFonts w:cs="Arial"/>
        </w:rPr>
        <w:t>In October 2016, the 39th General Assembly of ICAO Contracting States reconfirmed the 2013 objective of stabilizing CO</w:t>
      </w:r>
      <w:r w:rsidRPr="00DB35D4">
        <w:rPr>
          <w:rFonts w:cs="Arial"/>
          <w:vertAlign w:val="subscript"/>
        </w:rPr>
        <w:t>2</w:t>
      </w:r>
      <w:r w:rsidRPr="00DB35D4">
        <w:rPr>
          <w:rFonts w:cs="Arial"/>
        </w:rPr>
        <w:t xml:space="preserve"> emissions from international aviation at 2020 levels. In addition, the States adopted Resolution A39-3, aiming to introduce a global market-based measure, namely the ‘Carbon Offsetting and Reduction Scheme for International Aviation’ (CORSIA), to offset international aviation’s CO</w:t>
      </w:r>
      <w:r w:rsidRPr="00DB35D4">
        <w:rPr>
          <w:rFonts w:cs="Arial"/>
          <w:vertAlign w:val="subscript"/>
        </w:rPr>
        <w:t>2</w:t>
      </w:r>
      <w:r w:rsidRPr="00DB35D4">
        <w:rPr>
          <w:rFonts w:cs="Arial"/>
        </w:rPr>
        <w:t xml:space="preserve"> emissions above 2020 levels through international credits. </w:t>
      </w:r>
    </w:p>
    <w:p w14:paraId="21DDAE45" w14:textId="77777777" w:rsidR="005664B6" w:rsidRPr="00DB35D4" w:rsidRDefault="005664B6" w:rsidP="005664B6">
      <w:pPr>
        <w:keepNext/>
        <w:jc w:val="center"/>
        <w:rPr>
          <w:rFonts w:cs="Arial"/>
        </w:rPr>
      </w:pPr>
      <w:r w:rsidRPr="00DB35D4">
        <w:rPr>
          <w:rFonts w:cs="Arial"/>
          <w:noProof/>
          <w:lang w:val="es-ES" w:eastAsia="es-ES"/>
        </w:rPr>
        <w:drawing>
          <wp:inline distT="0" distB="0" distL="0" distR="0" wp14:anchorId="47262F06" wp14:editId="1EE6E59A">
            <wp:extent cx="2281031" cy="3498324"/>
            <wp:effectExtent l="0" t="0" r="5080" b="6985"/>
            <wp:docPr id="69" name="Εικόνα 2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Εικόνα 22" descr="Εικόνα που περιέχει κείμενο&#10;&#10;Περιγραφή που δημιουργήθηκε αυτόματα"/>
                    <pic:cNvPicPr/>
                  </pic:nvPicPr>
                  <pic:blipFill rotWithShape="1">
                    <a:blip r:embed="rId332"/>
                    <a:srcRect l="17561" t="48279" r="54805" b="4636"/>
                    <a:stretch/>
                  </pic:blipFill>
                  <pic:spPr bwMode="auto">
                    <a:xfrm>
                      <a:off x="0" y="0"/>
                      <a:ext cx="2285982" cy="3505918"/>
                    </a:xfrm>
                    <a:prstGeom prst="rect">
                      <a:avLst/>
                    </a:prstGeom>
                    <a:ln>
                      <a:noFill/>
                    </a:ln>
                    <a:extLst>
                      <a:ext uri="{53640926-AAD7-44D8-BBD7-CCE9431645EC}">
                        <a14:shadowObscured xmlns:a14="http://schemas.microsoft.com/office/drawing/2010/main"/>
                      </a:ext>
                    </a:extLst>
                  </pic:spPr>
                </pic:pic>
              </a:graphicData>
            </a:graphic>
          </wp:inline>
        </w:drawing>
      </w:r>
    </w:p>
    <w:p w14:paraId="50734D21" w14:textId="45475BF5" w:rsidR="005664B6" w:rsidRPr="00475531" w:rsidRDefault="005664B6" w:rsidP="00475531">
      <w:pPr>
        <w:pStyle w:val="Caption"/>
        <w:rPr>
          <w:rFonts w:cs="Arial"/>
          <w:b w:val="0"/>
          <w:bCs w:val="0"/>
        </w:rPr>
      </w:pPr>
      <w:bookmarkStart w:id="361" w:name="_Ref86400128"/>
      <w:bookmarkStart w:id="362" w:name="_Toc90888757"/>
      <w:bookmarkStart w:id="363" w:name="_Toc90893531"/>
      <w:bookmarkStart w:id="364" w:name="_Toc91752537"/>
      <w:r w:rsidRPr="00475531">
        <w:rPr>
          <w:rFonts w:cs="Arial"/>
        </w:rPr>
        <w:t xml:space="preserve">Figure </w:t>
      </w:r>
      <w:r w:rsidRPr="00475531">
        <w:rPr>
          <w:rFonts w:cs="Arial"/>
          <w:b w:val="0"/>
          <w:bCs w:val="0"/>
          <w:i/>
          <w:iCs/>
        </w:rPr>
        <w:fldChar w:fldCharType="begin"/>
      </w:r>
      <w:r w:rsidRPr="00475531">
        <w:rPr>
          <w:rFonts w:cs="Arial"/>
        </w:rPr>
        <w:instrText xml:space="preserve"> SEQ Figure \* ARABIC </w:instrText>
      </w:r>
      <w:r w:rsidRPr="00475531">
        <w:rPr>
          <w:rFonts w:cs="Arial"/>
          <w:b w:val="0"/>
          <w:bCs w:val="0"/>
          <w:i/>
          <w:iCs/>
        </w:rPr>
        <w:fldChar w:fldCharType="separate"/>
      </w:r>
      <w:r w:rsidR="0073710A">
        <w:rPr>
          <w:rFonts w:cs="Arial"/>
          <w:noProof/>
        </w:rPr>
        <w:t>53</w:t>
      </w:r>
      <w:r w:rsidRPr="00475531">
        <w:rPr>
          <w:rFonts w:cs="Arial"/>
          <w:b w:val="0"/>
          <w:bCs w:val="0"/>
          <w:i/>
          <w:iCs/>
        </w:rPr>
        <w:fldChar w:fldCharType="end"/>
      </w:r>
      <w:bookmarkEnd w:id="361"/>
      <w:r w:rsidRPr="00475531">
        <w:rPr>
          <w:rFonts w:cs="Arial"/>
        </w:rPr>
        <w:t xml:space="preserve"> Implementation phases of CORSIA. Source: </w:t>
      </w:r>
      <w:sdt>
        <w:sdtPr>
          <w:rPr>
            <w:rFonts w:cs="Arial"/>
            <w:b w:val="0"/>
            <w:bCs w:val="0"/>
            <w:i/>
            <w:iCs/>
          </w:rPr>
          <w:id w:val="2049557103"/>
          <w:citation/>
        </w:sdtPr>
        <w:sdtEndPr/>
        <w:sdtContent>
          <w:r w:rsidRPr="00475531">
            <w:rPr>
              <w:rFonts w:cs="Arial"/>
              <w:b w:val="0"/>
              <w:bCs w:val="0"/>
              <w:i/>
              <w:iCs/>
            </w:rPr>
            <w:fldChar w:fldCharType="begin"/>
          </w:r>
          <w:r w:rsidRPr="00475531">
            <w:rPr>
              <w:rFonts w:cs="Arial"/>
            </w:rPr>
            <w:instrText xml:space="preserve"> CITATION Eco10 \l 1033 </w:instrText>
          </w:r>
          <w:r w:rsidRPr="00475531">
            <w:rPr>
              <w:rFonts w:cs="Arial"/>
              <w:b w:val="0"/>
              <w:bCs w:val="0"/>
              <w:i/>
              <w:iCs/>
            </w:rPr>
            <w:fldChar w:fldCharType="separate"/>
          </w:r>
          <w:r w:rsidR="00487700" w:rsidRPr="00475531">
            <w:rPr>
              <w:rFonts w:cs="Arial"/>
              <w:noProof/>
            </w:rPr>
            <w:t>(Ecosystem Marketplace, 2010)</w:t>
          </w:r>
          <w:r w:rsidRPr="00475531">
            <w:rPr>
              <w:rFonts w:cs="Arial"/>
              <w:b w:val="0"/>
              <w:bCs w:val="0"/>
              <w:i/>
              <w:iCs/>
            </w:rPr>
            <w:fldChar w:fldCharType="end"/>
          </w:r>
        </w:sdtContent>
      </w:sdt>
      <w:bookmarkEnd w:id="362"/>
      <w:bookmarkEnd w:id="363"/>
      <w:bookmarkEnd w:id="364"/>
    </w:p>
    <w:p w14:paraId="7262D070" w14:textId="77777777" w:rsidR="005664B6" w:rsidRPr="00DB35D4" w:rsidRDefault="005664B6" w:rsidP="005664B6">
      <w:pPr>
        <w:pStyle w:val="Caption"/>
        <w:rPr>
          <w:rFonts w:cs="Arial"/>
        </w:rPr>
      </w:pPr>
    </w:p>
    <w:p w14:paraId="53E356A4" w14:textId="77777777" w:rsidR="005664B6" w:rsidRPr="00DB35D4" w:rsidRDefault="005664B6" w:rsidP="005664B6">
      <w:pPr>
        <w:rPr>
          <w:rFonts w:cs="Arial"/>
        </w:rPr>
      </w:pPr>
      <w:r w:rsidRPr="00DB35D4">
        <w:rPr>
          <w:rFonts w:cs="Arial"/>
        </w:rPr>
        <w:lastRenderedPageBreak/>
        <w:t xml:space="preserve">Additionally, on 3 September 2016, the Directors General of Civil Aviation of EU Member </w:t>
      </w:r>
      <w:proofErr w:type="gramStart"/>
      <w:r w:rsidRPr="00DB35D4">
        <w:rPr>
          <w:rFonts w:cs="Arial"/>
        </w:rPr>
        <w:t>States</w:t>
      </w:r>
      <w:proofErr w:type="gramEnd"/>
      <w:r w:rsidRPr="00DB35D4">
        <w:rPr>
          <w:rFonts w:cs="Arial"/>
        </w:rPr>
        <w:t xml:space="preserve"> and the other Member States of the European Civil Aviation Conference (ECAC) signed the ‘Bratislava Declaration’. This signaled their intention to fully implement CORSIA from the start of the pilot phase, provided that certain conditions were met, notably on the environmental integrity of the scheme and global participation. The Bratislava Declaration illustrated the commitment of the EU and ECAC States to address the growth of CO</w:t>
      </w:r>
      <w:r w:rsidRPr="00DB35D4">
        <w:rPr>
          <w:rFonts w:cs="Arial"/>
          <w:vertAlign w:val="subscript"/>
        </w:rPr>
        <w:t>2</w:t>
      </w:r>
      <w:r w:rsidRPr="00DB35D4">
        <w:rPr>
          <w:rFonts w:cs="Arial"/>
        </w:rPr>
        <w:t xml:space="preserve"> emissions from international air transport and to achieving overall carbon neutral growth from 2020.</w:t>
      </w:r>
    </w:p>
    <w:p w14:paraId="537FB874" w14:textId="77777777" w:rsidR="005664B6" w:rsidRPr="00DB35D4" w:rsidRDefault="005664B6" w:rsidP="005664B6">
      <w:pPr>
        <w:rPr>
          <w:rFonts w:cs="Arial"/>
        </w:rPr>
      </w:pPr>
      <w:r w:rsidRPr="00DB35D4">
        <w:rPr>
          <w:rFonts w:cs="Arial"/>
        </w:rPr>
        <w:t>The main aim of CORSIA implementation will be to include all airplane operators with international flights producing annual CO</w:t>
      </w:r>
      <w:r w:rsidRPr="00DB35D4">
        <w:rPr>
          <w:rFonts w:cs="Arial"/>
          <w:vertAlign w:val="subscript"/>
        </w:rPr>
        <w:t>2</w:t>
      </w:r>
      <w:r w:rsidRPr="00DB35D4">
        <w:rPr>
          <w:rFonts w:cs="Arial"/>
        </w:rPr>
        <w:t xml:space="preserve"> emissions greater than 10,000 tons from airplanes with a maximum take-off mass greater than 5,700 kg. Regardless of whether their administering State is participating or not in the offsetting phases, they will be required to monitor, verify, and report their CO</w:t>
      </w:r>
      <w:r w:rsidRPr="00DB35D4">
        <w:rPr>
          <w:rFonts w:cs="Arial"/>
          <w:vertAlign w:val="subscript"/>
        </w:rPr>
        <w:t>2</w:t>
      </w:r>
      <w:r w:rsidRPr="00DB35D4">
        <w:rPr>
          <w:rFonts w:cs="Arial"/>
        </w:rPr>
        <w:t xml:space="preserve"> emissions during 2019 and 2020. Humanitarian, medical, and firefighting operations will be exempted. The average yearly CO</w:t>
      </w:r>
      <w:r w:rsidRPr="00DB35D4">
        <w:rPr>
          <w:rFonts w:cs="Arial"/>
          <w:vertAlign w:val="subscript"/>
        </w:rPr>
        <w:t>2</w:t>
      </w:r>
      <w:r w:rsidRPr="00DB35D4">
        <w:rPr>
          <w:rFonts w:cs="Arial"/>
        </w:rPr>
        <w:t xml:space="preserve"> emissions reported during that period will represent the </w:t>
      </w:r>
      <w:r w:rsidRPr="00DB35D4">
        <w:rPr>
          <w:rFonts w:cs="Arial"/>
          <w:b/>
        </w:rPr>
        <w:t>baseline</w:t>
      </w:r>
      <w:r w:rsidRPr="00DB35D4">
        <w:rPr>
          <w:rFonts w:cs="Arial"/>
        </w:rPr>
        <w:t xml:space="preserve"> for carbon neutral growth from 2020. Beyond 2020, the aviation sector will be required to offset its international CO2 emissions above this level.</w:t>
      </w:r>
    </w:p>
    <w:p w14:paraId="65D4230A" w14:textId="0127A188" w:rsidR="005664B6" w:rsidRPr="00DB35D4" w:rsidRDefault="005664B6" w:rsidP="005664B6">
      <w:pPr>
        <w:rPr>
          <w:rFonts w:cs="Arial"/>
        </w:rPr>
      </w:pPr>
      <w:r w:rsidRPr="00DB35D4">
        <w:rPr>
          <w:rFonts w:cs="Arial"/>
        </w:rPr>
        <w:t xml:space="preserve">CORSIA comprises of three implementation phases: </w:t>
      </w:r>
      <w:r w:rsidRPr="00DB35D4">
        <w:rPr>
          <w:rFonts w:cs="Arial"/>
          <w:b/>
        </w:rPr>
        <w:t>the pilot phase</w:t>
      </w:r>
      <w:r w:rsidRPr="00DB35D4">
        <w:rPr>
          <w:rFonts w:cs="Arial"/>
        </w:rPr>
        <w:t xml:space="preserve"> (2021-2023), a </w:t>
      </w:r>
      <w:r w:rsidRPr="00DB35D4">
        <w:rPr>
          <w:rFonts w:cs="Arial"/>
          <w:b/>
        </w:rPr>
        <w:t>first phase</w:t>
      </w:r>
      <w:r w:rsidRPr="00DB35D4">
        <w:rPr>
          <w:rFonts w:cs="Arial"/>
        </w:rPr>
        <w:t xml:space="preserve"> (2024-2026) and a </w:t>
      </w:r>
      <w:r w:rsidRPr="00DB35D4">
        <w:rPr>
          <w:rFonts w:cs="Arial"/>
          <w:b/>
        </w:rPr>
        <w:t>second phase</w:t>
      </w:r>
      <w:r w:rsidRPr="00DB35D4">
        <w:rPr>
          <w:rFonts w:cs="Arial"/>
        </w:rPr>
        <w:t xml:space="preserve"> (2027-2035). During the pilot phase and first phase, offsetting requirements will only be applicable to flights between States that have </w:t>
      </w:r>
      <w:r w:rsidRPr="00DB35D4">
        <w:rPr>
          <w:rFonts w:cs="Arial"/>
          <w:b/>
        </w:rPr>
        <w:t>volunteered</w:t>
      </w:r>
      <w:r w:rsidRPr="00DB35D4">
        <w:rPr>
          <w:rFonts w:cs="Arial"/>
        </w:rPr>
        <w:t xml:space="preserve"> to participate. As of 5 November 2018, 76 States have officially notified ICAO that they intend to voluntarily participate in the pilot and first phase of CORSIA, representing approximately 76% of international aviation activity. States can notify their intentions for the year 2021 up until 30 June 2020, and thereafter on an annual basis during the voluntary period. The second phase will apply to all ICAO Member States within the agreed applicability scope, with certain exemptions</w:t>
      </w:r>
      <w:sdt>
        <w:sdtPr>
          <w:rPr>
            <w:rFonts w:cs="Arial"/>
          </w:rPr>
          <w:id w:val="-443924608"/>
          <w:citation/>
        </w:sdtPr>
        <w:sdtEndPr/>
        <w:sdtContent>
          <w:r w:rsidRPr="00DB35D4">
            <w:rPr>
              <w:rFonts w:cs="Arial"/>
            </w:rPr>
            <w:fldChar w:fldCharType="begin"/>
          </w:r>
          <w:r w:rsidRPr="00DB35D4">
            <w:rPr>
              <w:rFonts w:cs="Arial"/>
            </w:rPr>
            <w:instrText xml:space="preserve"> CITATION Eur191 \l 1033 </w:instrText>
          </w:r>
          <w:r w:rsidRPr="00DB35D4">
            <w:rPr>
              <w:rFonts w:cs="Arial"/>
            </w:rPr>
            <w:fldChar w:fldCharType="separate"/>
          </w:r>
          <w:r w:rsidR="00487700">
            <w:rPr>
              <w:rFonts w:cs="Arial"/>
              <w:noProof/>
            </w:rPr>
            <w:t xml:space="preserve"> </w:t>
          </w:r>
          <w:r w:rsidR="00487700" w:rsidRPr="00487700">
            <w:rPr>
              <w:rFonts w:cs="Arial"/>
              <w:noProof/>
            </w:rPr>
            <w:t>(European Aviation Safety Agency, 2019)</w:t>
          </w:r>
          <w:r w:rsidRPr="00DB35D4">
            <w:rPr>
              <w:rFonts w:cs="Arial"/>
            </w:rPr>
            <w:fldChar w:fldCharType="end"/>
          </w:r>
        </w:sdtContent>
      </w:sdt>
      <w:r w:rsidRPr="00DB35D4">
        <w:rPr>
          <w:rFonts w:cs="Arial"/>
        </w:rPr>
        <w:t xml:space="preserve">. A nice visualization about all the discussion to implement CORSIA and its phases are given by </w:t>
      </w:r>
      <w:proofErr w:type="spellStart"/>
      <w:r w:rsidRPr="00DB35D4">
        <w:rPr>
          <w:rFonts w:cs="Arial"/>
        </w:rPr>
        <w:t>EcoSyctem</w:t>
      </w:r>
      <w:proofErr w:type="spellEnd"/>
      <w:r w:rsidRPr="00DB35D4">
        <w:rPr>
          <w:rFonts w:cs="Arial"/>
        </w:rPr>
        <w:t xml:space="preserve"> </w:t>
      </w:r>
      <w:proofErr w:type="spellStart"/>
      <w:r w:rsidRPr="00DB35D4">
        <w:rPr>
          <w:rFonts w:cs="Arial"/>
        </w:rPr>
        <w:t>MarketPlace</w:t>
      </w:r>
      <w:proofErr w:type="spellEnd"/>
      <w:sdt>
        <w:sdtPr>
          <w:rPr>
            <w:rFonts w:cs="Arial"/>
          </w:rPr>
          <w:id w:val="984349592"/>
          <w:citation/>
        </w:sdtPr>
        <w:sdtEndPr/>
        <w:sdtContent>
          <w:r w:rsidRPr="00DB35D4">
            <w:rPr>
              <w:rFonts w:cs="Arial"/>
            </w:rPr>
            <w:fldChar w:fldCharType="begin"/>
          </w:r>
          <w:r w:rsidRPr="00DB35D4">
            <w:rPr>
              <w:rFonts w:cs="Arial"/>
            </w:rPr>
            <w:instrText xml:space="preserve"> CITATION Eco19 \l 1033 </w:instrText>
          </w:r>
          <w:r w:rsidRPr="00DB35D4">
            <w:rPr>
              <w:rFonts w:cs="Arial"/>
            </w:rPr>
            <w:fldChar w:fldCharType="separate"/>
          </w:r>
          <w:r w:rsidR="00487700">
            <w:rPr>
              <w:rFonts w:cs="Arial"/>
              <w:noProof/>
            </w:rPr>
            <w:t xml:space="preserve"> </w:t>
          </w:r>
          <w:r w:rsidR="00487700" w:rsidRPr="00487700">
            <w:rPr>
              <w:rFonts w:cs="Arial"/>
              <w:noProof/>
            </w:rPr>
            <w:t>(Ecosystem Marketplace)</w:t>
          </w:r>
          <w:r w:rsidRPr="00DB35D4">
            <w:rPr>
              <w:rFonts w:cs="Arial"/>
            </w:rPr>
            <w:fldChar w:fldCharType="end"/>
          </w:r>
        </w:sdtContent>
      </w:sdt>
      <w:r w:rsidRPr="00DB35D4">
        <w:rPr>
          <w:rFonts w:cs="Arial"/>
        </w:rPr>
        <w:t xml:space="preserve"> (</w:t>
      </w:r>
      <w:r w:rsidRPr="00DB35D4">
        <w:rPr>
          <w:rFonts w:cs="Arial"/>
        </w:rPr>
        <w:fldChar w:fldCharType="begin"/>
      </w:r>
      <w:r w:rsidRPr="00DB35D4">
        <w:rPr>
          <w:rFonts w:cs="Arial"/>
        </w:rPr>
        <w:instrText xml:space="preserve"> REF _Ref86400128 \h  \* MERGEFORMAT </w:instrText>
      </w:r>
      <w:r w:rsidRPr="00DB35D4">
        <w:rPr>
          <w:rFonts w:cs="Arial"/>
        </w:rPr>
      </w:r>
      <w:r w:rsidRPr="00DB35D4">
        <w:rPr>
          <w:rFonts w:cs="Arial"/>
        </w:rPr>
        <w:fldChar w:fldCharType="separate"/>
      </w:r>
      <w:r w:rsidR="0073710A" w:rsidRPr="0073710A">
        <w:rPr>
          <w:rFonts w:eastAsia="Calibri" w:cs="Arial"/>
          <w:b/>
          <w:bCs/>
          <w:sz w:val="20"/>
          <w:szCs w:val="20"/>
          <w:lang w:val="en-GB"/>
        </w:rPr>
        <w:t>Figure 53</w:t>
      </w:r>
      <w:r w:rsidRPr="00DB35D4">
        <w:rPr>
          <w:rFonts w:cs="Arial"/>
        </w:rPr>
        <w:fldChar w:fldCharType="end"/>
      </w:r>
      <w:r w:rsidRPr="00DB35D4">
        <w:rPr>
          <w:rFonts w:cs="Arial"/>
        </w:rPr>
        <w:t>).</w:t>
      </w:r>
    </w:p>
    <w:p w14:paraId="16511BDD" w14:textId="77777777" w:rsidR="005664B6" w:rsidRPr="00DB35D4" w:rsidRDefault="005664B6" w:rsidP="005664B6">
      <w:pPr>
        <w:rPr>
          <w:rFonts w:cs="Arial"/>
        </w:rPr>
      </w:pPr>
      <w:r w:rsidRPr="00DB35D4">
        <w:rPr>
          <w:rFonts w:cs="Arial"/>
        </w:rPr>
        <w:t>States covered by the exemption criteria above can volunteer to participate. The contribution of CORSIA to stabilize international aviation emissions at 2020 levels is to some extent reliant on the level of participation of States in CORSIA.</w:t>
      </w:r>
    </w:p>
    <w:p w14:paraId="40A6AFF9" w14:textId="77777777" w:rsidR="005664B6" w:rsidRPr="00DB35D4" w:rsidRDefault="005664B6" w:rsidP="005664B6">
      <w:pPr>
        <w:rPr>
          <w:rFonts w:cs="Arial"/>
        </w:rPr>
      </w:pPr>
      <w:r w:rsidRPr="00DB35D4">
        <w:rPr>
          <w:rFonts w:cs="Arial"/>
        </w:rPr>
        <w:t xml:space="preserve">Voluntary carbon offsets are a strong candidate for inclusion in CORSIA. Currently, there are roughly </w:t>
      </w:r>
      <w:r w:rsidRPr="00DB35D4">
        <w:rPr>
          <w:rFonts w:cs="Arial"/>
          <w:b/>
        </w:rPr>
        <w:t>180 million tons of unsold voluntary carbon offsets</w:t>
      </w:r>
      <w:r w:rsidRPr="00DB35D4">
        <w:rPr>
          <w:rFonts w:cs="Arial"/>
        </w:rPr>
        <w:t xml:space="preserve">, coming from projects </w:t>
      </w:r>
      <w:r w:rsidRPr="00DB35D4">
        <w:rPr>
          <w:rFonts w:cs="Arial"/>
        </w:rPr>
        <w:lastRenderedPageBreak/>
        <w:t>in more than 80 countries. Project developers and investors are ready to scale up - but only if they receive the right signals from CORSIA.</w:t>
      </w:r>
    </w:p>
    <w:p w14:paraId="55B9B042" w14:textId="01F70B7D" w:rsidR="005664B6" w:rsidRPr="00DB35D4" w:rsidRDefault="005664B6" w:rsidP="005664B6">
      <w:pPr>
        <w:rPr>
          <w:rFonts w:cs="Arial"/>
        </w:rPr>
      </w:pPr>
      <w:r w:rsidRPr="00DB35D4">
        <w:rPr>
          <w:rFonts w:cs="Arial"/>
        </w:rPr>
        <w:t xml:space="preserve">Certain rules have been placed by ICAO for the operation of the CORSIA Program. These rules include certain procedures and guidelines for </w:t>
      </w:r>
      <w:r w:rsidRPr="00DB35D4">
        <w:rPr>
          <w:rFonts w:cs="Arial"/>
          <w:b/>
        </w:rPr>
        <w:t>Monitoring, Reporting and Verification</w:t>
      </w:r>
      <w:r w:rsidRPr="00DB35D4">
        <w:rPr>
          <w:rFonts w:cs="Arial"/>
        </w:rPr>
        <w:t xml:space="preserve"> of CO</w:t>
      </w:r>
      <w:r w:rsidRPr="00DB35D4">
        <w:rPr>
          <w:rFonts w:cs="Arial"/>
          <w:vertAlign w:val="subscript"/>
        </w:rPr>
        <w:t>2</w:t>
      </w:r>
      <w:r w:rsidRPr="00DB35D4">
        <w:rPr>
          <w:rFonts w:cs="Arial"/>
        </w:rPr>
        <w:t xml:space="preserve"> emissions as well as guidelines for the calculation of offsetting requirements</w:t>
      </w:r>
      <w:sdt>
        <w:sdtPr>
          <w:rPr>
            <w:rFonts w:cs="Arial"/>
          </w:rPr>
          <w:id w:val="-59335840"/>
          <w:citation/>
        </w:sdtPr>
        <w:sdtEndPr/>
        <w:sdtContent>
          <w:r w:rsidRPr="00DB35D4">
            <w:rPr>
              <w:rFonts w:cs="Arial"/>
            </w:rPr>
            <w:fldChar w:fldCharType="begin"/>
          </w:r>
          <w:r w:rsidRPr="00DB35D4">
            <w:rPr>
              <w:rFonts w:cs="Arial"/>
            </w:rPr>
            <w:instrText xml:space="preserve"> CITATION Int18 \l 1033 </w:instrText>
          </w:r>
          <w:r w:rsidRPr="00DB35D4">
            <w:rPr>
              <w:rFonts w:cs="Arial"/>
            </w:rPr>
            <w:fldChar w:fldCharType="separate"/>
          </w:r>
          <w:r w:rsidR="00487700">
            <w:rPr>
              <w:rFonts w:cs="Arial"/>
              <w:noProof/>
            </w:rPr>
            <w:t xml:space="preserve"> </w:t>
          </w:r>
          <w:r w:rsidR="00487700" w:rsidRPr="00487700">
            <w:rPr>
              <w:rFonts w:cs="Arial"/>
              <w:noProof/>
            </w:rPr>
            <w:t>(Internation Civil Aviation Organisation, 2018)</w:t>
          </w:r>
          <w:r w:rsidRPr="00DB35D4">
            <w:rPr>
              <w:rFonts w:cs="Arial"/>
            </w:rPr>
            <w:fldChar w:fldCharType="end"/>
          </w:r>
        </w:sdtContent>
      </w:sdt>
      <w:r w:rsidRPr="00DB35D4">
        <w:rPr>
          <w:rFonts w:cs="Arial"/>
        </w:rPr>
        <w:t>.</w:t>
      </w:r>
    </w:p>
    <w:p w14:paraId="4FABB4C9" w14:textId="77777777" w:rsidR="005664B6" w:rsidRPr="00DB35D4" w:rsidRDefault="005664B6" w:rsidP="005664B6">
      <w:pPr>
        <w:pStyle w:val="MAIL1"/>
      </w:pPr>
      <w:bookmarkStart w:id="365" w:name="_Toc90893014"/>
      <w:bookmarkStart w:id="366" w:name="_Toc91752468"/>
      <w:r w:rsidRPr="00DB35D4">
        <w:t>Result-Based Climate Financing</w:t>
      </w:r>
      <w:bookmarkEnd w:id="365"/>
      <w:bookmarkEnd w:id="366"/>
    </w:p>
    <w:p w14:paraId="09435093" w14:textId="77777777" w:rsidR="005664B6" w:rsidRPr="00DB35D4" w:rsidRDefault="005664B6" w:rsidP="005664B6">
      <w:pPr>
        <w:rPr>
          <w:rFonts w:cs="Arial"/>
          <w:lang w:eastAsia="el-GR"/>
        </w:rPr>
      </w:pPr>
      <w:r w:rsidRPr="00DB35D4">
        <w:rPr>
          <w:rFonts w:cs="Arial"/>
          <w:lang w:eastAsia="el-GR"/>
        </w:rPr>
        <w:t>Results-Based Climate Financing (RBCF) is a financing modality or approach under which a donor or investor disburses funds to a upon the achievement and independent verification of a pre-agreed set of results. Four criteria must be followed:</w:t>
      </w:r>
    </w:p>
    <w:p w14:paraId="7676CACD" w14:textId="77777777" w:rsidR="005664B6" w:rsidRPr="00DB35D4" w:rsidRDefault="005664B6" w:rsidP="00A01330">
      <w:pPr>
        <w:pStyle w:val="ListParagraph"/>
        <w:numPr>
          <w:ilvl w:val="0"/>
          <w:numId w:val="33"/>
        </w:numPr>
        <w:spacing w:before="0" w:after="160"/>
        <w:rPr>
          <w:rFonts w:cs="Arial"/>
          <w:lang w:eastAsia="el-GR"/>
        </w:rPr>
      </w:pPr>
      <w:r w:rsidRPr="00DB35D4">
        <w:rPr>
          <w:rFonts w:cs="Arial"/>
          <w:lang w:eastAsia="el-GR"/>
        </w:rPr>
        <w:t xml:space="preserve">Payments are made for climate mitigation or adaptation </w:t>
      </w:r>
      <w:proofErr w:type="gramStart"/>
      <w:r w:rsidRPr="00DB35D4">
        <w:rPr>
          <w:rFonts w:cs="Arial"/>
          <w:lang w:eastAsia="el-GR"/>
        </w:rPr>
        <w:t>results;</w:t>
      </w:r>
      <w:proofErr w:type="gramEnd"/>
    </w:p>
    <w:p w14:paraId="464F0B8A" w14:textId="77777777" w:rsidR="005664B6" w:rsidRPr="00DB35D4" w:rsidRDefault="005664B6" w:rsidP="00A01330">
      <w:pPr>
        <w:pStyle w:val="ListParagraph"/>
        <w:numPr>
          <w:ilvl w:val="0"/>
          <w:numId w:val="33"/>
        </w:numPr>
        <w:spacing w:before="0" w:after="160"/>
        <w:rPr>
          <w:rFonts w:cs="Arial"/>
          <w:lang w:eastAsia="el-GR"/>
        </w:rPr>
      </w:pPr>
      <w:r w:rsidRPr="00DB35D4">
        <w:rPr>
          <w:rFonts w:cs="Arial"/>
          <w:lang w:eastAsia="el-GR"/>
        </w:rPr>
        <w:t xml:space="preserve">Payments are made ex </w:t>
      </w:r>
      <w:proofErr w:type="gramStart"/>
      <w:r w:rsidRPr="00DB35D4">
        <w:rPr>
          <w:rFonts w:cs="Arial"/>
          <w:lang w:eastAsia="el-GR"/>
        </w:rPr>
        <w:t>post;</w:t>
      </w:r>
      <w:proofErr w:type="gramEnd"/>
    </w:p>
    <w:p w14:paraId="617A8AB7" w14:textId="77777777" w:rsidR="005664B6" w:rsidRPr="00DB35D4" w:rsidRDefault="005664B6" w:rsidP="00A01330">
      <w:pPr>
        <w:pStyle w:val="ListParagraph"/>
        <w:numPr>
          <w:ilvl w:val="0"/>
          <w:numId w:val="33"/>
        </w:numPr>
        <w:spacing w:before="0" w:after="160"/>
        <w:rPr>
          <w:rFonts w:cs="Arial"/>
          <w:lang w:eastAsia="el-GR"/>
        </w:rPr>
      </w:pPr>
      <w:r w:rsidRPr="00DB35D4">
        <w:rPr>
          <w:rFonts w:cs="Arial"/>
          <w:lang w:eastAsia="el-GR"/>
        </w:rPr>
        <w:t xml:space="preserve">Payments are made once predefined results have been </w:t>
      </w:r>
      <w:proofErr w:type="gramStart"/>
      <w:r w:rsidRPr="00DB35D4">
        <w:rPr>
          <w:rFonts w:cs="Arial"/>
          <w:lang w:eastAsia="el-GR"/>
        </w:rPr>
        <w:t>achieved;</w:t>
      </w:r>
      <w:proofErr w:type="gramEnd"/>
    </w:p>
    <w:p w14:paraId="352889AA" w14:textId="77777777" w:rsidR="005664B6" w:rsidRPr="00DB35D4" w:rsidRDefault="005664B6" w:rsidP="00A01330">
      <w:pPr>
        <w:pStyle w:val="ListParagraph"/>
        <w:numPr>
          <w:ilvl w:val="0"/>
          <w:numId w:val="33"/>
        </w:numPr>
        <w:spacing w:before="0" w:after="160"/>
        <w:rPr>
          <w:rFonts w:cs="Arial"/>
          <w:lang w:eastAsia="el-GR"/>
        </w:rPr>
      </w:pPr>
      <w:r w:rsidRPr="00DB35D4">
        <w:rPr>
          <w:rFonts w:cs="Arial"/>
          <w:lang w:eastAsia="el-GR"/>
        </w:rPr>
        <w:t>Reported results have been independently verified.</w:t>
      </w:r>
    </w:p>
    <w:p w14:paraId="6F3609E9" w14:textId="77777777" w:rsidR="005664B6" w:rsidRPr="00DB35D4" w:rsidRDefault="005664B6" w:rsidP="005664B6">
      <w:pPr>
        <w:rPr>
          <w:rFonts w:cs="Arial"/>
          <w:lang w:eastAsia="el-GR"/>
        </w:rPr>
      </w:pPr>
      <w:r w:rsidRPr="00DB35D4">
        <w:rPr>
          <w:rFonts w:cs="Arial"/>
          <w:lang w:eastAsia="el-GR"/>
        </w:rPr>
        <w:t>To understand the role RBCF can play in supporting the Paris Agreement, it is important to recognize RBCF is both an approach that can be combined in a program with other financial instruments—such as upfront grants, loans, or guarantees—and a vehicle for delivering the funding associated with those financial instruments.</w:t>
      </w:r>
    </w:p>
    <w:p w14:paraId="0727109B" w14:textId="77777777" w:rsidR="005664B6" w:rsidRPr="00DB35D4" w:rsidRDefault="005664B6" w:rsidP="005664B6">
      <w:pPr>
        <w:rPr>
          <w:rFonts w:cs="Arial"/>
          <w:lang w:eastAsia="el-GR"/>
        </w:rPr>
      </w:pPr>
      <w:r w:rsidRPr="00DB35D4">
        <w:rPr>
          <w:rFonts w:cs="Arial"/>
          <w:lang w:eastAsia="el-GR"/>
        </w:rPr>
        <w:t xml:space="preserve">In a recent report given by World Bank Group 74 sample programs are analyzed. The 12 largest programs providing international public RBCF to developing countries identified in this report reached their estimated peak capitalization of $2.6 billion in 2015. About 90 percent of these funds are dedicated to the </w:t>
      </w:r>
      <w:r w:rsidRPr="00DB35D4">
        <w:rPr>
          <w:rFonts w:cs="Arial"/>
          <w:b/>
          <w:lang w:eastAsia="el-GR"/>
        </w:rPr>
        <w:t>forestry and land use sector</w:t>
      </w:r>
      <w:r w:rsidRPr="00DB35D4">
        <w:rPr>
          <w:rFonts w:cs="Arial"/>
          <w:lang w:eastAsia="el-GR"/>
        </w:rPr>
        <w:t>. While this number was up from $2 billion in 2010, it is expected to rapidly decline over the next few years, unless additional funds are provided.</w:t>
      </w:r>
    </w:p>
    <w:p w14:paraId="00B4BF96" w14:textId="72715974" w:rsidR="005664B6" w:rsidRPr="00DB35D4" w:rsidRDefault="005664B6" w:rsidP="005664B6">
      <w:pPr>
        <w:rPr>
          <w:rFonts w:cs="Arial"/>
          <w:lang w:eastAsia="el-GR"/>
        </w:rPr>
      </w:pPr>
      <w:r w:rsidRPr="00DB35D4">
        <w:rPr>
          <w:rFonts w:cs="Arial"/>
          <w:lang w:eastAsia="el-GR"/>
        </w:rPr>
        <w:t xml:space="preserve">The 74 programs of the sample underlying this report are evenly distributed among the Sub-Saharan Africa Region (29 programs), the Latin America and the Caribbean Region (29 programs), and the East Asia and Pacific Region (28 programs) (Image 18). Several programs are implemented in more than one region. The prevalence of RBCF in low-income countries, as well as its application in middle-income countries, indicates the potential for the broad application of the approach, and its ability to overcome several barriers to investment identified in the literature, including limited access to financing and </w:t>
      </w:r>
      <w:r w:rsidRPr="00DB35D4">
        <w:rPr>
          <w:rFonts w:cs="Arial"/>
          <w:lang w:eastAsia="el-GR"/>
        </w:rPr>
        <w:lastRenderedPageBreak/>
        <w:t>a weak MRV infrastructure</w:t>
      </w:r>
      <w:sdt>
        <w:sdtPr>
          <w:rPr>
            <w:rFonts w:cs="Arial"/>
            <w:lang w:eastAsia="el-GR"/>
          </w:rPr>
          <w:id w:val="1396084320"/>
          <w:citation/>
        </w:sdtPr>
        <w:sdtEndPr/>
        <w:sdtContent>
          <w:r w:rsidRPr="00DB35D4">
            <w:rPr>
              <w:rFonts w:cs="Arial"/>
              <w:lang w:eastAsia="el-GR"/>
            </w:rPr>
            <w:fldChar w:fldCharType="begin"/>
          </w:r>
          <w:r w:rsidRPr="00DB35D4">
            <w:rPr>
              <w:rFonts w:cs="Arial"/>
              <w:lang w:eastAsia="el-GR"/>
            </w:rPr>
            <w:instrText xml:space="preserve">CITATION nteay \l 1033 </w:instrText>
          </w:r>
          <w:r w:rsidRPr="00DB35D4">
            <w:rPr>
              <w:rFonts w:cs="Arial"/>
              <w:lang w:eastAsia="el-GR"/>
            </w:rPr>
            <w:fldChar w:fldCharType="separate"/>
          </w:r>
          <w:r w:rsidR="00487700">
            <w:rPr>
              <w:rFonts w:cs="Arial"/>
              <w:noProof/>
              <w:lang w:eastAsia="el-GR"/>
            </w:rPr>
            <w:t xml:space="preserve"> </w:t>
          </w:r>
          <w:r w:rsidR="00487700" w:rsidRPr="00487700">
            <w:rPr>
              <w:rFonts w:cs="Arial"/>
              <w:noProof/>
              <w:lang w:eastAsia="el-GR"/>
            </w:rPr>
            <w:t>(International Bank for Reconstruction and Development / The World Bank, May)</w:t>
          </w:r>
          <w:r w:rsidRPr="00DB35D4">
            <w:rPr>
              <w:rFonts w:cs="Arial"/>
              <w:lang w:eastAsia="el-GR"/>
            </w:rPr>
            <w:fldChar w:fldCharType="end"/>
          </w:r>
        </w:sdtContent>
      </w:sdt>
      <w:r w:rsidRPr="00DB35D4">
        <w:rPr>
          <w:rFonts w:cs="Arial"/>
          <w:lang w:eastAsia="el-GR"/>
        </w:rPr>
        <w:t>.</w:t>
      </w:r>
    </w:p>
    <w:p w14:paraId="31269697" w14:textId="77777777" w:rsidR="005664B6" w:rsidRPr="00DB35D4" w:rsidRDefault="005664B6" w:rsidP="005664B6">
      <w:pPr>
        <w:keepNext/>
        <w:jc w:val="center"/>
        <w:rPr>
          <w:rFonts w:cs="Arial"/>
        </w:rPr>
      </w:pPr>
      <w:r w:rsidRPr="00DB35D4">
        <w:rPr>
          <w:rFonts w:cs="Arial"/>
          <w:noProof/>
          <w:lang w:val="es-ES" w:eastAsia="es-ES"/>
        </w:rPr>
        <w:drawing>
          <wp:inline distT="0" distB="0" distL="0" distR="0" wp14:anchorId="1B03186B" wp14:editId="60CC81AF">
            <wp:extent cx="5033042" cy="2998235"/>
            <wp:effectExtent l="0" t="0" r="0" b="0"/>
            <wp:docPr id="70" name="Εικόνα 51" descr="https://www.mainstreamingclimate.org/wp-content/uploads/2017/08/RBCF-geograp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ainstreamingclimate.org/wp-content/uploads/2017/08/RBCF-geography.png"/>
                    <pic:cNvPicPr>
                      <a:picLocks noChangeAspect="1" noChangeArrowheads="1"/>
                    </pic:cNvPicPr>
                  </pic:nvPicPr>
                  <pic:blipFill rotWithShape="1">
                    <a:blip r:embed="rId333">
                      <a:extLst>
                        <a:ext uri="{28A0092B-C50C-407E-A947-70E740481C1C}">
                          <a14:useLocalDpi xmlns:a14="http://schemas.microsoft.com/office/drawing/2010/main" val="0"/>
                        </a:ext>
                      </a:extLst>
                    </a:blip>
                    <a:srcRect t="7683"/>
                    <a:stretch/>
                  </pic:blipFill>
                  <pic:spPr bwMode="auto">
                    <a:xfrm>
                      <a:off x="0" y="0"/>
                      <a:ext cx="5065202" cy="3017393"/>
                    </a:xfrm>
                    <a:prstGeom prst="rect">
                      <a:avLst/>
                    </a:prstGeom>
                    <a:noFill/>
                    <a:ln>
                      <a:noFill/>
                    </a:ln>
                    <a:extLst>
                      <a:ext uri="{53640926-AAD7-44D8-BBD7-CCE9431645EC}">
                        <a14:shadowObscured xmlns:a14="http://schemas.microsoft.com/office/drawing/2010/main"/>
                      </a:ext>
                    </a:extLst>
                  </pic:spPr>
                </pic:pic>
              </a:graphicData>
            </a:graphic>
          </wp:inline>
        </w:drawing>
      </w:r>
    </w:p>
    <w:p w14:paraId="35CC88E5" w14:textId="3357134B" w:rsidR="005664B6" w:rsidRPr="00475531" w:rsidRDefault="005664B6" w:rsidP="00475531">
      <w:pPr>
        <w:pStyle w:val="Caption"/>
        <w:rPr>
          <w:rFonts w:cs="Arial"/>
          <w:b w:val="0"/>
          <w:bCs w:val="0"/>
        </w:rPr>
      </w:pPr>
      <w:bookmarkStart w:id="367" w:name="_Toc90888758"/>
      <w:bookmarkStart w:id="368" w:name="_Toc90893532"/>
      <w:bookmarkStart w:id="369" w:name="_Toc91752538"/>
      <w:r w:rsidRPr="00475531">
        <w:rPr>
          <w:rFonts w:cs="Arial"/>
        </w:rPr>
        <w:t xml:space="preserve">Figure </w:t>
      </w:r>
      <w:r w:rsidRPr="00475531">
        <w:rPr>
          <w:rFonts w:cs="Arial"/>
          <w:b w:val="0"/>
          <w:bCs w:val="0"/>
          <w:i/>
          <w:iCs/>
        </w:rPr>
        <w:fldChar w:fldCharType="begin"/>
      </w:r>
      <w:r w:rsidRPr="00475531">
        <w:rPr>
          <w:rFonts w:cs="Arial"/>
        </w:rPr>
        <w:instrText xml:space="preserve"> SEQ Figure \* ARABIC </w:instrText>
      </w:r>
      <w:r w:rsidRPr="00475531">
        <w:rPr>
          <w:rFonts w:cs="Arial"/>
          <w:b w:val="0"/>
          <w:bCs w:val="0"/>
          <w:i/>
          <w:iCs/>
        </w:rPr>
        <w:fldChar w:fldCharType="separate"/>
      </w:r>
      <w:r w:rsidR="0073710A">
        <w:rPr>
          <w:rFonts w:cs="Arial"/>
          <w:noProof/>
        </w:rPr>
        <w:t>54</w:t>
      </w:r>
      <w:r w:rsidRPr="00475531">
        <w:rPr>
          <w:rFonts w:cs="Arial"/>
          <w:b w:val="0"/>
          <w:bCs w:val="0"/>
          <w:i/>
          <w:iCs/>
        </w:rPr>
        <w:fldChar w:fldCharType="end"/>
      </w:r>
      <w:r w:rsidRPr="00475531">
        <w:rPr>
          <w:rFonts w:cs="Arial"/>
        </w:rPr>
        <w:t xml:space="preserve"> RBCF Programmes in different continents. Source: https://www.mainstreamingclimate.org/publication/new-report-from-the-world-bank-on-results-based-climate-financing/</w:t>
      </w:r>
      <w:bookmarkEnd w:id="367"/>
      <w:bookmarkEnd w:id="368"/>
      <w:bookmarkEnd w:id="369"/>
    </w:p>
    <w:p w14:paraId="02AC8BCE" w14:textId="77777777" w:rsidR="005664B6" w:rsidRPr="00DB35D4" w:rsidRDefault="005664B6" w:rsidP="005664B6">
      <w:pPr>
        <w:pStyle w:val="MAIL11"/>
        <w:rPr>
          <w:lang w:eastAsia="el-GR"/>
        </w:rPr>
      </w:pPr>
      <w:bookmarkStart w:id="370" w:name="_Toc90893015"/>
      <w:bookmarkStart w:id="371" w:name="_Toc91752469"/>
      <w:r w:rsidRPr="00DB35D4">
        <w:rPr>
          <w:lang w:eastAsia="el-GR"/>
        </w:rPr>
        <w:t>UN REDD Program</w:t>
      </w:r>
      <w:bookmarkEnd w:id="370"/>
      <w:bookmarkEnd w:id="371"/>
    </w:p>
    <w:p w14:paraId="307C0819" w14:textId="4D0B9ABF" w:rsidR="005664B6" w:rsidRPr="00DB35D4" w:rsidRDefault="005664B6" w:rsidP="005664B6">
      <w:pPr>
        <w:rPr>
          <w:rFonts w:cs="Arial"/>
          <w:lang w:eastAsia="el-GR"/>
        </w:rPr>
      </w:pPr>
      <w:bookmarkStart w:id="372" w:name="_Toc18677173"/>
      <w:r w:rsidRPr="00DB35D4">
        <w:rPr>
          <w:rFonts w:cs="Arial"/>
          <w:lang w:eastAsia="el-GR"/>
        </w:rPr>
        <w:t>The UN-REDD Program is the United Nations Collaborative Program on Reducing Emissions from Deforestation and forest Degradation (REDD+) in developing countries. The Program was launched in 2008 and builds on the convening role and technical expertise of the Food and Agriculture Organization of the United Nations (FAO), the United Nations Development Program (UNDP) and the United Nations Environment Program (UNEP). The Program supports nationally led REDD+ processes and promotes the informed and meaningful involvement of all stakeholders, including indigenous peoples and other forest-dependent communities, in national and international REDD+ implementation. Additionally, the program supports national REDD+ readiness efforts in </w:t>
      </w:r>
      <w:hyperlink r:id="rId334" w:tgtFrame="_blank" w:history="1">
        <w:r w:rsidRPr="00DB35D4">
          <w:rPr>
            <w:rFonts w:cs="Arial"/>
            <w:lang w:eastAsia="el-GR"/>
          </w:rPr>
          <w:t>65 partner countries</w:t>
        </w:r>
      </w:hyperlink>
      <w:r w:rsidRPr="00DB35D4">
        <w:rPr>
          <w:rFonts w:cs="Arial"/>
          <w:lang w:eastAsia="el-GR"/>
        </w:rPr>
        <w:t>, spanning Africa, Asia-Pacific and Latin America (</w:t>
      </w:r>
      <w:r w:rsidRPr="00DB35D4">
        <w:rPr>
          <w:rFonts w:cs="Arial"/>
        </w:rPr>
        <w:fldChar w:fldCharType="begin"/>
      </w:r>
      <w:r w:rsidRPr="00DB35D4">
        <w:rPr>
          <w:rFonts w:cs="Arial"/>
        </w:rPr>
        <w:instrText xml:space="preserve"> REF _Ref86400429 \h  \* MERGEFORMAT </w:instrText>
      </w:r>
      <w:r w:rsidRPr="00DB35D4">
        <w:rPr>
          <w:rFonts w:cs="Arial"/>
        </w:rPr>
      </w:r>
      <w:r w:rsidRPr="00DB35D4">
        <w:rPr>
          <w:rFonts w:cs="Arial"/>
        </w:rPr>
        <w:fldChar w:fldCharType="separate"/>
      </w:r>
      <w:r w:rsidR="0073710A" w:rsidRPr="0073710A">
        <w:rPr>
          <w:rFonts w:cs="Arial"/>
          <w:lang w:val="en-GB"/>
        </w:rPr>
        <w:t>Figure 55</w:t>
      </w:r>
      <w:r w:rsidRPr="00DB35D4">
        <w:rPr>
          <w:rFonts w:cs="Arial"/>
        </w:rPr>
        <w:fldChar w:fldCharType="end"/>
      </w:r>
      <w:r w:rsidRPr="00DB35D4">
        <w:rPr>
          <w:rFonts w:cs="Arial"/>
          <w:lang w:eastAsia="el-GR"/>
        </w:rPr>
        <w:t>).</w:t>
      </w:r>
    </w:p>
    <w:p w14:paraId="214F6BA5" w14:textId="0CA28F13" w:rsidR="005664B6" w:rsidRPr="00DB35D4" w:rsidRDefault="005664B6" w:rsidP="005664B6">
      <w:pPr>
        <w:rPr>
          <w:rFonts w:cs="Arial"/>
          <w:lang w:eastAsia="el-GR"/>
        </w:rPr>
      </w:pPr>
      <w:r w:rsidRPr="00DB35D4">
        <w:rPr>
          <w:rFonts w:cs="Arial"/>
          <w:lang w:eastAsia="el-GR"/>
        </w:rPr>
        <w:t>​</w:t>
      </w:r>
      <w:hyperlink r:id="rId335" w:tgtFrame="_blank" w:history="1">
        <w:r w:rsidRPr="00DB35D4">
          <w:rPr>
            <w:rFonts w:cs="Arial"/>
            <w:lang w:eastAsia="el-GR"/>
          </w:rPr>
          <w:t xml:space="preserve">Support </w:t>
        </w:r>
      </w:hyperlink>
      <w:r w:rsidRPr="00DB35D4">
        <w:rPr>
          <w:rFonts w:cs="Arial"/>
          <w:lang w:eastAsia="el-GR"/>
        </w:rPr>
        <w:t xml:space="preserve">to partner countries is delivered </w:t>
      </w:r>
      <w:proofErr w:type="gramStart"/>
      <w:r w:rsidRPr="00DB35D4">
        <w:rPr>
          <w:rFonts w:cs="Arial"/>
          <w:lang w:eastAsia="el-GR"/>
        </w:rPr>
        <w:t>through;</w:t>
      </w:r>
      <w:proofErr w:type="gramEnd"/>
    </w:p>
    <w:p w14:paraId="7EE16B22" w14:textId="77777777" w:rsidR="005664B6" w:rsidRPr="00DB35D4" w:rsidRDefault="005664B6" w:rsidP="00A01330">
      <w:pPr>
        <w:pStyle w:val="ListParagraph"/>
        <w:numPr>
          <w:ilvl w:val="0"/>
          <w:numId w:val="34"/>
        </w:numPr>
        <w:spacing w:before="0" w:after="160"/>
        <w:rPr>
          <w:rFonts w:cs="Arial"/>
          <w:lang w:eastAsia="el-GR"/>
        </w:rPr>
      </w:pPr>
      <w:r w:rsidRPr="00DB35D4">
        <w:rPr>
          <w:rFonts w:cs="Arial"/>
          <w:lang w:eastAsia="el-GR"/>
        </w:rPr>
        <w:t xml:space="preserve">​Direct support to the design and implementation of National REDD+ </w:t>
      </w:r>
      <w:proofErr w:type="gramStart"/>
      <w:r w:rsidRPr="00DB35D4">
        <w:rPr>
          <w:rFonts w:cs="Arial"/>
          <w:lang w:eastAsia="el-GR"/>
        </w:rPr>
        <w:t>Programs;</w:t>
      </w:r>
      <w:proofErr w:type="gramEnd"/>
    </w:p>
    <w:p w14:paraId="28D80185" w14:textId="77777777" w:rsidR="005664B6" w:rsidRPr="00DB35D4" w:rsidRDefault="005664B6" w:rsidP="00A01330">
      <w:pPr>
        <w:pStyle w:val="ListParagraph"/>
        <w:numPr>
          <w:ilvl w:val="0"/>
          <w:numId w:val="34"/>
        </w:numPr>
        <w:spacing w:before="0" w:after="160"/>
        <w:rPr>
          <w:rFonts w:cs="Arial"/>
          <w:lang w:eastAsia="el-GR"/>
        </w:rPr>
      </w:pPr>
      <w:r w:rsidRPr="00DB35D4">
        <w:rPr>
          <w:rFonts w:cs="Arial"/>
          <w:lang w:eastAsia="el-GR"/>
        </w:rPr>
        <w:t xml:space="preserve">Complementary tailored support to national REDD+ </w:t>
      </w:r>
      <w:proofErr w:type="gramStart"/>
      <w:r w:rsidRPr="00DB35D4">
        <w:rPr>
          <w:rFonts w:cs="Arial"/>
          <w:lang w:eastAsia="el-GR"/>
        </w:rPr>
        <w:t>actions;</w:t>
      </w:r>
      <w:proofErr w:type="gramEnd"/>
      <w:r w:rsidRPr="00DB35D4">
        <w:rPr>
          <w:rFonts w:cs="Arial"/>
          <w:lang w:eastAsia="el-GR"/>
        </w:rPr>
        <w:t> </w:t>
      </w:r>
    </w:p>
    <w:p w14:paraId="01BF2310" w14:textId="77777777" w:rsidR="005664B6" w:rsidRPr="00DB35D4" w:rsidRDefault="005664B6" w:rsidP="00A01330">
      <w:pPr>
        <w:pStyle w:val="ListParagraph"/>
        <w:numPr>
          <w:ilvl w:val="0"/>
          <w:numId w:val="34"/>
        </w:numPr>
        <w:spacing w:before="0" w:after="160"/>
        <w:rPr>
          <w:rFonts w:cs="Arial"/>
          <w:lang w:eastAsia="el-GR"/>
        </w:rPr>
      </w:pPr>
      <w:r w:rsidRPr="00DB35D4">
        <w:rPr>
          <w:rFonts w:cs="Arial"/>
          <w:lang w:eastAsia="el-GR"/>
        </w:rPr>
        <w:lastRenderedPageBreak/>
        <w:t xml:space="preserve">Technical capacity building support through sharing of expertise, common approaches, analyses, methodologies, tools, data, best practices and facilitated South-South knowledge sharing. </w:t>
      </w:r>
    </w:p>
    <w:p w14:paraId="1CB0C4D4" w14:textId="77777777" w:rsidR="005664B6" w:rsidRPr="00DB35D4" w:rsidRDefault="005664B6" w:rsidP="005664B6">
      <w:pPr>
        <w:keepNext/>
        <w:ind w:left="360"/>
        <w:rPr>
          <w:rFonts w:cs="Arial"/>
        </w:rPr>
      </w:pPr>
      <w:r w:rsidRPr="00DB35D4">
        <w:rPr>
          <w:rFonts w:cs="Arial"/>
          <w:noProof/>
          <w:lang w:val="es-ES" w:eastAsia="es-ES"/>
        </w:rPr>
        <w:drawing>
          <wp:inline distT="0" distB="0" distL="0" distR="0" wp14:anchorId="2097F4FC" wp14:editId="009E3C4C">
            <wp:extent cx="5075555" cy="2222500"/>
            <wp:effectExtent l="0" t="0" r="0" b="6350"/>
            <wp:docPr id="53" name="Εικόνα 53" descr="Εικόνα που περιέχει κείμενο, υπολογιστής, εσωτερικό, φορητός υπολογιστή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Εικόνα 27" descr="Εικόνα που περιέχει κείμενο, υπολογιστής, εσωτερικό, φορητός υπολογιστής&#10;&#10;Περιγραφή που δημιουργήθηκε αυτόματα"/>
                    <pic:cNvPicPr/>
                  </pic:nvPicPr>
                  <pic:blipFill rotWithShape="1">
                    <a:blip r:embed="rId336"/>
                    <a:srcRect l="4673" t="45205" r="6241" b="11456"/>
                    <a:stretch/>
                  </pic:blipFill>
                  <pic:spPr bwMode="auto">
                    <a:xfrm>
                      <a:off x="0" y="0"/>
                      <a:ext cx="5092606" cy="2229966"/>
                    </a:xfrm>
                    <a:prstGeom prst="rect">
                      <a:avLst/>
                    </a:prstGeom>
                    <a:ln>
                      <a:noFill/>
                    </a:ln>
                    <a:extLst>
                      <a:ext uri="{53640926-AAD7-44D8-BBD7-CCE9431645EC}">
                        <a14:shadowObscured xmlns:a14="http://schemas.microsoft.com/office/drawing/2010/main"/>
                      </a:ext>
                    </a:extLst>
                  </pic:spPr>
                </pic:pic>
              </a:graphicData>
            </a:graphic>
          </wp:inline>
        </w:drawing>
      </w:r>
    </w:p>
    <w:p w14:paraId="578F86B5" w14:textId="16445AB7" w:rsidR="005664B6" w:rsidRPr="00475531" w:rsidRDefault="005664B6" w:rsidP="00475531">
      <w:pPr>
        <w:pStyle w:val="Caption"/>
        <w:rPr>
          <w:rFonts w:cs="Arial"/>
          <w:b w:val="0"/>
          <w:bCs w:val="0"/>
        </w:rPr>
      </w:pPr>
      <w:bookmarkStart w:id="373" w:name="_Ref86400429"/>
      <w:bookmarkStart w:id="374" w:name="_Toc90888759"/>
      <w:bookmarkStart w:id="375" w:name="_Toc90893533"/>
      <w:bookmarkStart w:id="376" w:name="_Toc91752539"/>
      <w:r w:rsidRPr="00475531">
        <w:rPr>
          <w:rFonts w:cs="Arial"/>
        </w:rPr>
        <w:t xml:space="preserve">Figure </w:t>
      </w:r>
      <w:r w:rsidRPr="00475531">
        <w:rPr>
          <w:rFonts w:cs="Arial"/>
          <w:b w:val="0"/>
          <w:bCs w:val="0"/>
          <w:i/>
          <w:iCs/>
        </w:rPr>
        <w:fldChar w:fldCharType="begin"/>
      </w:r>
      <w:r w:rsidRPr="00475531">
        <w:rPr>
          <w:rFonts w:cs="Arial"/>
        </w:rPr>
        <w:instrText xml:space="preserve"> SEQ Figure \* ARABIC </w:instrText>
      </w:r>
      <w:r w:rsidRPr="00475531">
        <w:rPr>
          <w:rFonts w:cs="Arial"/>
          <w:b w:val="0"/>
          <w:bCs w:val="0"/>
          <w:i/>
          <w:iCs/>
        </w:rPr>
        <w:fldChar w:fldCharType="separate"/>
      </w:r>
      <w:r w:rsidR="0073710A">
        <w:rPr>
          <w:rFonts w:cs="Arial"/>
          <w:noProof/>
        </w:rPr>
        <w:t>55</w:t>
      </w:r>
      <w:r w:rsidRPr="00475531">
        <w:rPr>
          <w:rFonts w:cs="Arial"/>
          <w:b w:val="0"/>
          <w:bCs w:val="0"/>
          <w:i/>
          <w:iCs/>
        </w:rPr>
        <w:fldChar w:fldCharType="end"/>
      </w:r>
      <w:bookmarkEnd w:id="373"/>
      <w:r w:rsidRPr="00475531">
        <w:rPr>
          <w:rFonts w:cs="Arial"/>
        </w:rPr>
        <w:t xml:space="preserve"> UN-REDD National Programmes (blue) and UN-REDD Partner Countries (green) countries. Source: https://en.wikipedia.org/wiki/United_Nations_REDD_Programme</w:t>
      </w:r>
      <w:bookmarkEnd w:id="374"/>
      <w:bookmarkEnd w:id="375"/>
      <w:bookmarkEnd w:id="376"/>
    </w:p>
    <w:p w14:paraId="382FA652" w14:textId="77777777" w:rsidR="005664B6" w:rsidRPr="00DB35D4" w:rsidRDefault="005664B6" w:rsidP="005664B6">
      <w:pPr>
        <w:pStyle w:val="MAIL11"/>
      </w:pPr>
      <w:bookmarkStart w:id="377" w:name="_Toc90893016"/>
      <w:bookmarkStart w:id="378" w:name="_Toc91752470"/>
      <w:bookmarkEnd w:id="372"/>
      <w:r w:rsidRPr="00DB35D4">
        <w:t>Activities out of the box</w:t>
      </w:r>
      <w:bookmarkEnd w:id="377"/>
      <w:bookmarkEnd w:id="378"/>
    </w:p>
    <w:p w14:paraId="170C6618" w14:textId="77777777" w:rsidR="005664B6" w:rsidRPr="00DB35D4" w:rsidRDefault="005664B6" w:rsidP="005664B6">
      <w:pPr>
        <w:rPr>
          <w:rFonts w:cs="Arial"/>
          <w:lang w:eastAsia="el-GR"/>
        </w:rPr>
      </w:pPr>
      <w:r w:rsidRPr="00DB35D4">
        <w:rPr>
          <w:rFonts w:cs="Arial"/>
          <w:lang w:eastAsia="el-GR"/>
        </w:rPr>
        <w:t>Climate change mitigation is one of the biggest challenges not only for our generation but also for at least the next generations till 2100. The impact of the use of fossil fuels and the production of CO</w:t>
      </w:r>
      <w:r w:rsidRPr="00DB35D4">
        <w:rPr>
          <w:rFonts w:cs="Arial"/>
          <w:vertAlign w:val="subscript"/>
          <w:lang w:eastAsia="el-GR"/>
        </w:rPr>
        <w:t>2</w:t>
      </w:r>
      <w:r w:rsidRPr="00DB35D4">
        <w:rPr>
          <w:rFonts w:cs="Arial"/>
          <w:lang w:eastAsia="el-GR"/>
        </w:rPr>
        <w:t xml:space="preserve"> and other GHGs emissions has been evident worldwide since the weather changing and becoming more extreme across all longitudes and latitudes.</w:t>
      </w:r>
    </w:p>
    <w:p w14:paraId="51B55313" w14:textId="77777777" w:rsidR="005664B6" w:rsidRPr="00DB35D4" w:rsidRDefault="005664B6" w:rsidP="005664B6">
      <w:pPr>
        <w:rPr>
          <w:rFonts w:cs="Arial"/>
          <w:lang w:eastAsia="el-GR"/>
        </w:rPr>
      </w:pPr>
      <w:r w:rsidRPr="00DB35D4">
        <w:rPr>
          <w:rFonts w:cs="Arial"/>
          <w:lang w:eastAsia="el-GR"/>
        </w:rPr>
        <w:t xml:space="preserve">A lot of individuals but also companies are working beyond ETS, CDM and other official mechanisms in their effort to mitigate, but also, and most important, to influence their customers be environmentally friendly and minimize their emissions. During the editing of the current manuscript and in the search of facts, techniques and methodologies concerning climate change mitigation activities a small number of exceptional success stories-paradigms (according to the author’s opinion) against climate change but effects were found and are given bellow. </w:t>
      </w:r>
    </w:p>
    <w:p w14:paraId="3440EE1F" w14:textId="77777777" w:rsidR="005664B6" w:rsidRPr="00DB35D4" w:rsidRDefault="005664B6" w:rsidP="005664B6">
      <w:pPr>
        <w:rPr>
          <w:rFonts w:cs="Arial"/>
          <w:b/>
          <w:lang w:eastAsia="el-GR"/>
        </w:rPr>
      </w:pPr>
      <w:r w:rsidRPr="00DB35D4">
        <w:rPr>
          <w:rFonts w:cs="Arial"/>
          <w:b/>
          <w:lang w:eastAsia="el-GR"/>
        </w:rPr>
        <w:t>ECOSIA</w:t>
      </w:r>
    </w:p>
    <w:p w14:paraId="39FBFC85" w14:textId="77777777" w:rsidR="005664B6" w:rsidRPr="00DB35D4" w:rsidRDefault="005664B6" w:rsidP="005664B6">
      <w:pPr>
        <w:rPr>
          <w:rFonts w:cs="Arial"/>
          <w:lang w:eastAsia="el-GR"/>
        </w:rPr>
      </w:pPr>
      <w:r w:rsidRPr="00DB35D4">
        <w:rPr>
          <w:rFonts w:cs="Arial"/>
          <w:lang w:eastAsia="el-GR"/>
        </w:rPr>
        <w:t>Ecosia is an Internet search engine based in Berlin, Germany, that plants trees by donating 80% or more of its profits to nonprofit organizations that focus on Reforestation. Ecosia considers itself a social business, is CO</w:t>
      </w:r>
      <w:r w:rsidRPr="00DB35D4">
        <w:rPr>
          <w:rFonts w:cs="Arial"/>
          <w:vertAlign w:val="subscript"/>
          <w:lang w:eastAsia="el-GR"/>
        </w:rPr>
        <w:t>2</w:t>
      </w:r>
      <w:r w:rsidRPr="00DB35D4">
        <w:rPr>
          <w:rFonts w:cs="Arial"/>
          <w:lang w:eastAsia="el-GR"/>
        </w:rPr>
        <w:t xml:space="preserve">-negative, claims to support full financial transparency, protect the privacy of its users; and is certified by B-Lab as a benefit corporation. </w:t>
      </w:r>
    </w:p>
    <w:p w14:paraId="13134B51" w14:textId="77777777" w:rsidR="005664B6" w:rsidRPr="00DB35D4" w:rsidRDefault="005664B6" w:rsidP="005664B6">
      <w:pPr>
        <w:rPr>
          <w:rFonts w:cs="Arial"/>
          <w:lang w:eastAsia="el-GR"/>
        </w:rPr>
      </w:pPr>
      <w:r w:rsidRPr="00DB35D4">
        <w:rPr>
          <w:rFonts w:cs="Arial"/>
          <w:lang w:eastAsia="el-GR"/>
        </w:rPr>
        <w:lastRenderedPageBreak/>
        <w:t>The website maintains a running total of the number of trees planted. According to their website, as of 9th September 2019, the search engine had been responsible for the planting of more than 67 million trees.</w:t>
      </w:r>
    </w:p>
    <w:p w14:paraId="663D2376" w14:textId="53579076" w:rsidR="005664B6" w:rsidRPr="00DB35D4" w:rsidRDefault="005664B6" w:rsidP="005664B6">
      <w:pPr>
        <w:rPr>
          <w:rFonts w:cs="Arial"/>
          <w:b/>
          <w:lang w:eastAsia="el-GR"/>
        </w:rPr>
      </w:pPr>
      <w:r w:rsidRPr="00DB35D4">
        <w:rPr>
          <w:rFonts w:cs="Arial"/>
          <w:b/>
          <w:lang w:eastAsia="el-GR"/>
        </w:rPr>
        <w:t xml:space="preserve">Site: </w:t>
      </w:r>
      <w:hyperlink r:id="rId337" w:history="1">
        <w:r w:rsidRPr="00DB35D4">
          <w:rPr>
            <w:rStyle w:val="Hyperlink"/>
            <w:rFonts w:cs="Arial"/>
            <w:b/>
            <w:lang w:eastAsia="el-GR"/>
          </w:rPr>
          <w:t>www.ecosia.org</w:t>
        </w:r>
      </w:hyperlink>
    </w:p>
    <w:p w14:paraId="5286592E" w14:textId="77777777" w:rsidR="005664B6" w:rsidRPr="00DB35D4" w:rsidRDefault="005664B6" w:rsidP="005664B6">
      <w:pPr>
        <w:rPr>
          <w:rFonts w:cs="Arial"/>
          <w:lang w:eastAsia="el-GR"/>
        </w:rPr>
      </w:pPr>
      <w:r w:rsidRPr="00DB35D4">
        <w:rPr>
          <w:rFonts w:cs="Arial"/>
          <w:b/>
          <w:lang w:eastAsia="el-GR"/>
        </w:rPr>
        <w:t>Timberland</w:t>
      </w:r>
      <w:r w:rsidRPr="00DB35D4">
        <w:rPr>
          <w:rFonts w:cs="Arial"/>
          <w:lang w:eastAsia="el-GR"/>
        </w:rPr>
        <w:t xml:space="preserve"> </w:t>
      </w:r>
    </w:p>
    <w:p w14:paraId="07182875" w14:textId="7ADB66B0" w:rsidR="005664B6" w:rsidRPr="00DB35D4" w:rsidRDefault="005664B6" w:rsidP="005664B6">
      <w:pPr>
        <w:rPr>
          <w:rFonts w:cs="Arial"/>
        </w:rPr>
      </w:pPr>
      <w:r w:rsidRPr="00DB35D4">
        <w:rPr>
          <w:rFonts w:cs="Arial"/>
        </w:rPr>
        <w:t>The goal the big apparel company is to inspire a greening movement that makes a difference every day with tangible and small actions. The company emphasizes to make heroes out of its potential customers for the shake of environment, people of open-minded and multi-generational “Changemakers,” who devote their talents to making a difference, committed together to building a better future for the environment and the people who live in it</w:t>
      </w:r>
      <w:r w:rsidRPr="00DB35D4">
        <w:rPr>
          <w:rFonts w:cs="Arial"/>
          <w:lang w:eastAsia="el-GR"/>
        </w:rPr>
        <w:t xml:space="preserve"> </w:t>
      </w:r>
      <w:sdt>
        <w:sdtPr>
          <w:rPr>
            <w:rFonts w:cs="Arial"/>
            <w:lang w:eastAsia="el-GR"/>
          </w:rPr>
          <w:id w:val="442201341"/>
          <w:citation/>
        </w:sdtPr>
        <w:sdtEndPr/>
        <w:sdtContent>
          <w:r w:rsidRPr="00DB35D4">
            <w:rPr>
              <w:rFonts w:cs="Arial"/>
              <w:lang w:eastAsia="el-GR"/>
            </w:rPr>
            <w:fldChar w:fldCharType="begin"/>
          </w:r>
          <w:r w:rsidRPr="00DB35D4">
            <w:rPr>
              <w:rFonts w:cs="Arial"/>
              <w:lang w:eastAsia="el-GR"/>
            </w:rPr>
            <w:instrText xml:space="preserve"> CITATION Tim19 \l 1033 </w:instrText>
          </w:r>
          <w:r w:rsidRPr="00DB35D4">
            <w:rPr>
              <w:rFonts w:cs="Arial"/>
              <w:lang w:eastAsia="el-GR"/>
            </w:rPr>
            <w:fldChar w:fldCharType="separate"/>
          </w:r>
          <w:r w:rsidR="00487700" w:rsidRPr="00487700">
            <w:rPr>
              <w:rFonts w:cs="Arial"/>
              <w:noProof/>
              <w:lang w:eastAsia="el-GR"/>
            </w:rPr>
            <w:t>(Timberland, 2019)</w:t>
          </w:r>
          <w:r w:rsidRPr="00DB35D4">
            <w:rPr>
              <w:rFonts w:cs="Arial"/>
              <w:lang w:eastAsia="el-GR"/>
            </w:rPr>
            <w:fldChar w:fldCharType="end"/>
          </w:r>
        </w:sdtContent>
      </w:sdt>
      <w:r w:rsidRPr="00DB35D4">
        <w:rPr>
          <w:rFonts w:cs="Arial"/>
        </w:rPr>
        <w:t xml:space="preserve">. </w:t>
      </w:r>
    </w:p>
    <w:p w14:paraId="44D4D5D0" w14:textId="2D750A09" w:rsidR="005664B6" w:rsidRPr="00DB35D4" w:rsidRDefault="005664B6" w:rsidP="005664B6">
      <w:pPr>
        <w:rPr>
          <w:rFonts w:cs="Arial"/>
          <w:lang w:eastAsia="el-GR"/>
        </w:rPr>
      </w:pPr>
      <w:r w:rsidRPr="00DB35D4">
        <w:rPr>
          <w:rFonts w:cs="Arial"/>
        </w:rPr>
        <w:t>According to the newsletter Timberland aims to plant 50billion trees 2025</w:t>
      </w:r>
      <w:sdt>
        <w:sdtPr>
          <w:rPr>
            <w:rFonts w:cs="Arial"/>
          </w:rPr>
          <w:id w:val="-836609370"/>
          <w:citation/>
        </w:sdtPr>
        <w:sdtEndPr/>
        <w:sdtContent>
          <w:r w:rsidRPr="00DB35D4">
            <w:rPr>
              <w:rFonts w:cs="Arial"/>
            </w:rPr>
            <w:fldChar w:fldCharType="begin"/>
          </w:r>
          <w:r w:rsidRPr="00DB35D4">
            <w:rPr>
              <w:rFonts w:cs="Arial"/>
              <w:lang w:eastAsia="el-GR"/>
            </w:rPr>
            <w:instrText xml:space="preserve"> CITATION Tim191 \l 1033 </w:instrText>
          </w:r>
          <w:r w:rsidRPr="00DB35D4">
            <w:rPr>
              <w:rFonts w:cs="Arial"/>
            </w:rPr>
            <w:fldChar w:fldCharType="separate"/>
          </w:r>
          <w:r w:rsidR="00487700">
            <w:rPr>
              <w:rFonts w:cs="Arial"/>
              <w:noProof/>
              <w:lang w:eastAsia="el-GR"/>
            </w:rPr>
            <w:t xml:space="preserve"> </w:t>
          </w:r>
          <w:r w:rsidR="00487700" w:rsidRPr="00487700">
            <w:rPr>
              <w:rFonts w:cs="Arial"/>
              <w:noProof/>
              <w:lang w:eastAsia="el-GR"/>
            </w:rPr>
            <w:t>(Timberland , 2019)</w:t>
          </w:r>
          <w:r w:rsidRPr="00DB35D4">
            <w:rPr>
              <w:rFonts w:cs="Arial"/>
            </w:rPr>
            <w:fldChar w:fldCharType="end"/>
          </w:r>
        </w:sdtContent>
      </w:sdt>
    </w:p>
    <w:p w14:paraId="341B6714" w14:textId="77777777" w:rsidR="005664B6" w:rsidRPr="00DB35D4" w:rsidRDefault="005664B6" w:rsidP="005664B6">
      <w:pPr>
        <w:rPr>
          <w:rFonts w:cs="Arial"/>
          <w:b/>
          <w:lang w:eastAsia="el-GR"/>
        </w:rPr>
      </w:pPr>
      <w:r w:rsidRPr="00DB35D4">
        <w:rPr>
          <w:rFonts w:cs="Arial"/>
          <w:b/>
          <w:lang w:eastAsia="el-GR"/>
        </w:rPr>
        <w:t xml:space="preserve">Porsche </w:t>
      </w:r>
    </w:p>
    <w:p w14:paraId="1A4E2DEE" w14:textId="191F7918" w:rsidR="005664B6" w:rsidRPr="00DB35D4" w:rsidRDefault="005664B6" w:rsidP="005664B6">
      <w:pPr>
        <w:rPr>
          <w:rFonts w:cs="Arial"/>
        </w:rPr>
      </w:pPr>
      <w:r w:rsidRPr="00DB35D4">
        <w:rPr>
          <w:rFonts w:cs="Arial"/>
        </w:rPr>
        <w:t xml:space="preserve">Porsche will soon introduce its first zero-emissions vehicle, the battery-powered </w:t>
      </w:r>
      <w:hyperlink r:id="rId338" w:history="1">
        <w:proofErr w:type="spellStart"/>
        <w:r w:rsidRPr="00DB35D4">
          <w:rPr>
            <w:rStyle w:val="Hyperlink"/>
            <w:rFonts w:cs="Arial"/>
          </w:rPr>
          <w:t>Taycan</w:t>
        </w:r>
        <w:proofErr w:type="spellEnd"/>
      </w:hyperlink>
      <w:r w:rsidRPr="00DB35D4">
        <w:rPr>
          <w:rFonts w:cs="Arial"/>
        </w:rPr>
        <w:t xml:space="preserve"> sedan, but in the meantime, the company is launching an initiative in the United States that will allow its customers to reach carbon neutrality.</w:t>
      </w:r>
    </w:p>
    <w:p w14:paraId="4444B7C3" w14:textId="677556C6" w:rsidR="005664B6" w:rsidRPr="00DB35D4" w:rsidRDefault="005664B6" w:rsidP="005664B6">
      <w:pPr>
        <w:rPr>
          <w:rFonts w:cs="Arial"/>
        </w:rPr>
      </w:pPr>
      <w:r w:rsidRPr="00DB35D4">
        <w:rPr>
          <w:rFonts w:cs="Arial"/>
        </w:rPr>
        <w:t xml:space="preserve">The program, known as </w:t>
      </w:r>
      <w:hyperlink r:id="rId339" w:history="1">
        <w:r w:rsidRPr="00DB35D4">
          <w:rPr>
            <w:rStyle w:val="Hyperlink"/>
            <w:rFonts w:cs="Arial"/>
          </w:rPr>
          <w:t>Porsche</w:t>
        </w:r>
      </w:hyperlink>
      <w:r w:rsidRPr="00DB35D4">
        <w:rPr>
          <w:rFonts w:cs="Arial"/>
        </w:rPr>
        <w:t xml:space="preserve"> Impact, uses an online tool to estimate an individual’s carbon dioxide emissions based on mileage and average fuel consumption. Once calculated, that individual is given a link and invited to make a financial contribution to an environmental cause that will help offset their specific carbon footprint.</w:t>
      </w:r>
    </w:p>
    <w:p w14:paraId="1B4A8570" w14:textId="77777777" w:rsidR="005664B6" w:rsidRPr="00DB35D4" w:rsidRDefault="005664B6" w:rsidP="005664B6">
      <w:pPr>
        <w:rPr>
          <w:rFonts w:cs="Arial"/>
        </w:rPr>
      </w:pPr>
      <w:r w:rsidRPr="00DB35D4">
        <w:rPr>
          <w:rFonts w:cs="Arial"/>
        </w:rPr>
        <w:t xml:space="preserve">“Porsche drivers want it </w:t>
      </w:r>
      <w:proofErr w:type="gramStart"/>
      <w:r w:rsidRPr="00DB35D4">
        <w:rPr>
          <w:rFonts w:cs="Arial"/>
        </w:rPr>
        <w:t>all, and</w:t>
      </w:r>
      <w:proofErr w:type="gramEnd"/>
      <w:r w:rsidRPr="00DB35D4">
        <w:rPr>
          <w:rFonts w:cs="Arial"/>
        </w:rPr>
        <w:t xml:space="preserve"> offering an option for greater sustainability is part of creating a superb Porsche experience,” said Klaus </w:t>
      </w:r>
      <w:proofErr w:type="spellStart"/>
      <w:r w:rsidRPr="00DB35D4">
        <w:rPr>
          <w:rFonts w:cs="Arial"/>
        </w:rPr>
        <w:t>Zellmer</w:t>
      </w:r>
      <w:proofErr w:type="spellEnd"/>
      <w:r w:rsidRPr="00DB35D4">
        <w:rPr>
          <w:rFonts w:cs="Arial"/>
        </w:rPr>
        <w:t>, President and CEO of Porsche Cars North America. “Porsche Impact connects our strategies for innovation, mobility and sustainability with the individual customer.”</w:t>
      </w:r>
    </w:p>
    <w:p w14:paraId="14EDEC1D" w14:textId="77777777" w:rsidR="005664B6" w:rsidRPr="00DB35D4" w:rsidRDefault="005664B6" w:rsidP="005664B6">
      <w:pPr>
        <w:rPr>
          <w:rFonts w:cs="Arial"/>
        </w:rPr>
      </w:pPr>
      <w:r w:rsidRPr="00DB35D4">
        <w:rPr>
          <w:rFonts w:cs="Arial"/>
        </w:rPr>
        <w:t>Porsche owners can select from one of four approved projects to support: forest protection in the U.S., hydropower in Vietnam, solar energy in Mexico, and habitat preservation in Zimbabwe.</w:t>
      </w:r>
    </w:p>
    <w:p w14:paraId="0687C086" w14:textId="77777777" w:rsidR="005664B6" w:rsidRPr="00DB35D4" w:rsidRDefault="005664B6" w:rsidP="005664B6">
      <w:pPr>
        <w:rPr>
          <w:rFonts w:cs="Arial"/>
        </w:rPr>
      </w:pPr>
      <w:r w:rsidRPr="00DB35D4">
        <w:rPr>
          <w:rFonts w:cs="Arial"/>
        </w:rPr>
        <w:t>The cost of any given trip using Porsche Impact obviously varies based on vehicle and driving habits, but the company estimates the annual cost for a 2019 Cayenne S driven 10,000 miles per year would be between $67 and $152, depending on the project selected.</w:t>
      </w:r>
    </w:p>
    <w:p w14:paraId="20F179B2" w14:textId="77777777" w:rsidR="005664B6" w:rsidRPr="00DB35D4" w:rsidRDefault="005664B6" w:rsidP="005664B6">
      <w:pPr>
        <w:rPr>
          <w:rFonts w:cs="Arial"/>
        </w:rPr>
      </w:pPr>
      <w:r w:rsidRPr="00DB35D4">
        <w:rPr>
          <w:rFonts w:cs="Arial"/>
        </w:rPr>
        <w:lastRenderedPageBreak/>
        <w:t xml:space="preserve">To show its support for the program, Porsche Cars North America has enrolled </w:t>
      </w:r>
      <w:proofErr w:type="gramStart"/>
      <w:r w:rsidRPr="00DB35D4">
        <w:rPr>
          <w:rFonts w:cs="Arial"/>
        </w:rPr>
        <w:t>all of</w:t>
      </w:r>
      <w:proofErr w:type="gramEnd"/>
      <w:r w:rsidRPr="00DB35D4">
        <w:rPr>
          <w:rFonts w:cs="Arial"/>
        </w:rPr>
        <w:t xml:space="preserve"> its Porsche Experience Center cars in Porsche Impact, as well as the vehicles in its Porsche Passport subscription fleet.</w:t>
      </w:r>
    </w:p>
    <w:p w14:paraId="6AD67129" w14:textId="77777777" w:rsidR="005664B6" w:rsidRPr="00DB35D4" w:rsidRDefault="005664B6" w:rsidP="005664B6">
      <w:pPr>
        <w:rPr>
          <w:rFonts w:cs="Arial"/>
        </w:rPr>
      </w:pPr>
      <w:r w:rsidRPr="00DB35D4">
        <w:rPr>
          <w:rFonts w:cs="Arial"/>
        </w:rPr>
        <w:t>The Porsche Impact program is managed by Swiss-based carbon finance consultancy South Pole. Porsche Impact has been available to customers in Germany, the UK, and Poland since 2018.</w:t>
      </w:r>
    </w:p>
    <w:p w14:paraId="3FC02762" w14:textId="63BDE311" w:rsidR="005664B6" w:rsidRPr="00DB35D4" w:rsidRDefault="005664B6" w:rsidP="005664B6">
      <w:pPr>
        <w:rPr>
          <w:rFonts w:cs="Arial"/>
        </w:rPr>
      </w:pPr>
      <w:r w:rsidRPr="00DB35D4">
        <w:rPr>
          <w:rFonts w:cs="Arial"/>
        </w:rPr>
        <w:t>Porsche isn't the first company to offer customer a carbon offset program. In 2007, both Volkswagen and Land Rover offered similar programs of their own. However, both of those programs have since been suspended</w:t>
      </w:r>
      <w:sdt>
        <w:sdtPr>
          <w:rPr>
            <w:rFonts w:cs="Arial"/>
          </w:rPr>
          <w:id w:val="302587510"/>
          <w:citation/>
        </w:sdtPr>
        <w:sdtEndPr/>
        <w:sdtContent>
          <w:r w:rsidRPr="00DB35D4">
            <w:rPr>
              <w:rFonts w:cs="Arial"/>
            </w:rPr>
            <w:fldChar w:fldCharType="begin"/>
          </w:r>
          <w:r w:rsidRPr="00DB35D4">
            <w:rPr>
              <w:rFonts w:cs="Arial"/>
            </w:rPr>
            <w:instrText xml:space="preserve"> CITATION Por19 \l 1033 </w:instrText>
          </w:r>
          <w:r w:rsidRPr="00DB35D4">
            <w:rPr>
              <w:rFonts w:cs="Arial"/>
            </w:rPr>
            <w:fldChar w:fldCharType="separate"/>
          </w:r>
          <w:r w:rsidR="00487700">
            <w:rPr>
              <w:rFonts w:cs="Arial"/>
              <w:noProof/>
            </w:rPr>
            <w:t xml:space="preserve"> </w:t>
          </w:r>
          <w:r w:rsidR="00487700" w:rsidRPr="00487700">
            <w:rPr>
              <w:rFonts w:cs="Arial"/>
              <w:noProof/>
            </w:rPr>
            <w:t>(Porsche, 2019)</w:t>
          </w:r>
          <w:r w:rsidRPr="00DB35D4">
            <w:rPr>
              <w:rFonts w:cs="Arial"/>
            </w:rPr>
            <w:fldChar w:fldCharType="end"/>
          </w:r>
        </w:sdtContent>
      </w:sdt>
      <w:r w:rsidRPr="00DB35D4">
        <w:rPr>
          <w:rFonts w:cs="Arial"/>
        </w:rPr>
        <w:t>. </w:t>
      </w:r>
    </w:p>
    <w:p w14:paraId="49B3AD3F" w14:textId="77777777" w:rsidR="005664B6" w:rsidRPr="00DB35D4" w:rsidRDefault="005664B6" w:rsidP="005664B6">
      <w:pPr>
        <w:pStyle w:val="MAIL1"/>
      </w:pPr>
      <w:r w:rsidRPr="00DB35D4">
        <w:t xml:space="preserve"> </w:t>
      </w:r>
      <w:bookmarkStart w:id="379" w:name="_Toc90893017"/>
      <w:bookmarkStart w:id="380" w:name="_Toc91752471"/>
      <w:r w:rsidRPr="00DB35D4">
        <w:t>Implementation of sustainable management for MLs</w:t>
      </w:r>
      <w:bookmarkEnd w:id="379"/>
      <w:bookmarkEnd w:id="380"/>
    </w:p>
    <w:p w14:paraId="0D0A3124" w14:textId="26602876" w:rsidR="005664B6" w:rsidRPr="00DB35D4" w:rsidRDefault="005664B6" w:rsidP="005664B6">
      <w:pPr>
        <w:rPr>
          <w:rFonts w:cs="Arial"/>
          <w:lang w:val="en-GB"/>
        </w:rPr>
      </w:pPr>
      <w:r w:rsidRPr="00DB35D4">
        <w:rPr>
          <w:rFonts w:cs="Arial"/>
          <w:lang w:val="en-GB"/>
        </w:rPr>
        <w:t>In this Chapter, the integration of a given project into the voluntary carbon market</w:t>
      </w:r>
      <w:r w:rsidR="00475531">
        <w:rPr>
          <w:rFonts w:cs="Arial"/>
          <w:lang w:val="en-GB"/>
        </w:rPr>
        <w:t xml:space="preserve"> </w:t>
      </w:r>
      <w:r w:rsidR="00475531" w:rsidRPr="00DB35D4">
        <w:rPr>
          <w:rFonts w:cs="Arial"/>
          <w:lang w:val="en-GB"/>
        </w:rPr>
        <w:t>is described</w:t>
      </w:r>
      <w:r w:rsidRPr="00DB35D4">
        <w:rPr>
          <w:rFonts w:cs="Arial"/>
          <w:lang w:val="en-GB"/>
        </w:rPr>
        <w:t>. The stakeholders’ role in the project, from the development until the implementation is illustrated below, as well as the steps and the stages that the project must follow</w:t>
      </w:r>
      <w:r w:rsidRPr="00DB35D4">
        <w:rPr>
          <w:rFonts w:cs="Arial"/>
        </w:rPr>
        <w:t xml:space="preserve"> </w:t>
      </w:r>
      <w:r w:rsidRPr="00DB35D4">
        <w:rPr>
          <w:rFonts w:cs="Arial"/>
          <w:lang w:val="en-GB"/>
        </w:rPr>
        <w:t xml:space="preserve">for </w:t>
      </w:r>
      <w:proofErr w:type="gramStart"/>
      <w:r w:rsidRPr="00DB35D4">
        <w:rPr>
          <w:rFonts w:cs="Arial"/>
          <w:lang w:val="en-GB"/>
        </w:rPr>
        <w:t>entering into</w:t>
      </w:r>
      <w:proofErr w:type="gramEnd"/>
      <w:r w:rsidRPr="00DB35D4">
        <w:rPr>
          <w:rFonts w:cs="Arial"/>
          <w:lang w:val="en-GB"/>
        </w:rPr>
        <w:t xml:space="preserve"> the carbon market. Although there are numerous of programs and standards in which the </w:t>
      </w:r>
      <w:r w:rsidRPr="00DB35D4">
        <w:rPr>
          <w:rFonts w:cs="Arial"/>
          <w:b/>
          <w:bCs/>
          <w:i/>
          <w:iCs/>
          <w:color w:val="31479E" w:themeColor="accent1" w:themeShade="BF"/>
          <w:lang w:val="en-GB"/>
        </w:rPr>
        <w:t>MAIL</w:t>
      </w:r>
      <w:r w:rsidRPr="00DB35D4">
        <w:rPr>
          <w:rFonts w:cs="Arial"/>
          <w:lang w:val="en-GB"/>
        </w:rPr>
        <w:t xml:space="preserve"> Project can be assimilated, in this chapter three have been chosen to be reported. The Gold Standard, the Plan Vivo and the Verified Carbon Standard were selected and described due to the global geographical coverage and to their wide hearsay and scope. Additionally, these standards have broadly project type coverage, especially in afforestation and reforestation project methodologies, and they are functional/ operational in the way that several GHG programs have ceased operations, while some standards have not yet seen wide applicability since their founding </w:t>
      </w:r>
      <w:r w:rsidRPr="00DB35D4">
        <w:rPr>
          <w:rFonts w:cs="Arial"/>
          <w:lang w:val="en-GB"/>
        </w:rPr>
        <w:fldChar w:fldCharType="begin" w:fldLock="1"/>
      </w:r>
      <w:r w:rsidRPr="00DB35D4">
        <w:rPr>
          <w:rFonts w:cs="Arial"/>
          <w:lang w:val="en-GB"/>
        </w:rPr>
        <w:instrText>ADDIN CSL_CITATION {"citationItems":[{"id":"ITEM-1","itemData":{"abstract":"Phone +49 (0)228 / 60 492-0, Fax -19 Phone +49 (0)30 / 28 88 356-0, Fax -1 Internet: www.germanwatch.org We thank for the constructive input of Dietrich Brockhagen (atmosfair), Norbert Gorißen (BMUB) and Christoph Bals (Germanwatch) A comparison of carbon market standards for REDD+ projects GERMANWATCH 3 Content","author":[{"dropping-particle":"","family":"Schmidt","given":"Lars","non-dropping-particle":"","parse-names":false,"suffix":""},{"dropping-particle":"","family":"Gerber","given":"Kristin","non-dropping-particle":"","parse-names":false,"suffix":""}],"id":"ITEM-1","issued":{"date-parts":[["2016"]]},"page":"32","title":"A comparison of carbon market standards for REDD+ projects","type":"article-journal"},"uris":["http://www.mendeley.com/documents/?uuid=b0407716-168f-4058-abe6-2e68cd1fdc47"]}],"mendeley":{"formattedCitation":"(Schmidt &amp; Gerber, 2016)","plainTextFormattedCitation":"(Schmidt &amp; Gerber, 2016)","previouslyFormattedCitation":"(Schmidt &amp; Gerber, 2016)"},"properties":{"noteIndex":0},"schema":"https://github.com/citation-style-language/schema/raw/master/csl-citation.json"}</w:instrText>
      </w:r>
      <w:r w:rsidRPr="00DB35D4">
        <w:rPr>
          <w:rFonts w:cs="Arial"/>
          <w:lang w:val="en-GB"/>
        </w:rPr>
        <w:fldChar w:fldCharType="separate"/>
      </w:r>
      <w:r w:rsidRPr="00DB35D4">
        <w:rPr>
          <w:rFonts w:cs="Arial"/>
          <w:noProof/>
          <w:lang w:val="en-GB"/>
        </w:rPr>
        <w:t>(Schmidt &amp; Gerber, 2016)</w:t>
      </w:r>
      <w:r w:rsidRPr="00DB35D4">
        <w:rPr>
          <w:rFonts w:cs="Arial"/>
          <w:lang w:val="en-GB"/>
        </w:rPr>
        <w:fldChar w:fldCharType="end"/>
      </w:r>
      <w:r w:rsidRPr="00DB35D4">
        <w:rPr>
          <w:rFonts w:cs="Arial"/>
          <w:lang w:val="en-GB"/>
        </w:rPr>
        <w:t>. The most important principles and requirement that each standard has are listed and explained in detail. It should be noticed that for the sake of simplicity and practicality, other standards currently available in the voluntary market are not covered in this chapter. The stakeholders are encouraged to review such standards to decide which of them are best suited to their project ideas.</w:t>
      </w:r>
    </w:p>
    <w:p w14:paraId="5B0BF117" w14:textId="77777777" w:rsidR="005664B6" w:rsidRPr="00DB35D4" w:rsidRDefault="005664B6" w:rsidP="005664B6">
      <w:pPr>
        <w:pStyle w:val="MAIL11"/>
      </w:pPr>
      <w:bookmarkStart w:id="381" w:name="_Toc90893018"/>
      <w:bookmarkStart w:id="382" w:name="_Toc91752472"/>
      <w:r w:rsidRPr="00DB35D4">
        <w:t>Carbon offset Projects</w:t>
      </w:r>
      <w:bookmarkEnd w:id="381"/>
      <w:bookmarkEnd w:id="382"/>
    </w:p>
    <w:p w14:paraId="742CF657" w14:textId="77777777" w:rsidR="005664B6" w:rsidRPr="00DB35D4" w:rsidRDefault="005664B6" w:rsidP="005664B6">
      <w:pPr>
        <w:rPr>
          <w:rFonts w:cs="Arial"/>
          <w:lang w:val="en-GB"/>
        </w:rPr>
      </w:pPr>
      <w:r w:rsidRPr="00DB35D4">
        <w:rPr>
          <w:rFonts w:cs="Arial"/>
          <w:lang w:val="en-GB"/>
        </w:rPr>
        <w:t xml:space="preserve">Carbon offset credits can be generated through a variety of actions that reduce GHG emissions or increase carbon sequestration. In </w:t>
      </w:r>
      <w:proofErr w:type="gramStart"/>
      <w:r w:rsidRPr="00DB35D4">
        <w:rPr>
          <w:rFonts w:cs="Arial"/>
          <w:lang w:val="en-GB"/>
        </w:rPr>
        <w:t>the majority of</w:t>
      </w:r>
      <w:proofErr w:type="gramEnd"/>
      <w:r w:rsidRPr="00DB35D4">
        <w:rPr>
          <w:rFonts w:cs="Arial"/>
          <w:lang w:val="en-GB"/>
        </w:rPr>
        <w:t xml:space="preserve"> cases, these actions are carried out as discrete “projects.” For example, a carbon offset project could include </w:t>
      </w:r>
      <w:r w:rsidRPr="00DB35D4">
        <w:rPr>
          <w:rFonts w:cs="Arial"/>
          <w:lang w:val="en-GB"/>
        </w:rPr>
        <w:lastRenderedPageBreak/>
        <w:t xml:space="preserve">renewable energy production, avoided deforestation, and so on. Projects can range in size from small scale / local scale (e.g., decreasing </w:t>
      </w:r>
      <w:proofErr w:type="gramStart"/>
      <w:r w:rsidRPr="00DB35D4">
        <w:rPr>
          <w:rFonts w:cs="Arial"/>
          <w:lang w:val="en-GB"/>
        </w:rPr>
        <w:t>hundreds</w:t>
      </w:r>
      <w:proofErr w:type="gramEnd"/>
      <w:r w:rsidRPr="00DB35D4">
        <w:rPr>
          <w:rFonts w:cs="Arial"/>
          <w:lang w:val="en-GB"/>
        </w:rPr>
        <w:t xml:space="preserve"> tonnes of CO</w:t>
      </w:r>
      <w:r w:rsidRPr="00DB35D4">
        <w:rPr>
          <w:rFonts w:cs="Arial"/>
          <w:vertAlign w:val="subscript"/>
          <w:lang w:val="en-GB"/>
        </w:rPr>
        <w:t>2</w:t>
      </w:r>
      <w:r w:rsidRPr="00DB35D4">
        <w:rPr>
          <w:rFonts w:cs="Arial"/>
          <w:lang w:val="en-GB"/>
        </w:rPr>
        <w:t>e per year) to large scale / national or international scale (e.g., reducing millions tonnes of CO</w:t>
      </w:r>
      <w:r w:rsidRPr="00DB35D4">
        <w:rPr>
          <w:rFonts w:cs="Arial"/>
          <w:vertAlign w:val="subscript"/>
          <w:lang w:val="en-GB"/>
        </w:rPr>
        <w:t>2</w:t>
      </w:r>
      <w:r w:rsidRPr="00DB35D4">
        <w:rPr>
          <w:rFonts w:cs="Arial"/>
          <w:lang w:val="en-GB"/>
        </w:rPr>
        <w:t xml:space="preserve">e per year). Large scale "programs of activities" (e.g. “programs” pioneered under the Kyoto Protocol’s Clean Development Mechanism), that aggregate numerous similar small projects or coordinated efforts across entire jurisdictions, can also create carbon offset credits (such as in the case of avoided deforestation) </w:t>
      </w:r>
      <w:r w:rsidRPr="00DB35D4">
        <w:rPr>
          <w:rFonts w:cs="Arial"/>
          <w:lang w:val="en-GB"/>
        </w:rPr>
        <w:fldChar w:fldCharType="begin" w:fldLock="1"/>
      </w:r>
      <w:r w:rsidRPr="00DB35D4">
        <w:rPr>
          <w:rFonts w:cs="Arial"/>
          <w:lang w:val="en-GB"/>
        </w:rPr>
        <w:instrText>ADDIN CSL_CITATION {"citationItems":[{"id":"ITEM-1","itemData":{"abstract":"ACKNOWLEDGEMENT We are grateful to the High Tide Foundation for supporting the development of this guidance and the accompanying web resource. The mission of the High Tide Foundation is to have a significant, measureable impact on climate change mitigation.","author":[{"dropping-particle":"","family":"Broekhoff","given":"Derik","non-dropping-particle":"","parse-names":false,"suffix":""},{"dropping-particle":"","family":"Gillenwater","given":"Michael","non-dropping-particle":"","parse-names":false,"suffix":""},{"dropping-particle":"","family":"Colbert-Sangree","given":"Tani","non-dropping-particle":"","parse-names":false,"suffix":""},{"dropping-particle":"","family":"Cage","given":"Patrick","non-dropping-particle":"","parse-names":false,"suffix":""}],"container-title":"… &amp; Greenhouse Gas …","id":"ITEM-1","issued":{"date-parts":[["2019"]]},"page":"59","title":"Securing Climate Benefit : A Guide to Using Carbon Offsets","type":"article-journal"},"uris":["http://www.mendeley.com/documents/?uuid=ebed0081-4855-4504-b2a1-a4e2f8db8a44"]},{"id":"ITEM-2","itemData":{"ISBN":"no U10 - NOT DONE","abstract":"Carbon offsetting is an increasingly popular means of taking action to reduce carbon emmission, and works through both voluntary and compliance mechanisms. The report discusses the role of the voluntary carbon offset market, and provides an overview and guide to the most important currently available standards, using the Clean Development Mechanism (CDM) as a benchmark. The report compares the standards side-by-side and outlines the most pertinent aspects of each. It also includes a one page reference table for a quick comparison of the standards. The evaluated standards are: Clean Development Mechanism (CDM); Gold Standard (GS); Voluntary Carbon Standard 2007 (VCS 2007); VER; Voluntary Offset Standard (VOS); Chicago Climate Exchange (CCX); Climate, Community &amp; Biodiversity Standards (CCBS); Plan Vivo System; ISO 14064-2; GHG Protocol for Project Accounting","author":[{"dropping-particle":"","family":"Kollmuss","given":"Anja","non-dropping-particle":"","parse-names":false,"suffix":""},{"dropping-particle":"","family":"Zink","given":"Helge","non-dropping-particle":"","parse-names":false,"suffix":""},{"dropping-particle":"","family":"Polycarp","given":"Clifford","non-dropping-particle":"","parse-names":false,"suffix":""}],"container-title":"WWF Germany","id":"ITEM-2","issue":"2","issued":{"date-parts":[["2008"]]},"number-of-pages":"105","title":"Making Sense of the Voluntary Carbon Market: A Comparison of Carbon Offset Standards","type":"report","volume":"51"},"uris":["http://www.mendeley.com/documents/?uuid=10e1fef2-6e2d-448d-a80e-1028089aea7a"]}],"mendeley":{"formattedCitation":"(Broekhoff et al., 2019; Kollmuss et al., 2008)","plainTextFormattedCitation":"(Broekhoff et al., 2019; Kollmuss et al., 2008)","previouslyFormattedCitation":"(Broekhoff et al., 2019; Kollmuss et al., 2008)"},"properties":{"noteIndex":0},"schema":"https://github.com/citation-style-language/schema/raw/master/csl-citation.json"}</w:instrText>
      </w:r>
      <w:r w:rsidRPr="00DB35D4">
        <w:rPr>
          <w:rFonts w:cs="Arial"/>
          <w:lang w:val="en-GB"/>
        </w:rPr>
        <w:fldChar w:fldCharType="separate"/>
      </w:r>
      <w:r w:rsidRPr="00DB35D4">
        <w:rPr>
          <w:rFonts w:cs="Arial"/>
          <w:noProof/>
          <w:lang w:val="en-GB"/>
        </w:rPr>
        <w:t>(Broekhoff et al., 2019; Kollmuss et al., 2008)</w:t>
      </w:r>
      <w:r w:rsidRPr="00DB35D4">
        <w:rPr>
          <w:rFonts w:cs="Arial"/>
          <w:lang w:val="en-GB"/>
        </w:rPr>
        <w:fldChar w:fldCharType="end"/>
      </w:r>
      <w:r w:rsidRPr="00DB35D4">
        <w:rPr>
          <w:rFonts w:cs="Arial"/>
          <w:lang w:val="en-GB"/>
        </w:rPr>
        <w:t>.</w:t>
      </w:r>
    </w:p>
    <w:p w14:paraId="7BF35286" w14:textId="77777777" w:rsidR="005664B6" w:rsidRPr="00DB35D4" w:rsidRDefault="005664B6" w:rsidP="005664B6">
      <w:pPr>
        <w:rPr>
          <w:rFonts w:cs="Arial"/>
          <w:lang w:val="en-GB"/>
        </w:rPr>
      </w:pPr>
      <w:r w:rsidRPr="00DB35D4">
        <w:rPr>
          <w:rFonts w:cs="Arial"/>
          <w:lang w:val="en-GB"/>
        </w:rPr>
        <w:t>A variety of parties, stakeholders, and authorities must be involved in the design, implementation, and operation of carbon offset projects. Although the parties involved vary from project to project, the following indicate the most common market player categories and types.</w:t>
      </w:r>
    </w:p>
    <w:p w14:paraId="40B1E6AD" w14:textId="77777777" w:rsidR="005664B6" w:rsidRPr="00DB35D4" w:rsidRDefault="005664B6" w:rsidP="00A01330">
      <w:pPr>
        <w:pStyle w:val="ListParagraph"/>
        <w:numPr>
          <w:ilvl w:val="0"/>
          <w:numId w:val="36"/>
        </w:numPr>
        <w:spacing w:before="0" w:after="160"/>
        <w:rPr>
          <w:rFonts w:cs="Arial"/>
          <w:lang w:val="en-GB"/>
        </w:rPr>
      </w:pPr>
      <w:r w:rsidRPr="00DB35D4">
        <w:rPr>
          <w:rFonts w:cs="Arial"/>
          <w:b/>
          <w:bCs/>
          <w:lang w:val="en-GB"/>
        </w:rPr>
        <w:t>The project owner</w:t>
      </w:r>
      <w:r w:rsidRPr="00DB35D4">
        <w:rPr>
          <w:rFonts w:cs="Arial"/>
          <w:lang w:val="en-GB"/>
        </w:rPr>
        <w:t xml:space="preserve"> is the person that manages and owns the physical installation where the emission reduction project takes place. An owner might be a private individual, a company, or another organization.</w:t>
      </w:r>
    </w:p>
    <w:p w14:paraId="03EB4867" w14:textId="77777777" w:rsidR="005664B6" w:rsidRPr="00DB35D4" w:rsidRDefault="005664B6" w:rsidP="00A01330">
      <w:pPr>
        <w:pStyle w:val="ListParagraph"/>
        <w:numPr>
          <w:ilvl w:val="0"/>
          <w:numId w:val="36"/>
        </w:numPr>
        <w:spacing w:before="0" w:after="160"/>
        <w:rPr>
          <w:rFonts w:cs="Arial"/>
          <w:lang w:val="en-GB"/>
        </w:rPr>
      </w:pPr>
      <w:r w:rsidRPr="00DB35D4">
        <w:rPr>
          <w:rFonts w:cs="Arial"/>
          <w:b/>
          <w:bCs/>
          <w:lang w:val="en-GB"/>
        </w:rPr>
        <w:t>The Project Developer</w:t>
      </w:r>
      <w:r w:rsidRPr="00DB35D4">
        <w:rPr>
          <w:rFonts w:cs="Arial"/>
          <w:lang w:val="en-GB"/>
        </w:rPr>
        <w:t xml:space="preserve"> is a person or organization who is working on a project to reduce emissions. This could be the project owner, a consultant, or a provider of specialized services.</w:t>
      </w:r>
    </w:p>
    <w:p w14:paraId="74454AD1" w14:textId="77777777" w:rsidR="005664B6" w:rsidRPr="00DB35D4" w:rsidRDefault="005664B6" w:rsidP="00A01330">
      <w:pPr>
        <w:pStyle w:val="ListParagraph"/>
        <w:numPr>
          <w:ilvl w:val="0"/>
          <w:numId w:val="36"/>
        </w:numPr>
        <w:spacing w:before="0" w:after="160"/>
        <w:rPr>
          <w:rFonts w:cs="Arial"/>
          <w:lang w:val="en-GB"/>
        </w:rPr>
      </w:pPr>
      <w:r w:rsidRPr="00DB35D4">
        <w:rPr>
          <w:rFonts w:cs="Arial"/>
          <w:lang w:val="en-GB"/>
        </w:rPr>
        <w:t xml:space="preserve">Banks, private equity firms, private investors, non-profit organizations, and other organizations are examples of </w:t>
      </w:r>
      <w:r w:rsidRPr="00DB35D4">
        <w:rPr>
          <w:rFonts w:cs="Arial"/>
          <w:b/>
          <w:bCs/>
          <w:lang w:val="en-GB"/>
        </w:rPr>
        <w:t>project funders</w:t>
      </w:r>
      <w:r w:rsidRPr="00DB35D4">
        <w:rPr>
          <w:rFonts w:cs="Arial"/>
          <w:lang w:val="en-GB"/>
        </w:rPr>
        <w:t xml:space="preserve"> who may lend or invest equity to fund a project. Some offset program standards specify what types of funding, other than offset revenue, are permitted for offset projects.</w:t>
      </w:r>
    </w:p>
    <w:p w14:paraId="215424FF" w14:textId="77777777" w:rsidR="005664B6" w:rsidRPr="00DB35D4" w:rsidRDefault="005664B6" w:rsidP="00A01330">
      <w:pPr>
        <w:pStyle w:val="ListParagraph"/>
        <w:numPr>
          <w:ilvl w:val="0"/>
          <w:numId w:val="36"/>
        </w:numPr>
        <w:spacing w:before="0" w:after="160"/>
        <w:rPr>
          <w:rFonts w:cs="Arial"/>
          <w:lang w:val="en-GB"/>
        </w:rPr>
      </w:pPr>
      <w:r w:rsidRPr="00DB35D4">
        <w:rPr>
          <w:rFonts w:cs="Arial"/>
          <w:lang w:val="en-GB"/>
        </w:rPr>
        <w:t xml:space="preserve">Individuals and organizations who are directly or indirectly impacted by the emission reduction project are referred to as </w:t>
      </w:r>
      <w:r w:rsidRPr="00DB35D4">
        <w:rPr>
          <w:rFonts w:cs="Arial"/>
          <w:b/>
          <w:bCs/>
          <w:lang w:val="en-GB"/>
        </w:rPr>
        <w:t>stakeholders</w:t>
      </w:r>
      <w:r w:rsidRPr="00DB35D4">
        <w:rPr>
          <w:rFonts w:cs="Arial"/>
          <w:lang w:val="en-GB"/>
        </w:rPr>
        <w:t>. Parties interested in establishing a project (e.g., owner, developer, financier), parties affected by the project (e.g., local population, host community, environmental and human rights advocates), and national and international authorities are all examples of stakeholders.</w:t>
      </w:r>
    </w:p>
    <w:p w14:paraId="341C01DC" w14:textId="77777777" w:rsidR="005664B6" w:rsidRPr="00DB35D4" w:rsidRDefault="005664B6" w:rsidP="00A01330">
      <w:pPr>
        <w:pStyle w:val="ListParagraph"/>
        <w:numPr>
          <w:ilvl w:val="0"/>
          <w:numId w:val="36"/>
        </w:numPr>
        <w:spacing w:before="0" w:after="160"/>
        <w:rPr>
          <w:rFonts w:cs="Arial"/>
          <w:lang w:val="en-GB"/>
        </w:rPr>
      </w:pPr>
      <w:proofErr w:type="gramStart"/>
      <w:r w:rsidRPr="00DB35D4">
        <w:rPr>
          <w:rFonts w:cs="Arial"/>
          <w:lang w:val="en-GB"/>
        </w:rPr>
        <w:t>In order to</w:t>
      </w:r>
      <w:proofErr w:type="gramEnd"/>
      <w:r w:rsidRPr="00DB35D4">
        <w:rPr>
          <w:rFonts w:cs="Arial"/>
          <w:lang w:val="en-GB"/>
        </w:rPr>
        <w:t xml:space="preserve"> validate and verify a project's baseline, as well as its predicted and achieved emission reductions almost all offset programs require a </w:t>
      </w:r>
      <w:r w:rsidRPr="00DB35D4">
        <w:rPr>
          <w:rFonts w:cs="Arial"/>
          <w:b/>
          <w:bCs/>
          <w:lang w:val="en-GB"/>
        </w:rPr>
        <w:t>third-party auditor</w:t>
      </w:r>
      <w:r w:rsidRPr="00DB35D4">
        <w:rPr>
          <w:rFonts w:cs="Arial"/>
          <w:lang w:val="en-GB"/>
        </w:rPr>
        <w:t>. Most offset programs have procedures in place for approving third-party auditors before they may conduct validation and verification operations.</w:t>
      </w:r>
    </w:p>
    <w:p w14:paraId="318029BE" w14:textId="77777777" w:rsidR="005664B6" w:rsidRPr="00DB35D4" w:rsidRDefault="005664B6" w:rsidP="00A01330">
      <w:pPr>
        <w:pStyle w:val="ListParagraph"/>
        <w:numPr>
          <w:ilvl w:val="0"/>
          <w:numId w:val="36"/>
        </w:numPr>
        <w:spacing w:before="0" w:after="160"/>
        <w:rPr>
          <w:rFonts w:cs="Arial"/>
          <w:lang w:val="en-GB"/>
        </w:rPr>
      </w:pPr>
      <w:r w:rsidRPr="00DB35D4">
        <w:rPr>
          <w:rFonts w:cs="Arial"/>
          <w:lang w:val="en-GB"/>
        </w:rPr>
        <w:lastRenderedPageBreak/>
        <w:t xml:space="preserve">The role of </w:t>
      </w:r>
      <w:r w:rsidRPr="00DB35D4">
        <w:rPr>
          <w:rFonts w:cs="Arial"/>
          <w:b/>
          <w:bCs/>
          <w:lang w:val="en-GB"/>
        </w:rPr>
        <w:t>standard organizations</w:t>
      </w:r>
      <w:r w:rsidRPr="00DB35D4">
        <w:rPr>
          <w:rFonts w:cs="Arial"/>
          <w:lang w:val="en-GB"/>
        </w:rPr>
        <w:t xml:space="preserve"> is to define a set of rules and criteria for voluntary emission reduction credits in the absence of national or international legislation.</w:t>
      </w:r>
    </w:p>
    <w:p w14:paraId="1CCE292E" w14:textId="77777777" w:rsidR="005664B6" w:rsidRPr="00DB35D4" w:rsidRDefault="005664B6" w:rsidP="00A01330">
      <w:pPr>
        <w:pStyle w:val="ListParagraph"/>
        <w:numPr>
          <w:ilvl w:val="0"/>
          <w:numId w:val="36"/>
        </w:numPr>
        <w:spacing w:before="0" w:after="160"/>
        <w:rPr>
          <w:rFonts w:cs="Arial"/>
          <w:lang w:val="en-GB"/>
        </w:rPr>
      </w:pPr>
      <w:r w:rsidRPr="00DB35D4">
        <w:rPr>
          <w:rFonts w:cs="Arial"/>
          <w:lang w:val="en-GB"/>
        </w:rPr>
        <w:t xml:space="preserve">Emission offset buyers and sellers might use </w:t>
      </w:r>
      <w:r w:rsidRPr="00DB35D4">
        <w:rPr>
          <w:rFonts w:cs="Arial"/>
          <w:b/>
          <w:bCs/>
          <w:lang w:val="en-GB"/>
        </w:rPr>
        <w:t xml:space="preserve">brokers </w:t>
      </w:r>
      <w:r w:rsidRPr="00DB35D4">
        <w:rPr>
          <w:rFonts w:cs="Arial"/>
          <w:lang w:val="en-GB"/>
        </w:rPr>
        <w:t>or</w:t>
      </w:r>
      <w:r w:rsidRPr="00DB35D4">
        <w:rPr>
          <w:rFonts w:cs="Arial"/>
          <w:b/>
          <w:bCs/>
          <w:lang w:val="en-GB"/>
        </w:rPr>
        <w:t xml:space="preserve"> exchanges</w:t>
      </w:r>
      <w:r w:rsidRPr="00DB35D4">
        <w:rPr>
          <w:rFonts w:cs="Arial"/>
          <w:lang w:val="en-GB"/>
        </w:rPr>
        <w:t xml:space="preserve"> to ease transactions in the wholesale market for offset credits. Exchanges are normally chosen for frequent trades or large volumes of standardized contracts or products, whereas brokers are frequently used for non-standardized products, occasional trades, and small volumes.</w:t>
      </w:r>
    </w:p>
    <w:p w14:paraId="2C0E844E" w14:textId="77777777" w:rsidR="005664B6" w:rsidRPr="00DB35D4" w:rsidRDefault="005664B6" w:rsidP="00A01330">
      <w:pPr>
        <w:pStyle w:val="ListParagraph"/>
        <w:numPr>
          <w:ilvl w:val="0"/>
          <w:numId w:val="36"/>
        </w:numPr>
        <w:spacing w:before="0" w:after="160"/>
        <w:rPr>
          <w:rFonts w:cs="Arial"/>
          <w:lang w:val="en-GB"/>
        </w:rPr>
      </w:pPr>
      <w:r w:rsidRPr="00DB35D4">
        <w:rPr>
          <w:rFonts w:cs="Arial"/>
          <w:lang w:val="en-GB"/>
        </w:rPr>
        <w:t xml:space="preserve">Emissions reduction by professional </w:t>
      </w:r>
      <w:r w:rsidRPr="00DB35D4">
        <w:rPr>
          <w:rFonts w:cs="Arial"/>
          <w:b/>
          <w:bCs/>
          <w:lang w:val="en-GB"/>
        </w:rPr>
        <w:t>traders</w:t>
      </w:r>
      <w:r w:rsidRPr="00DB35D4">
        <w:rPr>
          <w:rFonts w:cs="Arial"/>
          <w:lang w:val="en-GB"/>
        </w:rPr>
        <w:t xml:space="preserve"> take advantage of market pricing distortions and arbitrage opportunities to buy and sell emission reductions.</w:t>
      </w:r>
    </w:p>
    <w:p w14:paraId="43F67FD3" w14:textId="77777777" w:rsidR="005664B6" w:rsidRPr="00DB35D4" w:rsidRDefault="005664B6" w:rsidP="00A01330">
      <w:pPr>
        <w:pStyle w:val="ListParagraph"/>
        <w:numPr>
          <w:ilvl w:val="0"/>
          <w:numId w:val="36"/>
        </w:numPr>
        <w:spacing w:before="0" w:after="160"/>
        <w:rPr>
          <w:rFonts w:cs="Arial"/>
          <w:lang w:val="en-GB"/>
        </w:rPr>
      </w:pPr>
      <w:r w:rsidRPr="00DB35D4">
        <w:rPr>
          <w:rFonts w:cs="Arial"/>
          <w:lang w:val="en-GB"/>
        </w:rPr>
        <w:t xml:space="preserve">Between project developers and buyers, </w:t>
      </w:r>
      <w:r w:rsidRPr="00DB35D4">
        <w:rPr>
          <w:rFonts w:cs="Arial"/>
          <w:b/>
          <w:bCs/>
          <w:lang w:val="en-GB"/>
        </w:rPr>
        <w:t>offset providers</w:t>
      </w:r>
      <w:r w:rsidRPr="00DB35D4">
        <w:rPr>
          <w:rFonts w:cs="Arial"/>
          <w:lang w:val="en-GB"/>
        </w:rPr>
        <w:t xml:space="preserve"> operate as aggregators and sellers. They make it simple for consumers and businesses to obtain offset credits from a portfolio of projects.</w:t>
      </w:r>
    </w:p>
    <w:p w14:paraId="6292932C" w14:textId="77777777" w:rsidR="005664B6" w:rsidRPr="00DB35D4" w:rsidRDefault="005664B6" w:rsidP="00A01330">
      <w:pPr>
        <w:pStyle w:val="ListParagraph"/>
        <w:numPr>
          <w:ilvl w:val="0"/>
          <w:numId w:val="36"/>
        </w:numPr>
        <w:spacing w:before="0" w:after="160"/>
        <w:rPr>
          <w:rFonts w:cs="Arial"/>
          <w:lang w:val="en-GB"/>
        </w:rPr>
      </w:pPr>
      <w:r w:rsidRPr="00DB35D4">
        <w:rPr>
          <w:rFonts w:cs="Arial"/>
          <w:lang w:val="en-GB"/>
        </w:rPr>
        <w:t xml:space="preserve">Carbon offsets are purchased by individuals and organizations to offset GHG emissions. As a result, the </w:t>
      </w:r>
      <w:r w:rsidRPr="00DB35D4">
        <w:rPr>
          <w:rFonts w:cs="Arial"/>
          <w:b/>
          <w:bCs/>
          <w:lang w:val="en-GB"/>
        </w:rPr>
        <w:t>final buyer</w:t>
      </w:r>
      <w:r w:rsidRPr="00DB35D4">
        <w:rPr>
          <w:rFonts w:cs="Arial"/>
          <w:lang w:val="en-GB"/>
        </w:rPr>
        <w:t xml:space="preserve"> has no interest to resale the offset, but will instead request that the carbon offset credit be retired </w:t>
      </w:r>
      <w:r w:rsidRPr="00DB35D4">
        <w:rPr>
          <w:rFonts w:cs="Arial"/>
          <w:lang w:val="en-GB"/>
        </w:rPr>
        <w:fldChar w:fldCharType="begin" w:fldLock="1"/>
      </w:r>
      <w:r w:rsidRPr="00DB35D4">
        <w:rPr>
          <w:rFonts w:cs="Arial"/>
          <w:lang w:val="en-GB"/>
        </w:rPr>
        <w:instrText>ADDIN CSL_CITATION {"citationItems":[{"id":"ITEM-1","itemData":{"abstract":"ACKNOWLEDGEMENT We are grateful to the High Tide Foundation for supporting the development of this guidance and the accompanying web resource. The mission of the High Tide Foundation is to have a significant, measureable impact on climate change mitigation.","author":[{"dropping-particle":"","family":"Broekhoff","given":"Derik","non-dropping-particle":"","parse-names":false,"suffix":""},{"dropping-particle":"","family":"Gillenwater","given":"Michael","non-dropping-particle":"","parse-names":false,"suffix":""},{"dropping-particle":"","family":"Colbert-Sangree","given":"Tani","non-dropping-particle":"","parse-names":false,"suffix":""},{"dropping-particle":"","family":"Cage","given":"Patrick","non-dropping-particle":"","parse-names":false,"suffix":""}],"container-title":"… &amp; Greenhouse Gas …","id":"ITEM-1","issued":{"date-parts":[["2019"]]},"page":"59","title":"Securing Climate Benefit : A Guide to Using Carbon Offsets","type":"article-journal"},"uris":["http://www.mendeley.com/documents/?uuid=ebed0081-4855-4504-b2a1-a4e2f8db8a44"]}],"mendeley":{"formattedCitation":"(Broekhoff et al., 2019)","plainTextFormattedCitation":"(Broekhoff et al., 2019)","previouslyFormattedCitation":"(Broekhoff et al., 2019)"},"properties":{"noteIndex":0},"schema":"https://github.com/citation-style-language/schema/raw/master/csl-citation.json"}</w:instrText>
      </w:r>
      <w:r w:rsidRPr="00DB35D4">
        <w:rPr>
          <w:rFonts w:cs="Arial"/>
          <w:lang w:val="en-GB"/>
        </w:rPr>
        <w:fldChar w:fldCharType="separate"/>
      </w:r>
      <w:r w:rsidRPr="00DB35D4">
        <w:rPr>
          <w:rFonts w:cs="Arial"/>
          <w:noProof/>
          <w:lang w:val="en-GB"/>
        </w:rPr>
        <w:t>(Broekhoff et al., 2019)</w:t>
      </w:r>
      <w:r w:rsidRPr="00DB35D4">
        <w:rPr>
          <w:rFonts w:cs="Arial"/>
          <w:lang w:val="en-GB"/>
        </w:rPr>
        <w:fldChar w:fldCharType="end"/>
      </w:r>
      <w:r w:rsidRPr="00DB35D4">
        <w:rPr>
          <w:rFonts w:cs="Arial"/>
          <w:lang w:val="en-GB"/>
        </w:rPr>
        <w:t>.</w:t>
      </w:r>
    </w:p>
    <w:p w14:paraId="2C24F0CD" w14:textId="77777777" w:rsidR="005664B6" w:rsidRPr="00DB35D4" w:rsidRDefault="005664B6" w:rsidP="005664B6">
      <w:pPr>
        <w:pStyle w:val="MAIL11"/>
      </w:pPr>
      <w:bookmarkStart w:id="383" w:name="_Toc90893019"/>
      <w:bookmarkStart w:id="384" w:name="_Toc91752473"/>
      <w:r w:rsidRPr="00DB35D4">
        <w:t>Implementation of offset Project</w:t>
      </w:r>
      <w:bookmarkEnd w:id="383"/>
      <w:bookmarkEnd w:id="384"/>
    </w:p>
    <w:p w14:paraId="2036BEF1" w14:textId="77777777" w:rsidR="005664B6" w:rsidRPr="00DB35D4" w:rsidRDefault="005664B6" w:rsidP="005664B6">
      <w:pPr>
        <w:rPr>
          <w:rFonts w:cs="Arial"/>
        </w:rPr>
      </w:pPr>
      <w:r w:rsidRPr="00DB35D4">
        <w:rPr>
          <w:rFonts w:cs="Arial"/>
          <w:lang w:val="en-GB"/>
        </w:rPr>
        <w:t xml:space="preserve">This chapter describes the offset project development process, for projects implemented under voluntary offset standards, from the design of the project to commercialization. </w:t>
      </w:r>
      <w:r w:rsidRPr="00DB35D4">
        <w:rPr>
          <w:rFonts w:cs="Arial"/>
        </w:rPr>
        <w:t xml:space="preserve"> All the phases of the project, from design to </w:t>
      </w:r>
      <w:r w:rsidRPr="00DB35D4">
        <w:rPr>
          <w:rFonts w:cs="Arial"/>
          <w:lang w:val="en-GB"/>
        </w:rPr>
        <w:t>commercialization</w:t>
      </w:r>
      <w:r w:rsidRPr="00DB35D4">
        <w:rPr>
          <w:rFonts w:cs="Arial"/>
        </w:rPr>
        <w:t>, are explained below.</w:t>
      </w:r>
    </w:p>
    <w:p w14:paraId="6F47EE8D" w14:textId="77777777" w:rsidR="005664B6" w:rsidRPr="00DB35D4" w:rsidRDefault="005664B6" w:rsidP="005664B6">
      <w:pPr>
        <w:rPr>
          <w:rFonts w:cs="Arial"/>
          <w:i/>
          <w:iCs/>
          <w:lang w:val="en-GB"/>
        </w:rPr>
      </w:pPr>
      <w:r w:rsidRPr="00DB35D4">
        <w:rPr>
          <w:rFonts w:cs="Arial"/>
          <w:i/>
          <w:iCs/>
          <w:lang w:val="en-GB"/>
        </w:rPr>
        <w:t xml:space="preserve">Design stage </w:t>
      </w:r>
    </w:p>
    <w:p w14:paraId="3597909C" w14:textId="77777777" w:rsidR="005664B6" w:rsidRPr="00DB35D4" w:rsidRDefault="005664B6" w:rsidP="005664B6">
      <w:pPr>
        <w:rPr>
          <w:rFonts w:cs="Arial"/>
          <w:lang w:val="en-GB"/>
        </w:rPr>
      </w:pPr>
      <w:r w:rsidRPr="00DB35D4">
        <w:rPr>
          <w:rFonts w:cs="Arial"/>
          <w:b/>
          <w:bCs/>
          <w:lang w:val="en-GB"/>
        </w:rPr>
        <w:t>The Project Design stage</w:t>
      </w:r>
      <w:r w:rsidRPr="00DB35D4">
        <w:rPr>
          <w:rFonts w:cs="Arial"/>
          <w:lang w:val="en-GB"/>
        </w:rPr>
        <w:t xml:space="preserve"> includes the concept development of a project, selecting or developing a baseline and monitoring methodology, as well as stakeholder consultations. All these elements are documented in the project design document (PDD).</w:t>
      </w:r>
    </w:p>
    <w:p w14:paraId="12936E0B" w14:textId="77777777" w:rsidR="005664B6" w:rsidRPr="00DB35D4" w:rsidRDefault="005664B6" w:rsidP="005664B6">
      <w:pPr>
        <w:rPr>
          <w:rFonts w:cs="Arial"/>
          <w:lang w:val="en-GB"/>
        </w:rPr>
      </w:pPr>
      <w:r w:rsidRPr="00DB35D4">
        <w:rPr>
          <w:rFonts w:cs="Arial"/>
          <w:lang w:val="en-GB"/>
        </w:rPr>
        <w:t xml:space="preserve">For the </w:t>
      </w:r>
      <w:r w:rsidRPr="00DB35D4">
        <w:rPr>
          <w:rFonts w:cs="Arial"/>
          <w:b/>
          <w:bCs/>
          <w:lang w:val="en-GB"/>
        </w:rPr>
        <w:t>concept of the project</w:t>
      </w:r>
      <w:r w:rsidRPr="00DB35D4">
        <w:rPr>
          <w:rFonts w:cs="Arial"/>
          <w:lang w:val="en-GB"/>
        </w:rPr>
        <w:t xml:space="preserve"> a feasibility study is conducted to evaluate a potential offset project's technical feasibility, investment requirements, development, and operational expenses, expected returns, administrative and legal barriers, and project risks and pitfalls. The project owner will decide </w:t>
      </w:r>
      <w:proofErr w:type="gramStart"/>
      <w:r w:rsidRPr="00DB35D4">
        <w:rPr>
          <w:rFonts w:cs="Arial"/>
          <w:lang w:val="en-GB"/>
        </w:rPr>
        <w:t>whether or not</w:t>
      </w:r>
      <w:proofErr w:type="gramEnd"/>
      <w:r w:rsidRPr="00DB35D4">
        <w:rPr>
          <w:rFonts w:cs="Arial"/>
          <w:lang w:val="en-GB"/>
        </w:rPr>
        <w:t xml:space="preserve"> to continue developing the potential offset project based on the feasibility study's results.</w:t>
      </w:r>
    </w:p>
    <w:p w14:paraId="3CF14668" w14:textId="77777777" w:rsidR="005664B6" w:rsidRPr="00DB35D4" w:rsidRDefault="005664B6" w:rsidP="005664B6">
      <w:pPr>
        <w:rPr>
          <w:rFonts w:cs="Arial"/>
          <w:lang w:val="en-GB"/>
        </w:rPr>
      </w:pPr>
      <w:r w:rsidRPr="00DB35D4">
        <w:rPr>
          <w:rFonts w:cs="Arial"/>
          <w:lang w:val="en-GB"/>
        </w:rPr>
        <w:t xml:space="preserve">The rules that a project developer needs to follow to establish a project baseline and identify project additionality, calculate emission reductions, and monitor the parameters used to estimate actual emission reductions are defined by an offset </w:t>
      </w:r>
      <w:r w:rsidRPr="00DB35D4">
        <w:rPr>
          <w:rFonts w:cs="Arial"/>
          <w:b/>
          <w:bCs/>
          <w:lang w:val="en-GB"/>
        </w:rPr>
        <w:t>project methodology</w:t>
      </w:r>
      <w:r w:rsidRPr="00DB35D4">
        <w:rPr>
          <w:rFonts w:cs="Arial"/>
          <w:lang w:val="en-GB"/>
        </w:rPr>
        <w:t xml:space="preserve">. The offset project methodology is a generic formula that can be used for </w:t>
      </w:r>
      <w:r w:rsidRPr="00DB35D4">
        <w:rPr>
          <w:rFonts w:cs="Arial"/>
          <w:lang w:val="en-GB"/>
        </w:rPr>
        <w:lastRenderedPageBreak/>
        <w:t>a variety of different projects of a given type and applicability conditions. If no approved methodology exists for a particular project type, a project developer can submit a new methodology to the offset program for approval (e.g., CDM, Gold Standard, VCS).</w:t>
      </w:r>
    </w:p>
    <w:p w14:paraId="0F26D648" w14:textId="77777777" w:rsidR="005664B6" w:rsidRPr="00DB35D4" w:rsidRDefault="005664B6" w:rsidP="005664B6">
      <w:pPr>
        <w:rPr>
          <w:rFonts w:cs="Arial"/>
          <w:lang w:val="en-GB"/>
        </w:rPr>
      </w:pPr>
      <w:r w:rsidRPr="00DB35D4">
        <w:rPr>
          <w:rFonts w:cs="Arial"/>
          <w:b/>
          <w:bCs/>
          <w:lang w:val="en-GB"/>
        </w:rPr>
        <w:t>The Project Design Document (PDD)</w:t>
      </w:r>
      <w:r w:rsidRPr="00DB35D4">
        <w:rPr>
          <w:rFonts w:cs="Arial"/>
          <w:lang w:val="en-GB"/>
        </w:rPr>
        <w:t xml:space="preserve"> describes the project activity in detail, it discusses the methods used to determine the baseline scenario, demonstrate additionality, calculate emission reductions, and describes the chosen technology. It also includes information on how to monitor all relevant technical parameters, as well as instructions on setting up monitoring methods, taking measurements, ensuring quality, and storing and accessing records.</w:t>
      </w:r>
      <w:r w:rsidRPr="00DB35D4">
        <w:rPr>
          <w:rFonts w:cs="Arial"/>
        </w:rPr>
        <w:t xml:space="preserve"> </w:t>
      </w:r>
      <w:r w:rsidRPr="00DB35D4">
        <w:rPr>
          <w:rFonts w:cs="Arial"/>
          <w:lang w:val="en-GB"/>
        </w:rPr>
        <w:t xml:space="preserve">Finally, it demonstrates the contribution of the initiative to sustainable development. Throughout the implementation phase, the PDD is utilized to ensure that the project follows the parameters indicated in the document. </w:t>
      </w:r>
    </w:p>
    <w:p w14:paraId="5FF73B1B" w14:textId="77777777" w:rsidR="005664B6" w:rsidRPr="00DB35D4" w:rsidRDefault="005664B6" w:rsidP="005664B6">
      <w:pPr>
        <w:rPr>
          <w:rFonts w:cs="Arial"/>
          <w:lang w:val="en-GB"/>
        </w:rPr>
      </w:pPr>
      <w:r w:rsidRPr="00DB35D4">
        <w:rPr>
          <w:rFonts w:cs="Arial"/>
          <w:lang w:val="en-GB"/>
        </w:rPr>
        <w:t xml:space="preserve">Most voluntary offset schemes must show that the project's activities will have no negative impact on local populations or other </w:t>
      </w:r>
      <w:r w:rsidRPr="00DB35D4">
        <w:rPr>
          <w:rFonts w:cs="Arial"/>
          <w:b/>
          <w:bCs/>
          <w:lang w:val="en-GB"/>
        </w:rPr>
        <w:t>stakeholders</w:t>
      </w:r>
      <w:r w:rsidRPr="00DB35D4">
        <w:rPr>
          <w:rFonts w:cs="Arial"/>
          <w:lang w:val="en-GB"/>
        </w:rPr>
        <w:t>. To guarantee that all relevant stakeholders have had an opportunity to comment on a proposed project, the developer must notify them via proper media.</w:t>
      </w:r>
    </w:p>
    <w:p w14:paraId="2AA3686E" w14:textId="77777777" w:rsidR="005664B6" w:rsidRPr="00DB35D4" w:rsidRDefault="005664B6" w:rsidP="005664B6">
      <w:pPr>
        <w:rPr>
          <w:rFonts w:cs="Arial"/>
          <w:lang w:val="en-GB"/>
        </w:rPr>
      </w:pPr>
      <w:r w:rsidRPr="00DB35D4">
        <w:rPr>
          <w:rFonts w:cs="Arial"/>
          <w:b/>
          <w:bCs/>
          <w:lang w:val="en-GB"/>
        </w:rPr>
        <w:t>Validation</w:t>
      </w:r>
      <w:r w:rsidRPr="00DB35D4">
        <w:rPr>
          <w:rFonts w:cs="Arial"/>
          <w:lang w:val="en-GB"/>
        </w:rPr>
        <w:t xml:space="preserve"> is not usually required by voluntary standards, and validation and </w:t>
      </w:r>
      <w:r w:rsidRPr="00DB35D4">
        <w:rPr>
          <w:rFonts w:cs="Arial"/>
          <w:b/>
          <w:bCs/>
          <w:lang w:val="en-GB"/>
        </w:rPr>
        <w:t>verification</w:t>
      </w:r>
      <w:r w:rsidRPr="00DB35D4">
        <w:rPr>
          <w:rFonts w:cs="Arial"/>
          <w:lang w:val="en-GB"/>
        </w:rPr>
        <w:t xml:space="preserve"> are occasionally combined. In addition, most voluntary offset programs do not require approval from the host country.</w:t>
      </w:r>
    </w:p>
    <w:p w14:paraId="59EA13D5" w14:textId="77777777" w:rsidR="005664B6" w:rsidRPr="00DB35D4" w:rsidRDefault="005664B6" w:rsidP="005664B6">
      <w:pPr>
        <w:rPr>
          <w:rFonts w:cs="Arial"/>
          <w:lang w:val="en-GB"/>
        </w:rPr>
      </w:pPr>
      <w:r w:rsidRPr="00DB35D4">
        <w:rPr>
          <w:rFonts w:cs="Arial"/>
          <w:lang w:val="en-GB"/>
        </w:rPr>
        <w:t xml:space="preserve">Most projects in the voluntary offset market are directly approved by project auditors and do not require extra </w:t>
      </w:r>
      <w:r w:rsidRPr="00DB35D4">
        <w:rPr>
          <w:rFonts w:cs="Arial"/>
          <w:b/>
          <w:bCs/>
          <w:lang w:val="en-GB"/>
        </w:rPr>
        <w:t xml:space="preserve">registration </w:t>
      </w:r>
      <w:r w:rsidRPr="00DB35D4">
        <w:rPr>
          <w:rFonts w:cs="Arial"/>
          <w:lang w:val="en-GB"/>
        </w:rPr>
        <w:t>with an offset program organization. The Gold Standard (GS) is an exception, as project approval is reviewed by the Gold Standard Technical Advisory Committee.</w:t>
      </w:r>
    </w:p>
    <w:p w14:paraId="0407C459" w14:textId="77777777" w:rsidR="005664B6" w:rsidRPr="00DB35D4" w:rsidRDefault="005664B6" w:rsidP="005664B6">
      <w:pPr>
        <w:rPr>
          <w:rFonts w:cs="Arial"/>
          <w:i/>
          <w:iCs/>
          <w:lang w:val="en-GB"/>
        </w:rPr>
      </w:pPr>
      <w:r w:rsidRPr="00DB35D4">
        <w:rPr>
          <w:rFonts w:cs="Arial"/>
          <w:i/>
          <w:iCs/>
          <w:lang w:val="en-GB"/>
        </w:rPr>
        <w:t xml:space="preserve">Implementation stage </w:t>
      </w:r>
    </w:p>
    <w:p w14:paraId="39044860" w14:textId="77777777" w:rsidR="005664B6" w:rsidRPr="00DB35D4" w:rsidRDefault="005664B6" w:rsidP="005664B6">
      <w:pPr>
        <w:rPr>
          <w:rFonts w:cs="Arial"/>
          <w:lang w:val="en-GB"/>
        </w:rPr>
      </w:pPr>
      <w:r w:rsidRPr="00DB35D4">
        <w:rPr>
          <w:rFonts w:cs="Arial"/>
          <w:lang w:val="en-GB"/>
        </w:rPr>
        <w:t xml:space="preserve">The </w:t>
      </w:r>
      <w:r w:rsidRPr="00DB35D4">
        <w:rPr>
          <w:rFonts w:cs="Arial"/>
          <w:b/>
          <w:bCs/>
          <w:lang w:val="en-GB"/>
        </w:rPr>
        <w:t>implementation of a project</w:t>
      </w:r>
      <w:r w:rsidRPr="00DB35D4">
        <w:rPr>
          <w:rFonts w:cs="Arial"/>
          <w:lang w:val="en-GB"/>
        </w:rPr>
        <w:t xml:space="preserve"> can begin at any point during its life cycle. If the project is implemented before it is registered, the project developer must provide documentary evidence that the voluntary credits earnings were considered when the project was planned.</w:t>
      </w:r>
      <w:r w:rsidRPr="00DB35D4">
        <w:rPr>
          <w:rFonts w:cs="Arial"/>
        </w:rPr>
        <w:t xml:space="preserve"> </w:t>
      </w:r>
      <w:r w:rsidRPr="00DB35D4">
        <w:rPr>
          <w:rFonts w:cs="Arial"/>
          <w:lang w:val="en-GB"/>
        </w:rPr>
        <w:t>The documentary evidence must be provided when applying for registration. If documented evidence is not provided, the project will most likely be rejected considered as non-additional.</w:t>
      </w:r>
    </w:p>
    <w:p w14:paraId="74594DA2" w14:textId="77777777" w:rsidR="005664B6" w:rsidRPr="00DB35D4" w:rsidRDefault="005664B6" w:rsidP="005664B6">
      <w:pPr>
        <w:rPr>
          <w:rFonts w:cs="Arial"/>
          <w:lang w:val="en-GB"/>
        </w:rPr>
      </w:pPr>
      <w:r w:rsidRPr="00DB35D4">
        <w:rPr>
          <w:rFonts w:cs="Arial"/>
          <w:lang w:val="en-GB"/>
        </w:rPr>
        <w:t xml:space="preserve">During the implementation phase of a project, project developers are expected to keep records quantifying the emission reductions achieved. These records, which must be kept in a </w:t>
      </w:r>
      <w:r w:rsidRPr="00DB35D4">
        <w:rPr>
          <w:rFonts w:cs="Arial"/>
          <w:b/>
          <w:bCs/>
          <w:lang w:val="en-GB"/>
        </w:rPr>
        <w:t>monitoring</w:t>
      </w:r>
      <w:r w:rsidRPr="00DB35D4">
        <w:rPr>
          <w:rFonts w:cs="Arial"/>
          <w:lang w:val="en-GB"/>
        </w:rPr>
        <w:t xml:space="preserve"> report, must adhere to the parameters and procedures outlined in the validated PDD. The monitoring report is used to issue emission reductions. As a </w:t>
      </w:r>
      <w:r w:rsidRPr="00DB35D4">
        <w:rPr>
          <w:rFonts w:cs="Arial"/>
          <w:lang w:val="en-GB"/>
        </w:rPr>
        <w:lastRenderedPageBreak/>
        <w:t>result, a project developer must choose between having a steady stream of offset credit income and lower administrative costs. There are no limitations for the duration of a monitoring period, which might range from a few weeks to several years.</w:t>
      </w:r>
    </w:p>
    <w:p w14:paraId="210439FD" w14:textId="77777777" w:rsidR="005664B6" w:rsidRPr="00DB35D4" w:rsidRDefault="005664B6" w:rsidP="005664B6">
      <w:pPr>
        <w:rPr>
          <w:rFonts w:cs="Arial"/>
          <w:lang w:val="en-GB"/>
        </w:rPr>
      </w:pPr>
      <w:r w:rsidRPr="00DB35D4">
        <w:rPr>
          <w:rFonts w:cs="Arial"/>
          <w:lang w:val="en-GB"/>
        </w:rPr>
        <w:t xml:space="preserve">A third-party auditor evaluates and approves the monitoring that the project developer has done. The monitoring report, together with any supporting papers, is submitted to the auditor by the project developer. The auditor conducts a desk review of the report to check that the monitoring was done according to the methods outlined in the original PDD. If necessary, the auditor may also conduct a site visit. The auditor provides a draft </w:t>
      </w:r>
      <w:r w:rsidRPr="00DB35D4">
        <w:rPr>
          <w:rFonts w:cs="Arial"/>
          <w:b/>
          <w:bCs/>
          <w:lang w:val="en-GB"/>
        </w:rPr>
        <w:t>verification</w:t>
      </w:r>
      <w:r w:rsidRPr="00DB35D4">
        <w:rPr>
          <w:rFonts w:cs="Arial"/>
          <w:lang w:val="en-GB"/>
        </w:rPr>
        <w:t xml:space="preserve"> report after the desk review and site inspection, identifying any concerns. The auditor prepares the final verification and certification report, which also quantifies the actual emission reductions achieved by the project, once the project developer has resolved these difficulties. Verification is carried out in accordance with the stated requirements of the project protocol. This is usually the last step in the voluntary market before offset credits can be issued and sold.</w:t>
      </w:r>
    </w:p>
    <w:p w14:paraId="3A315562" w14:textId="77777777" w:rsidR="005664B6" w:rsidRPr="00DB35D4" w:rsidRDefault="005664B6" w:rsidP="005664B6">
      <w:pPr>
        <w:rPr>
          <w:rFonts w:cs="Arial"/>
          <w:lang w:val="en-GB"/>
        </w:rPr>
      </w:pPr>
      <w:r w:rsidRPr="00DB35D4">
        <w:rPr>
          <w:rFonts w:cs="Arial"/>
          <w:lang w:val="en-GB"/>
        </w:rPr>
        <w:t xml:space="preserve">Most emission reductions in the voluntary market are directly approved by project auditors and do not require an additional </w:t>
      </w:r>
      <w:r w:rsidRPr="00DB35D4">
        <w:rPr>
          <w:rFonts w:cs="Arial"/>
          <w:b/>
          <w:bCs/>
          <w:lang w:val="en-GB"/>
        </w:rPr>
        <w:t>certification process</w:t>
      </w:r>
      <w:r w:rsidRPr="00DB35D4">
        <w:rPr>
          <w:rFonts w:cs="Arial"/>
          <w:lang w:val="en-GB"/>
        </w:rPr>
        <w:t xml:space="preserve"> with the offset program body. The GS is an exception to this, as the GS Technical Advisory Committee approves emission reductions.</w:t>
      </w:r>
    </w:p>
    <w:p w14:paraId="11A56C78" w14:textId="77777777" w:rsidR="005664B6" w:rsidRPr="00DB35D4" w:rsidRDefault="005664B6" w:rsidP="005664B6">
      <w:pPr>
        <w:rPr>
          <w:rFonts w:cs="Arial"/>
          <w:i/>
          <w:iCs/>
          <w:lang w:val="en-GB"/>
        </w:rPr>
      </w:pPr>
      <w:r w:rsidRPr="00DB35D4">
        <w:rPr>
          <w:rFonts w:cs="Arial"/>
          <w:i/>
          <w:iCs/>
          <w:lang w:val="en-GB"/>
        </w:rPr>
        <w:t xml:space="preserve">Commercialization stage </w:t>
      </w:r>
    </w:p>
    <w:p w14:paraId="123EDF3C" w14:textId="77777777" w:rsidR="005664B6" w:rsidRPr="00DB35D4" w:rsidRDefault="005664B6" w:rsidP="005664B6">
      <w:pPr>
        <w:rPr>
          <w:rFonts w:cs="Arial"/>
          <w:lang w:val="en-GB"/>
        </w:rPr>
      </w:pPr>
      <w:r w:rsidRPr="00DB35D4">
        <w:rPr>
          <w:rFonts w:cs="Arial"/>
          <w:lang w:val="en-GB"/>
        </w:rPr>
        <w:t xml:space="preserve">A project developer sells offset credits from a project to a buyer at the </w:t>
      </w:r>
      <w:r w:rsidRPr="00DB35D4">
        <w:rPr>
          <w:rFonts w:cs="Arial"/>
          <w:b/>
          <w:bCs/>
          <w:lang w:val="en-GB"/>
        </w:rPr>
        <w:t>commercialization stage</w:t>
      </w:r>
      <w:r w:rsidRPr="00DB35D4">
        <w:rPr>
          <w:rFonts w:cs="Arial"/>
          <w:lang w:val="en-GB"/>
        </w:rPr>
        <w:t xml:space="preserve">. The credits can be sold either directly to a company that will use them to meet its legally binding or voluntary emission reduction obligations, or through a trading company that will handle the transaction between the seller and the end-user of the credits. A contract to sell a project's carbon credits can be signed at any point throughout the project's development. Payment for the credits is normally made only once they have been provided to the project developer. A project developer may, however, be paid in advance in a few instances. These payments are typically made when a project developer has to bridge a funding gap or meet cash flow requirements during the project's implementation </w:t>
      </w:r>
      <w:r w:rsidRPr="00DB35D4">
        <w:rPr>
          <w:rFonts w:cs="Arial"/>
          <w:lang w:val="en-GB"/>
        </w:rPr>
        <w:fldChar w:fldCharType="begin" w:fldLock="1"/>
      </w:r>
      <w:r w:rsidRPr="00DB35D4">
        <w:rPr>
          <w:rFonts w:cs="Arial"/>
          <w:lang w:val="en-GB"/>
        </w:rPr>
        <w:instrText>ADDIN CSL_CITATION {"citationItems":[{"id":"ITEM-1","itemData":{"abstract":"ACKNOWLEDGEMENT We are grateful to the High Tide Foundation for supporting the development of this guidance and the accompanying web resource. The mission of the High Tide Foundation is to have a significant, measureable impact on climate change mitigation.","author":[{"dropping-particle":"","family":"Broekhoff","given":"Derik","non-dropping-particle":"","parse-names":false,"suffix":""},{"dropping-particle":"","family":"Gillenwater","given":"Michael","non-dropping-particle":"","parse-names":false,"suffix":""},{"dropping-particle":"","family":"Colbert-Sangree","given":"Tani","non-dropping-particle":"","parse-names":false,"suffix":""},{"dropping-particle":"","family":"Cage","given":"Patrick","non-dropping-particle":"","parse-names":false,"suffix":""}],"container-title":"… &amp; Greenhouse Gas …","id":"ITEM-1","issued":{"date-parts":[["2019"]]},"page":"59","title":"Securing Climate Benefit : A Guide to Using Carbon Offsets","type":"article-journal"},"uris":["http://www.mendeley.com/documents/?uuid=ebed0081-4855-4504-b2a1-a4e2f8db8a44"]}],"mendeley":{"formattedCitation":"(Broekhoff et al., 2019)","plainTextFormattedCitation":"(Broekhoff et al., 2019)","previouslyFormattedCitation":"(Broekhoff et al., 2019)"},"properties":{"noteIndex":0},"schema":"https://github.com/citation-style-language/schema/raw/master/csl-citation.json"}</w:instrText>
      </w:r>
      <w:r w:rsidRPr="00DB35D4">
        <w:rPr>
          <w:rFonts w:cs="Arial"/>
          <w:lang w:val="en-GB"/>
        </w:rPr>
        <w:fldChar w:fldCharType="separate"/>
      </w:r>
      <w:r w:rsidRPr="00DB35D4">
        <w:rPr>
          <w:rFonts w:cs="Arial"/>
          <w:noProof/>
          <w:lang w:val="en-GB"/>
        </w:rPr>
        <w:t>(Broekhoff et al., 2019)</w:t>
      </w:r>
      <w:r w:rsidRPr="00DB35D4">
        <w:rPr>
          <w:rFonts w:cs="Arial"/>
          <w:lang w:val="en-GB"/>
        </w:rPr>
        <w:fldChar w:fldCharType="end"/>
      </w:r>
      <w:r w:rsidRPr="00DB35D4">
        <w:rPr>
          <w:rFonts w:cs="Arial"/>
          <w:lang w:val="en-GB"/>
        </w:rPr>
        <w:t>.</w:t>
      </w:r>
    </w:p>
    <w:p w14:paraId="1106B7A6" w14:textId="77777777" w:rsidR="005664B6" w:rsidRPr="00DB35D4" w:rsidRDefault="005664B6" w:rsidP="005664B6">
      <w:pPr>
        <w:pStyle w:val="MAIL11"/>
      </w:pPr>
      <w:bookmarkStart w:id="385" w:name="_Toc90893020"/>
      <w:bookmarkStart w:id="386" w:name="_Toc91752474"/>
      <w:r w:rsidRPr="00DB35D4">
        <w:t>Carbon offset Programs</w:t>
      </w:r>
      <w:bookmarkEnd w:id="385"/>
      <w:bookmarkEnd w:id="386"/>
    </w:p>
    <w:p w14:paraId="49C00D48" w14:textId="77777777" w:rsidR="005664B6" w:rsidRPr="00DB35D4" w:rsidRDefault="005664B6" w:rsidP="005664B6">
      <w:pPr>
        <w:rPr>
          <w:rFonts w:cs="Arial"/>
          <w:lang w:val="en-GB"/>
        </w:rPr>
      </w:pPr>
      <w:r w:rsidRPr="00DB35D4">
        <w:rPr>
          <w:rFonts w:cs="Arial"/>
          <w:lang w:val="en-GB"/>
        </w:rPr>
        <w:t xml:space="preserve">Carbon offset credits are not a straightforward product. Standard-setting organizations have been established to provide quality assurance for carbon offsets, as they have done for many other products whose quality is difficult for casual buyers to assess. Carbon </w:t>
      </w:r>
      <w:r w:rsidRPr="00DB35D4">
        <w:rPr>
          <w:rFonts w:cs="Arial"/>
          <w:lang w:val="en-GB"/>
        </w:rPr>
        <w:lastRenderedPageBreak/>
        <w:t>offset programs range from international or governmental regulatory authorities – such as the UN's Clean Development Mechanism (CDM) Executive Board, which monitors carbon offsets under the Kyoto Protocol – to non-governmental organizations (NGOs).</w:t>
      </w:r>
      <w:r w:rsidRPr="00DB35D4">
        <w:rPr>
          <w:rFonts w:cs="Arial"/>
        </w:rPr>
        <w:t xml:space="preserve"> </w:t>
      </w:r>
      <w:r w:rsidRPr="00DB35D4">
        <w:rPr>
          <w:rFonts w:cs="Arial"/>
          <w:lang w:val="en-GB"/>
        </w:rPr>
        <w:t xml:space="preserve">Offset programs have three basic functions. Firstly, they develop and approve standards that set quality criteria for carbon offset credits; secondly, they review offset projects against these standards (usually with the assistance of third-party verifiers); and last but not least they operate registry systems that issue, transfer, and retire offset credits </w:t>
      </w:r>
      <w:r w:rsidRPr="00DB35D4">
        <w:rPr>
          <w:rFonts w:cs="Arial"/>
          <w:lang w:val="en-GB"/>
        </w:rPr>
        <w:fldChar w:fldCharType="begin" w:fldLock="1"/>
      </w:r>
      <w:r w:rsidRPr="00DB35D4">
        <w:rPr>
          <w:rFonts w:cs="Arial"/>
          <w:lang w:val="en-GB"/>
        </w:rPr>
        <w:instrText>ADDIN CSL_CITATION {"citationItems":[{"id":"ITEM-1","itemData":{"ISBN":"no U10 - NOT DONE","abstract":"Carbon offsetting is an increasingly popular means of taking action to reduce carbon emmission, and works through both voluntary and compliance mechanisms. The report discusses the role of the voluntary carbon offset market, and provides an overview and guide to the most important currently available standards, using the Clean Development Mechanism (CDM) as a benchmark. The report compares the standards side-by-side and outlines the most pertinent aspects of each. It also includes a one page reference table for a quick comparison of the standards. The evaluated standards are: Clean Development Mechanism (CDM); Gold Standard (GS); Voluntary Carbon Standard 2007 (VCS 2007); VER; Voluntary Offset Standard (VOS); Chicago Climate Exchange (CCX); Climate, Community &amp; Biodiversity Standards (CCBS); Plan Vivo System; ISO 14064-2; GHG Protocol for Project Accounting","author":[{"dropping-particle":"","family":"Kollmuss","given":"Anja","non-dropping-particle":"","parse-names":false,"suffix":""},{"dropping-particle":"","family":"Zink","given":"Helge","non-dropping-particle":"","parse-names":false,"suffix":""},{"dropping-particle":"","family":"Polycarp","given":"Clifford","non-dropping-particle":"","parse-names":false,"suffix":""}],"container-title":"WWF Germany","id":"ITEM-1","issue":"2","issued":{"date-parts":[["2008"]]},"number-of-pages":"105","title":"Making Sense of the Voluntary Carbon Market: A Comparison of Carbon Offset Standards","type":"report","volume":"51"},"uris":["http://www.mendeley.com/documents/?uuid=10e1fef2-6e2d-448d-a80e-1028089aea7a"]}],"mendeley":{"formattedCitation":"(Kollmuss et al., 2008)","plainTextFormattedCitation":"(Kollmuss et al., 2008)","previouslyFormattedCitation":"(Kollmuss et al., 2008)"},"properties":{"noteIndex":0},"schema":"https://github.com/citation-style-language/schema/raw/master/csl-citation.json"}</w:instrText>
      </w:r>
      <w:r w:rsidRPr="00DB35D4">
        <w:rPr>
          <w:rFonts w:cs="Arial"/>
          <w:lang w:val="en-GB"/>
        </w:rPr>
        <w:fldChar w:fldCharType="separate"/>
      </w:r>
      <w:r w:rsidRPr="00DB35D4">
        <w:rPr>
          <w:rFonts w:cs="Arial"/>
          <w:noProof/>
          <w:lang w:val="en-GB"/>
        </w:rPr>
        <w:t>(Kollmuss et al., 2008)</w:t>
      </w:r>
      <w:r w:rsidRPr="00DB35D4">
        <w:rPr>
          <w:rFonts w:cs="Arial"/>
          <w:lang w:val="en-GB"/>
        </w:rPr>
        <w:fldChar w:fldCharType="end"/>
      </w:r>
      <w:r w:rsidRPr="00DB35D4">
        <w:rPr>
          <w:rFonts w:cs="Arial"/>
          <w:lang w:val="en-GB"/>
        </w:rPr>
        <w:t>.</w:t>
      </w:r>
    </w:p>
    <w:p w14:paraId="67CA62EA" w14:textId="31B5CB6C" w:rsidR="005664B6" w:rsidRPr="00475531" w:rsidRDefault="005664B6" w:rsidP="00475531">
      <w:pPr>
        <w:pStyle w:val="Caption"/>
        <w:rPr>
          <w:rFonts w:cs="Arial"/>
        </w:rPr>
      </w:pPr>
      <w:bookmarkStart w:id="387" w:name="_Toc90888854"/>
      <w:bookmarkStart w:id="388" w:name="_Toc91752578"/>
      <w:r w:rsidRPr="00475531">
        <w:rPr>
          <w:rFonts w:cs="Arial"/>
        </w:rPr>
        <w:t xml:space="preserve">Table </w:t>
      </w:r>
      <w:r w:rsidRPr="00475531">
        <w:rPr>
          <w:rFonts w:cs="Arial"/>
          <w:b w:val="0"/>
          <w:bCs w:val="0"/>
          <w:i/>
          <w:iCs/>
        </w:rPr>
        <w:fldChar w:fldCharType="begin"/>
      </w:r>
      <w:r w:rsidRPr="00475531">
        <w:rPr>
          <w:rFonts w:cs="Arial"/>
        </w:rPr>
        <w:instrText xml:space="preserve"> SEQ Table \* ARABIC </w:instrText>
      </w:r>
      <w:r w:rsidRPr="00475531">
        <w:rPr>
          <w:rFonts w:cs="Arial"/>
          <w:b w:val="0"/>
          <w:bCs w:val="0"/>
          <w:i/>
          <w:iCs/>
        </w:rPr>
        <w:fldChar w:fldCharType="separate"/>
      </w:r>
      <w:r w:rsidR="0073710A">
        <w:rPr>
          <w:rFonts w:cs="Arial"/>
          <w:noProof/>
        </w:rPr>
        <w:t>39</w:t>
      </w:r>
      <w:r w:rsidRPr="00475531">
        <w:rPr>
          <w:rFonts w:cs="Arial"/>
          <w:b w:val="0"/>
          <w:bCs w:val="0"/>
          <w:i/>
          <w:iCs/>
        </w:rPr>
        <w:fldChar w:fldCharType="end"/>
      </w:r>
      <w:r w:rsidRPr="00475531">
        <w:rPr>
          <w:rFonts w:cs="Arial"/>
        </w:rPr>
        <w:t xml:space="preserve"> Carbon Offset Programmes</w:t>
      </w:r>
      <w:bookmarkEnd w:id="387"/>
      <w:bookmarkEnd w:id="388"/>
    </w:p>
    <w:tbl>
      <w:tblPr>
        <w:tblStyle w:val="TableGrid5"/>
        <w:tblW w:w="0" w:type="auto"/>
        <w:tblLook w:val="04A0" w:firstRow="1" w:lastRow="0" w:firstColumn="1" w:lastColumn="0" w:noHBand="0" w:noVBand="1"/>
      </w:tblPr>
      <w:tblGrid>
        <w:gridCol w:w="2765"/>
        <w:gridCol w:w="2765"/>
        <w:gridCol w:w="2766"/>
      </w:tblGrid>
      <w:tr w:rsidR="00180653" w:rsidRPr="00180653" w14:paraId="6BDA9906" w14:textId="77777777" w:rsidTr="00180653">
        <w:tc>
          <w:tcPr>
            <w:tcW w:w="2765" w:type="dxa"/>
            <w:shd w:val="clear" w:color="auto" w:fill="B4C6E7"/>
          </w:tcPr>
          <w:p w14:paraId="474D5EE3" w14:textId="77777777" w:rsidR="00180653" w:rsidRPr="00180653" w:rsidRDefault="00180653" w:rsidP="00180653">
            <w:pPr>
              <w:jc w:val="left"/>
              <w:rPr>
                <w:rFonts w:cs="Arial"/>
              </w:rPr>
            </w:pPr>
            <w:proofErr w:type="spellStart"/>
            <w:r w:rsidRPr="00180653">
              <w:rPr>
                <w:rFonts w:cs="Arial"/>
              </w:rPr>
              <w:t>Voluntary</w:t>
            </w:r>
            <w:proofErr w:type="spellEnd"/>
            <w:r w:rsidRPr="00180653">
              <w:rPr>
                <w:rFonts w:cs="Arial"/>
              </w:rPr>
              <w:t xml:space="preserve"> </w:t>
            </w:r>
            <w:proofErr w:type="spellStart"/>
            <w:r w:rsidRPr="00180653">
              <w:rPr>
                <w:rFonts w:cs="Arial"/>
              </w:rPr>
              <w:t>Carbon</w:t>
            </w:r>
            <w:proofErr w:type="spellEnd"/>
            <w:r w:rsidRPr="00180653">
              <w:rPr>
                <w:rFonts w:cs="Arial"/>
              </w:rPr>
              <w:t xml:space="preserve"> </w:t>
            </w:r>
            <w:proofErr w:type="spellStart"/>
            <w:r w:rsidRPr="00180653">
              <w:rPr>
                <w:rFonts w:cs="Arial"/>
              </w:rPr>
              <w:t>Offset</w:t>
            </w:r>
            <w:proofErr w:type="spellEnd"/>
            <w:r w:rsidRPr="00180653">
              <w:rPr>
                <w:rFonts w:cs="Arial"/>
              </w:rPr>
              <w:t xml:space="preserve"> </w:t>
            </w:r>
            <w:proofErr w:type="spellStart"/>
            <w:r w:rsidRPr="00180653">
              <w:rPr>
                <w:rFonts w:cs="Arial"/>
              </w:rPr>
              <w:t>Programs</w:t>
            </w:r>
            <w:proofErr w:type="spellEnd"/>
          </w:p>
        </w:tc>
        <w:tc>
          <w:tcPr>
            <w:tcW w:w="2765" w:type="dxa"/>
            <w:shd w:val="clear" w:color="auto" w:fill="B4C6E7"/>
          </w:tcPr>
          <w:p w14:paraId="7E3E0EA4" w14:textId="77777777" w:rsidR="00180653" w:rsidRPr="00180653" w:rsidRDefault="00180653" w:rsidP="00180653">
            <w:pPr>
              <w:jc w:val="left"/>
              <w:rPr>
                <w:rFonts w:cs="Arial"/>
              </w:rPr>
            </w:pPr>
            <w:proofErr w:type="spellStart"/>
            <w:r w:rsidRPr="00180653">
              <w:rPr>
                <w:rFonts w:cs="Arial"/>
              </w:rPr>
              <w:t>Geographic</w:t>
            </w:r>
            <w:proofErr w:type="spellEnd"/>
            <w:r w:rsidRPr="00180653">
              <w:rPr>
                <w:rFonts w:cs="Arial"/>
              </w:rPr>
              <w:t xml:space="preserve"> </w:t>
            </w:r>
            <w:proofErr w:type="spellStart"/>
            <w:r w:rsidRPr="00180653">
              <w:rPr>
                <w:rFonts w:cs="Arial"/>
              </w:rPr>
              <w:t>Coverage</w:t>
            </w:r>
            <w:proofErr w:type="spellEnd"/>
          </w:p>
        </w:tc>
        <w:tc>
          <w:tcPr>
            <w:tcW w:w="2766" w:type="dxa"/>
            <w:shd w:val="clear" w:color="auto" w:fill="B4C6E7"/>
          </w:tcPr>
          <w:p w14:paraId="2DC4A42A" w14:textId="77777777" w:rsidR="00180653" w:rsidRPr="00180653" w:rsidRDefault="00180653" w:rsidP="00180653">
            <w:pPr>
              <w:jc w:val="left"/>
              <w:rPr>
                <w:rFonts w:cs="Arial"/>
                <w:lang w:val="en-US"/>
              </w:rPr>
            </w:pPr>
            <w:r w:rsidRPr="00180653">
              <w:rPr>
                <w:rFonts w:cs="Arial"/>
                <w:lang w:val="en-US"/>
              </w:rPr>
              <w:t>Label Used for Offset Credits</w:t>
            </w:r>
          </w:p>
        </w:tc>
      </w:tr>
      <w:tr w:rsidR="00180653" w:rsidRPr="00180653" w14:paraId="7DA33CF5" w14:textId="77777777" w:rsidTr="0022057B">
        <w:tc>
          <w:tcPr>
            <w:tcW w:w="2765" w:type="dxa"/>
          </w:tcPr>
          <w:p w14:paraId="3C2D7D1B" w14:textId="77777777" w:rsidR="00180653" w:rsidRPr="00180653" w:rsidRDefault="00180653" w:rsidP="00180653">
            <w:pPr>
              <w:jc w:val="left"/>
              <w:rPr>
                <w:rFonts w:cs="Arial"/>
              </w:rPr>
            </w:pPr>
            <w:r w:rsidRPr="00180653">
              <w:rPr>
                <w:rFonts w:cs="Arial"/>
              </w:rPr>
              <w:t xml:space="preserve">The </w:t>
            </w:r>
            <w:proofErr w:type="spellStart"/>
            <w:r w:rsidRPr="00180653">
              <w:rPr>
                <w:rFonts w:cs="Arial"/>
              </w:rPr>
              <w:t>Gold</w:t>
            </w:r>
            <w:proofErr w:type="spellEnd"/>
            <w:r w:rsidRPr="00180653">
              <w:rPr>
                <w:rFonts w:cs="Arial"/>
              </w:rPr>
              <w:t xml:space="preserve"> Standard</w:t>
            </w:r>
            <w:r w:rsidRPr="00180653">
              <w:rPr>
                <w:rFonts w:cs="Arial"/>
              </w:rPr>
              <w:tab/>
            </w:r>
          </w:p>
        </w:tc>
        <w:tc>
          <w:tcPr>
            <w:tcW w:w="2765" w:type="dxa"/>
          </w:tcPr>
          <w:p w14:paraId="38254D73" w14:textId="77777777" w:rsidR="00180653" w:rsidRPr="00180653" w:rsidRDefault="00180653" w:rsidP="00180653">
            <w:pPr>
              <w:jc w:val="left"/>
              <w:rPr>
                <w:rFonts w:cs="Arial"/>
              </w:rPr>
            </w:pPr>
            <w:r w:rsidRPr="00180653">
              <w:rPr>
                <w:rFonts w:cs="Arial"/>
              </w:rPr>
              <w:t>International</w:t>
            </w:r>
          </w:p>
        </w:tc>
        <w:tc>
          <w:tcPr>
            <w:tcW w:w="2766" w:type="dxa"/>
          </w:tcPr>
          <w:p w14:paraId="0A190A0D" w14:textId="77777777" w:rsidR="00180653" w:rsidRPr="00180653" w:rsidRDefault="00180653" w:rsidP="00180653">
            <w:pPr>
              <w:jc w:val="left"/>
              <w:rPr>
                <w:rFonts w:cs="Arial"/>
              </w:rPr>
            </w:pPr>
            <w:proofErr w:type="spellStart"/>
            <w:r w:rsidRPr="00180653">
              <w:rPr>
                <w:rFonts w:cs="Arial"/>
              </w:rPr>
              <w:t>Verified</w:t>
            </w:r>
            <w:proofErr w:type="spellEnd"/>
            <w:r w:rsidRPr="00180653">
              <w:rPr>
                <w:rFonts w:cs="Arial"/>
              </w:rPr>
              <w:t xml:space="preserve"> </w:t>
            </w:r>
            <w:proofErr w:type="spellStart"/>
            <w:r w:rsidRPr="00180653">
              <w:rPr>
                <w:rFonts w:cs="Arial"/>
              </w:rPr>
              <w:t>Emission</w:t>
            </w:r>
            <w:proofErr w:type="spellEnd"/>
            <w:r w:rsidRPr="00180653">
              <w:rPr>
                <w:rFonts w:cs="Arial"/>
              </w:rPr>
              <w:t xml:space="preserve"> </w:t>
            </w:r>
            <w:proofErr w:type="spellStart"/>
            <w:r w:rsidRPr="00180653">
              <w:rPr>
                <w:rFonts w:cs="Arial"/>
              </w:rPr>
              <w:t>Reduction</w:t>
            </w:r>
            <w:proofErr w:type="spellEnd"/>
            <w:r w:rsidRPr="00180653">
              <w:rPr>
                <w:rFonts w:cs="Arial"/>
              </w:rPr>
              <w:t xml:space="preserve"> (VER)</w:t>
            </w:r>
          </w:p>
        </w:tc>
      </w:tr>
      <w:tr w:rsidR="00180653" w:rsidRPr="00180653" w14:paraId="6A5373DB" w14:textId="77777777" w:rsidTr="0022057B">
        <w:tc>
          <w:tcPr>
            <w:tcW w:w="2765" w:type="dxa"/>
          </w:tcPr>
          <w:p w14:paraId="7A667198" w14:textId="77777777" w:rsidR="00180653" w:rsidRPr="00180653" w:rsidRDefault="00180653" w:rsidP="00180653">
            <w:pPr>
              <w:jc w:val="left"/>
              <w:rPr>
                <w:rFonts w:cs="Arial"/>
              </w:rPr>
            </w:pPr>
            <w:proofErr w:type="spellStart"/>
            <w:r w:rsidRPr="00180653">
              <w:rPr>
                <w:rFonts w:cs="Arial"/>
              </w:rPr>
              <w:t>Plan</w:t>
            </w:r>
            <w:proofErr w:type="spellEnd"/>
            <w:r w:rsidRPr="00180653">
              <w:rPr>
                <w:rFonts w:cs="Arial"/>
              </w:rPr>
              <w:t xml:space="preserve"> </w:t>
            </w:r>
            <w:proofErr w:type="spellStart"/>
            <w:r w:rsidRPr="00180653">
              <w:rPr>
                <w:rFonts w:cs="Arial"/>
              </w:rPr>
              <w:t>Vivo</w:t>
            </w:r>
            <w:proofErr w:type="spellEnd"/>
          </w:p>
        </w:tc>
        <w:tc>
          <w:tcPr>
            <w:tcW w:w="2765" w:type="dxa"/>
          </w:tcPr>
          <w:p w14:paraId="4720D851" w14:textId="77777777" w:rsidR="00180653" w:rsidRPr="00180653" w:rsidRDefault="00180653" w:rsidP="00180653">
            <w:pPr>
              <w:jc w:val="left"/>
              <w:rPr>
                <w:rFonts w:cs="Arial"/>
              </w:rPr>
            </w:pPr>
            <w:r w:rsidRPr="00180653">
              <w:rPr>
                <w:rFonts w:cs="Arial"/>
              </w:rPr>
              <w:t>International</w:t>
            </w:r>
          </w:p>
        </w:tc>
        <w:tc>
          <w:tcPr>
            <w:tcW w:w="2766" w:type="dxa"/>
          </w:tcPr>
          <w:p w14:paraId="52177E41" w14:textId="77777777" w:rsidR="00180653" w:rsidRPr="00180653" w:rsidRDefault="00180653" w:rsidP="00180653">
            <w:pPr>
              <w:jc w:val="left"/>
              <w:rPr>
                <w:rFonts w:cs="Arial"/>
              </w:rPr>
            </w:pPr>
            <w:proofErr w:type="spellStart"/>
            <w:r w:rsidRPr="00180653">
              <w:rPr>
                <w:rFonts w:cs="Arial"/>
              </w:rPr>
              <w:t>Plan</w:t>
            </w:r>
            <w:proofErr w:type="spellEnd"/>
            <w:r w:rsidRPr="00180653">
              <w:rPr>
                <w:rFonts w:cs="Arial"/>
              </w:rPr>
              <w:t xml:space="preserve"> </w:t>
            </w:r>
            <w:proofErr w:type="spellStart"/>
            <w:r w:rsidRPr="00180653">
              <w:rPr>
                <w:rFonts w:cs="Arial"/>
              </w:rPr>
              <w:t>Vivo</w:t>
            </w:r>
            <w:proofErr w:type="spellEnd"/>
            <w:r w:rsidRPr="00180653">
              <w:rPr>
                <w:rFonts w:cs="Arial"/>
              </w:rPr>
              <w:t xml:space="preserve"> </w:t>
            </w:r>
            <w:proofErr w:type="spellStart"/>
            <w:r w:rsidRPr="00180653">
              <w:rPr>
                <w:rFonts w:cs="Arial"/>
              </w:rPr>
              <w:t>Certificate</w:t>
            </w:r>
            <w:proofErr w:type="spellEnd"/>
            <w:r w:rsidRPr="00180653">
              <w:rPr>
                <w:rFonts w:cs="Arial"/>
              </w:rPr>
              <w:t xml:space="preserve"> (PVC)</w:t>
            </w:r>
          </w:p>
        </w:tc>
      </w:tr>
      <w:tr w:rsidR="00180653" w:rsidRPr="00180653" w14:paraId="7F58D1BA" w14:textId="77777777" w:rsidTr="0022057B">
        <w:tc>
          <w:tcPr>
            <w:tcW w:w="2765" w:type="dxa"/>
          </w:tcPr>
          <w:p w14:paraId="1E907625" w14:textId="77777777" w:rsidR="00180653" w:rsidRPr="00180653" w:rsidRDefault="00180653" w:rsidP="00180653">
            <w:pPr>
              <w:jc w:val="left"/>
              <w:rPr>
                <w:rFonts w:cs="Arial"/>
              </w:rPr>
            </w:pPr>
            <w:r w:rsidRPr="00180653">
              <w:rPr>
                <w:rFonts w:cs="Arial"/>
              </w:rPr>
              <w:t xml:space="preserve">The </w:t>
            </w:r>
            <w:proofErr w:type="spellStart"/>
            <w:r w:rsidRPr="00180653">
              <w:rPr>
                <w:rFonts w:cs="Arial"/>
              </w:rPr>
              <w:t>Verified</w:t>
            </w:r>
            <w:proofErr w:type="spellEnd"/>
            <w:r w:rsidRPr="00180653">
              <w:rPr>
                <w:rFonts w:cs="Arial"/>
              </w:rPr>
              <w:t xml:space="preserve"> </w:t>
            </w:r>
            <w:proofErr w:type="spellStart"/>
            <w:r w:rsidRPr="00180653">
              <w:rPr>
                <w:rFonts w:cs="Arial"/>
              </w:rPr>
              <w:t>Carbon</w:t>
            </w:r>
            <w:proofErr w:type="spellEnd"/>
            <w:r w:rsidRPr="00180653">
              <w:rPr>
                <w:rFonts w:cs="Arial"/>
              </w:rPr>
              <w:t xml:space="preserve"> Standard</w:t>
            </w:r>
            <w:r w:rsidRPr="00180653">
              <w:rPr>
                <w:rFonts w:cs="Arial"/>
              </w:rPr>
              <w:tab/>
            </w:r>
          </w:p>
        </w:tc>
        <w:tc>
          <w:tcPr>
            <w:tcW w:w="2765" w:type="dxa"/>
          </w:tcPr>
          <w:p w14:paraId="27113E43" w14:textId="77777777" w:rsidR="00180653" w:rsidRPr="00180653" w:rsidRDefault="00180653" w:rsidP="00180653">
            <w:pPr>
              <w:jc w:val="left"/>
              <w:rPr>
                <w:rFonts w:cs="Arial"/>
              </w:rPr>
            </w:pPr>
            <w:r w:rsidRPr="00180653">
              <w:rPr>
                <w:rFonts w:cs="Arial"/>
              </w:rPr>
              <w:t>International</w:t>
            </w:r>
          </w:p>
        </w:tc>
        <w:tc>
          <w:tcPr>
            <w:tcW w:w="2766" w:type="dxa"/>
          </w:tcPr>
          <w:p w14:paraId="5B8E5B7E" w14:textId="77777777" w:rsidR="00180653" w:rsidRPr="00180653" w:rsidRDefault="00180653" w:rsidP="00180653">
            <w:pPr>
              <w:jc w:val="left"/>
              <w:rPr>
                <w:rFonts w:cs="Arial"/>
              </w:rPr>
            </w:pPr>
            <w:proofErr w:type="spellStart"/>
            <w:r w:rsidRPr="00180653">
              <w:rPr>
                <w:rFonts w:cs="Arial"/>
              </w:rPr>
              <w:t>Verified</w:t>
            </w:r>
            <w:proofErr w:type="spellEnd"/>
            <w:r w:rsidRPr="00180653">
              <w:rPr>
                <w:rFonts w:cs="Arial"/>
              </w:rPr>
              <w:t xml:space="preserve"> </w:t>
            </w:r>
            <w:proofErr w:type="spellStart"/>
            <w:r w:rsidRPr="00180653">
              <w:rPr>
                <w:rFonts w:cs="Arial"/>
              </w:rPr>
              <w:t>Carbon</w:t>
            </w:r>
            <w:proofErr w:type="spellEnd"/>
            <w:r w:rsidRPr="00180653">
              <w:rPr>
                <w:rFonts w:cs="Arial"/>
              </w:rPr>
              <w:t xml:space="preserve"> </w:t>
            </w:r>
            <w:proofErr w:type="spellStart"/>
            <w:r w:rsidRPr="00180653">
              <w:rPr>
                <w:rFonts w:cs="Arial"/>
              </w:rPr>
              <w:t>Unit</w:t>
            </w:r>
            <w:proofErr w:type="spellEnd"/>
            <w:r w:rsidRPr="00180653">
              <w:rPr>
                <w:rFonts w:cs="Arial"/>
              </w:rPr>
              <w:t xml:space="preserve"> (VCU)</w:t>
            </w:r>
          </w:p>
        </w:tc>
      </w:tr>
    </w:tbl>
    <w:p w14:paraId="382BAC81" w14:textId="77777777" w:rsidR="005664B6" w:rsidRPr="00DB35D4" w:rsidRDefault="005664B6" w:rsidP="005664B6">
      <w:pPr>
        <w:rPr>
          <w:rFonts w:cs="Arial"/>
          <w:lang w:val="en-GB"/>
        </w:rPr>
      </w:pPr>
      <w:r w:rsidRPr="00DB35D4">
        <w:rPr>
          <w:rFonts w:cs="Arial"/>
          <w:lang w:val="en-GB"/>
        </w:rPr>
        <w:t xml:space="preserve">Voluntary carbon offset programs started to evolve after 2005, as the CDM gained traction and the corporate social responsibility sector realized there was a need for these instruments beyond the Kyoto Protocol's regulated companies and countries. There are currently several carbon offset programs that cater mostly (or exclusively) to the voluntary market, which is comprised by enterprises seeking to reduce their GHG emissions </w:t>
      </w:r>
      <w:r w:rsidRPr="00DB35D4">
        <w:rPr>
          <w:rFonts w:cs="Arial"/>
          <w:lang w:val="en-GB"/>
        </w:rPr>
        <w:fldChar w:fldCharType="begin" w:fldLock="1"/>
      </w:r>
      <w:r w:rsidRPr="00DB35D4">
        <w:rPr>
          <w:rFonts w:cs="Arial"/>
          <w:lang w:val="en-GB"/>
        </w:rPr>
        <w:instrText>ADDIN CSL_CITATION {"citationItems":[{"id":"ITEM-1","itemData":{"abstract":"ACKNOWLEDGEMENT We are grateful to the High Tide Foundation for supporting the development of this guidance and the accompanying web resource. The mission of the High Tide Foundation is to have a significant, measureable impact on climate change mitigation.","author":[{"dropping-particle":"","family":"Broekhoff","given":"Derik","non-dropping-particle":"","parse-names":false,"suffix":""},{"dropping-particle":"","family":"Gillenwater","given":"Michael","non-dropping-particle":"","parse-names":false,"suffix":""},{"dropping-particle":"","family":"Colbert-Sangree","given":"Tani","non-dropping-particle":"","parse-names":false,"suffix":""},{"dropping-particle":"","family":"Cage","given":"Patrick","non-dropping-particle":"","parse-names":false,"suffix":""}],"container-title":"… &amp; Greenhouse Gas …","id":"ITEM-1","issued":{"date-parts":[["2019"]]},"page":"59","title":"Securing Climate Benefit : A Guide to Using Carbon Offsets","type":"article-journal"},"uris":["http://www.mendeley.com/documents/?uuid=ebed0081-4855-4504-b2a1-a4e2f8db8a44"]}],"mendeley":{"formattedCitation":"(Broekhoff et al., 2019)","plainTextFormattedCitation":"(Broekhoff et al., 2019)","previouslyFormattedCitation":"(Broekhoff et al., 2019)"},"properties":{"noteIndex":0},"schema":"https://github.com/citation-style-language/schema/raw/master/csl-citation.json"}</w:instrText>
      </w:r>
      <w:r w:rsidRPr="00DB35D4">
        <w:rPr>
          <w:rFonts w:cs="Arial"/>
          <w:lang w:val="en-GB"/>
        </w:rPr>
        <w:fldChar w:fldCharType="separate"/>
      </w:r>
      <w:r w:rsidRPr="00DB35D4">
        <w:rPr>
          <w:rFonts w:cs="Arial"/>
          <w:noProof/>
          <w:lang w:val="en-GB"/>
        </w:rPr>
        <w:t>(Broekhoff et al., 2019)</w:t>
      </w:r>
      <w:r w:rsidRPr="00DB35D4">
        <w:rPr>
          <w:rFonts w:cs="Arial"/>
          <w:lang w:val="en-GB"/>
        </w:rPr>
        <w:fldChar w:fldCharType="end"/>
      </w:r>
      <w:r w:rsidRPr="00DB35D4">
        <w:rPr>
          <w:rFonts w:cs="Arial"/>
          <w:lang w:val="en-GB"/>
        </w:rPr>
        <w:t xml:space="preserve">. </w:t>
      </w:r>
    </w:p>
    <w:p w14:paraId="7E85A814" w14:textId="77777777" w:rsidR="005664B6" w:rsidRPr="00DB35D4" w:rsidRDefault="005664B6" w:rsidP="009E12D8">
      <w:pPr>
        <w:pStyle w:val="MAIL111"/>
      </w:pPr>
      <w:bookmarkStart w:id="389" w:name="_Toc90893021"/>
      <w:bookmarkStart w:id="390" w:name="_Toc91752475"/>
      <w:r w:rsidRPr="00DB35D4">
        <w:t>The Gold Standard</w:t>
      </w:r>
      <w:bookmarkEnd w:id="389"/>
      <w:bookmarkEnd w:id="390"/>
    </w:p>
    <w:p w14:paraId="688DF196" w14:textId="77777777" w:rsidR="005664B6" w:rsidRPr="00DB35D4" w:rsidRDefault="005664B6" w:rsidP="005664B6">
      <w:pPr>
        <w:rPr>
          <w:rFonts w:cs="Arial"/>
        </w:rPr>
      </w:pPr>
      <w:r w:rsidRPr="00DB35D4">
        <w:rPr>
          <w:rFonts w:cs="Arial"/>
        </w:rPr>
        <w:t xml:space="preserve">The Gold Standard (GS) is a voluntary carbon offset scheme that aims to advance the United Nations' Sustainable Development Goals (SDGs) while also ensuring that projects benefit the communities around them. The GS can be used for voluntary offset projects as well as programs under the Clean Development Mechanism (CDM). It was developed with the World Wildlife Fund (WWF), HELIO International, and </w:t>
      </w:r>
      <w:proofErr w:type="spellStart"/>
      <w:r w:rsidRPr="00DB35D4">
        <w:rPr>
          <w:rFonts w:cs="Arial"/>
        </w:rPr>
        <w:t>SouthSouthNorth</w:t>
      </w:r>
      <w:proofErr w:type="spellEnd"/>
      <w:r w:rsidRPr="00DB35D4">
        <w:rPr>
          <w:rFonts w:cs="Arial"/>
        </w:rPr>
        <w:t xml:space="preserve"> as the driving forces, with an emphasis on offset projects that give long-term social, economic, and environmental benefits. The GS is a completely developed carbon offset standard. It demands social and environmental benefits from its </w:t>
      </w:r>
      <w:r w:rsidRPr="00DB35D4">
        <w:rPr>
          <w:rFonts w:cs="Arial"/>
        </w:rPr>
        <w:lastRenderedPageBreak/>
        <w:t xml:space="preserve">carbon offset projects, and it has a well-developed stakeholder process. The GS can be used for both voluntary offset and CDM projects. All initiatives seeking Gold Standard Certification must meet the following General Eligibility Criteria </w:t>
      </w:r>
      <w:r w:rsidRPr="00DB35D4">
        <w:rPr>
          <w:rFonts w:cs="Arial"/>
        </w:rPr>
        <w:fldChar w:fldCharType="begin" w:fldLock="1"/>
      </w:r>
      <w:r w:rsidRPr="00DB35D4">
        <w:rPr>
          <w:rFonts w:cs="Arial"/>
        </w:rPr>
        <w:instrText>ADDIN CSL_CITATION {"citationItems":[{"id":"ITEM-1","itemData":{"abstract":"ACKNOWLEDGEMENT We are grateful to the High Tide Foundation for supporting the development of this guidance and the accompanying web resource. The mission of the High Tide Foundation is to have a significant, measureable impact on climate change mitigation.","author":[{"dropping-particle":"","family":"Broekhoff","given":"Derik","non-dropping-particle":"","parse-names":false,"suffix":""},{"dropping-particle":"","family":"Gillenwater","given":"Michael","non-dropping-particle":"","parse-names":false,"suffix":""},{"dropping-particle":"","family":"Colbert-Sangree","given":"Tani","non-dropping-particle":"","parse-names":false,"suffix":""},{"dropping-particle":"","family":"Cage","given":"Patrick","non-dropping-particle":"","parse-names":false,"suffix":""}],"container-title":"… &amp; Greenhouse Gas …","id":"ITEM-1","issued":{"date-parts":[["2019"]]},"page":"59","title":"Securing Climate Benefit : A Guide to Using Carbon Offsets","type":"article-journal"},"uris":["http://www.mendeley.com/documents/?uuid=ebed0081-4855-4504-b2a1-a4e2f8db8a44"]},{"id":"ITEM-2","itemData":{"author":[{"dropping-particle":"","family":"Gold Standard","given":"","non-dropping-particle":"","parse-names":false,"suffix":""}],"container-title":"Gold Standard","id":"ITEM-2","issue":"October 2019","issued":{"date-parts":[["2020"]]},"page":"1-44","title":"Land Use &amp; Forests Activity Requirements","type":"article-journal","volume":"1.2.1"},"uris":["http://www.mendeley.com/documents/?uuid=2e17f884-3acc-43a0-a68e-7ceb999ec3ce"]},{"id":"ITEM-3","itemData":{"ISBN":"no U10 - NOT DONE","abstract":"Carbon offsetting is an increasingly popular means of taking action to reduce carbon emmission, and works through both voluntary and compliance mechanisms. The report discusses the role of the voluntary carbon offset market, and provides an overview and guide to the most important currently available standards, using the Clean Development Mechanism (CDM) as a benchmark. The report compares the standards side-by-side and outlines the most pertinent aspects of each. It also includes a one page reference table for a quick comparison of the standards. The evaluated standards are: Clean Development Mechanism (CDM); Gold Standard (GS); Voluntary Carbon Standard 2007 (VCS 2007); VER; Voluntary Offset Standard (VOS); Chicago Climate Exchange (CCX); Climate, Community &amp; Biodiversity Standards (CCBS); Plan Vivo System; ISO 14064-2; GHG Protocol for Project Accounting","author":[{"dropping-particle":"","family":"Kollmuss","given":"Anja","non-dropping-particle":"","parse-names":false,"suffix":""},{"dropping-particle":"","family":"Zink","given":"Helge","non-dropping-particle":"","parse-names":false,"suffix":""},{"dropping-particle":"","family":"Polycarp","given":"Clifford","non-dropping-particle":"","parse-names":false,"suffix":""}],"container-title":"WWF Germany","id":"ITEM-3","issue":"2","issued":{"date-parts":[["2008"]]},"number-of-pages":"105","title":"Making Sense of the Voluntary Carbon Market: A Comparison of Carbon Offset Standards","type":"report","volume":"51"},"uris":["http://www.mendeley.com/documents/?uuid=10e1fef2-6e2d-448d-a80e-1028089aea7a"]}],"mendeley":{"formattedCitation":"(Broekhoff et al., 2019; Gold Standard, 2020; Kollmuss et al., 2008)","plainTextFormattedCitation":"(Broekhoff et al., 2019; Gold Standard, 2020; Kollmuss et al., 2008)","previouslyFormattedCitation":"(Broekhoff et al., 2019; Gold Standard, 2020; Kollmuss et al., 2008)"},"properties":{"noteIndex":0},"schema":"https://github.com/citation-style-language/schema/raw/master/csl-citation.json"}</w:instrText>
      </w:r>
      <w:r w:rsidRPr="00DB35D4">
        <w:rPr>
          <w:rFonts w:cs="Arial"/>
        </w:rPr>
        <w:fldChar w:fldCharType="separate"/>
      </w:r>
      <w:r w:rsidRPr="00DB35D4">
        <w:rPr>
          <w:rFonts w:cs="Arial"/>
          <w:noProof/>
        </w:rPr>
        <w:t>(Broekhoff et al., 2019; Gold Standard, 2020; Kollmuss et al., 2008)</w:t>
      </w:r>
      <w:r w:rsidRPr="00DB35D4">
        <w:rPr>
          <w:rFonts w:cs="Arial"/>
        </w:rPr>
        <w:fldChar w:fldCharType="end"/>
      </w:r>
      <w:r w:rsidRPr="00DB35D4">
        <w:rPr>
          <w:rFonts w:cs="Arial"/>
        </w:rPr>
        <w:t>.</w:t>
      </w:r>
    </w:p>
    <w:p w14:paraId="2879FE1B" w14:textId="77777777" w:rsidR="005664B6" w:rsidRPr="00DB35D4" w:rsidRDefault="005664B6" w:rsidP="00A01330">
      <w:pPr>
        <w:pStyle w:val="ListParagraph"/>
        <w:numPr>
          <w:ilvl w:val="0"/>
          <w:numId w:val="37"/>
        </w:numPr>
        <w:spacing w:before="0" w:after="160"/>
        <w:rPr>
          <w:rFonts w:cs="Arial"/>
        </w:rPr>
      </w:pPr>
      <w:r w:rsidRPr="00DB35D4">
        <w:rPr>
          <w:rFonts w:cs="Arial"/>
          <w:b/>
          <w:bCs/>
        </w:rPr>
        <w:t>Project Types</w:t>
      </w:r>
      <w:r w:rsidRPr="00DB35D4">
        <w:rPr>
          <w:rFonts w:cs="Arial"/>
        </w:rPr>
        <w:t xml:space="preserve">: Physical implementation on the ground is required for eligible projects. </w:t>
      </w:r>
    </w:p>
    <w:p w14:paraId="6B1619E3" w14:textId="77777777" w:rsidR="005664B6" w:rsidRPr="00DB35D4" w:rsidRDefault="005664B6" w:rsidP="00A01330">
      <w:pPr>
        <w:pStyle w:val="ListParagraph"/>
        <w:numPr>
          <w:ilvl w:val="0"/>
          <w:numId w:val="37"/>
        </w:numPr>
        <w:spacing w:before="0" w:after="160"/>
        <w:rPr>
          <w:rFonts w:cs="Arial"/>
          <w:b/>
          <w:bCs/>
        </w:rPr>
      </w:pPr>
      <w:r w:rsidRPr="00DB35D4">
        <w:rPr>
          <w:rFonts w:cs="Arial"/>
          <w:b/>
          <w:bCs/>
        </w:rPr>
        <w:t>Project Location</w:t>
      </w:r>
      <w:r w:rsidRPr="00DB35D4">
        <w:rPr>
          <w:rFonts w:cs="Arial"/>
        </w:rPr>
        <w:t>: Projects can be located anywhere in the world.</w:t>
      </w:r>
      <w:r w:rsidRPr="00DB35D4">
        <w:rPr>
          <w:rFonts w:cs="Arial"/>
          <w:b/>
          <w:bCs/>
        </w:rPr>
        <w:t xml:space="preserve"> </w:t>
      </w:r>
    </w:p>
    <w:p w14:paraId="49EC0FA0" w14:textId="77777777" w:rsidR="005664B6" w:rsidRPr="00DB35D4" w:rsidRDefault="005664B6" w:rsidP="00A01330">
      <w:pPr>
        <w:pStyle w:val="ListParagraph"/>
        <w:numPr>
          <w:ilvl w:val="0"/>
          <w:numId w:val="37"/>
        </w:numPr>
        <w:spacing w:before="0" w:after="160"/>
        <w:rPr>
          <w:rFonts w:cs="Arial"/>
        </w:rPr>
      </w:pPr>
      <w:r w:rsidRPr="00DB35D4">
        <w:rPr>
          <w:rFonts w:cs="Arial"/>
          <w:b/>
          <w:bCs/>
        </w:rPr>
        <w:t>Area, Boundary, and Scale of the Project</w:t>
      </w:r>
      <w:r w:rsidRPr="00DB35D4">
        <w:rPr>
          <w:rFonts w:cs="Arial"/>
        </w:rPr>
        <w:t xml:space="preserve">: The Project Area and Boundary must be defined. Although some rules, requirements, and constraints may apply under specific Activity Requirements, Impact Quantification Methodologies, and Products Requirements, projects can be established at any scale. To avoid double counting, the Project must be certified by Gold Standard before being included in any other voluntary or compliance standards program. In addition, if the Project Area overlaps with that of another Gold Standard or other voluntary or compliance standard program of a similar type, the project must show that no impacts are counted twice at design and performance certification. </w:t>
      </w:r>
    </w:p>
    <w:p w14:paraId="00205834" w14:textId="77777777" w:rsidR="005664B6" w:rsidRPr="00DB35D4" w:rsidRDefault="005664B6" w:rsidP="00A01330">
      <w:pPr>
        <w:pStyle w:val="ListParagraph"/>
        <w:numPr>
          <w:ilvl w:val="0"/>
          <w:numId w:val="37"/>
        </w:numPr>
        <w:spacing w:before="0" w:after="160"/>
        <w:rPr>
          <w:rFonts w:cs="Arial"/>
        </w:rPr>
      </w:pPr>
      <w:r w:rsidRPr="00DB35D4">
        <w:rPr>
          <w:rFonts w:cs="Arial"/>
          <w:b/>
          <w:bCs/>
        </w:rPr>
        <w:t>Requirements of the Host Country</w:t>
      </w:r>
      <w:r w:rsidRPr="00DB35D4">
        <w:rPr>
          <w:rFonts w:cs="Arial"/>
        </w:rPr>
        <w:t xml:space="preserve">: Projects must adhere to all applicable legal, environmental, ecological, and social regulations of the Host Country. </w:t>
      </w:r>
    </w:p>
    <w:p w14:paraId="73E465A8" w14:textId="77777777" w:rsidR="005664B6" w:rsidRPr="00DB35D4" w:rsidRDefault="005664B6" w:rsidP="00A01330">
      <w:pPr>
        <w:pStyle w:val="ListParagraph"/>
        <w:numPr>
          <w:ilvl w:val="0"/>
          <w:numId w:val="37"/>
        </w:numPr>
        <w:spacing w:before="0" w:after="160"/>
        <w:rPr>
          <w:rFonts w:cs="Arial"/>
        </w:rPr>
      </w:pPr>
      <w:r w:rsidRPr="00DB35D4">
        <w:rPr>
          <w:rFonts w:cs="Arial"/>
          <w:b/>
          <w:bCs/>
        </w:rPr>
        <w:t>Contact Information</w:t>
      </w:r>
      <w:r w:rsidRPr="00DB35D4">
        <w:rPr>
          <w:rFonts w:cs="Arial"/>
        </w:rPr>
        <w:t xml:space="preserve">: As part of the Project Documentation, the Project Developer must provide the names and contact information of all Project Participants. In case of an organization, the legal registration details and documentation from the governing jurisdiction proving that the entity is in good standing. Where reputational concerns are raised, Gold Standard has the right to refuse usage of the Standard at its discretion. </w:t>
      </w:r>
    </w:p>
    <w:p w14:paraId="1C1CC2AA" w14:textId="77777777" w:rsidR="005664B6" w:rsidRPr="00DB35D4" w:rsidRDefault="005664B6" w:rsidP="00A01330">
      <w:pPr>
        <w:pStyle w:val="ListParagraph"/>
        <w:numPr>
          <w:ilvl w:val="0"/>
          <w:numId w:val="37"/>
        </w:numPr>
        <w:spacing w:before="0" w:after="160"/>
        <w:rPr>
          <w:rFonts w:cs="Arial"/>
        </w:rPr>
      </w:pPr>
      <w:r w:rsidRPr="00DB35D4">
        <w:rPr>
          <w:rFonts w:cs="Arial"/>
          <w:b/>
          <w:bCs/>
        </w:rPr>
        <w:t>Legal Ownership</w:t>
      </w:r>
      <w:r w:rsidRPr="00DB35D4">
        <w:rPr>
          <w:rFonts w:cs="Arial"/>
        </w:rPr>
        <w:t xml:space="preserve">: Any products developed under Gold Standard Certification, such as carbon credits, must be proved to have full and uncontested legal ownership. When project beneficiaries' ownership is transferred, it must be done so in a transparent manner and with a full, prior, and informed consent. It should be referred that full and uncontested legal land title/tenure is required for some Project types.  Any land title/tenure disputes that arise must be immediately reported to Gold Standard. </w:t>
      </w:r>
    </w:p>
    <w:p w14:paraId="1664B386" w14:textId="77777777" w:rsidR="005664B6" w:rsidRPr="00DB35D4" w:rsidRDefault="005664B6" w:rsidP="00A01330">
      <w:pPr>
        <w:pStyle w:val="ListParagraph"/>
        <w:numPr>
          <w:ilvl w:val="0"/>
          <w:numId w:val="37"/>
        </w:numPr>
        <w:spacing w:before="0" w:after="160"/>
        <w:rPr>
          <w:rFonts w:cs="Arial"/>
        </w:rPr>
      </w:pPr>
      <w:r w:rsidRPr="00DB35D4">
        <w:rPr>
          <w:rFonts w:cs="Arial"/>
          <w:b/>
          <w:bCs/>
        </w:rPr>
        <w:t>Other Rights</w:t>
      </w:r>
      <w:r w:rsidRPr="00DB35D4">
        <w:rPr>
          <w:rFonts w:cs="Arial"/>
        </w:rPr>
        <w:t xml:space="preserve">: In addition to legal title and ownership, the Project Developer must show uncontested legal rights and/or permissions to change the usage of other </w:t>
      </w:r>
      <w:r w:rsidRPr="00DB35D4">
        <w:rPr>
          <w:rFonts w:cs="Arial"/>
        </w:rPr>
        <w:lastRenderedPageBreak/>
        <w:t xml:space="preserve">resources required to service the Project (for example, access rights, water rights etc.). The Project Developer must immediately report any known conflicts or contested rights to Gold Standard and have them addressed before moving further with project execution in the impacted areas </w:t>
      </w:r>
      <w:r w:rsidRPr="00DB35D4">
        <w:rPr>
          <w:rFonts w:cs="Arial"/>
        </w:rPr>
        <w:fldChar w:fldCharType="begin" w:fldLock="1"/>
      </w:r>
      <w:r w:rsidRPr="00DB35D4">
        <w:rPr>
          <w:rFonts w:cs="Arial"/>
        </w:rPr>
        <w:instrText>ADDIN CSL_CITATION {"citationItems":[{"id":"ITEM-1","itemData":{"DOI":"10.1007/978-3-642-41714-6_163857","abstract":"Gold Standard for the Global Goals is a standard that sets requirements to design projects for maximum positive impact in climate and development -- and to measure and report outcomes in the most credible and efficient way.","author":[{"dropping-particle":"","family":"Herrmann","given":"Helmut","non-dropping-particle":"","parse-names":false,"suffix":""},{"dropping-particle":"","family":"Bucksch","given":"Herbert","non-dropping-particle":"","parse-names":false,"suffix":""}],"container-title":"Gold Standard","id":"ITEM-1","issue":"October 2019","issued":{"date-parts":[["2019"]]},"page":"38","title":"Gold Standard for thr Global Goals, Principles and Requirements","type":"webpage"},"uris":["http://www.mendeley.com/documents/?uuid=8baaf88e-1005-4530-bbf2-5ff164841655"]}],"mendeley":{"formattedCitation":"(Herrmann &amp; Bucksch, 2019)","plainTextFormattedCitation":"(Herrmann &amp; Bucksch, 2019)","previouslyFormattedCitation":"(Herrmann &amp; Bucksch, 2019)"},"properties":{"noteIndex":0},"schema":"https://github.com/citation-style-language/schema/raw/master/csl-citation.json"}</w:instrText>
      </w:r>
      <w:r w:rsidRPr="00DB35D4">
        <w:rPr>
          <w:rFonts w:cs="Arial"/>
        </w:rPr>
        <w:fldChar w:fldCharType="separate"/>
      </w:r>
      <w:r w:rsidRPr="00DB35D4">
        <w:rPr>
          <w:rFonts w:cs="Arial"/>
          <w:noProof/>
        </w:rPr>
        <w:t>(Herrmann &amp; Bucksch, 2019)</w:t>
      </w:r>
      <w:r w:rsidRPr="00DB35D4">
        <w:rPr>
          <w:rFonts w:cs="Arial"/>
        </w:rPr>
        <w:fldChar w:fldCharType="end"/>
      </w:r>
      <w:r w:rsidRPr="00DB35D4">
        <w:rPr>
          <w:rFonts w:cs="Arial"/>
        </w:rPr>
        <w:t>.</w:t>
      </w:r>
    </w:p>
    <w:p w14:paraId="3047E543" w14:textId="77777777" w:rsidR="005664B6" w:rsidRPr="00DB35D4" w:rsidRDefault="005664B6" w:rsidP="005664B6">
      <w:pPr>
        <w:rPr>
          <w:rFonts w:cs="Arial"/>
        </w:rPr>
      </w:pPr>
      <w:r w:rsidRPr="00DB35D4">
        <w:rPr>
          <w:rFonts w:cs="Arial"/>
        </w:rPr>
        <w:t xml:space="preserve">To receive </w:t>
      </w:r>
      <w:r w:rsidRPr="00DB35D4">
        <w:rPr>
          <w:rFonts w:cs="Arial"/>
          <w:lang w:val="en-GB"/>
        </w:rPr>
        <w:t xml:space="preserve">a </w:t>
      </w:r>
      <w:r w:rsidRPr="00DB35D4">
        <w:rPr>
          <w:rFonts w:cs="Arial"/>
        </w:rPr>
        <w:t>Golden Standard certification, all projects must contribute to Gold Standard's vision and mission, as defined by the eligibility principles and requirements listed below.</w:t>
      </w:r>
    </w:p>
    <w:p w14:paraId="5132FD0D" w14:textId="77777777" w:rsidR="005664B6" w:rsidRPr="00DB35D4" w:rsidRDefault="005664B6" w:rsidP="00A01330">
      <w:pPr>
        <w:pStyle w:val="ListParagraph"/>
        <w:numPr>
          <w:ilvl w:val="0"/>
          <w:numId w:val="38"/>
        </w:numPr>
        <w:spacing w:before="0" w:after="160"/>
        <w:rPr>
          <w:rFonts w:cs="Arial"/>
        </w:rPr>
      </w:pPr>
      <w:r w:rsidRPr="00DB35D4">
        <w:rPr>
          <w:rFonts w:cs="Arial"/>
        </w:rPr>
        <w:t xml:space="preserve">The first principle is the </w:t>
      </w:r>
      <w:r w:rsidRPr="00DB35D4">
        <w:rPr>
          <w:rFonts w:cs="Arial"/>
          <w:b/>
          <w:bCs/>
        </w:rPr>
        <w:t>Contribution to Climate Security and Sustainable Development</w:t>
      </w:r>
      <w:r w:rsidRPr="00DB35D4">
        <w:rPr>
          <w:rFonts w:cs="Arial"/>
        </w:rPr>
        <w:t>. Which means that projects must be of a type that has been pre-identified as eligible, or they must apply to GS for eligibility approval. For income stability, food security, and long-term development, increasing resilience to deal with the effects of climate change is critical. As a result, project participants' adaptive capacity must be preserved and increased as part of every project. Specifically, the Project Developer must determine the existing and expected climate/weather variability for the project region.</w:t>
      </w:r>
    </w:p>
    <w:p w14:paraId="2C22C107" w14:textId="77777777" w:rsidR="005664B6" w:rsidRPr="00DB35D4" w:rsidRDefault="005664B6" w:rsidP="00A01330">
      <w:pPr>
        <w:pStyle w:val="ListParagraph"/>
        <w:numPr>
          <w:ilvl w:val="0"/>
          <w:numId w:val="38"/>
        </w:numPr>
        <w:spacing w:before="0" w:after="160"/>
        <w:rPr>
          <w:rFonts w:cs="Arial"/>
        </w:rPr>
      </w:pPr>
      <w:r w:rsidRPr="00DB35D4">
        <w:rPr>
          <w:rFonts w:cs="Arial"/>
        </w:rPr>
        <w:t xml:space="preserve">The second principle is the </w:t>
      </w:r>
      <w:r w:rsidRPr="00DB35D4">
        <w:rPr>
          <w:rFonts w:cs="Arial"/>
          <w:b/>
          <w:bCs/>
        </w:rPr>
        <w:t>Safeguarding Principles</w:t>
      </w:r>
      <w:r w:rsidRPr="00DB35D4">
        <w:rPr>
          <w:rFonts w:cs="Arial"/>
        </w:rPr>
        <w:t xml:space="preserve">. Safeguarding Principles Assessments and GS Safeguarding Principles and Requirements must be completed by projects. The project completes a Safeguarding Principles Assessment as per Safeguarding Principles and Requirements to determine the relevance of the various requirements to the project by successfully following these requirements and procedures. At least 10% of the overall Project Area must be identified and used to protect or enhance biological diversity. The Project Developer will manage the designated protected area, which will be located inside the Project Area. Waterbodies' buffer zones can be included in the protected area. Existing native tree patches, single isolated stems of native tree species, habitats of rare, threatened, and endangered species, and habitat connectivity regions, must be recognized and handled </w:t>
      </w:r>
      <w:proofErr w:type="gramStart"/>
      <w:r w:rsidRPr="00DB35D4">
        <w:rPr>
          <w:rFonts w:cs="Arial"/>
        </w:rPr>
        <w:t>in order to</w:t>
      </w:r>
      <w:proofErr w:type="gramEnd"/>
      <w:r w:rsidRPr="00DB35D4">
        <w:rPr>
          <w:rFonts w:cs="Arial"/>
        </w:rPr>
        <w:t xml:space="preserve"> protect or improve biodiversity. Furthermore, on both sides of any permanent or temporary water bodies such as lakes, streams, rivers, wetlands, and so on, the Project Developer must maintain a 15-meter buffer zone for water bodies (this requirement does not apply to irrigation channels). All existing native trees must be preserved in these buffer zones; no fertilizer or pesticides are permitted; no logging, cropping or heavy machinery is permitted; and, if trees are planted, they must be native tree species.</w:t>
      </w:r>
    </w:p>
    <w:p w14:paraId="4C53F332" w14:textId="77777777" w:rsidR="005664B6" w:rsidRPr="00DB35D4" w:rsidRDefault="005664B6" w:rsidP="00A01330">
      <w:pPr>
        <w:pStyle w:val="ListParagraph"/>
        <w:numPr>
          <w:ilvl w:val="0"/>
          <w:numId w:val="38"/>
        </w:numPr>
        <w:spacing w:before="0" w:after="160"/>
        <w:rPr>
          <w:rFonts w:cs="Arial"/>
        </w:rPr>
      </w:pPr>
      <w:r w:rsidRPr="00DB35D4">
        <w:rPr>
          <w:rFonts w:cs="Arial"/>
        </w:rPr>
        <w:lastRenderedPageBreak/>
        <w:t xml:space="preserve">The third principle is the </w:t>
      </w:r>
      <w:r w:rsidRPr="00DB35D4">
        <w:rPr>
          <w:rFonts w:cs="Arial"/>
          <w:b/>
          <w:bCs/>
        </w:rPr>
        <w:t>Stakeholder Inclusivity</w:t>
      </w:r>
      <w:r w:rsidRPr="00DB35D4">
        <w:rPr>
          <w:rFonts w:cs="Arial"/>
        </w:rPr>
        <w:t xml:space="preserve"> which means that projects should identify and engage relevant stakeholders, as well as seek expert stakeholder input when required, during the project's design, planning, and implementation. Stakeholder input and opinions should be reflected in the project design, and continual feedback should be solicited, captured, and acted upon throughout the project's life cycle. if these are successfully followed, the project demonstrates how it has identified, engaged, and consulted with relevant stakeholders. Expert stakeholders are involved in the process when needed. The project displays the consultation records as well as how the consultation has influenced in a positive way the project's design and implementation. Furthermore, the project illustrates that stakeholder concerns have been addressed, as well as any conflicts that have arisen and system is being designed for continuously capturing, recording, and responding to stakeholder concerns.</w:t>
      </w:r>
    </w:p>
    <w:p w14:paraId="4BA5B435" w14:textId="77777777" w:rsidR="005664B6" w:rsidRPr="00DB35D4" w:rsidRDefault="005664B6" w:rsidP="00A01330">
      <w:pPr>
        <w:pStyle w:val="ListParagraph"/>
        <w:numPr>
          <w:ilvl w:val="0"/>
          <w:numId w:val="38"/>
        </w:numPr>
        <w:spacing w:before="0" w:after="160"/>
        <w:rPr>
          <w:rFonts w:cs="Arial"/>
        </w:rPr>
      </w:pPr>
      <w:r w:rsidRPr="00DB35D4">
        <w:rPr>
          <w:rFonts w:cs="Arial"/>
        </w:rPr>
        <w:t xml:space="preserve">The fourth principle is the </w:t>
      </w:r>
      <w:r w:rsidRPr="00DB35D4">
        <w:rPr>
          <w:rFonts w:cs="Arial"/>
          <w:b/>
          <w:bCs/>
        </w:rPr>
        <w:t>Demonstration of real outcomes</w:t>
      </w:r>
      <w:r w:rsidRPr="00DB35D4">
        <w:rPr>
          <w:rFonts w:cs="Arial"/>
        </w:rPr>
        <w:t xml:space="preserve">. Projects must create an upfront Project Design Document (PDD) that includes a monitoring and reporting plan, pass design certification, and conduct monitoring in line with the monitoring and reporting plan, as well as produce annual reports and monitoring reports. In case of Afforestation/ Reforestation Projects, as the </w:t>
      </w:r>
      <w:r w:rsidRPr="00DB35D4">
        <w:rPr>
          <w:rFonts w:cs="Arial"/>
          <w:b/>
          <w:bCs/>
          <w:i/>
          <w:iCs/>
          <w:color w:val="31479E" w:themeColor="accent1" w:themeShade="BF"/>
        </w:rPr>
        <w:t>MAIL</w:t>
      </w:r>
      <w:r w:rsidRPr="00DB35D4">
        <w:rPr>
          <w:rFonts w:cs="Arial"/>
        </w:rPr>
        <w:t xml:space="preserve"> Project, the crediting period must be at least 30 years and no more than 50 years. The crediting term will be chosen by the Project Developer based on the project's parameters. The crediting period begins on the Project Start Date or three years before the Project Design Certification Date, whichever comes first.  Verification and Issuance Review can happen before or after Project Design Certification, and it </w:t>
      </w:r>
      <w:proofErr w:type="gramStart"/>
      <w:r w:rsidRPr="00DB35D4">
        <w:rPr>
          <w:rFonts w:cs="Arial"/>
        </w:rPr>
        <w:t>has to</w:t>
      </w:r>
      <w:proofErr w:type="gramEnd"/>
      <w:r w:rsidRPr="00DB35D4">
        <w:rPr>
          <w:rFonts w:cs="Arial"/>
        </w:rPr>
        <w:t xml:space="preserve"> happen at least once during the 5-year Certification cycle. Until the end of the crediting period, verification must be conducted at least every 5 years.</w:t>
      </w:r>
    </w:p>
    <w:p w14:paraId="2EFF3670" w14:textId="77777777" w:rsidR="005664B6" w:rsidRPr="00DB35D4" w:rsidRDefault="005664B6" w:rsidP="00A01330">
      <w:pPr>
        <w:pStyle w:val="ListParagraph"/>
        <w:numPr>
          <w:ilvl w:val="0"/>
          <w:numId w:val="38"/>
        </w:numPr>
        <w:spacing w:before="0" w:after="160"/>
        <w:rPr>
          <w:rFonts w:cs="Arial"/>
        </w:rPr>
      </w:pPr>
      <w:r w:rsidRPr="00DB35D4">
        <w:rPr>
          <w:rFonts w:cs="Arial"/>
        </w:rPr>
        <w:t xml:space="preserve">Last, the fifth principle is the </w:t>
      </w:r>
      <w:r w:rsidRPr="00DB35D4">
        <w:rPr>
          <w:rFonts w:cs="Arial"/>
          <w:b/>
          <w:bCs/>
        </w:rPr>
        <w:t>Financial Additionality and Ongoing Financial Need</w:t>
      </w:r>
      <w:r w:rsidRPr="00DB35D4">
        <w:rPr>
          <w:rFonts w:cs="Arial"/>
        </w:rPr>
        <w:t xml:space="preserve">. As stated in the first principle, all projects must demonstrate increased impacts when compared to their baseline situation. A/R Projects, demonstrate project additionality, the project will use one of the following options. The first option requires to use the most recent version of the A/R CDM “Combined tool to identify the baseline scenario and demonstrate additionality in A/R CDM project activities” </w:t>
      </w:r>
      <w:r w:rsidRPr="00DB35D4">
        <w:rPr>
          <w:rFonts w:cs="Arial"/>
        </w:rPr>
        <w:fldChar w:fldCharType="begin" w:fldLock="1"/>
      </w:r>
      <w:r w:rsidRPr="00DB35D4">
        <w:rPr>
          <w:rFonts w:cs="Arial"/>
        </w:rPr>
        <w:instrText>ADDIN CSL_CITATION {"citationItems":[{"id":"ITEM-1","itemData":{"abstract":"This tool provides a general framework and a step-wise approach to identify the baseline scenario and simultaneously demonstrates additionality in A/R CDM project activities. 2.","author":[{"dropping-particle":"","family":"UNFCCC/CCNUCC","given":"","non-dropping-particle":"","parse-names":false,"suffix":""}],"container-title":"UNFCCC","id":"ITEM-1","issued":{"date-parts":[["2007"]]},"number-of-pages":"13","title":"“Combined tool to identify the baseline scenario and demonstrate additionality in A/R CDM project activities”","type":"report"},"uris":["http://www.mendeley.com/documents/?uuid=199210f6-2822-4d43-8780-09c4ed67f5d8"]}],"mendeley":{"formattedCitation":"(UNFCCC/CCNUCC, 2007)","plainTextFormattedCitation":"(UNFCCC/CCNUCC, 2007)","previouslyFormattedCitation":"(UNFCCC/CCNUCC, 2007)"},"properties":{"noteIndex":0},"schema":"https://github.com/citation-style-language/schema/raw/master/csl-citation.json"}</w:instrText>
      </w:r>
      <w:r w:rsidRPr="00DB35D4">
        <w:rPr>
          <w:rFonts w:cs="Arial"/>
        </w:rPr>
        <w:fldChar w:fldCharType="separate"/>
      </w:r>
      <w:r w:rsidRPr="00DB35D4">
        <w:rPr>
          <w:rFonts w:cs="Arial"/>
          <w:noProof/>
        </w:rPr>
        <w:t>(UNFCCC/CCNUCC, 2007)</w:t>
      </w:r>
      <w:r w:rsidRPr="00DB35D4">
        <w:rPr>
          <w:rFonts w:cs="Arial"/>
        </w:rPr>
        <w:fldChar w:fldCharType="end"/>
      </w:r>
      <w:r w:rsidRPr="00DB35D4">
        <w:rPr>
          <w:rFonts w:cs="Arial"/>
        </w:rPr>
        <w:t>. The CDM-specific terminology of the A/R CDM additionality tool (</w:t>
      </w:r>
      <w:proofErr w:type="spellStart"/>
      <w:r w:rsidRPr="00DB35D4">
        <w:rPr>
          <w:rFonts w:cs="Arial"/>
        </w:rPr>
        <w:t>tCERs</w:t>
      </w:r>
      <w:proofErr w:type="spellEnd"/>
      <w:r w:rsidRPr="00DB35D4">
        <w:rPr>
          <w:rFonts w:cs="Arial"/>
        </w:rPr>
        <w:t xml:space="preserve">, A/R CDM project, and so on) must be read in the context of the Gold Standard. The second option requires the following: the project must not have the goal of creating a forest for the commercial use of </w:t>
      </w:r>
      <w:r w:rsidRPr="00DB35D4">
        <w:rPr>
          <w:rFonts w:cs="Arial"/>
        </w:rPr>
        <w:lastRenderedPageBreak/>
        <w:t xml:space="preserve">timber or non-timber forest products, and the project activities must not be mandated by any law or regulation.  In addition, the project should </w:t>
      </w:r>
      <w:proofErr w:type="gramStart"/>
      <w:r w:rsidRPr="00DB35D4">
        <w:rPr>
          <w:rFonts w:cs="Arial"/>
        </w:rPr>
        <w:t>be located in</w:t>
      </w:r>
      <w:proofErr w:type="gramEnd"/>
      <w:r w:rsidRPr="00DB35D4">
        <w:rPr>
          <w:rFonts w:cs="Arial"/>
        </w:rPr>
        <w:t xml:space="preserve"> an area with a mean annual precipitation of less than 600 mm or a soil pH of less than 4.0 in the planting area. The planting area should be planted with a minimum of 5 different native tree species in mixed stands, with at least 50% of the planting area covered. </w:t>
      </w:r>
      <w:r w:rsidRPr="00DB35D4">
        <w:rPr>
          <w:rFonts w:cs="Arial"/>
        </w:rPr>
        <w:fldChar w:fldCharType="begin" w:fldLock="1"/>
      </w:r>
      <w:r w:rsidRPr="00DB35D4">
        <w:rPr>
          <w:rFonts w:cs="Arial"/>
        </w:rPr>
        <w:instrText>ADDIN CSL_CITATION {"citationItems":[{"id":"ITEM-1","itemData":{"DOI":"10.1007/978-3-642-41714-6_163857","abstract":"Gold Standard for the Global Goals is a standard that sets requirements to design projects for maximum positive impact in climate and development -- and to measure and report outcomes in the most credible and efficient way.","author":[{"dropping-particle":"","family":"Herrmann","given":"Helmut","non-dropping-particle":"","parse-names":false,"suffix":""},{"dropping-particle":"","family":"Bucksch","given":"Herbert","non-dropping-particle":"","parse-names":false,"suffix":""}],"container-title":"Gold Standard","id":"ITEM-1","issue":"October 2019","issued":{"date-parts":[["2019"]]},"page":"38","title":"Gold Standard for thr Global Goals, Principles and Requirements","type":"webpage"},"uris":["http://www.mendeley.com/documents/?uuid=8baaf88e-1005-4530-bbf2-5ff164841655"]},{"id":"ITEM-2","itemData":{"author":[{"dropping-particle":"","family":"Gold Standard","given":"","non-dropping-particle":"","parse-names":false,"suffix":""}],"container-title":"Gold Standard","id":"ITEM-2","issue":"October 2019","issued":{"date-parts":[["2020"]]},"page":"1-44","title":"Land Use &amp; Forests Activity Requirements","type":"article-journal","volume":"1.2.1"},"uris":["http://www.mendeley.com/documents/?uuid=2e17f884-3acc-43a0-a68e-7ceb999ec3ce"]},{"id":"ITEM-3","itemData":{"author":[{"dropping-particle":"","family":"The Gold Standard Foundation","given":"","non-dropping-particle":"","parse-names":false,"suffix":""}],"id":"ITEM-3","issue":"August 2013","issued":{"date-parts":[["2013"]]},"title":"The Gold Standard Afforestation/Reforestation (A/R) Requirements v.0.9","type":"article-journal","volume":"9"},"uris":["http://www.mendeley.com/documents/?uuid=ae06f684-45e9-4cfd-95c4-ca87acd7f960"]}],"mendeley":{"formattedCitation":"(Gold Standard, 2020; Herrmann &amp; Bucksch, 2019; The Gold Standard Foundation, 2013)","plainTextFormattedCitation":"(Gold Standard, 2020; Herrmann &amp; Bucksch, 2019; The Gold Standard Foundation, 2013)","previouslyFormattedCitation":"(Gold Standard, 2020; Herrmann &amp; Bucksch, 2019; The Gold Standard Foundation, 2013)"},"properties":{"noteIndex":0},"schema":"https://github.com/citation-style-language/schema/raw/master/csl-citation.json"}</w:instrText>
      </w:r>
      <w:r w:rsidRPr="00DB35D4">
        <w:rPr>
          <w:rFonts w:cs="Arial"/>
        </w:rPr>
        <w:fldChar w:fldCharType="separate"/>
      </w:r>
      <w:r w:rsidRPr="00DB35D4">
        <w:rPr>
          <w:rFonts w:cs="Arial"/>
          <w:noProof/>
        </w:rPr>
        <w:t>(Gold Standard, 2020; Herrmann &amp; Bucksch, 2019; The Gold Standard Foundation, 2013)</w:t>
      </w:r>
      <w:r w:rsidRPr="00DB35D4">
        <w:rPr>
          <w:rFonts w:cs="Arial"/>
        </w:rPr>
        <w:fldChar w:fldCharType="end"/>
      </w:r>
    </w:p>
    <w:p w14:paraId="0FD830B8" w14:textId="2611A01D" w:rsidR="005664B6" w:rsidRPr="00DB35D4" w:rsidRDefault="005664B6" w:rsidP="005664B6">
      <w:pPr>
        <w:rPr>
          <w:rFonts w:cs="Arial"/>
        </w:rPr>
      </w:pPr>
      <w:r w:rsidRPr="00DB35D4">
        <w:rPr>
          <w:rFonts w:cs="Arial"/>
        </w:rPr>
        <w:t xml:space="preserve">Site: </w:t>
      </w:r>
      <w:hyperlink r:id="rId340" w:history="1">
        <w:r w:rsidRPr="00DB35D4">
          <w:rPr>
            <w:rStyle w:val="Hyperlink"/>
            <w:rFonts w:cs="Arial"/>
          </w:rPr>
          <w:t>www.goldstandard.org</w:t>
        </w:r>
      </w:hyperlink>
      <w:r w:rsidRPr="00DB35D4">
        <w:rPr>
          <w:rFonts w:cs="Arial"/>
        </w:rPr>
        <w:t xml:space="preserve"> </w:t>
      </w:r>
    </w:p>
    <w:p w14:paraId="73D1C800" w14:textId="77777777" w:rsidR="005664B6" w:rsidRPr="00DB35D4" w:rsidRDefault="005664B6" w:rsidP="009E12D8">
      <w:pPr>
        <w:pStyle w:val="MAIL111"/>
      </w:pPr>
      <w:bookmarkStart w:id="391" w:name="_Toc90893022"/>
      <w:bookmarkStart w:id="392" w:name="_Toc91752476"/>
      <w:r w:rsidRPr="00DB35D4">
        <w:t>Plan Vivo</w:t>
      </w:r>
      <w:bookmarkEnd w:id="391"/>
      <w:bookmarkEnd w:id="392"/>
    </w:p>
    <w:p w14:paraId="51F29AF0" w14:textId="77777777" w:rsidR="005664B6" w:rsidRPr="00DB35D4" w:rsidRDefault="005664B6" w:rsidP="005664B6">
      <w:pPr>
        <w:rPr>
          <w:rFonts w:cs="Arial"/>
        </w:rPr>
      </w:pPr>
      <w:r w:rsidRPr="00DB35D4">
        <w:rPr>
          <w:rFonts w:cs="Arial"/>
        </w:rPr>
        <w:t xml:space="preserve">Plan Vivo is an Offset Project </w:t>
      </w:r>
      <w:r w:rsidRPr="00DB35D4">
        <w:rPr>
          <w:rFonts w:cs="Arial"/>
          <w:b/>
        </w:rPr>
        <w:t xml:space="preserve">Standard for forestry, agriculture, and other land-use projects </w:t>
      </w:r>
      <w:r w:rsidRPr="00DB35D4">
        <w:rPr>
          <w:rFonts w:cs="Arial"/>
        </w:rPr>
        <w:t xml:space="preserve">that aims to promote sustainable development while also enhancing rural livelihoods and ecosystems. A set of standards (the Plan Vivo Standards), administrative processes, tools, and guidance are all part of the Plan Vivo System. The Plan Vivo Foundation governs and oversees it to ensure that producers in developing countries are fairly paid for ecosystem services (PES) they provide through their Plan Vivo. These payments boost </w:t>
      </w:r>
      <w:proofErr w:type="gramStart"/>
      <w:r>
        <w:rPr>
          <w:rFonts w:cs="Arial"/>
        </w:rPr>
        <w:t>producer</w:t>
      </w:r>
      <w:r w:rsidRPr="00DB35D4">
        <w:rPr>
          <w:rFonts w:cs="Arial"/>
        </w:rPr>
        <w:t>s</w:t>
      </w:r>
      <w:proofErr w:type="gramEnd"/>
      <w:r w:rsidRPr="00DB35D4">
        <w:rPr>
          <w:rFonts w:cs="Arial"/>
        </w:rPr>
        <w:t xml:space="preserve"> ability to conserve and improve the natural and productive ecosystems on which they depend, as well as the global public goods they supply such as carbon sinks and biodiversity. Plan Vivo collaborates closely with rural communities and places a strong emphasis on participatory design, ongoing stakeholder consultation, and the use of native species. Post-sequestration offsets are not verified by the Plan Vivo Foundation, which only verifies and awards forward credits known as Plan Vivo Certificates (PVC). </w:t>
      </w:r>
      <w:r w:rsidRPr="00DB35D4">
        <w:rPr>
          <w:rFonts w:cs="Arial"/>
        </w:rPr>
        <w:fldChar w:fldCharType="begin" w:fldLock="1"/>
      </w:r>
      <w:r w:rsidRPr="00DB35D4">
        <w:rPr>
          <w:rFonts w:cs="Arial"/>
        </w:rPr>
        <w:instrText>ADDIN CSL_CITATION {"citationItems":[{"id":"ITEM-1","itemData":{"author":[{"dropping-particle":"","family":"Plan Vivo","given":"","non-dropping-particle":"","parse-names":false,"suffix":""}],"id":"ITEM-1","issue":"February","issued":{"date-parts":[["2008"]]},"title":"The Plan Vivo System and Standards","type":"report"},"uris":["http://www.mendeley.com/documents/?uuid=30abc7cb-f195-4403-831c-8551a9a8abf3"]}],"mendeley":{"formattedCitation":"(Plan Vivo, 2008)","plainTextFormattedCitation":"(Plan Vivo, 2008)","previouslyFormattedCitation":"(Plan Vivo, 2008)"},"properties":{"noteIndex":0},"schema":"https://github.com/citation-style-language/schema/raw/master/csl-citation.json"}</w:instrText>
      </w:r>
      <w:r w:rsidRPr="00DB35D4">
        <w:rPr>
          <w:rFonts w:cs="Arial"/>
        </w:rPr>
        <w:fldChar w:fldCharType="separate"/>
      </w:r>
      <w:r w:rsidRPr="00DB35D4">
        <w:rPr>
          <w:rFonts w:cs="Arial"/>
          <w:noProof/>
        </w:rPr>
        <w:t>(Plan Vivo, 2008)</w:t>
      </w:r>
      <w:r w:rsidRPr="00DB35D4">
        <w:rPr>
          <w:rFonts w:cs="Arial"/>
        </w:rPr>
        <w:fldChar w:fldCharType="end"/>
      </w:r>
    </w:p>
    <w:p w14:paraId="632EDB9A" w14:textId="77777777" w:rsidR="005664B6" w:rsidRPr="00DB35D4" w:rsidRDefault="005664B6" w:rsidP="005664B6">
      <w:pPr>
        <w:rPr>
          <w:rFonts w:cs="Arial"/>
        </w:rPr>
      </w:pPr>
      <w:r w:rsidRPr="00DB35D4">
        <w:rPr>
          <w:rFonts w:cs="Arial"/>
        </w:rPr>
        <w:t xml:space="preserve">The Plan Vivo Foundation, a Scottish non-profit organization who focuses on environmental improvement and poverty reduction, is currently in charge of Plan Vivo. The Foundation reviews and registers projects that meet the Plan Vivo Standard, issues Plan Vivo Certificates annually after each project's annual report is submitted and approved and serves as the overall "keeper" of the Plan Vivo Standard, which is reviewed on a regular basis in consultation with the Technical Advisory Committee and Stakeholder Groups. It moreover registers Plan Vivo Certificate resellers and approves third-party validators and verifiers </w:t>
      </w:r>
      <w:r w:rsidRPr="00DB35D4">
        <w:rPr>
          <w:rFonts w:cs="Arial"/>
        </w:rPr>
        <w:fldChar w:fldCharType="begin" w:fldLock="1"/>
      </w:r>
      <w:r w:rsidRPr="00DB35D4">
        <w:rPr>
          <w:rFonts w:cs="Arial"/>
        </w:rPr>
        <w:instrText>ADDIN CSL_CITATION {"citationItems":[{"id":"ITEM-1","itemData":{"abstract":"ACKNOWLEDGEMENT We are grateful to the High Tide Foundation for supporting the development of this guidance and the accompanying web resource. The mission of the High Tide Foundation is to have a significant, measureable impact on climate change mitigation.","author":[{"dropping-particle":"","family":"Broekhoff","given":"Derik","non-dropping-particle":"","parse-names":false,"suffix":""},{"dropping-particle":"","family":"Gillenwater","given":"Michael","non-dropping-particle":"","parse-names":false,"suffix":""},{"dropping-particle":"","family":"Colbert-Sangree","given":"Tani","non-dropping-particle":"","parse-names":false,"suffix":""},{"dropping-particle":"","family":"Cage","given":"Patrick","non-dropping-particle":"","parse-names":false,"suffix":""}],"container-title":"… &amp; Greenhouse Gas …","id":"ITEM-1","issued":{"date-parts":[["2019"]]},"page":"59","title":"Securing Climate Benefit : A Guide to Using Carbon Offsets","type":"article-journal"},"uris":["http://www.mendeley.com/documents/?uuid=ebed0081-4855-4504-b2a1-a4e2f8db8a44"]}],"mendeley":{"formattedCitation":"(Broekhoff et al., 2019)","plainTextFormattedCitation":"(Broekhoff et al., 2019)","previouslyFormattedCitation":"(Broekhoff et al., 2019)"},"properties":{"noteIndex":0},"schema":"https://github.com/citation-style-language/schema/raw/master/csl-citation.json"}</w:instrText>
      </w:r>
      <w:r w:rsidRPr="00DB35D4">
        <w:rPr>
          <w:rFonts w:cs="Arial"/>
        </w:rPr>
        <w:fldChar w:fldCharType="separate"/>
      </w:r>
      <w:r w:rsidRPr="00DB35D4">
        <w:rPr>
          <w:rFonts w:cs="Arial"/>
          <w:noProof/>
        </w:rPr>
        <w:t>(Broekhoff et al., 2019)</w:t>
      </w:r>
      <w:r w:rsidRPr="00DB35D4">
        <w:rPr>
          <w:rFonts w:cs="Arial"/>
        </w:rPr>
        <w:fldChar w:fldCharType="end"/>
      </w:r>
      <w:r w:rsidRPr="00DB35D4">
        <w:rPr>
          <w:rFonts w:cs="Arial"/>
        </w:rPr>
        <w:t xml:space="preserve">. </w:t>
      </w:r>
    </w:p>
    <w:p w14:paraId="17AB8ACC" w14:textId="77777777" w:rsidR="005664B6" w:rsidRPr="00DB35D4" w:rsidRDefault="005664B6" w:rsidP="005664B6">
      <w:pPr>
        <w:rPr>
          <w:rFonts w:cs="Arial"/>
        </w:rPr>
      </w:pPr>
      <w:r w:rsidRPr="00DB35D4">
        <w:rPr>
          <w:rFonts w:cs="Arial"/>
        </w:rPr>
        <w:t xml:space="preserve">Plan Vivo programs are developed and managed by a range of organizations, the majority of which are international and locally based non-governmental organizations (NGOs) that serve as project developers/coordinators. They organize sales with carbon </w:t>
      </w:r>
      <w:r w:rsidRPr="00DB35D4">
        <w:rPr>
          <w:rFonts w:cs="Arial"/>
        </w:rPr>
        <w:lastRenderedPageBreak/>
        <w:t xml:space="preserve">purchasers, coordinate ongoing monitoring and community consultation, and distribute staged payments for ecosystem services to project participants based on the achievement of "monitoring targets" outlined in land-management plans, the Plan </w:t>
      </w:r>
      <w:proofErr w:type="spellStart"/>
      <w:r w:rsidRPr="00DB35D4">
        <w:rPr>
          <w:rFonts w:cs="Arial"/>
        </w:rPr>
        <w:t>Vivos</w:t>
      </w:r>
      <w:proofErr w:type="spellEnd"/>
      <w:r w:rsidRPr="00DB35D4">
        <w:rPr>
          <w:rFonts w:cs="Arial"/>
        </w:rPr>
        <w:t>.</w:t>
      </w:r>
    </w:p>
    <w:p w14:paraId="2AF88482" w14:textId="77777777" w:rsidR="005664B6" w:rsidRPr="00DB35D4" w:rsidRDefault="005664B6" w:rsidP="005664B6">
      <w:pPr>
        <w:rPr>
          <w:rFonts w:cs="Arial"/>
        </w:rPr>
      </w:pPr>
      <w:r w:rsidRPr="00DB35D4">
        <w:rPr>
          <w:rFonts w:cs="Arial"/>
        </w:rPr>
        <w:t xml:space="preserve">All Plan Vivo projects must be evaluated by third parties, both for project validation before registration and for project verification every five years thereafter. Validation and Verification Bodies (VVBs) shall follow Project Validation Guidance. Find information on validation and verification within the program documents, the list of approved VVBs here, and directions for submitting a brand new VVB entity for approval. Plan Vivo accepts projects that meet other standards, however projects must notify the Plan Vivo Foundation to avoid double-counting or duplication of ecosystem service claims </w:t>
      </w:r>
      <w:r w:rsidRPr="00DB35D4">
        <w:rPr>
          <w:rFonts w:cs="Arial"/>
        </w:rPr>
        <w:fldChar w:fldCharType="begin" w:fldLock="1"/>
      </w:r>
      <w:r w:rsidRPr="00DB35D4">
        <w:rPr>
          <w:rFonts w:cs="Arial"/>
        </w:rPr>
        <w:instrText>ADDIN CSL_CITATION {"citationItems":[{"id":"ITEM-1","itemData":{"abstract":"ACKNOWLEDGEMENT We are grateful to the High Tide Foundation for supporting the development of this guidance and the accompanying web resource. The mission of the High Tide Foundation is to have a significant, measureable impact on climate change mitigation.","author":[{"dropping-particle":"","family":"Broekhoff","given":"Derik","non-dropping-particle":"","parse-names":false,"suffix":""},{"dropping-particle":"","family":"Gillenwater","given":"Michael","non-dropping-particle":"","parse-names":false,"suffix":""},{"dropping-particle":"","family":"Colbert-Sangree","given":"Tani","non-dropping-particle":"","parse-names":false,"suffix":""},{"dropping-particle":"","family":"Cage","given":"Patrick","non-dropping-particle":"","parse-names":false,"suffix":""}],"container-title":"… &amp; Greenhouse Gas …","id":"ITEM-1","issued":{"date-parts":[["2019"]]},"page":"59","title":"Securing Climate Benefit : A Guide to Using Carbon Offsets","type":"article-journal"},"uris":["http://www.mendeley.com/documents/?uuid=ebed0081-4855-4504-b2a1-a4e2f8db8a44"]}],"mendeley":{"formattedCitation":"(Broekhoff et al., 2019)","plainTextFormattedCitation":"(Broekhoff et al., 2019)","previouslyFormattedCitation":"(Broekhoff et al., 2019)"},"properties":{"noteIndex":0},"schema":"https://github.com/citation-style-language/schema/raw/master/csl-citation.json"}</w:instrText>
      </w:r>
      <w:r w:rsidRPr="00DB35D4">
        <w:rPr>
          <w:rFonts w:cs="Arial"/>
        </w:rPr>
        <w:fldChar w:fldCharType="separate"/>
      </w:r>
      <w:r w:rsidRPr="00DB35D4">
        <w:rPr>
          <w:rFonts w:cs="Arial"/>
          <w:noProof/>
        </w:rPr>
        <w:t>(Broekhoff et al., 2019)</w:t>
      </w:r>
      <w:r w:rsidRPr="00DB35D4">
        <w:rPr>
          <w:rFonts w:cs="Arial"/>
        </w:rPr>
        <w:fldChar w:fldCharType="end"/>
      </w:r>
      <w:r w:rsidRPr="00DB35D4">
        <w:rPr>
          <w:rFonts w:cs="Arial"/>
        </w:rPr>
        <w:t>.</w:t>
      </w:r>
    </w:p>
    <w:p w14:paraId="1B00453F" w14:textId="77777777" w:rsidR="005664B6" w:rsidRPr="00DB35D4" w:rsidRDefault="005664B6" w:rsidP="005664B6">
      <w:pPr>
        <w:rPr>
          <w:rFonts w:cs="Arial"/>
        </w:rPr>
      </w:pPr>
      <w:r w:rsidRPr="00DB35D4">
        <w:rPr>
          <w:rFonts w:cs="Arial"/>
          <w:b/>
        </w:rPr>
        <w:t>Plan Vivo is the highest standard for conservation and restoration projects</w:t>
      </w:r>
      <w:r w:rsidRPr="00DB35D4">
        <w:rPr>
          <w:rFonts w:cs="Arial"/>
        </w:rPr>
        <w:t xml:space="preserve"> </w:t>
      </w:r>
      <w:r w:rsidRPr="00DB35D4">
        <w:rPr>
          <w:rFonts w:cs="Arial"/>
          <w:b/>
        </w:rPr>
        <w:t>involving smallholders and communities</w:t>
      </w:r>
      <w:r w:rsidRPr="00DB35D4">
        <w:rPr>
          <w:rFonts w:cs="Arial"/>
        </w:rPr>
        <w:t>. To maintain this high level of quality, all new projects must demonstrate that they meet the eight core principles stated below.</w:t>
      </w:r>
    </w:p>
    <w:p w14:paraId="746D4971" w14:textId="77777777" w:rsidR="005664B6" w:rsidRPr="00DB35D4" w:rsidRDefault="005664B6" w:rsidP="00A01330">
      <w:pPr>
        <w:pStyle w:val="ListParagraph"/>
        <w:numPr>
          <w:ilvl w:val="0"/>
          <w:numId w:val="39"/>
        </w:numPr>
        <w:spacing w:before="0" w:after="160"/>
        <w:rPr>
          <w:rFonts w:cs="Arial"/>
        </w:rPr>
      </w:pPr>
      <w:r w:rsidRPr="00DB35D4">
        <w:rPr>
          <w:rFonts w:cs="Arial"/>
          <w:b/>
          <w:bCs/>
        </w:rPr>
        <w:t xml:space="preserve">Eligible project intervention areas and participants. </w:t>
      </w:r>
      <w:r w:rsidRPr="00DB35D4">
        <w:rPr>
          <w:rFonts w:cs="Arial"/>
        </w:rPr>
        <w:t>Smallholders and community groups are directly involved in and benefit from projects. Smallholders and/or community groups must be able to commit to project interventions for the period of the Payment for Ecosystem Services (PES) Agreement on land where they have defined, stable land tenure, either through ownership or user rights.</w:t>
      </w:r>
    </w:p>
    <w:p w14:paraId="1FA75FCD" w14:textId="77777777" w:rsidR="005664B6" w:rsidRPr="00DB35D4" w:rsidRDefault="005664B6" w:rsidP="00A01330">
      <w:pPr>
        <w:pStyle w:val="ListParagraph"/>
        <w:numPr>
          <w:ilvl w:val="0"/>
          <w:numId w:val="39"/>
        </w:numPr>
        <w:spacing w:before="0" w:after="160"/>
        <w:rPr>
          <w:rFonts w:cs="Arial"/>
          <w:b/>
          <w:bCs/>
        </w:rPr>
      </w:pPr>
      <w:r w:rsidRPr="00DB35D4">
        <w:rPr>
          <w:rFonts w:cs="Arial"/>
          <w:b/>
          <w:bCs/>
        </w:rPr>
        <w:t xml:space="preserve">Eligible project activities. </w:t>
      </w:r>
      <w:r w:rsidRPr="00DB35D4">
        <w:rPr>
          <w:rFonts w:cs="Arial"/>
        </w:rPr>
        <w:t>Projects benefit ecosystem services while also preserving or enhancing biodiversity.</w:t>
      </w:r>
      <w:r w:rsidRPr="00DB35D4">
        <w:rPr>
          <w:rFonts w:cs="Arial"/>
          <w:b/>
          <w:bCs/>
        </w:rPr>
        <w:t xml:space="preserve"> </w:t>
      </w:r>
      <w:r w:rsidRPr="00DB35D4">
        <w:rPr>
          <w:rFonts w:cs="Arial"/>
        </w:rPr>
        <w:t xml:space="preserve">Projects must generate ecosystem service benefits through one or more of the project </w:t>
      </w:r>
      <w:proofErr w:type="gramStart"/>
      <w:r w:rsidRPr="00DB35D4">
        <w:rPr>
          <w:rFonts w:cs="Arial"/>
        </w:rPr>
        <w:t>intervention</w:t>
      </w:r>
      <w:proofErr w:type="gramEnd"/>
      <w:r w:rsidRPr="00DB35D4">
        <w:rPr>
          <w:rFonts w:cs="Arial"/>
        </w:rPr>
        <w:t xml:space="preserve"> types such as ecosystem restoration, ecosystem rehabilitation, prevention of ecosystem conversion or ecosystem degradation, improved land use management.</w:t>
      </w:r>
      <w:r w:rsidRPr="00DB35D4">
        <w:rPr>
          <w:rFonts w:cs="Arial"/>
          <w:b/>
          <w:bCs/>
        </w:rPr>
        <w:t xml:space="preserve"> </w:t>
      </w:r>
      <w:r w:rsidRPr="00DB35D4">
        <w:rPr>
          <w:rFonts w:cs="Arial"/>
        </w:rPr>
        <w:t>Any threats to biodiversity produced by the project intervention must be identified and mitigated. There must be no negative environmental consequences of project interventions, such as soil erosion or a decline in water quality. Any trees that are planted to generate ecosystem services must be native or naturalized species that are not invasive. Naturalized species must only be planted if they provide livelihood benefits that make them preferable to other native plants; and if they do not have a negative impact on biodiversity or the provision of important ecosystem services in the project area and surrounding areas.</w:t>
      </w:r>
    </w:p>
    <w:p w14:paraId="7312F6BD" w14:textId="77777777" w:rsidR="005664B6" w:rsidRPr="00DB35D4" w:rsidRDefault="005664B6" w:rsidP="00A01330">
      <w:pPr>
        <w:pStyle w:val="ListParagraph"/>
        <w:numPr>
          <w:ilvl w:val="0"/>
          <w:numId w:val="39"/>
        </w:numPr>
        <w:spacing w:before="0" w:after="160"/>
        <w:rPr>
          <w:rFonts w:cs="Arial"/>
          <w:b/>
          <w:bCs/>
        </w:rPr>
      </w:pPr>
      <w:r w:rsidRPr="00DB35D4">
        <w:rPr>
          <w:rFonts w:cs="Arial"/>
          <w:b/>
          <w:bCs/>
        </w:rPr>
        <w:t xml:space="preserve">Project coordination and management. </w:t>
      </w:r>
      <w:r w:rsidRPr="00DB35D4">
        <w:rPr>
          <w:rFonts w:cs="Arial"/>
        </w:rPr>
        <w:t xml:space="preserve">Projects are managed with transparency and accountability, as well as the participation of stakeholders and </w:t>
      </w:r>
      <w:r w:rsidRPr="00DB35D4">
        <w:rPr>
          <w:rFonts w:cs="Arial"/>
        </w:rPr>
        <w:lastRenderedPageBreak/>
        <w:t>adherence to the law. A legal entity must be in place to function as project coordinator, taking overall responsibility for the project and ensuring that it complies with the Plan Vivo Standard throughout the period of its existence. The project coordinator must be able to assist participants in developing project interventions, selecting eligible participants for inclusion in the project, and developing effective participatory relationships, including providing continuous assistance as needed to keep the project running. The project coordinator must do a stakeholder analysis to identify key communities, organizations, and local and national authorities who will be impacted by or have a stake in the project. This coordinator must take the necessary steps to notify them about the project, get their feedback, and seek approval where is needed. The project coordinator must identify relevant laws and regulations addressing workers' rights in the hosting country and ensure that the employment arrangements meet or exceed those criteria where participants or other community members are given employment opportunities through the project.</w:t>
      </w:r>
    </w:p>
    <w:p w14:paraId="3990A480" w14:textId="77777777" w:rsidR="005664B6" w:rsidRPr="00DB35D4" w:rsidRDefault="005664B6" w:rsidP="00A01330">
      <w:pPr>
        <w:pStyle w:val="ListParagraph"/>
        <w:numPr>
          <w:ilvl w:val="0"/>
          <w:numId w:val="39"/>
        </w:numPr>
        <w:spacing w:before="0" w:after="160"/>
        <w:rPr>
          <w:rFonts w:cs="Arial"/>
        </w:rPr>
      </w:pPr>
      <w:r w:rsidRPr="00DB35D4">
        <w:rPr>
          <w:rFonts w:cs="Arial"/>
          <w:b/>
          <w:bCs/>
        </w:rPr>
        <w:t xml:space="preserve">Participatory design and development of plan </w:t>
      </w:r>
      <w:proofErr w:type="spellStart"/>
      <w:r w:rsidRPr="00DB35D4">
        <w:rPr>
          <w:rFonts w:cs="Arial"/>
          <w:b/>
          <w:bCs/>
        </w:rPr>
        <w:t>vivos</w:t>
      </w:r>
      <w:proofErr w:type="spellEnd"/>
      <w:r w:rsidRPr="00DB35D4">
        <w:rPr>
          <w:rFonts w:cs="Arial"/>
          <w:b/>
          <w:bCs/>
        </w:rPr>
        <w:t xml:space="preserve">. </w:t>
      </w:r>
      <w:r w:rsidRPr="00DB35D4">
        <w:rPr>
          <w:rFonts w:cs="Arial"/>
        </w:rPr>
        <w:t xml:space="preserve">Community ownership is demonstrated through the design and implementation of plan </w:t>
      </w:r>
      <w:proofErr w:type="spellStart"/>
      <w:r w:rsidRPr="00DB35D4">
        <w:rPr>
          <w:rFonts w:cs="Arial"/>
        </w:rPr>
        <w:t>vivos</w:t>
      </w:r>
      <w:proofErr w:type="spellEnd"/>
      <w:r w:rsidRPr="00DB35D4">
        <w:rPr>
          <w:rFonts w:cs="Arial"/>
        </w:rPr>
        <w:t xml:space="preserve"> (land management plans) that covers local needs and priorities.</w:t>
      </w:r>
      <w:r w:rsidRPr="00DB35D4">
        <w:rPr>
          <w:rFonts w:cs="Arial"/>
          <w:b/>
          <w:bCs/>
        </w:rPr>
        <w:t xml:space="preserve"> </w:t>
      </w:r>
      <w:r w:rsidRPr="00DB35D4">
        <w:rPr>
          <w:rFonts w:cs="Arial"/>
        </w:rPr>
        <w:t xml:space="preserve">A voluntary and participatory planning process is required to identify project interventions that address local needs and priorities, as well as to inform the development of technical specifications, </w:t>
      </w:r>
      <w:proofErr w:type="gramStart"/>
      <w:r w:rsidRPr="00DB35D4">
        <w:rPr>
          <w:rFonts w:cs="Arial"/>
        </w:rPr>
        <w:t>taking into account</w:t>
      </w:r>
      <w:proofErr w:type="gramEnd"/>
      <w:r w:rsidRPr="00DB35D4">
        <w:rPr>
          <w:rFonts w:cs="Arial"/>
        </w:rPr>
        <w:t xml:space="preserve"> local livelihood needs and opportunities to improve or diversify existing livelihoods and incomes, local customs, land availability, food security, land tenure, practical and resource consequences for different groups' participation, as well as chances to improve biodiversity.</w:t>
      </w:r>
    </w:p>
    <w:p w14:paraId="7D039571" w14:textId="77777777" w:rsidR="005664B6" w:rsidRPr="00DB35D4" w:rsidRDefault="005664B6" w:rsidP="00A01330">
      <w:pPr>
        <w:pStyle w:val="ListParagraph"/>
        <w:numPr>
          <w:ilvl w:val="0"/>
          <w:numId w:val="39"/>
        </w:numPr>
        <w:spacing w:before="0" w:after="160"/>
        <w:rPr>
          <w:rFonts w:cs="Arial"/>
        </w:rPr>
      </w:pPr>
      <w:r w:rsidRPr="00DB35D4">
        <w:rPr>
          <w:rFonts w:cs="Arial"/>
          <w:b/>
          <w:bCs/>
        </w:rPr>
        <w:t xml:space="preserve">Quantifying and monitoring ecosystem services. </w:t>
      </w:r>
      <w:r w:rsidRPr="00DB35D4">
        <w:rPr>
          <w:rFonts w:cs="Arial"/>
        </w:rPr>
        <w:t>Real and additional ecosystem service benefits are generated by projects, as evidenced by credible measurement and monitoring.</w:t>
      </w:r>
      <w:r w:rsidRPr="00DB35D4">
        <w:rPr>
          <w:rFonts w:cs="Arial"/>
          <w:b/>
          <w:bCs/>
        </w:rPr>
        <w:t xml:space="preserve"> </w:t>
      </w:r>
      <w:r w:rsidRPr="00DB35D4">
        <w:rPr>
          <w:rFonts w:cs="Arial"/>
        </w:rPr>
        <w:t>The project must create technical specifications for each of the project interventions, describing the applicability conditions (e.g., under what baseline conditions the technical specification can be used), the activities and required inputs, and the ecosystem service benefits that will be generated and how they will be quantified.</w:t>
      </w:r>
    </w:p>
    <w:p w14:paraId="0D89132E" w14:textId="77777777" w:rsidR="005664B6" w:rsidRPr="00DB35D4" w:rsidRDefault="005664B6" w:rsidP="00A01330">
      <w:pPr>
        <w:pStyle w:val="ListParagraph"/>
        <w:numPr>
          <w:ilvl w:val="0"/>
          <w:numId w:val="39"/>
        </w:numPr>
        <w:spacing w:before="0" w:after="160"/>
        <w:rPr>
          <w:rFonts w:cs="Arial"/>
        </w:rPr>
      </w:pPr>
      <w:r w:rsidRPr="00DB35D4">
        <w:rPr>
          <w:rFonts w:cs="Arial"/>
          <w:b/>
          <w:bCs/>
        </w:rPr>
        <w:t xml:space="preserve">Risk management. </w:t>
      </w:r>
      <w:r w:rsidRPr="00DB35D4">
        <w:rPr>
          <w:rFonts w:cs="Arial"/>
        </w:rPr>
        <w:t>Risks are successfully managed during the design and implementation of projects.</w:t>
      </w:r>
      <w:r w:rsidRPr="00DB35D4">
        <w:rPr>
          <w:rFonts w:cs="Arial"/>
          <w:b/>
          <w:bCs/>
        </w:rPr>
        <w:t xml:space="preserve"> </w:t>
      </w:r>
      <w:r w:rsidRPr="00DB35D4">
        <w:rPr>
          <w:rFonts w:cs="Arial"/>
        </w:rPr>
        <w:t xml:space="preserve">The risks to ecosystem services delivery and the long-term sustainability of project interventions must be identified, and relevant </w:t>
      </w:r>
      <w:r w:rsidRPr="00DB35D4">
        <w:rPr>
          <w:rFonts w:cs="Arial"/>
        </w:rPr>
        <w:lastRenderedPageBreak/>
        <w:t>mitigation actions must be provided. Every five years, projects must reassess their risk assessments and resubmit them to the Plan Vivo Foundation.</w:t>
      </w:r>
    </w:p>
    <w:p w14:paraId="5EB17A64" w14:textId="77777777" w:rsidR="005664B6" w:rsidRPr="00DB35D4" w:rsidRDefault="005664B6" w:rsidP="00A01330">
      <w:pPr>
        <w:pStyle w:val="ListParagraph"/>
        <w:numPr>
          <w:ilvl w:val="0"/>
          <w:numId w:val="39"/>
        </w:numPr>
        <w:spacing w:before="0" w:after="160"/>
        <w:rPr>
          <w:rFonts w:cs="Arial"/>
        </w:rPr>
      </w:pPr>
      <w:r w:rsidRPr="00DB35D4">
        <w:rPr>
          <w:rFonts w:cs="Arial"/>
          <w:b/>
          <w:bCs/>
        </w:rPr>
        <w:t xml:space="preserve">Livelihood impacts. </w:t>
      </w:r>
      <w:r w:rsidRPr="00DB35D4">
        <w:rPr>
          <w:rFonts w:cs="Arial"/>
        </w:rPr>
        <w:t>Positive livelihood and socioeconomic outcomes are demonstrated by the projects. The project must show that it has concrete plans to help the participants' livelihoods. Participants in the local community will identify what constitutes a benefit. A project socioeconomic baseline scenario must be created, which includes information on the socioeconomic context in participating communities at the start of the project, as well as how these conditions are expected to remain or alter if the project is not implemented.</w:t>
      </w:r>
    </w:p>
    <w:p w14:paraId="59B12E63" w14:textId="77777777" w:rsidR="005664B6" w:rsidRPr="00DB35D4" w:rsidRDefault="005664B6" w:rsidP="00A01330">
      <w:pPr>
        <w:pStyle w:val="ListParagraph"/>
        <w:numPr>
          <w:ilvl w:val="0"/>
          <w:numId w:val="39"/>
        </w:numPr>
        <w:spacing w:before="0" w:after="160"/>
        <w:rPr>
          <w:rFonts w:cs="Arial"/>
        </w:rPr>
      </w:pPr>
      <w:r w:rsidRPr="00DB35D4">
        <w:rPr>
          <w:rFonts w:cs="Arial"/>
          <w:b/>
          <w:bCs/>
        </w:rPr>
        <w:t>Benefit sharing and PES Agreements (transacting ecosystem services).</w:t>
      </w:r>
      <w:r w:rsidRPr="00DB35D4">
        <w:rPr>
          <w:rFonts w:cs="Arial"/>
        </w:rPr>
        <w:t xml:space="preserve"> Through unambiguous PES Agreements with performance-based incentives, projects share rewards equitably and transact ecosystem service advantages. Participants commit to follow their plan vivo in exchange for phased, performance-related payments or benefits, which must be documented in written PES Agreements between the project coordinator and participants </w:t>
      </w:r>
      <w:r w:rsidRPr="00DB35D4">
        <w:rPr>
          <w:rFonts w:cs="Arial"/>
        </w:rPr>
        <w:fldChar w:fldCharType="begin" w:fldLock="1"/>
      </w:r>
      <w:r w:rsidRPr="00DB35D4">
        <w:rPr>
          <w:rFonts w:cs="Arial"/>
        </w:rPr>
        <w:instrText>ADDIN CSL_CITATION {"citationItems":[{"id":"ITEM-1","itemData":{"ISBN":"9789896540821","abstract":"O papel do ser humano na manutenção e recuperação de sistemas de produção é um assunto cada vez mais constante em pesquisas e estudos relacionados a projetos de sistemas complexos. Utilizando-se de dados obtidos em uma pesquisa de doutorado, o artigo visa proporcionar elementos que apresentem como a Ergonomia pode favorecer a Confiabilidade Humana em uma refinaria de Petróleo no Brasil.","author":[{"dropping-particle":"","family":"Plan Vivo Foundation","given":"","non-dropping-particle":"","parse-names":false,"suffix":""}],"container-title":"www.planvivo.org","id":"ITEM-1","issued":{"date-parts":[["2013"]]},"title":"The Plan Vivo Standard for Community Payments for Ecosystem Services Programmes","type":"webpage"},"uris":["http://www.mendeley.com/documents/?uuid=eea9b072-c66e-4d8a-a918-27480c692e52"]}],"mendeley":{"formattedCitation":"(Plan Vivo Foundation, 2013)","plainTextFormattedCitation":"(Plan Vivo Foundation, 2013)","previouslyFormattedCitation":"(Plan Vivo Foundation, 2013)"},"properties":{"noteIndex":0},"schema":"https://github.com/citation-style-language/schema/raw/master/csl-citation.json"}</w:instrText>
      </w:r>
      <w:r w:rsidRPr="00DB35D4">
        <w:rPr>
          <w:rFonts w:cs="Arial"/>
        </w:rPr>
        <w:fldChar w:fldCharType="separate"/>
      </w:r>
      <w:r w:rsidRPr="00DB35D4">
        <w:rPr>
          <w:rFonts w:cs="Arial"/>
          <w:noProof/>
        </w:rPr>
        <w:t>(Plan Vivo Foundation, 2013)</w:t>
      </w:r>
      <w:r w:rsidRPr="00DB35D4">
        <w:rPr>
          <w:rFonts w:cs="Arial"/>
        </w:rPr>
        <w:fldChar w:fldCharType="end"/>
      </w:r>
      <w:r w:rsidRPr="00DB35D4">
        <w:rPr>
          <w:rFonts w:cs="Arial"/>
        </w:rPr>
        <w:t>.</w:t>
      </w:r>
    </w:p>
    <w:p w14:paraId="7D4D608E" w14:textId="0D385107" w:rsidR="005664B6" w:rsidRPr="00DB35D4" w:rsidRDefault="005664B6" w:rsidP="005664B6">
      <w:pPr>
        <w:rPr>
          <w:rFonts w:cs="Arial"/>
        </w:rPr>
      </w:pPr>
      <w:r w:rsidRPr="00DB35D4">
        <w:rPr>
          <w:rFonts w:cs="Arial"/>
        </w:rPr>
        <w:t xml:space="preserve">Site: </w:t>
      </w:r>
      <w:hyperlink r:id="rId341" w:history="1">
        <w:r w:rsidRPr="00DB35D4">
          <w:rPr>
            <w:rStyle w:val="Hyperlink"/>
            <w:rFonts w:cs="Arial"/>
          </w:rPr>
          <w:t>www.planvivo.org</w:t>
        </w:r>
      </w:hyperlink>
      <w:r w:rsidRPr="00DB35D4">
        <w:rPr>
          <w:rFonts w:cs="Arial"/>
        </w:rPr>
        <w:t xml:space="preserve"> </w:t>
      </w:r>
    </w:p>
    <w:p w14:paraId="1C7E2A90" w14:textId="77777777" w:rsidR="005664B6" w:rsidRPr="00DB35D4" w:rsidRDefault="005664B6" w:rsidP="009E12D8">
      <w:pPr>
        <w:pStyle w:val="MAIL111"/>
      </w:pPr>
      <w:bookmarkStart w:id="393" w:name="_Toc90893023"/>
      <w:bookmarkStart w:id="394" w:name="_Toc91752477"/>
      <w:r w:rsidRPr="00DB35D4">
        <w:t>The Verified Carbon Standard</w:t>
      </w:r>
      <w:bookmarkEnd w:id="393"/>
      <w:bookmarkEnd w:id="394"/>
    </w:p>
    <w:p w14:paraId="2F339D45" w14:textId="77777777" w:rsidR="005664B6" w:rsidRPr="00DB35D4" w:rsidRDefault="005664B6" w:rsidP="005664B6">
      <w:pPr>
        <w:rPr>
          <w:rFonts w:cs="Arial"/>
          <w:lang w:val="en-GB"/>
        </w:rPr>
      </w:pPr>
      <w:r w:rsidRPr="00DB35D4">
        <w:rPr>
          <w:rFonts w:cs="Arial"/>
          <w:lang w:val="en-GB"/>
        </w:rPr>
        <w:t>The Verified Carbon Standard is a full-fledged carbon offset program created and managed by Verra, a non-profit organization. It simply considers features that reduce GHG emissions and does not require projects to have additional environmental or social benefits. The VCS is global initiative supported by the carbon offset market (project developers, large offset buyers, verifiers, and project advisors).</w:t>
      </w:r>
      <w:r w:rsidRPr="00DB35D4">
        <w:rPr>
          <w:rFonts w:cs="Arial"/>
        </w:rPr>
        <w:t xml:space="preserve"> </w:t>
      </w:r>
      <w:proofErr w:type="spellStart"/>
      <w:r w:rsidRPr="00DB35D4">
        <w:rPr>
          <w:rFonts w:cs="Arial"/>
          <w:lang w:val="en-GB"/>
        </w:rPr>
        <w:t>Verra's</w:t>
      </w:r>
      <w:proofErr w:type="spellEnd"/>
      <w:r w:rsidRPr="00DB35D4">
        <w:rPr>
          <w:rFonts w:cs="Arial"/>
          <w:lang w:val="en-GB"/>
        </w:rPr>
        <w:t xml:space="preserve"> role is to create and manage the program. It </w:t>
      </w:r>
      <w:proofErr w:type="gramStart"/>
      <w:r w:rsidRPr="00DB35D4">
        <w:rPr>
          <w:rFonts w:cs="Arial"/>
          <w:lang w:val="en-GB"/>
        </w:rPr>
        <w:t>is in charge of</w:t>
      </w:r>
      <w:proofErr w:type="gramEnd"/>
      <w:r w:rsidRPr="00DB35D4">
        <w:rPr>
          <w:rFonts w:cs="Arial"/>
          <w:lang w:val="en-GB"/>
        </w:rPr>
        <w:t xml:space="preserve"> overseeing all operational aspects of the VCS Program, as well as revising the VCS standards to assure the quality of VCUs. The VCS Program Advisory Group, a multi-stakeholder body that helps ensuring that the VCS Program continues to serve its users in an effective and efficient manner while also driving realistic and resilient climate change solutions, is supporting the growth of the VCS Program. To be certified, projects developed under the VCS Program must go through a rigorous assessment process. Renewable energy, forestry, and other sectors are all covered by VCS programs. VCUs can be granted for emissions reductions validated by VCS programs, with one VCU representing one metric tonne of greenhouse gas emissions decreased or removed from the atmosphere. </w:t>
      </w:r>
    </w:p>
    <w:p w14:paraId="6A253A6D" w14:textId="77777777" w:rsidR="005664B6" w:rsidRPr="00DB35D4" w:rsidRDefault="005664B6" w:rsidP="005664B6">
      <w:pPr>
        <w:rPr>
          <w:rFonts w:cs="Arial"/>
          <w:lang w:val="en-GB"/>
        </w:rPr>
      </w:pPr>
      <w:r w:rsidRPr="00DB35D4">
        <w:rPr>
          <w:rFonts w:cs="Arial"/>
          <w:lang w:val="en-GB"/>
        </w:rPr>
        <w:lastRenderedPageBreak/>
        <w:t>The four major steps in developing an individual project for VCS to create quality assured GHG emission reductions and credits are outlined below.</w:t>
      </w:r>
      <w:r w:rsidRPr="00DB35D4">
        <w:rPr>
          <w:rFonts w:cs="Arial"/>
        </w:rPr>
        <w:t xml:space="preserve"> </w:t>
      </w:r>
      <w:r w:rsidRPr="00DB35D4">
        <w:rPr>
          <w:rFonts w:cs="Arial"/>
          <w:lang w:val="en-GB"/>
        </w:rPr>
        <w:t xml:space="preserve">As it is referred before, </w:t>
      </w:r>
    </w:p>
    <w:p w14:paraId="313F6A0D" w14:textId="77777777" w:rsidR="005664B6" w:rsidRPr="00DB35D4" w:rsidRDefault="005664B6" w:rsidP="00A01330">
      <w:pPr>
        <w:pStyle w:val="ListParagraph"/>
        <w:numPr>
          <w:ilvl w:val="0"/>
          <w:numId w:val="40"/>
        </w:numPr>
        <w:spacing w:before="0" w:after="160"/>
        <w:rPr>
          <w:rFonts w:cs="Arial"/>
          <w:lang w:val="en-GB"/>
        </w:rPr>
      </w:pPr>
      <w:r w:rsidRPr="00DB35D4">
        <w:rPr>
          <w:rFonts w:cs="Arial"/>
          <w:b/>
          <w:lang w:val="en-GB"/>
        </w:rPr>
        <w:t>the first step</w:t>
      </w:r>
      <w:r w:rsidRPr="00DB35D4">
        <w:rPr>
          <w:rFonts w:cs="Arial"/>
          <w:lang w:val="en-GB"/>
        </w:rPr>
        <w:t xml:space="preserve"> in the project development process is </w:t>
      </w:r>
      <w:r w:rsidRPr="00DB35D4">
        <w:rPr>
          <w:rFonts w:cs="Arial"/>
          <w:b/>
          <w:lang w:val="en-GB"/>
        </w:rPr>
        <w:t>to select a methodology</w:t>
      </w:r>
      <w:r w:rsidRPr="00DB35D4">
        <w:rPr>
          <w:rFonts w:cs="Arial"/>
          <w:lang w:val="en-GB"/>
        </w:rPr>
        <w:t xml:space="preserve"> that is suitable for the proposed project. This can be a pre-existing VCS methodology, or one developed as part of a GHG program that has been approved. Project developers are welcome to offer their own methodology if one does not exist.</w:t>
      </w:r>
    </w:p>
    <w:p w14:paraId="68D43143" w14:textId="77777777" w:rsidR="005664B6" w:rsidRPr="00DB35D4" w:rsidRDefault="005664B6" w:rsidP="00A01330">
      <w:pPr>
        <w:pStyle w:val="ListParagraph"/>
        <w:numPr>
          <w:ilvl w:val="0"/>
          <w:numId w:val="40"/>
        </w:numPr>
        <w:spacing w:before="0" w:after="160"/>
        <w:rPr>
          <w:rFonts w:cs="Arial"/>
          <w:lang w:val="en-GB"/>
        </w:rPr>
      </w:pPr>
      <w:r w:rsidRPr="00DB35D4">
        <w:rPr>
          <w:rFonts w:cs="Arial"/>
          <w:b/>
          <w:lang w:val="en-GB"/>
        </w:rPr>
        <w:t>The second step</w:t>
      </w:r>
      <w:r w:rsidRPr="00DB35D4">
        <w:rPr>
          <w:rFonts w:cs="Arial"/>
          <w:lang w:val="en-GB"/>
        </w:rPr>
        <w:t xml:space="preserve"> is the </w:t>
      </w:r>
      <w:r w:rsidRPr="00DB35D4">
        <w:rPr>
          <w:rFonts w:cs="Arial"/>
          <w:b/>
          <w:lang w:val="en-GB"/>
        </w:rPr>
        <w:t>validation</w:t>
      </w:r>
      <w:r w:rsidRPr="00DB35D4">
        <w:rPr>
          <w:rFonts w:cs="Arial"/>
          <w:lang w:val="en-GB"/>
        </w:rPr>
        <w:t xml:space="preserve"> of the project description. Once a project has been added to the Project Pipeline, the proponents need to write a detailed project description using the VCS template and get it validated by an approved validation/verification body (VVB). This procedure determines whether a project complies with all VCS rules and requirements. The project description might be created prior to, during, or after the project is designed and implemented.</w:t>
      </w:r>
    </w:p>
    <w:p w14:paraId="2F72CE8D" w14:textId="77777777" w:rsidR="005664B6" w:rsidRPr="00DB35D4" w:rsidRDefault="005664B6" w:rsidP="00A01330">
      <w:pPr>
        <w:pStyle w:val="ListParagraph"/>
        <w:numPr>
          <w:ilvl w:val="0"/>
          <w:numId w:val="40"/>
        </w:numPr>
        <w:spacing w:before="0" w:after="160"/>
        <w:rPr>
          <w:rFonts w:cs="Arial"/>
          <w:lang w:val="en-GB"/>
        </w:rPr>
      </w:pPr>
      <w:r w:rsidRPr="00DB35D4">
        <w:rPr>
          <w:rFonts w:cs="Arial"/>
          <w:b/>
          <w:lang w:val="en-GB"/>
        </w:rPr>
        <w:t>The third step</w:t>
      </w:r>
      <w:r w:rsidRPr="00DB35D4">
        <w:rPr>
          <w:rFonts w:cs="Arial"/>
          <w:lang w:val="en-GB"/>
        </w:rPr>
        <w:t xml:space="preserve"> is the </w:t>
      </w:r>
      <w:r w:rsidRPr="00DB35D4">
        <w:rPr>
          <w:rFonts w:cs="Arial"/>
          <w:b/>
          <w:lang w:val="en-GB"/>
        </w:rPr>
        <w:t>verification</w:t>
      </w:r>
      <w:r w:rsidRPr="00DB35D4">
        <w:rPr>
          <w:rFonts w:cs="Arial"/>
          <w:lang w:val="en-GB"/>
        </w:rPr>
        <w:t xml:space="preserve"> of emission reduction. Project proponents monitor and measure GHG emission reductions or removals once the project starts. A monitoring report, using the VCS template, includes all information for a given monitoring period, including GHG benefit calculations. An approved VVB must verify the monitoring report.</w:t>
      </w:r>
    </w:p>
    <w:p w14:paraId="626AD0AF" w14:textId="77777777" w:rsidR="005664B6" w:rsidRPr="00DB35D4" w:rsidRDefault="005664B6" w:rsidP="00A01330">
      <w:pPr>
        <w:pStyle w:val="ListParagraph"/>
        <w:numPr>
          <w:ilvl w:val="0"/>
          <w:numId w:val="40"/>
        </w:numPr>
        <w:spacing w:before="0" w:after="160"/>
        <w:rPr>
          <w:rFonts w:cs="Arial"/>
          <w:lang w:val="en-GB"/>
        </w:rPr>
      </w:pPr>
      <w:r w:rsidRPr="00DB35D4">
        <w:rPr>
          <w:rFonts w:cs="Arial"/>
          <w:lang w:val="en-GB"/>
        </w:rPr>
        <w:t xml:space="preserve">The last step is the </w:t>
      </w:r>
      <w:r w:rsidRPr="00DB35D4">
        <w:rPr>
          <w:rFonts w:cs="Arial"/>
          <w:b/>
          <w:lang w:val="en-GB"/>
        </w:rPr>
        <w:t>registration</w:t>
      </w:r>
      <w:r w:rsidRPr="00DB35D4">
        <w:rPr>
          <w:rFonts w:cs="Arial"/>
          <w:lang w:val="en-GB"/>
        </w:rPr>
        <w:t xml:space="preserve"> of the project. To be registered on the Verra Registry and request the issuing of VCUs, projects must create an account and submit all needed documentation to a VCS registry operator. Projects can either register immediately after validation or wait until they are ready to issue credits. When projects are registered and VCUs are issued, all project information is available publicly </w:t>
      </w:r>
      <w:r w:rsidRPr="00DB35D4">
        <w:rPr>
          <w:rFonts w:cs="Arial"/>
          <w:lang w:val="en-GB"/>
        </w:rPr>
        <w:fldChar w:fldCharType="begin" w:fldLock="1"/>
      </w:r>
      <w:r w:rsidRPr="00DB35D4">
        <w:rPr>
          <w:rFonts w:cs="Arial"/>
          <w:lang w:val="en-GB"/>
        </w:rPr>
        <w:instrText>ADDIN CSL_CITATION {"citationItems":[{"id":"ITEM-1","itemData":{"author":[{"dropping-particle":"","family":"VERRA","given":"","non-dropping-particle":"","parse-names":false,"suffix":""}],"id":"ITEM-1","issued":{"date-parts":[["2017"]]},"number-of-pages":"4","title":"VCS Project cycle: How to develop a VCS Project","type":"report"},"uris":["http://www.mendeley.com/documents/?uuid=9a991e4c-6ea5-4eba-98bc-5e884bd56051"]}],"mendeley":{"formattedCitation":"(VERRA, 2017)","plainTextFormattedCitation":"(VERRA, 2017)","previouslyFormattedCitation":"(VERRA, 2017)"},"properties":{"noteIndex":0},"schema":"https://github.com/citation-style-language/schema/raw/master/csl-citation.json"}</w:instrText>
      </w:r>
      <w:r w:rsidRPr="00DB35D4">
        <w:rPr>
          <w:rFonts w:cs="Arial"/>
          <w:lang w:val="en-GB"/>
        </w:rPr>
        <w:fldChar w:fldCharType="separate"/>
      </w:r>
      <w:r w:rsidRPr="00DB35D4">
        <w:rPr>
          <w:rFonts w:cs="Arial"/>
          <w:noProof/>
          <w:lang w:val="en-GB"/>
        </w:rPr>
        <w:t>(VERRA, 2017)</w:t>
      </w:r>
      <w:r w:rsidRPr="00DB35D4">
        <w:rPr>
          <w:rFonts w:cs="Arial"/>
          <w:lang w:val="en-GB"/>
        </w:rPr>
        <w:fldChar w:fldCharType="end"/>
      </w:r>
      <w:r w:rsidRPr="00DB35D4">
        <w:rPr>
          <w:rFonts w:cs="Arial"/>
          <w:lang w:val="en-GB"/>
        </w:rPr>
        <w:t>.</w:t>
      </w:r>
    </w:p>
    <w:p w14:paraId="36D4C522" w14:textId="77777777" w:rsidR="005664B6" w:rsidRPr="00DB35D4" w:rsidRDefault="005664B6" w:rsidP="005664B6">
      <w:pPr>
        <w:rPr>
          <w:rFonts w:cs="Arial"/>
          <w:lang w:val="en-GB"/>
        </w:rPr>
      </w:pPr>
      <w:r w:rsidRPr="00DB35D4">
        <w:rPr>
          <w:rFonts w:cs="Arial"/>
          <w:lang w:val="en-GB"/>
        </w:rPr>
        <w:t xml:space="preserve">VCS quality assurance principles ensure that all VCUs represent real, measurable, additional, permanent, independently verified, conservatively estimated, uniquely numbered, and transparently listed GHG emission reductions or removals. The VCS Standard establishes the rules and regulations that must be followed by all projects </w:t>
      </w:r>
      <w:proofErr w:type="gramStart"/>
      <w:r w:rsidRPr="00DB35D4">
        <w:rPr>
          <w:rFonts w:cs="Arial"/>
          <w:lang w:val="en-GB"/>
        </w:rPr>
        <w:t>in order to</w:t>
      </w:r>
      <w:proofErr w:type="gramEnd"/>
      <w:r w:rsidRPr="00DB35D4">
        <w:rPr>
          <w:rFonts w:cs="Arial"/>
          <w:lang w:val="en-GB"/>
        </w:rPr>
        <w:t xml:space="preserve"> be certified.</w:t>
      </w:r>
    </w:p>
    <w:p w14:paraId="1B9B70FC" w14:textId="77777777" w:rsidR="005664B6" w:rsidRPr="00DB35D4" w:rsidRDefault="005664B6" w:rsidP="00A01330">
      <w:pPr>
        <w:pStyle w:val="ListParagraph"/>
        <w:numPr>
          <w:ilvl w:val="0"/>
          <w:numId w:val="41"/>
        </w:numPr>
        <w:spacing w:before="0" w:after="160"/>
        <w:rPr>
          <w:rFonts w:cs="Arial"/>
          <w:lang w:val="en-GB"/>
        </w:rPr>
      </w:pPr>
      <w:r w:rsidRPr="00DB35D4">
        <w:rPr>
          <w:rFonts w:cs="Arial"/>
          <w:b/>
          <w:bCs/>
          <w:lang w:val="en-GB"/>
        </w:rPr>
        <w:t>Additional</w:t>
      </w:r>
      <w:r w:rsidRPr="00DB35D4">
        <w:rPr>
          <w:rFonts w:cs="Arial"/>
          <w:lang w:val="en-GB"/>
        </w:rPr>
        <w:t xml:space="preserve">: projects must demonstrate that GHG emission reductions or removals would not occur without revenue from the sale of VCUs, which must be greater than the most likely "business-as-usual" scenario. </w:t>
      </w:r>
    </w:p>
    <w:p w14:paraId="354A3FE6" w14:textId="77777777" w:rsidR="005664B6" w:rsidRPr="00DB35D4" w:rsidRDefault="005664B6" w:rsidP="00A01330">
      <w:pPr>
        <w:pStyle w:val="ListParagraph"/>
        <w:numPr>
          <w:ilvl w:val="0"/>
          <w:numId w:val="41"/>
        </w:numPr>
        <w:spacing w:before="0" w:after="160"/>
        <w:rPr>
          <w:rFonts w:cs="Arial"/>
          <w:lang w:val="en-GB"/>
        </w:rPr>
      </w:pPr>
      <w:r w:rsidRPr="00DB35D4">
        <w:rPr>
          <w:rFonts w:cs="Arial"/>
          <w:b/>
          <w:bCs/>
          <w:lang w:val="en-GB"/>
        </w:rPr>
        <w:lastRenderedPageBreak/>
        <w:t>Real and measurable</w:t>
      </w:r>
      <w:r w:rsidRPr="00DB35D4">
        <w:rPr>
          <w:rFonts w:cs="Arial"/>
          <w:lang w:val="en-GB"/>
        </w:rPr>
        <w:t>: Projects must use an approved methodology to guarantee that net GHG emission reductions or removals have occurred and are measurable.</w:t>
      </w:r>
    </w:p>
    <w:p w14:paraId="7C8237E9" w14:textId="77777777" w:rsidR="005664B6" w:rsidRPr="00DB35D4" w:rsidRDefault="005664B6" w:rsidP="00A01330">
      <w:pPr>
        <w:pStyle w:val="ListParagraph"/>
        <w:numPr>
          <w:ilvl w:val="0"/>
          <w:numId w:val="41"/>
        </w:numPr>
        <w:spacing w:before="0" w:after="160"/>
        <w:rPr>
          <w:rFonts w:cs="Arial"/>
          <w:lang w:val="en-GB"/>
        </w:rPr>
      </w:pPr>
      <w:r w:rsidRPr="00DB35D4">
        <w:rPr>
          <w:rFonts w:cs="Arial"/>
          <w:b/>
          <w:bCs/>
          <w:lang w:val="en-GB"/>
        </w:rPr>
        <w:t>Conservative</w:t>
      </w:r>
      <w:r w:rsidRPr="00DB35D4">
        <w:rPr>
          <w:rFonts w:cs="Arial"/>
          <w:lang w:val="en-GB"/>
        </w:rPr>
        <w:t xml:space="preserve">: To ensure that emission reductions are not overestimated, projects must employ conservative assumptions, values, and methods. </w:t>
      </w:r>
    </w:p>
    <w:p w14:paraId="2AA7F249" w14:textId="77777777" w:rsidR="005664B6" w:rsidRPr="00DB35D4" w:rsidRDefault="005664B6" w:rsidP="00A01330">
      <w:pPr>
        <w:pStyle w:val="ListParagraph"/>
        <w:numPr>
          <w:ilvl w:val="0"/>
          <w:numId w:val="41"/>
        </w:numPr>
        <w:spacing w:before="0" w:after="160"/>
        <w:rPr>
          <w:rFonts w:cs="Arial"/>
          <w:lang w:val="en-GB"/>
        </w:rPr>
      </w:pPr>
      <w:r w:rsidRPr="00DB35D4">
        <w:rPr>
          <w:rFonts w:cs="Arial"/>
          <w:b/>
          <w:bCs/>
          <w:lang w:val="en-GB"/>
        </w:rPr>
        <w:t>Permanent</w:t>
      </w:r>
      <w:r w:rsidRPr="00DB35D4">
        <w:rPr>
          <w:rFonts w:cs="Arial"/>
          <w:lang w:val="en-GB"/>
        </w:rPr>
        <w:t xml:space="preserve">: Agriculture, Forestry, and Other Land Use (AFOLU) projects must guarantee that GHG reductions are not lost due to unforeseen events like fire or disease. </w:t>
      </w:r>
    </w:p>
    <w:p w14:paraId="0806B21D" w14:textId="77777777" w:rsidR="005664B6" w:rsidRPr="00DB35D4" w:rsidRDefault="005664B6" w:rsidP="00A01330">
      <w:pPr>
        <w:pStyle w:val="ListParagraph"/>
        <w:numPr>
          <w:ilvl w:val="0"/>
          <w:numId w:val="41"/>
        </w:numPr>
        <w:spacing w:before="0" w:after="160"/>
        <w:rPr>
          <w:rFonts w:cs="Arial"/>
          <w:lang w:val="en-GB"/>
        </w:rPr>
      </w:pPr>
      <w:r w:rsidRPr="00DB35D4">
        <w:rPr>
          <w:rFonts w:cs="Arial"/>
          <w:b/>
          <w:bCs/>
          <w:lang w:val="en-GB"/>
        </w:rPr>
        <w:t>Independently verified</w:t>
      </w:r>
      <w:r w:rsidRPr="00DB35D4">
        <w:rPr>
          <w:rFonts w:cs="Arial"/>
          <w:lang w:val="en-GB"/>
        </w:rPr>
        <w:t xml:space="preserve">: Projects must contract a VVB to verify that the project design meets VCS criteria and that all GHG emission reductions or removals are measured in accordance with VCS requirements. </w:t>
      </w:r>
    </w:p>
    <w:p w14:paraId="03EBC2FA" w14:textId="77777777" w:rsidR="005664B6" w:rsidRPr="00DB35D4" w:rsidRDefault="005664B6" w:rsidP="00A01330">
      <w:pPr>
        <w:pStyle w:val="ListParagraph"/>
        <w:numPr>
          <w:ilvl w:val="0"/>
          <w:numId w:val="41"/>
        </w:numPr>
        <w:spacing w:before="0" w:after="160"/>
        <w:rPr>
          <w:rFonts w:cs="Arial"/>
          <w:lang w:val="en-GB"/>
        </w:rPr>
      </w:pPr>
      <w:r w:rsidRPr="00DB35D4">
        <w:rPr>
          <w:rFonts w:cs="Arial"/>
          <w:b/>
          <w:bCs/>
          <w:lang w:val="en-GB"/>
        </w:rPr>
        <w:t>Uniquely numbered and transparently listed</w:t>
      </w:r>
      <w:r w:rsidRPr="00DB35D4">
        <w:rPr>
          <w:rFonts w:cs="Arial"/>
          <w:lang w:val="en-GB"/>
        </w:rPr>
        <w:t xml:space="preserve">: Projects must register with a VCS registry operator </w:t>
      </w:r>
      <w:proofErr w:type="gramStart"/>
      <w:r w:rsidRPr="00DB35D4">
        <w:rPr>
          <w:rFonts w:cs="Arial"/>
          <w:lang w:val="en-GB"/>
        </w:rPr>
        <w:t>in order for</w:t>
      </w:r>
      <w:proofErr w:type="gramEnd"/>
      <w:r w:rsidRPr="00DB35D4">
        <w:rPr>
          <w:rFonts w:cs="Arial"/>
          <w:lang w:val="en-GB"/>
        </w:rPr>
        <w:t xml:space="preserve"> each VCU to be assigned a unique serial number and listed in the VCS Project Database. Furthermore, important safeguards are in place to prevent emissions reductions from being counted twice across different GHG programs </w:t>
      </w:r>
      <w:r w:rsidRPr="00DB35D4">
        <w:rPr>
          <w:rFonts w:cs="Arial"/>
          <w:lang w:val="en-GB"/>
        </w:rPr>
        <w:fldChar w:fldCharType="begin" w:fldLock="1"/>
      </w:r>
      <w:r w:rsidRPr="00DB35D4">
        <w:rPr>
          <w:rFonts w:cs="Arial"/>
          <w:lang w:val="en-GB"/>
        </w:rPr>
        <w:instrText>ADDIN CSL_CITATION {"citationItems":[{"id":"ITEM-1","itemData":{"author":[{"dropping-particle":"","family":"Verra","given":"","non-dropping-particle":"","parse-names":false,"suffix":""}],"id":"ITEM-1","issue":"September","issued":{"date-parts":[["2019"]]},"page":"10","title":"Verified Carbon Standard Program Guide v4.0","type":"article-journal"},"uris":["http://www.mendeley.com/documents/?uuid=5a50b0e6-a651-4129-87b5-d0097a38fef4"]}],"mendeley":{"formattedCitation":"(Verra, 2019)","plainTextFormattedCitation":"(Verra, 2019)","previouslyFormattedCitation":"(Verra, 2019)"},"properties":{"noteIndex":0},"schema":"https://github.com/citation-style-language/schema/raw/master/csl-citation.json"}</w:instrText>
      </w:r>
      <w:r w:rsidRPr="00DB35D4">
        <w:rPr>
          <w:rFonts w:cs="Arial"/>
          <w:lang w:val="en-GB"/>
        </w:rPr>
        <w:fldChar w:fldCharType="separate"/>
      </w:r>
      <w:r w:rsidRPr="00DB35D4">
        <w:rPr>
          <w:rFonts w:cs="Arial"/>
          <w:noProof/>
          <w:lang w:val="en-GB"/>
        </w:rPr>
        <w:t>(Verra, 2019)</w:t>
      </w:r>
      <w:r w:rsidRPr="00DB35D4">
        <w:rPr>
          <w:rFonts w:cs="Arial"/>
          <w:lang w:val="en-GB"/>
        </w:rPr>
        <w:fldChar w:fldCharType="end"/>
      </w:r>
      <w:r w:rsidRPr="00DB35D4">
        <w:rPr>
          <w:rFonts w:cs="Arial"/>
          <w:lang w:val="en-GB"/>
        </w:rPr>
        <w:t>.</w:t>
      </w:r>
    </w:p>
    <w:p w14:paraId="06A3AC64" w14:textId="77777777" w:rsidR="005664B6" w:rsidRPr="00DB35D4" w:rsidRDefault="005664B6" w:rsidP="005664B6">
      <w:pPr>
        <w:rPr>
          <w:rFonts w:cs="Arial"/>
        </w:rPr>
      </w:pPr>
      <w:r w:rsidRPr="00DB35D4">
        <w:rPr>
          <w:rFonts w:cs="Arial"/>
          <w:b/>
          <w:bCs/>
          <w:i/>
          <w:iCs/>
          <w:color w:val="31479E" w:themeColor="accent1" w:themeShade="BF"/>
          <w:lang w:val="en-GB"/>
        </w:rPr>
        <w:t>MAIL</w:t>
      </w:r>
      <w:r w:rsidRPr="00DB35D4">
        <w:rPr>
          <w:rFonts w:cs="Arial"/>
          <w:lang w:val="en-GB"/>
        </w:rPr>
        <w:t xml:space="preserve"> Project can fulfil the requirements of VCU. It can be added in AFOLU project in the category of </w:t>
      </w:r>
      <w:r w:rsidRPr="00DB35D4">
        <w:rPr>
          <w:rFonts w:cs="Arial"/>
        </w:rPr>
        <w:t xml:space="preserve">afforestation, reforestation, and revegetation (ARR), which focuses in increasing carbon sequestration and/or reducing GHG emissions by establishing, increasing or restoring vegetative cover (forest or non-forest) through the planting, sowing or human-assisted natural regeneration of woody vegetation </w:t>
      </w:r>
      <w:r w:rsidRPr="00DB35D4">
        <w:rPr>
          <w:rFonts w:cs="Arial"/>
        </w:rPr>
        <w:fldChar w:fldCharType="begin" w:fldLock="1"/>
      </w:r>
      <w:r w:rsidRPr="00DB35D4">
        <w:rPr>
          <w:rFonts w:cs="Arial"/>
        </w:rPr>
        <w:instrText>ADDIN CSL_CITATION {"citationItems":[{"id":"ITEM-1","itemData":{"author":[{"dropping-particle":"","family":"Verra","given":"","non-dropping-particle":"","parse-names":false,"suffix":""}],"id":"ITEM-1","issue":"September","issued":{"date-parts":[["2019"]]},"page":"10","title":"Verified Carbon Standard Program Guide v4.0","type":"article-journal"},"uris":["http://www.mendeley.com/documents/?uuid=5a50b0e6-a651-4129-87b5-d0097a38fef4"]}],"mendeley":{"formattedCitation":"(Verra, 2019)","plainTextFormattedCitation":"(Verra, 2019)","previouslyFormattedCitation":"(Verra, 2019)"},"properties":{"noteIndex":0},"schema":"https://github.com/citation-style-language/schema/raw/master/csl-citation.json"}</w:instrText>
      </w:r>
      <w:r w:rsidRPr="00DB35D4">
        <w:rPr>
          <w:rFonts w:cs="Arial"/>
        </w:rPr>
        <w:fldChar w:fldCharType="separate"/>
      </w:r>
      <w:r w:rsidRPr="00DB35D4">
        <w:rPr>
          <w:rFonts w:cs="Arial"/>
          <w:noProof/>
        </w:rPr>
        <w:t>(Verra, 2019)</w:t>
      </w:r>
      <w:r w:rsidRPr="00DB35D4">
        <w:rPr>
          <w:rFonts w:cs="Arial"/>
        </w:rPr>
        <w:fldChar w:fldCharType="end"/>
      </w:r>
      <w:r w:rsidRPr="00DB35D4">
        <w:rPr>
          <w:rFonts w:cs="Arial"/>
        </w:rPr>
        <w:t>.</w:t>
      </w:r>
    </w:p>
    <w:p w14:paraId="50193B50" w14:textId="448940E0" w:rsidR="005664B6" w:rsidRPr="00DB35D4" w:rsidRDefault="005664B6" w:rsidP="005664B6">
      <w:pPr>
        <w:rPr>
          <w:rFonts w:cs="Arial"/>
          <w:lang w:val="en-GB"/>
        </w:rPr>
      </w:pPr>
      <w:r w:rsidRPr="00DB35D4">
        <w:rPr>
          <w:rFonts w:cs="Arial"/>
          <w:lang w:val="en-GB"/>
        </w:rPr>
        <w:t xml:space="preserve">Site: </w:t>
      </w:r>
      <w:hyperlink r:id="rId342" w:history="1">
        <w:r w:rsidRPr="00DB35D4">
          <w:rPr>
            <w:rStyle w:val="Hyperlink"/>
            <w:rFonts w:cs="Arial"/>
            <w:lang w:val="en-GB"/>
          </w:rPr>
          <w:t>www.verra.org</w:t>
        </w:r>
      </w:hyperlink>
      <w:r w:rsidRPr="00DB35D4">
        <w:rPr>
          <w:rFonts w:cs="Arial"/>
          <w:lang w:val="en-GB"/>
        </w:rPr>
        <w:t xml:space="preserve"> </w:t>
      </w:r>
    </w:p>
    <w:p w14:paraId="2E90A6FC" w14:textId="2D3E7AF7" w:rsidR="005664B6" w:rsidRPr="00DB35D4" w:rsidRDefault="00EB0C3B" w:rsidP="005664B6">
      <w:pPr>
        <w:pStyle w:val="MAIL1"/>
      </w:pPr>
      <w:bookmarkStart w:id="395" w:name="_Toc91752478"/>
      <w:r>
        <w:t>Future of voluntary carbon markets</w:t>
      </w:r>
      <w:bookmarkEnd w:id="395"/>
    </w:p>
    <w:p w14:paraId="7E62E098" w14:textId="77777777" w:rsidR="005664B6" w:rsidRPr="00DB35D4" w:rsidRDefault="005664B6" w:rsidP="005664B6">
      <w:pPr>
        <w:rPr>
          <w:rStyle w:val="tlid-translation"/>
          <w:rFonts w:eastAsia="Times New Roman" w:cs="Arial"/>
          <w:lang w:eastAsia="el-GR"/>
        </w:rPr>
      </w:pPr>
      <w:r w:rsidRPr="00DB35D4">
        <w:rPr>
          <w:rStyle w:val="tlid-translation"/>
          <w:rFonts w:cs="Arial"/>
        </w:rPr>
        <w:t>Concerning the future of the voluntary markets and since this report is just to give the state of the art of Carbon Markets, we are borrowing the opinion of the experts as it was given in the recent report of Ecosystem Marketplace: In describing the foundations upon which many promising carbon-reducing strategies have been created, the Voluntary Carbon Market covers a remarkable area of innovation in the struggle to reduce global warming pollution. The Voluntary Carbon Market also foreshadows the forces that will drive the next generation of market-based innovation for combating global warming pollution in the absence of a global regulatory system for carbon reduction (</w:t>
      </w:r>
      <w:r w:rsidRPr="00DB35D4">
        <w:rPr>
          <w:rStyle w:val="tlid-translation"/>
          <w:rFonts w:eastAsia="Times New Roman" w:cs="Arial"/>
          <w:lang w:eastAsia="el-GR"/>
        </w:rPr>
        <w:t>Ecosystem Marketplace</w:t>
      </w:r>
      <w:r w:rsidRPr="00DB35D4">
        <w:rPr>
          <w:rStyle w:val="tlid-translation"/>
          <w:rFonts w:eastAsia="Times New Roman" w:cs="Arial"/>
          <w:sz w:val="24"/>
          <w:szCs w:val="24"/>
          <w:lang w:eastAsia="el-GR"/>
        </w:rPr>
        <w:t>,</w:t>
      </w:r>
      <w:r w:rsidRPr="00DB35D4">
        <w:rPr>
          <w:rStyle w:val="tlid-translation"/>
          <w:rFonts w:eastAsia="Times New Roman" w:cs="Arial"/>
          <w:lang w:eastAsia="el-GR"/>
        </w:rPr>
        <w:t xml:space="preserve"> 2021). </w:t>
      </w:r>
    </w:p>
    <w:p w14:paraId="324F1943" w14:textId="77777777" w:rsidR="005664B6" w:rsidRPr="00DB35D4" w:rsidRDefault="005664B6" w:rsidP="005664B6">
      <w:pPr>
        <w:rPr>
          <w:rStyle w:val="tlid-translation"/>
          <w:rFonts w:eastAsia="Times New Roman" w:cs="Arial"/>
          <w:lang w:eastAsia="el-GR"/>
        </w:rPr>
      </w:pPr>
      <w:r w:rsidRPr="00DB35D4">
        <w:rPr>
          <w:rStyle w:val="tlid-translation"/>
          <w:rFonts w:eastAsia="Times New Roman" w:cs="Arial"/>
          <w:lang w:eastAsia="el-GR"/>
        </w:rPr>
        <w:lastRenderedPageBreak/>
        <w:t xml:space="preserve">The voluntary carbon market's importance in the net-zero </w:t>
      </w:r>
      <w:proofErr w:type="gramStart"/>
      <w:r w:rsidRPr="00DB35D4">
        <w:rPr>
          <w:rStyle w:val="tlid-translation"/>
          <w:rFonts w:eastAsia="Times New Roman" w:cs="Arial"/>
          <w:lang w:eastAsia="el-GR"/>
        </w:rPr>
        <w:t>transition</w:t>
      </w:r>
      <w:proofErr w:type="gramEnd"/>
      <w:r w:rsidRPr="00DB35D4">
        <w:rPr>
          <w:rStyle w:val="tlid-translation"/>
          <w:rFonts w:eastAsia="Times New Roman" w:cs="Arial"/>
          <w:lang w:eastAsia="el-GR"/>
        </w:rPr>
        <w:t xml:space="preserve"> and the worldwide fight against climate change is growing and projected to rise. The patterns are visible, as seen above, but their exact consequences are impossible to anticipate. However, one thing appears certain: demand and prices for high-quality credits, particularly carbon sinks, will rise.</w:t>
      </w:r>
      <w:r w:rsidRPr="00DB35D4">
        <w:rPr>
          <w:rFonts w:cs="Arial"/>
        </w:rPr>
        <w:t xml:space="preserve"> </w:t>
      </w:r>
      <w:r w:rsidRPr="00DB35D4">
        <w:rPr>
          <w:rStyle w:val="tlid-translation"/>
          <w:rFonts w:eastAsia="Times New Roman" w:cs="Arial"/>
          <w:lang w:eastAsia="el-GR"/>
        </w:rPr>
        <w:t xml:space="preserve">If companies want to demonstrate leadership on climate change, they'll need to develop carefully considered carbon credit strategies to guide their voluntary market investment or acquisition strategies in the coming decade if they want guaranteed access to the credit types, amounts, and other attributes (such as corresponding adjustments) they value. Finally, corporations wanting particularly large volumes of credits or credits with associated changes will likely want to restart their engagement with governments now, in order to ensure they have enough time to form the </w:t>
      </w:r>
      <w:proofErr w:type="gramStart"/>
      <w:r w:rsidRPr="00DB35D4">
        <w:rPr>
          <w:rStyle w:val="tlid-translation"/>
          <w:rFonts w:eastAsia="Times New Roman" w:cs="Arial"/>
          <w:lang w:eastAsia="el-GR"/>
        </w:rPr>
        <w:t>relationships</w:t>
      </w:r>
      <w:proofErr w:type="gramEnd"/>
      <w:r w:rsidRPr="00DB35D4">
        <w:rPr>
          <w:rStyle w:val="tlid-translation"/>
          <w:rFonts w:eastAsia="Times New Roman" w:cs="Arial"/>
          <w:lang w:eastAsia="el-GR"/>
        </w:rPr>
        <w:t xml:space="preserve"> they will need to accomplish their long-term climate goals (Environmental Defense Fund, 2021).</w:t>
      </w:r>
    </w:p>
    <w:p w14:paraId="1F88E480" w14:textId="77777777" w:rsidR="005664B6" w:rsidRPr="00DB35D4" w:rsidRDefault="005664B6" w:rsidP="005664B6">
      <w:pPr>
        <w:rPr>
          <w:rStyle w:val="tlid-translation"/>
          <w:rFonts w:eastAsia="Times New Roman" w:cs="Arial"/>
          <w:lang w:eastAsia="el-GR"/>
        </w:rPr>
      </w:pPr>
      <w:r w:rsidRPr="00DB35D4">
        <w:rPr>
          <w:rStyle w:val="tlid-translation"/>
          <w:rFonts w:eastAsia="Times New Roman" w:cs="Arial"/>
          <w:lang w:eastAsia="el-GR"/>
        </w:rPr>
        <w:t xml:space="preserve">The Paris Agreement infrastructure will regulate the worldwide approach to fighting climate change beginning in 2021. As a result of this new framework, public, institutional, and private actors are considering how they might continue to participate in the voluntary carbon market as part of their efforts to combat climate change. Carbon markets passed a resilience test this year, proving to be rather resilient to the economic effects of COVID-19. Despite initial price drops </w:t>
      </w:r>
      <w:proofErr w:type="gramStart"/>
      <w:r w:rsidRPr="00DB35D4">
        <w:rPr>
          <w:rStyle w:val="tlid-translation"/>
          <w:rFonts w:eastAsia="Times New Roman" w:cs="Arial"/>
          <w:lang w:eastAsia="el-GR"/>
        </w:rPr>
        <w:t>as a result of</w:t>
      </w:r>
      <w:proofErr w:type="gramEnd"/>
      <w:r w:rsidRPr="00DB35D4">
        <w:rPr>
          <w:rStyle w:val="tlid-translation"/>
          <w:rFonts w:eastAsia="Times New Roman" w:cs="Arial"/>
          <w:lang w:eastAsia="el-GR"/>
        </w:rPr>
        <w:t xml:space="preserve"> the pandemic, by the end of 2020, prices had significantly surpassed their pre-pandemic levels. Market resilience can be linked to two important factors: market stability measures that are now broadly in place across systems, and future expectations of increasingly stringent conditions as governments seek more ambitious goals. Despite the pandemic, ETS coverage continues to spread globally, and it is playing a larger role in climate policy as more governments declare net-zero targets (ICAP, 2021).</w:t>
      </w:r>
    </w:p>
    <w:p w14:paraId="61B2CF13" w14:textId="77777777" w:rsidR="005664B6" w:rsidRPr="00DB35D4" w:rsidRDefault="005664B6" w:rsidP="005664B6">
      <w:pPr>
        <w:pStyle w:val="NormalWeb"/>
        <w:spacing w:before="0" w:beforeAutospacing="0" w:after="360" w:afterAutospacing="0"/>
        <w:rPr>
          <w:rStyle w:val="tlid-translation"/>
          <w:rFonts w:ascii="Arial" w:hAnsi="Arial" w:cs="Arial"/>
          <w:color w:val="000000"/>
          <w:sz w:val="23"/>
          <w:szCs w:val="23"/>
        </w:rPr>
      </w:pPr>
    </w:p>
    <w:p w14:paraId="34B5EE7B" w14:textId="77777777" w:rsidR="005664B6" w:rsidRPr="00EE5690" w:rsidRDefault="005664B6" w:rsidP="00EE5690">
      <w:pPr>
        <w:jc w:val="left"/>
        <w:rPr>
          <w:rFonts w:cs="Arial"/>
        </w:rPr>
      </w:pPr>
    </w:p>
    <w:p w14:paraId="7B18597F" w14:textId="4F2AFB25" w:rsidR="002D6198" w:rsidRDefault="002D6198" w:rsidP="00EE5690">
      <w:pPr>
        <w:jc w:val="left"/>
        <w:rPr>
          <w:rFonts w:cs="Arial"/>
          <w:lang w:val="en-GB"/>
        </w:rPr>
      </w:pPr>
      <w:r w:rsidRPr="00EE5690">
        <w:rPr>
          <w:rFonts w:cs="Arial"/>
          <w:lang w:val="en-GB"/>
        </w:rPr>
        <w:br w:type="page"/>
      </w:r>
    </w:p>
    <w:p w14:paraId="3EF1A25E" w14:textId="77777777" w:rsidR="005664B6" w:rsidRPr="00EE5690" w:rsidRDefault="005664B6" w:rsidP="00EE5690">
      <w:pPr>
        <w:jc w:val="left"/>
        <w:rPr>
          <w:rFonts w:cs="Arial"/>
        </w:rPr>
      </w:pPr>
    </w:p>
    <w:p w14:paraId="4F74E198" w14:textId="3691312D" w:rsidR="009B3BE6" w:rsidRPr="00230F15" w:rsidRDefault="009B3BE6" w:rsidP="00EE5690">
      <w:pPr>
        <w:pStyle w:val="Heading1"/>
        <w:numPr>
          <w:ilvl w:val="0"/>
          <w:numId w:val="0"/>
        </w:numPr>
        <w:jc w:val="left"/>
        <w:rPr>
          <w:rFonts w:cs="Arial"/>
          <w:sz w:val="24"/>
          <w:szCs w:val="24"/>
          <w:lang w:val="en-GB"/>
        </w:rPr>
      </w:pPr>
      <w:bookmarkStart w:id="396" w:name="_Toc91752479"/>
      <w:r w:rsidRPr="00230F15">
        <w:rPr>
          <w:rFonts w:cs="Arial"/>
          <w:sz w:val="24"/>
          <w:szCs w:val="24"/>
          <w:lang w:val="en-GB"/>
        </w:rPr>
        <w:t>References</w:t>
      </w:r>
      <w:bookmarkEnd w:id="172"/>
      <w:bookmarkEnd w:id="396"/>
    </w:p>
    <w:p w14:paraId="00DB1EF5" w14:textId="608AA837" w:rsidR="00147A13" w:rsidRDefault="00147A13" w:rsidP="00EE5690">
      <w:pPr>
        <w:pStyle w:val="Bibliography"/>
        <w:jc w:val="left"/>
        <w:rPr>
          <w:rFonts w:cs="Arial"/>
          <w:noProof/>
        </w:rPr>
      </w:pPr>
      <w:r w:rsidRPr="00EE5690">
        <w:rPr>
          <w:rFonts w:cs="Arial"/>
          <w:noProof/>
          <w:lang w:val="de-DE"/>
        </w:rPr>
        <w:t xml:space="preserve">Adams, M. A., &amp; Pfautsch, S. (2018). </w:t>
      </w:r>
      <w:r w:rsidRPr="00EE5690">
        <w:rPr>
          <w:rFonts w:cs="Arial"/>
          <w:noProof/>
        </w:rPr>
        <w:t xml:space="preserve">Grand Challenges: Forests and Global Change. </w:t>
      </w:r>
      <w:r w:rsidRPr="00EE5690">
        <w:rPr>
          <w:rFonts w:cs="Arial"/>
          <w:i/>
          <w:iCs/>
          <w:noProof/>
        </w:rPr>
        <w:t>Frontiers in Forests and Global Change</w:t>
      </w:r>
      <w:r w:rsidRPr="00EE5690">
        <w:rPr>
          <w:rFonts w:cs="Arial"/>
          <w:noProof/>
        </w:rPr>
        <w:t xml:space="preserve">, </w:t>
      </w:r>
      <w:r w:rsidRPr="00EE5690">
        <w:rPr>
          <w:rFonts w:cs="Arial"/>
          <w:i/>
          <w:iCs/>
          <w:noProof/>
        </w:rPr>
        <w:t>1</w:t>
      </w:r>
      <w:r w:rsidRPr="00EE5690">
        <w:rPr>
          <w:rFonts w:cs="Arial"/>
          <w:noProof/>
        </w:rPr>
        <w:t xml:space="preserve">. </w:t>
      </w:r>
      <w:hyperlink r:id="rId343" w:history="1">
        <w:r w:rsidR="005664B6" w:rsidRPr="00783CE9">
          <w:rPr>
            <w:rStyle w:val="Hyperlink"/>
            <w:rFonts w:cs="Arial"/>
            <w:noProof/>
          </w:rPr>
          <w:t>https://doi.org/10.3389/ffgc.2018.00001</w:t>
        </w:r>
      </w:hyperlink>
    </w:p>
    <w:p w14:paraId="398EF043" w14:textId="16DE45F7" w:rsidR="005664B6" w:rsidRPr="005664B6" w:rsidRDefault="005664B6" w:rsidP="005664B6">
      <w:pPr>
        <w:pStyle w:val="Bibliography"/>
        <w:rPr>
          <w:noProof/>
        </w:rPr>
      </w:pPr>
      <w:r w:rsidRPr="00DB35D4">
        <w:rPr>
          <w:noProof/>
        </w:rPr>
        <w:t>Aalders, E., &amp; Lehmann, M. (2013). MRV Manual for CDM Programme of Activities.</w:t>
      </w:r>
    </w:p>
    <w:p w14:paraId="713F3F18" w14:textId="426433D3" w:rsidR="00147A13" w:rsidRDefault="00147A13" w:rsidP="00A01330">
      <w:pPr>
        <w:pStyle w:val="Bibliography1"/>
        <w:numPr>
          <w:ilvl w:val="0"/>
          <w:numId w:val="4"/>
        </w:numPr>
        <w:ind w:left="0" w:firstLine="0"/>
        <w:jc w:val="left"/>
        <w:rPr>
          <w:rFonts w:cs="Arial"/>
        </w:rPr>
      </w:pPr>
      <w:r w:rsidRPr="00EE5690">
        <w:rPr>
          <w:rFonts w:cs="Arial"/>
          <w:lang w:val="es-ES"/>
        </w:rPr>
        <w:t xml:space="preserve">Agostini, A., </w:t>
      </w:r>
      <w:proofErr w:type="spellStart"/>
      <w:r w:rsidRPr="00EE5690">
        <w:rPr>
          <w:rFonts w:cs="Arial"/>
          <w:lang w:val="es-ES"/>
        </w:rPr>
        <w:t>Giuntoli</w:t>
      </w:r>
      <w:proofErr w:type="spellEnd"/>
      <w:r w:rsidRPr="00EE5690">
        <w:rPr>
          <w:rFonts w:cs="Arial"/>
          <w:lang w:val="es-ES"/>
        </w:rPr>
        <w:t xml:space="preserve">, J., </w:t>
      </w:r>
      <w:proofErr w:type="spellStart"/>
      <w:r w:rsidRPr="00EE5690">
        <w:rPr>
          <w:rFonts w:cs="Arial"/>
          <w:lang w:val="es-ES"/>
        </w:rPr>
        <w:t>Boulamanti</w:t>
      </w:r>
      <w:proofErr w:type="spellEnd"/>
      <w:r w:rsidRPr="00EE5690">
        <w:rPr>
          <w:rFonts w:cs="Arial"/>
          <w:lang w:val="es-ES"/>
        </w:rPr>
        <w:t xml:space="preserve">, A., &amp; </w:t>
      </w:r>
      <w:proofErr w:type="spellStart"/>
      <w:r w:rsidRPr="00EE5690">
        <w:rPr>
          <w:rFonts w:cs="Arial"/>
          <w:lang w:val="es-ES"/>
        </w:rPr>
        <w:t>Marelli</w:t>
      </w:r>
      <w:proofErr w:type="spellEnd"/>
      <w:r w:rsidRPr="00EE5690">
        <w:rPr>
          <w:rFonts w:cs="Arial"/>
          <w:lang w:val="es-ES"/>
        </w:rPr>
        <w:t xml:space="preserve"> L. (2014). </w:t>
      </w:r>
      <w:r w:rsidRPr="00EE5690">
        <w:rPr>
          <w:rFonts w:cs="Arial"/>
        </w:rPr>
        <w:t xml:space="preserve">Carbon accounting of forest bioenergy: conclusions and recommendations from a critical literature review. Publications Office of the European Union. </w:t>
      </w:r>
      <w:hyperlink r:id="rId344" w:history="1">
        <w:r w:rsidRPr="00EE5690">
          <w:rPr>
            <w:rStyle w:val="Hyperlink"/>
            <w:rFonts w:cs="Arial"/>
          </w:rPr>
          <w:t>http://dx.doi.org/10.2788/29442</w:t>
        </w:r>
      </w:hyperlink>
      <w:r w:rsidRPr="00EE5690">
        <w:rPr>
          <w:rFonts w:cs="Arial"/>
        </w:rPr>
        <w:t xml:space="preserve">. </w:t>
      </w:r>
    </w:p>
    <w:p w14:paraId="46D85B97" w14:textId="77777777" w:rsidR="005664B6" w:rsidRPr="00DB35D4" w:rsidRDefault="005664B6" w:rsidP="005664B6">
      <w:pPr>
        <w:pStyle w:val="Bibliography"/>
        <w:rPr>
          <w:noProof/>
        </w:rPr>
      </w:pPr>
      <w:r w:rsidRPr="00DB35D4">
        <w:rPr>
          <w:noProof/>
        </w:rPr>
        <w:t>Amazon rainforest fires: How it affects the world and you (n.d.). [Motion Picture]. Retrieved from https://www.youtube.com/watch?v=DMjEeffbedY</w:t>
      </w:r>
    </w:p>
    <w:p w14:paraId="753E8B91" w14:textId="77777777" w:rsidR="005664B6" w:rsidRPr="00DB35D4" w:rsidRDefault="005664B6" w:rsidP="005664B6">
      <w:pPr>
        <w:pStyle w:val="Bibliography"/>
        <w:rPr>
          <w:noProof/>
        </w:rPr>
      </w:pPr>
      <w:r w:rsidRPr="00DB35D4">
        <w:rPr>
          <w:noProof/>
        </w:rPr>
        <w:t>American Carbon Registry. (2019, July). The American Carbon Registry Standard.</w:t>
      </w:r>
    </w:p>
    <w:p w14:paraId="4A7A09D7" w14:textId="39784577" w:rsidR="005664B6" w:rsidRPr="005664B6" w:rsidRDefault="005664B6" w:rsidP="005664B6">
      <w:pPr>
        <w:pStyle w:val="Bibliography"/>
        <w:rPr>
          <w:noProof/>
        </w:rPr>
      </w:pPr>
      <w:r w:rsidRPr="00DB35D4">
        <w:rPr>
          <w:noProof/>
        </w:rPr>
        <w:t>American Carbon Registry. (2019, July). The American Carbon Registry Standard. Washington DC.</w:t>
      </w:r>
    </w:p>
    <w:p w14:paraId="22646E5D" w14:textId="19250A6F" w:rsidR="00147A13" w:rsidRDefault="00147A13" w:rsidP="00EE5690">
      <w:pPr>
        <w:pStyle w:val="Bibliography"/>
        <w:jc w:val="left"/>
        <w:rPr>
          <w:rFonts w:cs="Arial"/>
          <w:noProof/>
        </w:rPr>
      </w:pPr>
      <w:r w:rsidRPr="00EE5690">
        <w:rPr>
          <w:rFonts w:cs="Arial"/>
          <w:noProof/>
        </w:rPr>
        <w:t xml:space="preserve">Alfaro, R. I., Fady, B., Vendramin, G. G., Dawson, I. K., Fleming, R. A., Sáenz-Romero, C., Lindig-Cisneros, R. A., Murdock, T., Vinceti, B., Navarro, C. M., Skrøppa, T., Baldinelli, G., El-Kassaby, Y. A., &amp; Loo, J. (2014). The role of forest genetic resources in responding to biotic and abiotic factors in the context of anthropogenic climate change. </w:t>
      </w:r>
      <w:r w:rsidRPr="00EE5690">
        <w:rPr>
          <w:rFonts w:cs="Arial"/>
          <w:i/>
          <w:iCs/>
          <w:noProof/>
        </w:rPr>
        <w:t>Forest Ecology and Management</w:t>
      </w:r>
      <w:r w:rsidRPr="00EE5690">
        <w:rPr>
          <w:rFonts w:cs="Arial"/>
          <w:noProof/>
        </w:rPr>
        <w:t xml:space="preserve">, </w:t>
      </w:r>
      <w:r w:rsidRPr="00EE5690">
        <w:rPr>
          <w:rFonts w:cs="Arial"/>
          <w:i/>
          <w:iCs/>
          <w:noProof/>
        </w:rPr>
        <w:t>333</w:t>
      </w:r>
      <w:r w:rsidRPr="00EE5690">
        <w:rPr>
          <w:rFonts w:cs="Arial"/>
          <w:noProof/>
        </w:rPr>
        <w:t xml:space="preserve">, 76–87. </w:t>
      </w:r>
      <w:hyperlink r:id="rId345" w:history="1">
        <w:r w:rsidR="005664B6" w:rsidRPr="00783CE9">
          <w:rPr>
            <w:rStyle w:val="Hyperlink"/>
            <w:rFonts w:cs="Arial"/>
            <w:noProof/>
          </w:rPr>
          <w:t>https://doi.org/10.1016/j.foreco.2014.04.006</w:t>
        </w:r>
      </w:hyperlink>
    </w:p>
    <w:p w14:paraId="0FBFCEF1" w14:textId="6613C5F9" w:rsidR="005664B6" w:rsidRPr="005664B6" w:rsidRDefault="005664B6" w:rsidP="005664B6">
      <w:pPr>
        <w:pStyle w:val="Bibliography"/>
        <w:jc w:val="left"/>
        <w:rPr>
          <w:rFonts w:cs="Arial"/>
          <w:noProof/>
        </w:rPr>
      </w:pPr>
      <w:r w:rsidRPr="00EE5690">
        <w:rPr>
          <w:rFonts w:cs="Arial"/>
          <w:noProof/>
        </w:rPr>
        <w:t xml:space="preserve">Averill, C., &amp; Waring, B. (2018). Nitrogen limitation of decomposition and decay: How can it occur? </w:t>
      </w:r>
      <w:r w:rsidRPr="00EE5690">
        <w:rPr>
          <w:rFonts w:cs="Arial"/>
          <w:i/>
          <w:iCs/>
          <w:noProof/>
        </w:rPr>
        <w:t>Global Change Biology</w:t>
      </w:r>
      <w:r w:rsidRPr="00EE5690">
        <w:rPr>
          <w:rFonts w:cs="Arial"/>
          <w:noProof/>
        </w:rPr>
        <w:t xml:space="preserve">, </w:t>
      </w:r>
      <w:r w:rsidRPr="00EE5690">
        <w:rPr>
          <w:rFonts w:cs="Arial"/>
          <w:i/>
          <w:iCs/>
          <w:noProof/>
        </w:rPr>
        <w:t>24</w:t>
      </w:r>
      <w:r w:rsidRPr="00EE5690">
        <w:rPr>
          <w:rFonts w:cs="Arial"/>
          <w:noProof/>
        </w:rPr>
        <w:t>(4), 1417–1427. https://doi.org/10.1111/gcb.13980</w:t>
      </w:r>
    </w:p>
    <w:p w14:paraId="213CE30C" w14:textId="77777777" w:rsidR="00147A13" w:rsidRPr="00EE5690" w:rsidRDefault="00147A13" w:rsidP="00A01330">
      <w:pPr>
        <w:pStyle w:val="Bibliography1"/>
        <w:numPr>
          <w:ilvl w:val="0"/>
          <w:numId w:val="4"/>
        </w:numPr>
        <w:ind w:left="0" w:firstLine="0"/>
        <w:jc w:val="left"/>
        <w:rPr>
          <w:rFonts w:cs="Arial"/>
        </w:rPr>
      </w:pPr>
      <w:r w:rsidRPr="00EE5690">
        <w:rPr>
          <w:rFonts w:cs="Arial"/>
        </w:rPr>
        <w:t xml:space="preserve">Beck, U. &amp; Wilms, J. (2004). Conversations with Ulrich Beck. Cambridge: Polity Press. In Duran, C.D., </w:t>
      </w:r>
      <w:proofErr w:type="spellStart"/>
      <w:r w:rsidRPr="00EE5690">
        <w:rPr>
          <w:rFonts w:cs="Arial"/>
        </w:rPr>
        <w:t>Gogan</w:t>
      </w:r>
      <w:proofErr w:type="spellEnd"/>
      <w:r w:rsidRPr="00EE5690">
        <w:rPr>
          <w:rFonts w:cs="Arial"/>
        </w:rPr>
        <w:t xml:space="preserve">, L.M., </w:t>
      </w:r>
      <w:proofErr w:type="spellStart"/>
      <w:r w:rsidRPr="00EE5690">
        <w:rPr>
          <w:rFonts w:cs="Arial"/>
        </w:rPr>
        <w:t>Artene</w:t>
      </w:r>
      <w:proofErr w:type="spellEnd"/>
      <w:r w:rsidRPr="00EE5690">
        <w:rPr>
          <w:rFonts w:cs="Arial"/>
        </w:rPr>
        <w:t>, A. &amp; Duran, V. (2015). The components of sustainable development - a possible approach. Procedia Economics and Finance, 26, 806-811.</w:t>
      </w:r>
    </w:p>
    <w:p w14:paraId="37DF05AD" w14:textId="3D0E0390" w:rsidR="00147A13" w:rsidRDefault="00147A13" w:rsidP="00EE5690">
      <w:pPr>
        <w:pStyle w:val="Bibliography"/>
        <w:jc w:val="left"/>
        <w:rPr>
          <w:rFonts w:cs="Arial"/>
          <w:noProof/>
        </w:rPr>
      </w:pPr>
      <w:r w:rsidRPr="00EE5690">
        <w:rPr>
          <w:rFonts w:cs="Arial"/>
          <w:noProof/>
        </w:rPr>
        <w:lastRenderedPageBreak/>
        <w:t xml:space="preserve">Berthrong, S. T., Jobbágy, E. G., &amp; Jackson, R. B. (2009). A global meta-analysis of soil exchangeable cations, pH, carbon, and nitrogen with afforestation. </w:t>
      </w:r>
      <w:r w:rsidRPr="00EE5690">
        <w:rPr>
          <w:rFonts w:cs="Arial"/>
          <w:i/>
          <w:iCs/>
          <w:noProof/>
        </w:rPr>
        <w:t>Ecological Applications</w:t>
      </w:r>
      <w:r w:rsidRPr="00EE5690">
        <w:rPr>
          <w:rFonts w:cs="Arial"/>
          <w:noProof/>
        </w:rPr>
        <w:t xml:space="preserve">, </w:t>
      </w:r>
      <w:r w:rsidRPr="00EE5690">
        <w:rPr>
          <w:rFonts w:cs="Arial"/>
          <w:i/>
          <w:iCs/>
          <w:noProof/>
        </w:rPr>
        <w:t>19</w:t>
      </w:r>
      <w:r w:rsidRPr="00EE5690">
        <w:rPr>
          <w:rFonts w:cs="Arial"/>
          <w:noProof/>
        </w:rPr>
        <w:t xml:space="preserve">(8), 2228–2241. </w:t>
      </w:r>
      <w:hyperlink r:id="rId346" w:history="1">
        <w:r w:rsidR="00E33343" w:rsidRPr="00783CE9">
          <w:rPr>
            <w:rStyle w:val="Hyperlink"/>
            <w:rFonts w:cs="Arial"/>
            <w:noProof/>
          </w:rPr>
          <w:t>https://doi.org/10.1890/08-1730.1</w:t>
        </w:r>
      </w:hyperlink>
    </w:p>
    <w:p w14:paraId="1DFB4C20" w14:textId="77777777" w:rsidR="00E33343" w:rsidRPr="00DB35D4" w:rsidRDefault="00E33343" w:rsidP="00E33343">
      <w:pPr>
        <w:pStyle w:val="Bibliography"/>
        <w:rPr>
          <w:noProof/>
        </w:rPr>
      </w:pPr>
      <w:r w:rsidRPr="00DB35D4">
        <w:rPr>
          <w:noProof/>
        </w:rPr>
        <w:t>Berry, N. (2017, May 24 ). Plan Vivo Guidance and Resources Climate Benefit Estimation.</w:t>
      </w:r>
    </w:p>
    <w:p w14:paraId="01E97ED1" w14:textId="77777777" w:rsidR="00147A13" w:rsidRPr="00EE5690" w:rsidRDefault="00147A13" w:rsidP="00EE5690">
      <w:pPr>
        <w:pStyle w:val="Bibliography"/>
        <w:jc w:val="left"/>
        <w:rPr>
          <w:rFonts w:cs="Arial"/>
          <w:noProof/>
        </w:rPr>
      </w:pPr>
      <w:r w:rsidRPr="00EE5690">
        <w:rPr>
          <w:rFonts w:cs="Arial"/>
          <w:noProof/>
          <w:lang w:val="de-DE"/>
        </w:rPr>
        <w:t xml:space="preserve">Braun, M., Winner, G., Schwarzbauer, P., &amp; Stern, T. (2016). </w:t>
      </w:r>
      <w:r w:rsidRPr="00EE5690">
        <w:rPr>
          <w:rFonts w:cs="Arial"/>
          <w:noProof/>
        </w:rPr>
        <w:t xml:space="preserve">Apparent Half-Life-Dynamics of Harvested Wood Products (HWPs) in Austria: Development and analysis of weighted time-series for 2002 to 2011. </w:t>
      </w:r>
      <w:r w:rsidRPr="00EE5690">
        <w:rPr>
          <w:rFonts w:cs="Arial"/>
          <w:i/>
          <w:iCs/>
          <w:noProof/>
        </w:rPr>
        <w:t>Forest Policy and Economics</w:t>
      </w:r>
      <w:r w:rsidRPr="00EE5690">
        <w:rPr>
          <w:rFonts w:cs="Arial"/>
          <w:noProof/>
        </w:rPr>
        <w:t xml:space="preserve">, </w:t>
      </w:r>
      <w:r w:rsidRPr="00EE5690">
        <w:rPr>
          <w:rFonts w:cs="Arial"/>
          <w:i/>
          <w:iCs/>
          <w:noProof/>
        </w:rPr>
        <w:t>63</w:t>
      </w:r>
      <w:r w:rsidRPr="00EE5690">
        <w:rPr>
          <w:rFonts w:cs="Arial"/>
          <w:noProof/>
        </w:rPr>
        <w:t>, 28–34. https://doi.org/10.1016/j.forpol.2015.11.008</w:t>
      </w:r>
    </w:p>
    <w:p w14:paraId="75B2B78B" w14:textId="5DAB90D7" w:rsidR="00147A13" w:rsidRDefault="00147A13" w:rsidP="00EE5690">
      <w:pPr>
        <w:pStyle w:val="Bibliography"/>
        <w:jc w:val="left"/>
        <w:rPr>
          <w:rFonts w:cs="Arial"/>
          <w:noProof/>
        </w:rPr>
      </w:pPr>
      <w:r w:rsidRPr="00EE5690">
        <w:rPr>
          <w:rFonts w:cs="Arial"/>
          <w:noProof/>
        </w:rPr>
        <w:t xml:space="preserve">Bremer, L. L., &amp; Farley, K. A. (2010). Does plantation forestry restore biodiversity or create green deserts? A synthesis of the effects of land-use transitions on plant species richness. </w:t>
      </w:r>
      <w:r w:rsidRPr="00EE5690">
        <w:rPr>
          <w:rFonts w:cs="Arial"/>
          <w:i/>
          <w:iCs/>
          <w:noProof/>
        </w:rPr>
        <w:t>Biodiversity and Conservation</w:t>
      </w:r>
      <w:r w:rsidRPr="00EE5690">
        <w:rPr>
          <w:rFonts w:cs="Arial"/>
          <w:noProof/>
        </w:rPr>
        <w:t xml:space="preserve">, </w:t>
      </w:r>
      <w:r w:rsidRPr="00EE5690">
        <w:rPr>
          <w:rFonts w:cs="Arial"/>
          <w:i/>
          <w:iCs/>
          <w:noProof/>
        </w:rPr>
        <w:t>19</w:t>
      </w:r>
      <w:r w:rsidRPr="00EE5690">
        <w:rPr>
          <w:rFonts w:cs="Arial"/>
          <w:noProof/>
        </w:rPr>
        <w:t xml:space="preserve">(14), 3893–3915. </w:t>
      </w:r>
      <w:hyperlink r:id="rId347" w:history="1">
        <w:r w:rsidR="00E33343" w:rsidRPr="00783CE9">
          <w:rPr>
            <w:rStyle w:val="Hyperlink"/>
            <w:rFonts w:cs="Arial"/>
            <w:noProof/>
          </w:rPr>
          <w:t>https://doi.org/10.1007/s10531-010-9936-4</w:t>
        </w:r>
      </w:hyperlink>
    </w:p>
    <w:p w14:paraId="47DCEA57" w14:textId="77777777" w:rsidR="00E33343" w:rsidRPr="00DB35D4" w:rsidRDefault="00E33343" w:rsidP="00E33343">
      <w:pPr>
        <w:pStyle w:val="Bibliography"/>
        <w:rPr>
          <w:noProof/>
        </w:rPr>
      </w:pPr>
      <w:r w:rsidRPr="00DB35D4">
        <w:rPr>
          <w:noProof/>
        </w:rPr>
        <w:t>Broekhoff, D., Gillenwater, M., Colbert-Sangree, T., &amp; Cage, P. (2019). Securing Climate Benefit : A Guide to Using Carbon Offsets.  GHG management Institute &amp; Stokholm Environment Institute. Offsetguide.org/pdf-download/</w:t>
      </w:r>
    </w:p>
    <w:p w14:paraId="51B0DCC7" w14:textId="77777777" w:rsidR="00E33343" w:rsidRPr="00DB35D4" w:rsidRDefault="00E33343" w:rsidP="00E33343">
      <w:pPr>
        <w:pStyle w:val="Bibliography"/>
        <w:jc w:val="left"/>
        <w:rPr>
          <w:noProof/>
        </w:rPr>
      </w:pPr>
      <w:r w:rsidRPr="00DB35D4">
        <w:rPr>
          <w:noProof/>
        </w:rPr>
        <w:t>Carbon Accounting Standard. (2019, September 9). Retrieved from https://americancarbonregistry.org/carbon-accounting/standards-methodologies</w:t>
      </w:r>
    </w:p>
    <w:p w14:paraId="0912A7B9" w14:textId="77777777" w:rsidR="00E33343" w:rsidRPr="00DB35D4" w:rsidRDefault="00E33343" w:rsidP="00E33343">
      <w:pPr>
        <w:pStyle w:val="Bibliography"/>
        <w:jc w:val="left"/>
        <w:rPr>
          <w:noProof/>
        </w:rPr>
      </w:pPr>
      <w:r w:rsidRPr="00DB35D4">
        <w:rPr>
          <w:noProof/>
        </w:rPr>
        <w:t>Carbon Offset Research and Education. (2019, September 6). Retrieved from Carbon Offset Research and Education: https://www.co2offsetresearch.org/policy/MandatoryVsVoluntary.html</w:t>
      </w:r>
    </w:p>
    <w:p w14:paraId="0AD7840E" w14:textId="384D6557" w:rsidR="00E33343" w:rsidRPr="00E33343" w:rsidRDefault="00E33343" w:rsidP="00E33343">
      <w:pPr>
        <w:pStyle w:val="Bibliography"/>
        <w:jc w:val="left"/>
        <w:rPr>
          <w:noProof/>
        </w:rPr>
      </w:pPr>
      <w:r w:rsidRPr="00DB35D4">
        <w:rPr>
          <w:noProof/>
        </w:rPr>
        <w:t>Carbon Offset Research and Education. (2019, September 11). Retrieved from Carbon Offset Research and Education: https://www.co2offsetresearch.org/policy/PandaStandard.html</w:t>
      </w:r>
    </w:p>
    <w:p w14:paraId="6438425D" w14:textId="19E066AB" w:rsidR="00147A13" w:rsidRDefault="00147A13" w:rsidP="00EE5690">
      <w:pPr>
        <w:pStyle w:val="Bibliography"/>
        <w:jc w:val="left"/>
        <w:rPr>
          <w:rFonts w:cs="Arial"/>
          <w:noProof/>
        </w:rPr>
      </w:pPr>
      <w:r w:rsidRPr="00EE5690">
        <w:rPr>
          <w:rFonts w:cs="Arial"/>
          <w:noProof/>
        </w:rPr>
        <w:t xml:space="preserve">Castrogiovanni, G. J. (1996). Pre-startup planning and the survival of new small businesses: Theoretical linkages. </w:t>
      </w:r>
      <w:r w:rsidRPr="00EE5690">
        <w:rPr>
          <w:rFonts w:cs="Arial"/>
          <w:i/>
          <w:iCs/>
          <w:noProof/>
        </w:rPr>
        <w:t>Journal of Management</w:t>
      </w:r>
      <w:r w:rsidRPr="00EE5690">
        <w:rPr>
          <w:rFonts w:cs="Arial"/>
          <w:noProof/>
        </w:rPr>
        <w:t xml:space="preserve">, </w:t>
      </w:r>
      <w:r w:rsidRPr="00EE5690">
        <w:rPr>
          <w:rFonts w:cs="Arial"/>
          <w:i/>
          <w:iCs/>
          <w:noProof/>
        </w:rPr>
        <w:t>22</w:t>
      </w:r>
      <w:r w:rsidRPr="00EE5690">
        <w:rPr>
          <w:rFonts w:cs="Arial"/>
          <w:noProof/>
        </w:rPr>
        <w:t xml:space="preserve">(6), 801–822. </w:t>
      </w:r>
      <w:hyperlink r:id="rId348" w:history="1">
        <w:r w:rsidR="00E33343" w:rsidRPr="00783CE9">
          <w:rPr>
            <w:rStyle w:val="Hyperlink"/>
            <w:rFonts w:cs="Arial"/>
            <w:noProof/>
          </w:rPr>
          <w:t>https://doi.org/10.1016/S0149-2063(96)90037-9</w:t>
        </w:r>
      </w:hyperlink>
    </w:p>
    <w:p w14:paraId="5C371E04" w14:textId="2A1E41FD" w:rsidR="00E33343" w:rsidRPr="00E33343" w:rsidRDefault="00E33343" w:rsidP="00E33343">
      <w:pPr>
        <w:pStyle w:val="Bibliography"/>
        <w:rPr>
          <w:noProof/>
        </w:rPr>
      </w:pPr>
      <w:r w:rsidRPr="00DB35D4">
        <w:rPr>
          <w:noProof/>
        </w:rPr>
        <w:t>CDM Can Inspire, Inform, Outfit Any New Mechanism under Paris Agreement. (2018, May 3). Retrieved from United Nations Framework Convention on Climate Change: https://unfccc.int/news/cdm-can-inspire-inform-outfit-any-new-mechanism-under-paris-agreement</w:t>
      </w:r>
    </w:p>
    <w:p w14:paraId="5D56C5B9" w14:textId="77777777" w:rsidR="00147A13" w:rsidRPr="00EE5690" w:rsidRDefault="00147A13" w:rsidP="00EE5690">
      <w:pPr>
        <w:pStyle w:val="Bibliography"/>
        <w:jc w:val="left"/>
        <w:rPr>
          <w:rFonts w:cs="Arial"/>
          <w:noProof/>
        </w:rPr>
      </w:pPr>
      <w:r w:rsidRPr="00EE5690">
        <w:rPr>
          <w:rFonts w:cs="Arial"/>
          <w:noProof/>
        </w:rPr>
        <w:lastRenderedPageBreak/>
        <w:t xml:space="preserve">César, R. G., Moreno, V. S., Coletta, G. D., Chazdon, R. L., Ferraz, S. F. B., de Almeida, D. R. A., &amp; Brancalion, P. H. S. (2018). Early ecological outcomes of natural regeneration and tree plantations for restoring agricultural landscapes. </w:t>
      </w:r>
      <w:r w:rsidRPr="00EE5690">
        <w:rPr>
          <w:rFonts w:cs="Arial"/>
          <w:i/>
          <w:iCs/>
          <w:noProof/>
        </w:rPr>
        <w:t>Ecological Applications</w:t>
      </w:r>
      <w:r w:rsidRPr="00EE5690">
        <w:rPr>
          <w:rFonts w:cs="Arial"/>
          <w:noProof/>
        </w:rPr>
        <w:t xml:space="preserve">, </w:t>
      </w:r>
      <w:r w:rsidRPr="00EE5690">
        <w:rPr>
          <w:rFonts w:cs="Arial"/>
          <w:i/>
          <w:iCs/>
          <w:noProof/>
        </w:rPr>
        <w:t>28</w:t>
      </w:r>
      <w:r w:rsidRPr="00EE5690">
        <w:rPr>
          <w:rFonts w:cs="Arial"/>
          <w:noProof/>
        </w:rPr>
        <w:t>(2), 373–384. https://doi.org/10.1002/eap.1653</w:t>
      </w:r>
    </w:p>
    <w:p w14:paraId="64EC1F2C" w14:textId="50CF6A70" w:rsidR="00147A13" w:rsidRDefault="00147A13" w:rsidP="00EE5690">
      <w:pPr>
        <w:pStyle w:val="Bibliography"/>
        <w:jc w:val="left"/>
        <w:rPr>
          <w:rFonts w:cs="Arial"/>
          <w:noProof/>
        </w:rPr>
      </w:pPr>
      <w:r w:rsidRPr="00EE5690">
        <w:rPr>
          <w:rFonts w:cs="Arial"/>
          <w:noProof/>
        </w:rPr>
        <w:t xml:space="preserve">Chen, G., Yang, Y., Yang, Z., Xie, J., Guo, J., Gao, R., Yin, Y., &amp; Robinson, D. (2016). Accelerated soil carbon turnover under tree plantations limits soil carbon storage. </w:t>
      </w:r>
      <w:r w:rsidRPr="00EE5690">
        <w:rPr>
          <w:rFonts w:cs="Arial"/>
          <w:i/>
          <w:iCs/>
          <w:noProof/>
        </w:rPr>
        <w:t>Scientific Reports</w:t>
      </w:r>
      <w:r w:rsidRPr="00EE5690">
        <w:rPr>
          <w:rFonts w:cs="Arial"/>
          <w:noProof/>
        </w:rPr>
        <w:t xml:space="preserve">, </w:t>
      </w:r>
      <w:r w:rsidRPr="00EE5690">
        <w:rPr>
          <w:rFonts w:cs="Arial"/>
          <w:i/>
          <w:iCs/>
          <w:noProof/>
        </w:rPr>
        <w:t>6</w:t>
      </w:r>
      <w:r w:rsidRPr="00EE5690">
        <w:rPr>
          <w:rFonts w:cs="Arial"/>
          <w:noProof/>
        </w:rPr>
        <w:t xml:space="preserve">(1), 19693. </w:t>
      </w:r>
      <w:hyperlink r:id="rId349" w:history="1">
        <w:r w:rsidR="00E33343" w:rsidRPr="00783CE9">
          <w:rPr>
            <w:rStyle w:val="Hyperlink"/>
            <w:rFonts w:cs="Arial"/>
            <w:noProof/>
          </w:rPr>
          <w:t>https://doi.org/10.1038/srep19693</w:t>
        </w:r>
      </w:hyperlink>
    </w:p>
    <w:p w14:paraId="4ACAC3C6" w14:textId="77777777" w:rsidR="00E33343" w:rsidRPr="00DB35D4" w:rsidRDefault="00E33343" w:rsidP="00E33343">
      <w:pPr>
        <w:pStyle w:val="Bibliography"/>
        <w:rPr>
          <w:noProof/>
        </w:rPr>
      </w:pPr>
      <w:r w:rsidRPr="00DB35D4">
        <w:rPr>
          <w:noProof/>
        </w:rPr>
        <w:t>Clean Development Mechanism. (2019, September 6). Clean Development Mechanism Registry. Retrieved from https://cdm.unfccc.int/Projects/projsearch.html</w:t>
      </w:r>
    </w:p>
    <w:p w14:paraId="5FC55E31" w14:textId="77777777" w:rsidR="00E33343" w:rsidRPr="00DB35D4" w:rsidRDefault="00E33343" w:rsidP="00E33343">
      <w:pPr>
        <w:pStyle w:val="Bibliography"/>
        <w:rPr>
          <w:noProof/>
        </w:rPr>
      </w:pPr>
      <w:r w:rsidRPr="00DB35D4">
        <w:rPr>
          <w:noProof/>
        </w:rPr>
        <w:t>Clean Development Mechanism Projects Registry. (2019, September 16). Retrieved from Clean Development Mechanism: https://cdm.unfccc.int/Projects/projsearch.html</w:t>
      </w:r>
    </w:p>
    <w:p w14:paraId="31BB60C8" w14:textId="77777777" w:rsidR="00E33343" w:rsidRPr="001428D9" w:rsidRDefault="00E33343" w:rsidP="00E33343">
      <w:pPr>
        <w:pStyle w:val="Bibliography"/>
        <w:rPr>
          <w:noProof/>
        </w:rPr>
      </w:pPr>
      <w:r w:rsidRPr="00DB35D4">
        <w:rPr>
          <w:noProof/>
          <w:lang w:val="en-US"/>
        </w:rPr>
        <w:t xml:space="preserve">Climate Action Reserve. (2015, September 1). Climate Action Reserve Program Manual. </w:t>
      </w:r>
      <w:r w:rsidRPr="001428D9">
        <w:rPr>
          <w:noProof/>
        </w:rPr>
        <w:t>Los Angeles, USA. Retrieved from https://www.climateactionreserve.org/wp-content/uploads/2015/08/Climate_Action_Reserve_Program_Manual_090115.pdf</w:t>
      </w:r>
    </w:p>
    <w:p w14:paraId="5174DA70" w14:textId="40332CFE" w:rsidR="00147A13" w:rsidRDefault="00147A13" w:rsidP="00A01330">
      <w:pPr>
        <w:pStyle w:val="Bibliography1"/>
        <w:numPr>
          <w:ilvl w:val="0"/>
          <w:numId w:val="4"/>
        </w:numPr>
        <w:ind w:left="0" w:firstLine="0"/>
        <w:jc w:val="left"/>
        <w:rPr>
          <w:rStyle w:val="Hyperlink"/>
          <w:rFonts w:cs="Arial"/>
        </w:rPr>
      </w:pPr>
      <w:r w:rsidRPr="00EE5690">
        <w:rPr>
          <w:rFonts w:cs="Arial"/>
        </w:rPr>
        <w:t>Copernicus, High Resolution Layers, HRL. (2012, 2015). Retrieved August 08,</w:t>
      </w:r>
      <w:r w:rsidRPr="00EE5690">
        <w:rPr>
          <w:rFonts w:cs="Arial"/>
          <w:lang w:val="en-US"/>
        </w:rPr>
        <w:t xml:space="preserve"> </w:t>
      </w:r>
      <w:r w:rsidRPr="00EE5690">
        <w:rPr>
          <w:rFonts w:cs="Arial"/>
        </w:rPr>
        <w:t xml:space="preserve">2019, from </w:t>
      </w:r>
      <w:hyperlink r:id="rId350" w:history="1">
        <w:r w:rsidRPr="00EE5690">
          <w:rPr>
            <w:rStyle w:val="Hyperlink"/>
            <w:rFonts w:cs="Arial"/>
          </w:rPr>
          <w:t>https://land.copernicus.eu/pan-european/high-resolution-layers</w:t>
        </w:r>
      </w:hyperlink>
    </w:p>
    <w:p w14:paraId="4F2648DB" w14:textId="77777777" w:rsidR="00E33343" w:rsidRPr="00DB35D4" w:rsidRDefault="00E33343" w:rsidP="00E33343">
      <w:pPr>
        <w:pStyle w:val="Bibliography"/>
        <w:rPr>
          <w:noProof/>
        </w:rPr>
      </w:pPr>
      <w:r w:rsidRPr="00DB35D4">
        <w:rPr>
          <w:noProof/>
        </w:rPr>
        <w:t>Core Carbon Offset Research Education. (2019, September 9). Core Carbon Offset Research Education. Retrieved from Core Carbon Offset Research Education: https://www.co2offsetresearch.org/consumer/Additionality.html</w:t>
      </w:r>
    </w:p>
    <w:p w14:paraId="0AECD368" w14:textId="77777777" w:rsidR="00147A13" w:rsidRPr="00EE5690" w:rsidRDefault="00147A13" w:rsidP="00EE5690">
      <w:pPr>
        <w:pStyle w:val="Bibliography"/>
        <w:jc w:val="left"/>
        <w:rPr>
          <w:rFonts w:cs="Arial"/>
          <w:noProof/>
        </w:rPr>
      </w:pPr>
      <w:r w:rsidRPr="00EE5690">
        <w:rPr>
          <w:rFonts w:cs="Arial"/>
          <w:noProof/>
        </w:rPr>
        <w:t xml:space="preserve">Costa, H., de Rigo, D., Libertà, G., Houston Durrant, T., &amp; San-Miguel-Ayanz, J. (2020). </w:t>
      </w:r>
      <w:r w:rsidRPr="00EE5690">
        <w:rPr>
          <w:rFonts w:cs="Arial"/>
          <w:i/>
          <w:iCs/>
          <w:noProof/>
        </w:rPr>
        <w:t>European wildfire danger and vulnerability in a changing climate: towards integrating risk dimensions</w:t>
      </w:r>
      <w:r w:rsidRPr="00EE5690">
        <w:rPr>
          <w:rFonts w:cs="Arial"/>
          <w:noProof/>
        </w:rPr>
        <w:t>. https://doi.org/10.2760/46951</w:t>
      </w:r>
    </w:p>
    <w:p w14:paraId="3A76F2A8" w14:textId="77777777" w:rsidR="00147A13" w:rsidRPr="00EE5690" w:rsidRDefault="00147A13" w:rsidP="00EE5690">
      <w:pPr>
        <w:pStyle w:val="Bibliography"/>
        <w:jc w:val="left"/>
        <w:rPr>
          <w:rFonts w:cs="Arial"/>
          <w:noProof/>
        </w:rPr>
      </w:pPr>
      <w:r w:rsidRPr="00EE5690">
        <w:rPr>
          <w:rFonts w:cs="Arial"/>
          <w:noProof/>
        </w:rPr>
        <w:t xml:space="preserve">Currie, R. R., Seaton, S., &amp; Wesley, F. (2009). Determining stakeholders for feasibility analysis. </w:t>
      </w:r>
      <w:r w:rsidRPr="00EE5690">
        <w:rPr>
          <w:rFonts w:cs="Arial"/>
          <w:i/>
          <w:iCs/>
          <w:noProof/>
        </w:rPr>
        <w:t>Annals of Tourism Research</w:t>
      </w:r>
      <w:r w:rsidRPr="00EE5690">
        <w:rPr>
          <w:rFonts w:cs="Arial"/>
          <w:noProof/>
        </w:rPr>
        <w:t xml:space="preserve">, </w:t>
      </w:r>
      <w:r w:rsidRPr="00EE5690">
        <w:rPr>
          <w:rFonts w:cs="Arial"/>
          <w:i/>
          <w:iCs/>
          <w:noProof/>
        </w:rPr>
        <w:t>36</w:t>
      </w:r>
      <w:r w:rsidRPr="00EE5690">
        <w:rPr>
          <w:rFonts w:cs="Arial"/>
          <w:noProof/>
        </w:rPr>
        <w:t>(1), 41–63. https://doi.org/10.1016/j.annals.2008.10.002</w:t>
      </w:r>
    </w:p>
    <w:p w14:paraId="0047E184" w14:textId="77777777" w:rsidR="00147A13" w:rsidRPr="00EE5690" w:rsidRDefault="00147A13" w:rsidP="00EE5690">
      <w:pPr>
        <w:pStyle w:val="Bibliography"/>
        <w:jc w:val="left"/>
        <w:rPr>
          <w:rFonts w:cs="Arial"/>
          <w:noProof/>
        </w:rPr>
      </w:pPr>
      <w:r w:rsidRPr="00EE5690">
        <w:rPr>
          <w:rFonts w:cs="Arial"/>
          <w:noProof/>
        </w:rPr>
        <w:t xml:space="preserve">Di Fulvio, F., Forsell, N., Lindroos, O., Korosuo, A., &amp; Gusti, M. (2016). Spatially explicit assessment of roundwood and logging residues availability and costs for the EU28. </w:t>
      </w:r>
      <w:r w:rsidRPr="00EE5690">
        <w:rPr>
          <w:rFonts w:cs="Arial"/>
          <w:i/>
          <w:iCs/>
          <w:noProof/>
        </w:rPr>
        <w:t>Scandinavian Journal of Forest Research</w:t>
      </w:r>
      <w:r w:rsidRPr="00EE5690">
        <w:rPr>
          <w:rFonts w:cs="Arial"/>
          <w:noProof/>
        </w:rPr>
        <w:t xml:space="preserve">, </w:t>
      </w:r>
      <w:r w:rsidRPr="00EE5690">
        <w:rPr>
          <w:rFonts w:cs="Arial"/>
          <w:i/>
          <w:iCs/>
          <w:noProof/>
        </w:rPr>
        <w:t>31</w:t>
      </w:r>
      <w:r w:rsidRPr="00EE5690">
        <w:rPr>
          <w:rFonts w:cs="Arial"/>
          <w:noProof/>
        </w:rPr>
        <w:t>(7), 691–707. https://doi.org/10.1080/02827581.2016.1221128</w:t>
      </w:r>
    </w:p>
    <w:p w14:paraId="60A32732" w14:textId="77777777" w:rsidR="00147A13" w:rsidRPr="00EE5690" w:rsidRDefault="00147A13" w:rsidP="00EE5690">
      <w:pPr>
        <w:pStyle w:val="Bibliography"/>
        <w:jc w:val="left"/>
        <w:rPr>
          <w:rFonts w:cs="Arial"/>
          <w:noProof/>
        </w:rPr>
      </w:pPr>
      <w:r w:rsidRPr="00EE5690">
        <w:rPr>
          <w:rFonts w:cs="Arial"/>
          <w:noProof/>
        </w:rPr>
        <w:lastRenderedPageBreak/>
        <w:t xml:space="preserve">Dixon, R. K., Andrasko, K. J., Sussman, F. G., Lavinson, M. A., Trexler, M. C., &amp; Vinson, T. S. (1993). Forest Sector Carbon Offset Projects: Near-Term Opportunities to Mitigate Greenhouse Gas Emissions. </w:t>
      </w:r>
      <w:r w:rsidRPr="00EE5690">
        <w:rPr>
          <w:rFonts w:cs="Arial"/>
          <w:i/>
          <w:iCs/>
          <w:noProof/>
        </w:rPr>
        <w:t>Water, Air and Soil Pollution</w:t>
      </w:r>
      <w:r w:rsidRPr="00EE5690">
        <w:rPr>
          <w:rFonts w:cs="Arial"/>
          <w:noProof/>
        </w:rPr>
        <w:t xml:space="preserve">, </w:t>
      </w:r>
      <w:r w:rsidRPr="00EE5690">
        <w:rPr>
          <w:rFonts w:cs="Arial"/>
          <w:i/>
          <w:iCs/>
          <w:noProof/>
        </w:rPr>
        <w:t>70</w:t>
      </w:r>
      <w:r w:rsidRPr="00EE5690">
        <w:rPr>
          <w:rFonts w:cs="Arial"/>
          <w:noProof/>
        </w:rPr>
        <w:t>, 561–577.</w:t>
      </w:r>
    </w:p>
    <w:p w14:paraId="6E238360" w14:textId="2C4E5A2D" w:rsidR="00147A13" w:rsidRDefault="00147A13" w:rsidP="00A01330">
      <w:pPr>
        <w:pStyle w:val="Bibliography1"/>
        <w:numPr>
          <w:ilvl w:val="0"/>
          <w:numId w:val="4"/>
        </w:numPr>
        <w:ind w:left="0" w:firstLine="0"/>
        <w:jc w:val="left"/>
        <w:rPr>
          <w:rFonts w:cs="Arial"/>
        </w:rPr>
      </w:pPr>
      <w:r w:rsidRPr="00EE5690">
        <w:rPr>
          <w:rFonts w:cs="Arial"/>
          <w:lang w:val="es-ES"/>
        </w:rPr>
        <w:t xml:space="preserve">Duran, C.D., </w:t>
      </w:r>
      <w:proofErr w:type="spellStart"/>
      <w:r w:rsidRPr="00EE5690">
        <w:rPr>
          <w:rFonts w:cs="Arial"/>
          <w:lang w:val="es-ES"/>
        </w:rPr>
        <w:t>Gogan</w:t>
      </w:r>
      <w:proofErr w:type="spellEnd"/>
      <w:r w:rsidRPr="00EE5690">
        <w:rPr>
          <w:rFonts w:cs="Arial"/>
          <w:lang w:val="es-ES"/>
        </w:rPr>
        <w:t xml:space="preserve">, L.M., </w:t>
      </w:r>
      <w:proofErr w:type="spellStart"/>
      <w:r w:rsidRPr="00EE5690">
        <w:rPr>
          <w:rFonts w:cs="Arial"/>
          <w:lang w:val="es-ES"/>
        </w:rPr>
        <w:t>Artene</w:t>
      </w:r>
      <w:proofErr w:type="spellEnd"/>
      <w:r w:rsidRPr="00EE5690">
        <w:rPr>
          <w:rFonts w:cs="Arial"/>
          <w:lang w:val="es-ES"/>
        </w:rPr>
        <w:t xml:space="preserve">, A. &amp; Duran, V. (2015). </w:t>
      </w:r>
      <w:r w:rsidRPr="00EE5690">
        <w:rPr>
          <w:rFonts w:cs="Arial"/>
        </w:rPr>
        <w:t>The components of sustainable development - a possible approach. Procedia Economics and Finance, 26, 806-811.</w:t>
      </w:r>
    </w:p>
    <w:p w14:paraId="1DB3D369" w14:textId="0651F21B" w:rsidR="00E33343" w:rsidRPr="00DB35D4" w:rsidRDefault="00E33343" w:rsidP="00E33343">
      <w:pPr>
        <w:pStyle w:val="Bibliography"/>
        <w:jc w:val="left"/>
        <w:rPr>
          <w:noProof/>
        </w:rPr>
      </w:pPr>
      <w:r w:rsidRPr="00DB35D4">
        <w:rPr>
          <w:noProof/>
        </w:rPr>
        <w:t xml:space="preserve">Ecosystem Marketplace. (2010, June 14). Forest Trends. Retrieved from Forest Trends: </w:t>
      </w:r>
      <w:hyperlink r:id="rId351" w:history="1">
        <w:r w:rsidRPr="00DB35D4">
          <w:rPr>
            <w:rStyle w:val="Hyperlink"/>
            <w:rFonts w:cs="Arial"/>
            <w:noProof/>
            <w:lang w:val="en-US"/>
          </w:rPr>
          <w:t>https://www.forest-trends.org/wp-content/uploads/imported/final_report_2010_9-1-10_no-crop-pdf.pdf</w:t>
        </w:r>
      </w:hyperlink>
    </w:p>
    <w:p w14:paraId="16C227B5" w14:textId="77777777" w:rsidR="00E33343" w:rsidRPr="00DB35D4" w:rsidRDefault="00E33343" w:rsidP="00E33343">
      <w:pPr>
        <w:pStyle w:val="Bibliography"/>
        <w:jc w:val="left"/>
        <w:rPr>
          <w:noProof/>
        </w:rPr>
      </w:pPr>
      <w:r w:rsidRPr="00DB35D4">
        <w:rPr>
          <w:noProof/>
        </w:rPr>
        <w:t>Ecosystem Marketplace. (2021, November 26). Forest Trends. Retrieved from Forest Trend, Former U.S. Vice-President Al Gore: https://www.ecosystemmarketplace.com/publications/voluntary-carbon-markets/</w:t>
      </w:r>
    </w:p>
    <w:p w14:paraId="317A05F3" w14:textId="77777777" w:rsidR="00E33343" w:rsidRPr="00DB35D4" w:rsidRDefault="00E33343" w:rsidP="00E33343">
      <w:pPr>
        <w:pStyle w:val="Bibliography"/>
        <w:jc w:val="left"/>
        <w:rPr>
          <w:noProof/>
        </w:rPr>
      </w:pPr>
      <w:r w:rsidRPr="00DB35D4">
        <w:rPr>
          <w:noProof/>
        </w:rPr>
        <w:t>Ecosystem Marketplace. (n.d.). CORSIA and the Voluntary Carbon Markets. Retrieved Sepember 4, 2019, from https://www.forest-trends.org/wp-content/uploads/2018/10/CORSIA_infographic.pdf</w:t>
      </w:r>
    </w:p>
    <w:p w14:paraId="472FA5EE" w14:textId="77777777" w:rsidR="00E33343" w:rsidRPr="00DB35D4" w:rsidRDefault="00E33343" w:rsidP="00E33343">
      <w:pPr>
        <w:pStyle w:val="Bibliography"/>
      </w:pPr>
      <w:r w:rsidRPr="00DB35D4">
        <w:rPr>
          <w:noProof/>
        </w:rPr>
        <w:t>ENDS Carbon Offset. (2019, September 11). Retrieved from The ENDS Carbon Offset Providers Directory</w:t>
      </w:r>
    </w:p>
    <w:p w14:paraId="09FD7D05" w14:textId="77777777" w:rsidR="00E33343" w:rsidRPr="00DB35D4" w:rsidRDefault="00E33343" w:rsidP="00E33343">
      <w:pPr>
        <w:pStyle w:val="Bibliography"/>
      </w:pPr>
      <w:r w:rsidRPr="00DB35D4">
        <w:t xml:space="preserve">Environmental </w:t>
      </w:r>
      <w:proofErr w:type="spellStart"/>
      <w:r w:rsidRPr="00DB35D4">
        <w:t>Defense</w:t>
      </w:r>
      <w:proofErr w:type="spellEnd"/>
      <w:r w:rsidRPr="00DB35D4">
        <w:t xml:space="preserve"> Fund (2021). Mobilizing Voluntary Carbon Markets to Drive Climate Action Trends in the Voluntary Carbon Markets: Where We Are and What’s Next. </w:t>
      </w:r>
    </w:p>
    <w:p w14:paraId="5CB1EF53" w14:textId="77777777" w:rsidR="00E33343" w:rsidRPr="00DB35D4" w:rsidRDefault="00E33343" w:rsidP="00E33343">
      <w:pPr>
        <w:pStyle w:val="Bibliography"/>
        <w:rPr>
          <w:noProof/>
        </w:rPr>
      </w:pPr>
      <w:r w:rsidRPr="00DB35D4">
        <w:rPr>
          <w:noProof/>
        </w:rPr>
        <w:t>European Aviation Safety Agency. (2019, September 4). Retrieved from European Aviation Safety Agency: https://www.easa.europa.eu/eaer/topics/market-based-measures/corsia</w:t>
      </w:r>
    </w:p>
    <w:p w14:paraId="31371A12" w14:textId="77777777" w:rsidR="00E33343" w:rsidRPr="00DB35D4" w:rsidRDefault="00E33343" w:rsidP="00E33343">
      <w:pPr>
        <w:pStyle w:val="Bibliography"/>
        <w:rPr>
          <w:noProof/>
        </w:rPr>
      </w:pPr>
      <w:r w:rsidRPr="00DB35D4">
        <w:rPr>
          <w:noProof/>
        </w:rPr>
        <w:t>European Parliament and the Council of the European Union. (2013). Decision No 529/2013/EU of the European Parliament and of the Council. Decision No 529/2013/EU of the European Parliament and of the Council of May 21 2013 (p. 18). Brussels: European Union.</w:t>
      </w:r>
    </w:p>
    <w:p w14:paraId="29EFF2FE" w14:textId="77777777" w:rsidR="00E33343" w:rsidRPr="00DB35D4" w:rsidRDefault="00E33343" w:rsidP="00E33343">
      <w:pPr>
        <w:pStyle w:val="Bibliography"/>
        <w:rPr>
          <w:noProof/>
        </w:rPr>
      </w:pPr>
      <w:r w:rsidRPr="00DB35D4">
        <w:rPr>
          <w:noProof/>
        </w:rPr>
        <w:t>European Union. (2013, 8 12). Elements of the Union greenhouse gas inventory system and the Quality Assurance and Control (QA/QC) programme. Brussels, Belgium.</w:t>
      </w:r>
    </w:p>
    <w:p w14:paraId="7549B491" w14:textId="77777777" w:rsidR="00E33343" w:rsidRPr="00DB35D4" w:rsidRDefault="00E33343" w:rsidP="00E33343">
      <w:pPr>
        <w:pStyle w:val="Bibliography"/>
        <w:rPr>
          <w:noProof/>
        </w:rPr>
      </w:pPr>
      <w:r w:rsidRPr="00DB35D4">
        <w:rPr>
          <w:noProof/>
        </w:rPr>
        <w:t>European Union. (2015). EU ETS Handbook. European Union.</w:t>
      </w:r>
    </w:p>
    <w:p w14:paraId="27A104A8" w14:textId="77777777" w:rsidR="00E33343" w:rsidRPr="00DB35D4" w:rsidRDefault="00E33343" w:rsidP="00E33343">
      <w:pPr>
        <w:pStyle w:val="Bibliography"/>
        <w:rPr>
          <w:noProof/>
        </w:rPr>
      </w:pPr>
      <w:r w:rsidRPr="00DB35D4">
        <w:rPr>
          <w:noProof/>
        </w:rPr>
        <w:t>European Union. (2019, September 3). Effort Sharing Decision. Retrieved from https://ec.europa.eu/: https://ec.europa.eu/clima/policies/effort_el#tab-0-0</w:t>
      </w:r>
    </w:p>
    <w:p w14:paraId="54E62F5D" w14:textId="0876B6E7" w:rsidR="00E33343" w:rsidRPr="00E33343" w:rsidRDefault="00E33343" w:rsidP="00E33343">
      <w:pPr>
        <w:pStyle w:val="Bibliography"/>
        <w:rPr>
          <w:noProof/>
        </w:rPr>
      </w:pPr>
      <w:r w:rsidRPr="00DB35D4">
        <w:rPr>
          <w:noProof/>
        </w:rPr>
        <w:lastRenderedPageBreak/>
        <w:t>Eurpean Union. (2018, December 17). Report on the functioning of the European carbon market. Retrieved from https://ec.europa.eu/: https://ec.europa.eu/clima/sites/clima/files/ets/docs/com_2018_842_final_en.pdf</w:t>
      </w:r>
    </w:p>
    <w:p w14:paraId="6373FCC6" w14:textId="77777777" w:rsidR="00147A13" w:rsidRPr="00EE5690" w:rsidRDefault="00147A13" w:rsidP="00EE5690">
      <w:pPr>
        <w:pStyle w:val="Bibliography"/>
        <w:jc w:val="left"/>
        <w:rPr>
          <w:rFonts w:cs="Arial"/>
          <w:noProof/>
        </w:rPr>
      </w:pPr>
      <w:r w:rsidRPr="00EE5690">
        <w:rPr>
          <w:rFonts w:cs="Arial"/>
          <w:noProof/>
        </w:rPr>
        <w:t>European Comission. (2019). ANNEX I Actions to be implemented by the European Comission.</w:t>
      </w:r>
    </w:p>
    <w:p w14:paraId="73B51E5B" w14:textId="77777777" w:rsidR="00147A13" w:rsidRPr="00EE5690" w:rsidRDefault="00147A13" w:rsidP="00EE5690">
      <w:pPr>
        <w:pStyle w:val="Bibliography"/>
        <w:jc w:val="left"/>
        <w:rPr>
          <w:rFonts w:cs="Arial"/>
          <w:noProof/>
        </w:rPr>
      </w:pPr>
      <w:r w:rsidRPr="00EE5690">
        <w:rPr>
          <w:rFonts w:cs="Arial"/>
          <w:noProof/>
        </w:rPr>
        <w:t>European Commission. (2013a). A new EU Forest Strategy: for forests and the forest-based sector. Communication from the Commission to the Council, the European Parliament, the European Economic and Social Committee and the Committee of the Regions, SWD(2013) 342 final, 17. https://www.eea.europa.eu/policy-documents/the-eu-forest-strategy-com</w:t>
      </w:r>
    </w:p>
    <w:p w14:paraId="065A6E84" w14:textId="77777777" w:rsidR="00147A13" w:rsidRPr="00EE5690" w:rsidRDefault="00147A13" w:rsidP="00EE5690">
      <w:pPr>
        <w:pStyle w:val="Bibliography"/>
        <w:jc w:val="left"/>
        <w:rPr>
          <w:rFonts w:cs="Arial"/>
          <w:noProof/>
        </w:rPr>
      </w:pPr>
      <w:r w:rsidRPr="00EE5690">
        <w:rPr>
          <w:rFonts w:cs="Arial"/>
          <w:noProof/>
        </w:rPr>
        <w:t xml:space="preserve">European Commission. (2013b). Forest Management Plans or equivalent instruments. </w:t>
      </w:r>
      <w:r w:rsidRPr="00EE5690">
        <w:rPr>
          <w:rFonts w:cs="Arial"/>
          <w:i/>
          <w:iCs/>
          <w:noProof/>
        </w:rPr>
        <w:t>Agriculture, Forests and Soil Forest</w:t>
      </w:r>
      <w:r w:rsidRPr="00EE5690">
        <w:rPr>
          <w:rFonts w:cs="Arial"/>
          <w:noProof/>
        </w:rPr>
        <w:t xml:space="preserve">, </w:t>
      </w:r>
      <w:r w:rsidRPr="00EE5690">
        <w:rPr>
          <w:rFonts w:cs="Arial"/>
          <w:i/>
          <w:iCs/>
          <w:noProof/>
        </w:rPr>
        <w:t>1</w:t>
      </w:r>
      <w:r w:rsidRPr="00EE5690">
        <w:rPr>
          <w:rFonts w:cs="Arial"/>
          <w:noProof/>
        </w:rPr>
        <w:t>(June).</w:t>
      </w:r>
    </w:p>
    <w:p w14:paraId="564E6F54" w14:textId="459D1B47" w:rsidR="00147A13" w:rsidRPr="00EE5690" w:rsidRDefault="00147A13" w:rsidP="00EE5690">
      <w:pPr>
        <w:pStyle w:val="Bibliography"/>
        <w:jc w:val="left"/>
        <w:rPr>
          <w:rFonts w:cs="Arial"/>
          <w:noProof/>
        </w:rPr>
      </w:pPr>
      <w:r w:rsidRPr="00EE5690">
        <w:rPr>
          <w:rFonts w:cs="Arial"/>
          <w:noProof/>
        </w:rPr>
        <w:t>European Commission. (2019</w:t>
      </w:r>
      <w:r w:rsidR="004201DA" w:rsidRPr="00EE5690">
        <w:rPr>
          <w:rFonts w:cs="Arial"/>
          <w:noProof/>
        </w:rPr>
        <w:t xml:space="preserve">). Report From The Commission To The European Parliament And The Council </w:t>
      </w:r>
      <w:r w:rsidRPr="00EE5690">
        <w:rPr>
          <w:rFonts w:cs="Arial"/>
          <w:noProof/>
        </w:rPr>
        <w:t xml:space="preserve">on the implementation of the Water Framework Directive (2000/60/EC) and the Floods Directive (2007/60/EC) Second River Basin Management Plans First Flood Risk Management Plans. </w:t>
      </w:r>
      <w:r w:rsidRPr="00EE5690">
        <w:rPr>
          <w:rFonts w:cs="Arial"/>
          <w:i/>
          <w:iCs/>
          <w:noProof/>
        </w:rPr>
        <w:t>SWD(2019) 51 Final</w:t>
      </w:r>
      <w:r w:rsidRPr="00EE5690">
        <w:rPr>
          <w:rFonts w:cs="Arial"/>
          <w:noProof/>
        </w:rPr>
        <w:t>.</w:t>
      </w:r>
    </w:p>
    <w:p w14:paraId="1A11DE42" w14:textId="77777777" w:rsidR="00147A13" w:rsidRPr="00EE5690" w:rsidRDefault="00147A13" w:rsidP="00EE5690">
      <w:pPr>
        <w:pStyle w:val="Bibliography"/>
        <w:jc w:val="left"/>
        <w:rPr>
          <w:rFonts w:cs="Arial"/>
          <w:noProof/>
        </w:rPr>
      </w:pPr>
      <w:r w:rsidRPr="00EE5690">
        <w:rPr>
          <w:rFonts w:cs="Arial"/>
          <w:noProof/>
        </w:rPr>
        <w:t xml:space="preserve">European Commission. (2020). Communication from the Commission to the European Parliament, the Council, the European Economics and Social Committee and the Committee of the Regions: A new Circular Economy Action Plan For a cleaner and more competitive Europe. </w:t>
      </w:r>
      <w:r w:rsidRPr="00EE5690">
        <w:rPr>
          <w:rFonts w:cs="Arial"/>
          <w:i/>
          <w:iCs/>
          <w:noProof/>
        </w:rPr>
        <w:t>European Commission</w:t>
      </w:r>
      <w:r w:rsidRPr="00EE5690">
        <w:rPr>
          <w:rFonts w:cs="Arial"/>
          <w:noProof/>
        </w:rPr>
        <w:t xml:space="preserve">, </w:t>
      </w:r>
      <w:r w:rsidRPr="00EE5690">
        <w:rPr>
          <w:rFonts w:cs="Arial"/>
          <w:i/>
          <w:iCs/>
          <w:noProof/>
        </w:rPr>
        <w:t>98 final</w:t>
      </w:r>
      <w:r w:rsidRPr="00EE5690">
        <w:rPr>
          <w:rFonts w:cs="Arial"/>
          <w:noProof/>
        </w:rPr>
        <w:t>, 1–20. https://doi.org/10.7312/columbia/9780231167352.003.0015</w:t>
      </w:r>
    </w:p>
    <w:p w14:paraId="3A883D4E" w14:textId="77777777" w:rsidR="00147A13" w:rsidRPr="00EE5690" w:rsidRDefault="00147A13" w:rsidP="00EE5690">
      <w:pPr>
        <w:pStyle w:val="Bibliography"/>
        <w:jc w:val="left"/>
        <w:rPr>
          <w:rFonts w:cs="Arial"/>
          <w:noProof/>
        </w:rPr>
      </w:pPr>
      <w:r w:rsidRPr="00EE5690">
        <w:rPr>
          <w:rFonts w:cs="Arial"/>
          <w:noProof/>
        </w:rPr>
        <w:t xml:space="preserve">European Commission. (2021a). New EU Forest Strategy for 2030. </w:t>
      </w:r>
      <w:r w:rsidRPr="00EE5690">
        <w:rPr>
          <w:rFonts w:cs="Arial"/>
          <w:i/>
          <w:iCs/>
          <w:noProof/>
        </w:rPr>
        <w:t>European Commission</w:t>
      </w:r>
      <w:r w:rsidRPr="00EE5690">
        <w:rPr>
          <w:rFonts w:cs="Arial"/>
          <w:noProof/>
        </w:rPr>
        <w:t>, 5–24.</w:t>
      </w:r>
    </w:p>
    <w:p w14:paraId="17A49D13" w14:textId="77777777" w:rsidR="00147A13" w:rsidRPr="00EE5690" w:rsidRDefault="00147A13" w:rsidP="00EE5690">
      <w:pPr>
        <w:pStyle w:val="Bibliography"/>
        <w:jc w:val="left"/>
        <w:rPr>
          <w:rFonts w:cs="Arial"/>
          <w:noProof/>
        </w:rPr>
      </w:pPr>
      <w:r w:rsidRPr="00EE5690">
        <w:rPr>
          <w:rFonts w:cs="Arial"/>
          <w:noProof/>
        </w:rPr>
        <w:t xml:space="preserve">European Commission. (2021b). </w:t>
      </w:r>
      <w:r w:rsidRPr="00EE5690">
        <w:rPr>
          <w:rFonts w:cs="Arial"/>
          <w:i/>
          <w:iCs/>
          <w:noProof/>
        </w:rPr>
        <w:t>New EU Forest Strategy for 2030</w:t>
      </w:r>
      <w:r w:rsidRPr="00EE5690">
        <w:rPr>
          <w:rFonts w:cs="Arial"/>
          <w:noProof/>
        </w:rPr>
        <w:t xml:space="preserve"> (Vol. 572).</w:t>
      </w:r>
    </w:p>
    <w:p w14:paraId="212A9D2C" w14:textId="77777777" w:rsidR="00147A13" w:rsidRPr="00EE5690" w:rsidRDefault="00147A13" w:rsidP="00EE5690">
      <w:pPr>
        <w:pStyle w:val="Bibliography"/>
        <w:jc w:val="left"/>
        <w:rPr>
          <w:rFonts w:cs="Arial"/>
          <w:noProof/>
        </w:rPr>
      </w:pPr>
      <w:r w:rsidRPr="00EE5690">
        <w:rPr>
          <w:rFonts w:cs="Arial"/>
          <w:noProof/>
        </w:rPr>
        <w:t xml:space="preserve">European Commission. (2021c). Proposal for a Regulation of the European Parliament and of the Council amending Regulation 2018/841 on the inclusion of greenhouse gas emissions and removals from land use, land use change and forestry in the 2030 climate and energy framework, and amendi. </w:t>
      </w:r>
      <w:r w:rsidRPr="00EE5690">
        <w:rPr>
          <w:rFonts w:cs="Arial"/>
          <w:i/>
          <w:iCs/>
          <w:noProof/>
        </w:rPr>
        <w:t>European Commission</w:t>
      </w:r>
      <w:r w:rsidRPr="00EE5690">
        <w:rPr>
          <w:rFonts w:cs="Arial"/>
          <w:noProof/>
        </w:rPr>
        <w:t xml:space="preserve">, </w:t>
      </w:r>
      <w:r w:rsidRPr="00EE5690">
        <w:rPr>
          <w:rFonts w:cs="Arial"/>
          <w:i/>
          <w:iCs/>
          <w:noProof/>
        </w:rPr>
        <w:t>554</w:t>
      </w:r>
      <w:r w:rsidRPr="00EE5690">
        <w:rPr>
          <w:rFonts w:cs="Arial"/>
          <w:noProof/>
        </w:rPr>
        <w:t>.</w:t>
      </w:r>
    </w:p>
    <w:p w14:paraId="7ADC6E75" w14:textId="77777777" w:rsidR="00147A13" w:rsidRPr="00EE5690" w:rsidRDefault="00147A13" w:rsidP="00EE5690">
      <w:pPr>
        <w:pStyle w:val="Bibliography"/>
        <w:jc w:val="left"/>
        <w:rPr>
          <w:rFonts w:cs="Arial"/>
          <w:noProof/>
        </w:rPr>
      </w:pPr>
      <w:r w:rsidRPr="00EE5690">
        <w:rPr>
          <w:rFonts w:cs="Arial"/>
          <w:noProof/>
        </w:rPr>
        <w:t xml:space="preserve">European Commission. (2021d). The 3 Billion Tree Planting Pledge For 2030. In </w:t>
      </w:r>
      <w:r w:rsidRPr="00EE5690">
        <w:rPr>
          <w:rFonts w:cs="Arial"/>
          <w:i/>
          <w:iCs/>
          <w:noProof/>
        </w:rPr>
        <w:t>Brussels</w:t>
      </w:r>
      <w:r w:rsidRPr="00EE5690">
        <w:rPr>
          <w:rFonts w:cs="Arial"/>
          <w:noProof/>
        </w:rPr>
        <w:t>.</w:t>
      </w:r>
    </w:p>
    <w:p w14:paraId="758677A9" w14:textId="77777777" w:rsidR="00147A13" w:rsidRPr="00EE5690" w:rsidRDefault="00147A13" w:rsidP="00EE5690">
      <w:pPr>
        <w:pStyle w:val="Bibliography"/>
        <w:jc w:val="left"/>
        <w:rPr>
          <w:rFonts w:cs="Arial"/>
          <w:noProof/>
        </w:rPr>
      </w:pPr>
      <w:r w:rsidRPr="00EE5690">
        <w:rPr>
          <w:rFonts w:cs="Arial"/>
          <w:noProof/>
        </w:rPr>
        <w:t>European Economic Interest Grouping. (2018). Evaluation study of the forestry measures under Rural Development (Issue September).</w:t>
      </w:r>
    </w:p>
    <w:p w14:paraId="42A983A8" w14:textId="10C1A385" w:rsidR="00147A13" w:rsidRPr="00EE5690" w:rsidRDefault="00147A13" w:rsidP="00EE5690">
      <w:pPr>
        <w:pStyle w:val="Bibliography"/>
        <w:jc w:val="left"/>
        <w:rPr>
          <w:rFonts w:cs="Arial"/>
        </w:rPr>
      </w:pPr>
      <w:r w:rsidRPr="00EE5690">
        <w:rPr>
          <w:rFonts w:cs="Arial"/>
        </w:rPr>
        <w:lastRenderedPageBreak/>
        <w:t xml:space="preserve">FOREST EUROPE 7th Ministerial Conference Madrid 20-21 October 2015 Expert Level Meeting 30 June – 2 July 2015, Madrid, Spain. </w:t>
      </w:r>
      <w:hyperlink r:id="rId352" w:anchor="page=5" w:history="1">
        <w:r w:rsidRPr="00EE5690">
          <w:rPr>
            <w:rStyle w:val="Hyperlink"/>
            <w:rFonts w:cs="Arial"/>
          </w:rPr>
          <w:t>https://foresteurope.org/wp-content/uploads/2016/11/III.-ELM_7MC_2_2015_MinisterialDeclaration_adopted-2.pdf#page=5</w:t>
        </w:r>
      </w:hyperlink>
      <w:r w:rsidRPr="00EE5690">
        <w:rPr>
          <w:rFonts w:cs="Arial"/>
        </w:rPr>
        <w:t xml:space="preserve"> </w:t>
      </w:r>
    </w:p>
    <w:p w14:paraId="7C2CA835" w14:textId="6FAAD126" w:rsidR="00147A13" w:rsidRPr="00EE5690" w:rsidRDefault="00147A13" w:rsidP="00A01330">
      <w:pPr>
        <w:pStyle w:val="Bibliography1"/>
        <w:numPr>
          <w:ilvl w:val="0"/>
          <w:numId w:val="4"/>
        </w:numPr>
        <w:ind w:left="0" w:firstLine="0"/>
        <w:jc w:val="left"/>
        <w:rPr>
          <w:rFonts w:cs="Arial"/>
        </w:rPr>
      </w:pPr>
      <w:r w:rsidRPr="00EE5690">
        <w:rPr>
          <w:rFonts w:cs="Arial"/>
        </w:rPr>
        <w:t>FOREST EUROPE, 2015: State of Europe’s Forests 2015 (</w:t>
      </w:r>
      <w:hyperlink r:id="rId353" w:history="1">
        <w:r w:rsidRPr="00EE5690">
          <w:rPr>
            <w:rStyle w:val="Hyperlink"/>
            <w:rFonts w:cs="Arial"/>
          </w:rPr>
          <w:t>https://www.foresteurope.org/docs/fullsoef2015.pdf</w:t>
        </w:r>
      </w:hyperlink>
      <w:r w:rsidRPr="00EE5690">
        <w:rPr>
          <w:rFonts w:cs="Arial"/>
        </w:rPr>
        <w:t xml:space="preserve">) </w:t>
      </w:r>
    </w:p>
    <w:p w14:paraId="583DF3D6" w14:textId="77777777" w:rsidR="00147A13" w:rsidRPr="00EE5690" w:rsidRDefault="00147A13" w:rsidP="00EE5690">
      <w:pPr>
        <w:pStyle w:val="Bibliography"/>
        <w:jc w:val="left"/>
        <w:rPr>
          <w:rFonts w:cs="Arial"/>
        </w:rPr>
      </w:pPr>
      <w:r w:rsidRPr="00EE5690">
        <w:rPr>
          <w:rFonts w:cs="Arial"/>
        </w:rPr>
        <w:t xml:space="preserve">FOREST EUROPE, Liaison Unit Bratislava, 2019: Human Health and Sustainable Forest Management by, </w:t>
      </w:r>
      <w:proofErr w:type="spellStart"/>
      <w:r w:rsidRPr="00EE5690">
        <w:rPr>
          <w:rFonts w:cs="Arial"/>
        </w:rPr>
        <w:t>Marušáková</w:t>
      </w:r>
      <w:proofErr w:type="spellEnd"/>
      <w:r w:rsidRPr="00EE5690">
        <w:rPr>
          <w:rFonts w:cs="Arial"/>
        </w:rPr>
        <w:t xml:space="preserve"> Ľ. and </w:t>
      </w:r>
      <w:proofErr w:type="spellStart"/>
      <w:r w:rsidRPr="00EE5690">
        <w:rPr>
          <w:rFonts w:cs="Arial"/>
        </w:rPr>
        <w:t>Sallmannshoferet</w:t>
      </w:r>
      <w:proofErr w:type="spellEnd"/>
      <w:r w:rsidRPr="00EE5690">
        <w:rPr>
          <w:rFonts w:cs="Arial"/>
        </w:rPr>
        <w:t xml:space="preserve"> M., et al. FOREST EUROPE Study. ISBN 978 - 80 - 8093 - 266 – 4.</w:t>
      </w:r>
    </w:p>
    <w:p w14:paraId="5BC038E0" w14:textId="0B8E2ABA" w:rsidR="00147A13" w:rsidRDefault="00147A13" w:rsidP="00A01330">
      <w:pPr>
        <w:pStyle w:val="Bibliography1"/>
        <w:numPr>
          <w:ilvl w:val="0"/>
          <w:numId w:val="4"/>
        </w:numPr>
        <w:ind w:left="0" w:firstLine="0"/>
        <w:jc w:val="left"/>
        <w:rPr>
          <w:rFonts w:cs="Arial"/>
        </w:rPr>
      </w:pPr>
      <w:r w:rsidRPr="00EE5690">
        <w:rPr>
          <w:rFonts w:cs="Arial"/>
        </w:rPr>
        <w:t>Forest Europe, Resolution H1, 1993. Available at: www.foresteurope.org/docs/MC/MC_helsinki_resolutionH1.pdf (last accessed on 25.11.2019).</w:t>
      </w:r>
    </w:p>
    <w:p w14:paraId="5D6431D7" w14:textId="77777777" w:rsidR="00E33343" w:rsidRPr="00DB35D4" w:rsidRDefault="00E33343" w:rsidP="00E33343">
      <w:pPr>
        <w:pStyle w:val="Bibliography"/>
        <w:jc w:val="left"/>
        <w:rPr>
          <w:noProof/>
        </w:rPr>
      </w:pPr>
      <w:r w:rsidRPr="00DB35D4">
        <w:rPr>
          <w:noProof/>
        </w:rPr>
        <w:t>German Emissions Trading Authority (DEHSt) at the German Environment Agency. (2018). Future of the Voluntary Carbon Markets in the Light of the Paris Agreement, Perspectives for Soil Carbon Projects. Berlin.</w:t>
      </w:r>
    </w:p>
    <w:p w14:paraId="67D8E024" w14:textId="77777777" w:rsidR="00E33343" w:rsidRPr="00DB35D4" w:rsidRDefault="00E33343" w:rsidP="00E33343">
      <w:pPr>
        <w:pStyle w:val="Bibliography"/>
        <w:jc w:val="left"/>
        <w:rPr>
          <w:noProof/>
        </w:rPr>
      </w:pPr>
      <w:r w:rsidRPr="00DB35D4">
        <w:rPr>
          <w:noProof/>
        </w:rPr>
        <w:t>Gold Standard. (2017). Gold Standard Afforestation/Reforestation (A/R) GHG Emissions. Retrieved from Gold Standard: https://docs.google.com/viewerng/viewer?url=https://globalgoals.goldstandard.org/wp-content/uploads/2017/07/401.13-AR-Methodology-V1-1.pdf&amp;hl=en</w:t>
      </w:r>
    </w:p>
    <w:p w14:paraId="061BB985" w14:textId="77777777" w:rsidR="00E33343" w:rsidRPr="00DB35D4" w:rsidRDefault="00E33343" w:rsidP="00E33343">
      <w:pPr>
        <w:pStyle w:val="Bibliography"/>
        <w:jc w:val="left"/>
        <w:rPr>
          <w:noProof/>
        </w:rPr>
      </w:pPr>
      <w:r w:rsidRPr="00DB35D4">
        <w:rPr>
          <w:noProof/>
        </w:rPr>
        <w:t>Gold Standard. (2019, September 9). Gold Standard. Retrieved from www.goldstandard.org</w:t>
      </w:r>
    </w:p>
    <w:p w14:paraId="70A8E121" w14:textId="77777777" w:rsidR="00E33343" w:rsidRPr="00DB35D4" w:rsidRDefault="00E33343" w:rsidP="00E33343">
      <w:pPr>
        <w:pStyle w:val="Bibliography"/>
        <w:jc w:val="left"/>
        <w:rPr>
          <w:noProof/>
        </w:rPr>
      </w:pPr>
      <w:r w:rsidRPr="00DB35D4">
        <w:rPr>
          <w:noProof/>
        </w:rPr>
        <w:t>Gold Standard. (2020). Land Use &amp; Forests Activity Requirements. Gold Standard, 1.2.1(October 2019), 1–44. https://eur03.safelinks.protection.outlook.com/?url=https%3A%2F%2Fglobalgoals.goldstandard.org%2F200-gs4gg-land-use-forests-activity-requirements%2F&amp;data=02%7C01%7Csusan.lecomte%40student.hogent.be%7Ccc6e834ee20440e03fe208d8355547e0%7C5cf7310e091a4bc5acd7</w:t>
      </w:r>
    </w:p>
    <w:p w14:paraId="19D1A993" w14:textId="77777777" w:rsidR="00E33343" w:rsidRPr="00DB35D4" w:rsidRDefault="00E33343" w:rsidP="00E33343">
      <w:pPr>
        <w:pStyle w:val="Bibliography"/>
        <w:jc w:val="left"/>
        <w:rPr>
          <w:noProof/>
        </w:rPr>
      </w:pPr>
      <w:r w:rsidRPr="00DB35D4">
        <w:rPr>
          <w:noProof/>
        </w:rPr>
        <w:t>Greenhouse Gas Protocol. (2019, September 11). Retrieved from Greenhouse Gas Protocol: https://ghgprotocol.org/about-us</w:t>
      </w:r>
    </w:p>
    <w:p w14:paraId="6809DCB0" w14:textId="77777777" w:rsidR="00E33343" w:rsidRPr="00E33343" w:rsidRDefault="00E33343" w:rsidP="00E33343">
      <w:pPr>
        <w:rPr>
          <w:lang w:val="en-GB"/>
        </w:rPr>
      </w:pPr>
    </w:p>
    <w:p w14:paraId="7852C4EF" w14:textId="0726829D" w:rsidR="00147A13" w:rsidRPr="00EE5690" w:rsidRDefault="00147A13" w:rsidP="00A01330">
      <w:pPr>
        <w:pStyle w:val="Bibliography1"/>
        <w:numPr>
          <w:ilvl w:val="0"/>
          <w:numId w:val="4"/>
        </w:numPr>
        <w:ind w:left="0" w:firstLine="0"/>
        <w:jc w:val="left"/>
        <w:rPr>
          <w:rFonts w:cs="Arial"/>
        </w:rPr>
      </w:pPr>
      <w:r w:rsidRPr="00EE5690">
        <w:rPr>
          <w:rFonts w:cs="Arial"/>
        </w:rPr>
        <w:t xml:space="preserve">Grassi, G., </w:t>
      </w:r>
      <w:proofErr w:type="spellStart"/>
      <w:r w:rsidRPr="00EE5690">
        <w:rPr>
          <w:rFonts w:cs="Arial"/>
        </w:rPr>
        <w:t>Cescatti</w:t>
      </w:r>
      <w:proofErr w:type="spellEnd"/>
      <w:r w:rsidRPr="00EE5690">
        <w:rPr>
          <w:rFonts w:cs="Arial"/>
        </w:rPr>
        <w:t xml:space="preserve">, A., Matthews, R., </w:t>
      </w:r>
      <w:proofErr w:type="spellStart"/>
      <w:r w:rsidRPr="00EE5690">
        <w:rPr>
          <w:rFonts w:cs="Arial"/>
        </w:rPr>
        <w:t>Duveiller</w:t>
      </w:r>
      <w:proofErr w:type="spellEnd"/>
      <w:r w:rsidRPr="00EE5690">
        <w:rPr>
          <w:rFonts w:cs="Arial"/>
        </w:rPr>
        <w:t xml:space="preserve">, G., Camia, A., Federici, S., … </w:t>
      </w:r>
      <w:proofErr w:type="spellStart"/>
      <w:r w:rsidRPr="00EE5690">
        <w:rPr>
          <w:rFonts w:cs="Arial"/>
        </w:rPr>
        <w:t>Vizzarri</w:t>
      </w:r>
      <w:proofErr w:type="spellEnd"/>
      <w:r w:rsidRPr="00EE5690">
        <w:rPr>
          <w:rFonts w:cs="Arial"/>
        </w:rPr>
        <w:t xml:space="preserve">, M. (2019). On the realistic contribution of European forests to reach climate </w:t>
      </w:r>
      <w:r w:rsidRPr="00EE5690">
        <w:rPr>
          <w:rFonts w:cs="Arial"/>
        </w:rPr>
        <w:lastRenderedPageBreak/>
        <w:t xml:space="preserve">objectives. Carbon Balance and Management, 14(1), 8. </w:t>
      </w:r>
      <w:hyperlink r:id="rId354" w:history="1">
        <w:r w:rsidRPr="00EE5690">
          <w:rPr>
            <w:rStyle w:val="Hyperlink"/>
            <w:rFonts w:cs="Arial"/>
          </w:rPr>
          <w:t>https://doi.org/10.1186/s13021-019-0123-y</w:t>
        </w:r>
      </w:hyperlink>
      <w:r w:rsidRPr="00EE5690">
        <w:rPr>
          <w:rFonts w:cs="Arial"/>
        </w:rPr>
        <w:t xml:space="preserve"> </w:t>
      </w:r>
    </w:p>
    <w:p w14:paraId="1A5A03AE" w14:textId="77777777" w:rsidR="00147A13" w:rsidRPr="00EE5690" w:rsidRDefault="00147A13" w:rsidP="00EE5690">
      <w:pPr>
        <w:pStyle w:val="Bibliography"/>
        <w:jc w:val="left"/>
        <w:rPr>
          <w:rFonts w:cs="Arial"/>
          <w:noProof/>
        </w:rPr>
      </w:pPr>
      <w:r w:rsidRPr="00EE5690">
        <w:rPr>
          <w:rFonts w:cs="Arial"/>
          <w:noProof/>
        </w:rPr>
        <w:t xml:space="preserve">Grassi, G., Fiorese, G., Pilli, R., Jonsson, K., Blujdea, V., Korosuo, A., &amp; Vizzarri, M. (2021). </w:t>
      </w:r>
      <w:r w:rsidRPr="00EE5690">
        <w:rPr>
          <w:rFonts w:cs="Arial"/>
          <w:i/>
          <w:iCs/>
          <w:noProof/>
        </w:rPr>
        <w:t>Brief on the role of the forest-based bioeconomy in mitigating climate change through carbon storage and material substitution</w:t>
      </w:r>
      <w:r w:rsidRPr="00EE5690">
        <w:rPr>
          <w:rFonts w:cs="Arial"/>
          <w:noProof/>
        </w:rPr>
        <w:t>. 1–16. https://publications.jrc.ec.europa.eu/repository/handle/JRC124374</w:t>
      </w:r>
    </w:p>
    <w:p w14:paraId="0A4BF19F" w14:textId="77777777" w:rsidR="00147A13" w:rsidRPr="00EE5690" w:rsidRDefault="00147A13" w:rsidP="00EE5690">
      <w:pPr>
        <w:pStyle w:val="Bibliography"/>
        <w:jc w:val="left"/>
        <w:rPr>
          <w:rFonts w:cs="Arial"/>
          <w:noProof/>
        </w:rPr>
      </w:pPr>
      <w:r w:rsidRPr="00EE5690">
        <w:rPr>
          <w:rFonts w:cs="Arial"/>
          <w:noProof/>
        </w:rPr>
        <w:t xml:space="preserve">Griscom, B. W., Busch, J., Cook-Patton, S. C., Ellis, P. W., Funk, J., Leavitt, S. M., Lomax, G., Turner, W. R., Chapman, M., Engelmann, J., Gurwick, N. P., Landis, E., Lawrence, D., Malhi, Y., Murray, L. S., Navarrete, D., Roe, S., Scull, S., Smith, P., … Worthington, T. (2020). National mitigation potential from natural climate solutions in the tropics. </w:t>
      </w:r>
      <w:r w:rsidRPr="00EE5690">
        <w:rPr>
          <w:rFonts w:cs="Arial"/>
          <w:i/>
          <w:iCs/>
          <w:noProof/>
        </w:rPr>
        <w:t>Philosophical Transactions of the Royal Society B: Biological Sciences</w:t>
      </w:r>
      <w:r w:rsidRPr="00EE5690">
        <w:rPr>
          <w:rFonts w:cs="Arial"/>
          <w:noProof/>
        </w:rPr>
        <w:t xml:space="preserve">, </w:t>
      </w:r>
      <w:r w:rsidRPr="00EE5690">
        <w:rPr>
          <w:rFonts w:cs="Arial"/>
          <w:i/>
          <w:iCs/>
          <w:noProof/>
        </w:rPr>
        <w:t>375</w:t>
      </w:r>
      <w:r w:rsidRPr="00EE5690">
        <w:rPr>
          <w:rFonts w:cs="Arial"/>
          <w:noProof/>
        </w:rPr>
        <w:t>(1794). https://doi.org/10.1098/rstb.2019.0126</w:t>
      </w:r>
    </w:p>
    <w:p w14:paraId="1E811836" w14:textId="77777777" w:rsidR="00147A13" w:rsidRPr="00EE5690" w:rsidRDefault="00147A13" w:rsidP="00EE5690">
      <w:pPr>
        <w:pStyle w:val="Bibliography"/>
        <w:jc w:val="left"/>
        <w:rPr>
          <w:rFonts w:cs="Arial"/>
          <w:noProof/>
        </w:rPr>
      </w:pPr>
      <w:r w:rsidRPr="00EE5690">
        <w:rPr>
          <w:rFonts w:cs="Arial"/>
          <w:noProof/>
        </w:rPr>
        <w:t xml:space="preserve">Grossman, J. J., Vanhellemont, M., Barsoum, N., Bauhus, J., Bruelheide, H., Castagneyrol, B., Cavender-Bares, J., Eisenhauer, N., Ferlian, O., Gravel, D., Hector, A., Jactel, H., Kreft, H., Mereu, S., Messier, C., Muys, B., Nock, C., Paquette, A., Parker, J., … Verheyen, K. (2018). Synthesis and future research directions linking tree diversity to growth, survival, and damage in a global network of tree diversity experiments. </w:t>
      </w:r>
      <w:r w:rsidRPr="00EE5690">
        <w:rPr>
          <w:rFonts w:cs="Arial"/>
          <w:i/>
          <w:iCs/>
          <w:noProof/>
        </w:rPr>
        <w:t>Environmental and Experimental Botany</w:t>
      </w:r>
      <w:r w:rsidRPr="00EE5690">
        <w:rPr>
          <w:rFonts w:cs="Arial"/>
          <w:noProof/>
        </w:rPr>
        <w:t xml:space="preserve">, </w:t>
      </w:r>
      <w:r w:rsidRPr="00EE5690">
        <w:rPr>
          <w:rFonts w:cs="Arial"/>
          <w:i/>
          <w:iCs/>
          <w:noProof/>
        </w:rPr>
        <w:t>152</w:t>
      </w:r>
      <w:r w:rsidRPr="00EE5690">
        <w:rPr>
          <w:rFonts w:cs="Arial"/>
          <w:noProof/>
        </w:rPr>
        <w:t>, 68–89. https://doi.org/10.1016/j.envexpbot.2017.12.015</w:t>
      </w:r>
    </w:p>
    <w:p w14:paraId="598A92FA" w14:textId="63C137D5" w:rsidR="00147A13" w:rsidRDefault="00147A13" w:rsidP="00A01330">
      <w:pPr>
        <w:pStyle w:val="Bibliography1"/>
        <w:numPr>
          <w:ilvl w:val="0"/>
          <w:numId w:val="4"/>
        </w:numPr>
        <w:ind w:left="0" w:firstLine="0"/>
        <w:jc w:val="left"/>
        <w:rPr>
          <w:rFonts w:cs="Arial"/>
        </w:rPr>
      </w:pPr>
      <w:r w:rsidRPr="00EE5690">
        <w:rPr>
          <w:rFonts w:cs="Arial"/>
        </w:rPr>
        <w:t xml:space="preserve">Harwood, R.R. (1990). The history of sustainable agriculture. In C.A. Edwards et al. (Eds.). Sustainable Farming Systems, (pp. 3-19). In Duran, C.D., </w:t>
      </w:r>
      <w:proofErr w:type="spellStart"/>
      <w:r w:rsidRPr="00EE5690">
        <w:rPr>
          <w:rFonts w:cs="Arial"/>
        </w:rPr>
        <w:t>Gogan</w:t>
      </w:r>
      <w:proofErr w:type="spellEnd"/>
      <w:r w:rsidRPr="00EE5690">
        <w:rPr>
          <w:rFonts w:cs="Arial"/>
        </w:rPr>
        <w:t xml:space="preserve">, L.M., </w:t>
      </w:r>
      <w:proofErr w:type="spellStart"/>
      <w:r w:rsidRPr="00EE5690">
        <w:rPr>
          <w:rFonts w:cs="Arial"/>
        </w:rPr>
        <w:t>Artene</w:t>
      </w:r>
      <w:proofErr w:type="spellEnd"/>
      <w:r w:rsidRPr="00EE5690">
        <w:rPr>
          <w:rFonts w:cs="Arial"/>
        </w:rPr>
        <w:t>, A. &amp; Duran, V. (2015). The components of sustainable development - a possible approach. Procedia Economics and Finance, 26, 806-811.</w:t>
      </w:r>
    </w:p>
    <w:p w14:paraId="257AC141" w14:textId="77777777" w:rsidR="00E33343" w:rsidRPr="00DB35D4" w:rsidRDefault="00E33343" w:rsidP="00E33343">
      <w:pPr>
        <w:pStyle w:val="Bibliography"/>
        <w:rPr>
          <w:noProof/>
        </w:rPr>
      </w:pPr>
      <w:r w:rsidRPr="00DB35D4">
        <w:rPr>
          <w:noProof/>
        </w:rPr>
        <w:t>Hamrick, K., &amp; Gallant, M. (2018). Voluntary Carbon Markets Insights: 2018 Outlook and First-Quarter Trends. Donofrio Stefan, Anne Donofrio.</w:t>
      </w:r>
    </w:p>
    <w:p w14:paraId="7154943B" w14:textId="77777777" w:rsidR="00E33343" w:rsidRPr="00DB35D4" w:rsidRDefault="00E33343" w:rsidP="00E33343">
      <w:pPr>
        <w:pStyle w:val="Bibliography"/>
        <w:rPr>
          <w:noProof/>
        </w:rPr>
      </w:pPr>
      <w:r w:rsidRPr="00DB35D4">
        <w:rPr>
          <w:noProof/>
        </w:rPr>
        <w:t>Hamrick, K., &amp; Goldstein, A. (2016). Raising Ambition - State of the Voluntary Carbon Markets 2016. Ecosystem Marketplace.</w:t>
      </w:r>
    </w:p>
    <w:p w14:paraId="0687DECB" w14:textId="1A508528" w:rsidR="00E33343" w:rsidRPr="00E33343" w:rsidRDefault="00E33343" w:rsidP="00E33343">
      <w:pPr>
        <w:pStyle w:val="Bibliography"/>
        <w:rPr>
          <w:noProof/>
        </w:rPr>
      </w:pPr>
      <w:r w:rsidRPr="00DB35D4">
        <w:rPr>
          <w:noProof/>
        </w:rPr>
        <w:t>Herrmann, H., &amp; Bucksch, H. (2019). Gold Standard for thr Global Goals, Principles and Requirements. Gold Standard. https://doi.org/10.1007/978-3-642-41714-6_163857</w:t>
      </w:r>
    </w:p>
    <w:p w14:paraId="343565F9" w14:textId="77777777" w:rsidR="00147A13" w:rsidRPr="00EE5690" w:rsidRDefault="00147A13" w:rsidP="00EE5690">
      <w:pPr>
        <w:pStyle w:val="Bibliography"/>
        <w:jc w:val="left"/>
        <w:rPr>
          <w:rFonts w:cs="Arial"/>
          <w:noProof/>
        </w:rPr>
      </w:pPr>
      <w:r w:rsidRPr="00EE5690">
        <w:rPr>
          <w:rFonts w:cs="Arial"/>
          <w:noProof/>
        </w:rPr>
        <w:t xml:space="preserve">Hemingway, J. D., Rothman, D. H., Grant, K. E., Rosengard, S. Z., Eglinton, T. I., Derry, L. A., &amp; Galy, V. V. (2019). Mineral protection regulates long-term global </w:t>
      </w:r>
      <w:r w:rsidRPr="00EE5690">
        <w:rPr>
          <w:rFonts w:cs="Arial"/>
          <w:noProof/>
        </w:rPr>
        <w:lastRenderedPageBreak/>
        <w:t xml:space="preserve">preservation of natural organic carbon. </w:t>
      </w:r>
      <w:r w:rsidRPr="00EE5690">
        <w:rPr>
          <w:rFonts w:cs="Arial"/>
          <w:i/>
          <w:iCs/>
          <w:noProof/>
        </w:rPr>
        <w:t>Nature</w:t>
      </w:r>
      <w:r w:rsidRPr="00EE5690">
        <w:rPr>
          <w:rFonts w:cs="Arial"/>
          <w:noProof/>
        </w:rPr>
        <w:t xml:space="preserve">, </w:t>
      </w:r>
      <w:r w:rsidRPr="00EE5690">
        <w:rPr>
          <w:rFonts w:cs="Arial"/>
          <w:i/>
          <w:iCs/>
          <w:noProof/>
        </w:rPr>
        <w:t>570</w:t>
      </w:r>
      <w:r w:rsidRPr="00EE5690">
        <w:rPr>
          <w:rFonts w:cs="Arial"/>
          <w:noProof/>
        </w:rPr>
        <w:t>(7760), 228–231. https://doi.org/10.1038/s41586-019-1280-6</w:t>
      </w:r>
    </w:p>
    <w:p w14:paraId="7F95E389" w14:textId="6B6D7269" w:rsidR="00147A13" w:rsidRDefault="00147A13" w:rsidP="00EE5690">
      <w:pPr>
        <w:pStyle w:val="Bibliography"/>
        <w:jc w:val="left"/>
        <w:rPr>
          <w:rFonts w:cs="Arial"/>
          <w:noProof/>
        </w:rPr>
      </w:pPr>
      <w:r w:rsidRPr="00EE5690">
        <w:rPr>
          <w:rFonts w:cs="Arial"/>
          <w:noProof/>
          <w:lang w:val="de-DE"/>
        </w:rPr>
        <w:t xml:space="preserve">Hua, F., Wang, X., Zheng, X., Fisher, B., Wang, L., Zhu, J., Tang, Y., Yu, D. W., &amp; Wilcove, D. S. (2016). </w:t>
      </w:r>
      <w:r w:rsidRPr="00EE5690">
        <w:rPr>
          <w:rFonts w:cs="Arial"/>
          <w:noProof/>
        </w:rPr>
        <w:t xml:space="preserve">Opportunities for biodiversity gains under the world’s largest reforestation programme. </w:t>
      </w:r>
      <w:r w:rsidRPr="00EE5690">
        <w:rPr>
          <w:rFonts w:cs="Arial"/>
          <w:i/>
          <w:iCs/>
          <w:noProof/>
        </w:rPr>
        <w:t>Nature Communications</w:t>
      </w:r>
      <w:r w:rsidRPr="00EE5690">
        <w:rPr>
          <w:rFonts w:cs="Arial"/>
          <w:noProof/>
        </w:rPr>
        <w:t xml:space="preserve">, </w:t>
      </w:r>
      <w:r w:rsidRPr="00EE5690">
        <w:rPr>
          <w:rFonts w:cs="Arial"/>
          <w:i/>
          <w:iCs/>
          <w:noProof/>
        </w:rPr>
        <w:t>7</w:t>
      </w:r>
      <w:r w:rsidRPr="00EE5690">
        <w:rPr>
          <w:rFonts w:cs="Arial"/>
          <w:noProof/>
        </w:rPr>
        <w:t xml:space="preserve">(1), 12717. </w:t>
      </w:r>
      <w:hyperlink r:id="rId355" w:history="1">
        <w:r w:rsidR="00E33343" w:rsidRPr="00783CE9">
          <w:rPr>
            <w:rStyle w:val="Hyperlink"/>
            <w:rFonts w:cs="Arial"/>
            <w:noProof/>
          </w:rPr>
          <w:t>https://doi.org/10.1038/ncomms12717</w:t>
        </w:r>
      </w:hyperlink>
    </w:p>
    <w:p w14:paraId="5476BA46" w14:textId="77777777" w:rsidR="00E33343" w:rsidRPr="00DB35D4" w:rsidRDefault="00E33343" w:rsidP="00E33343">
      <w:pPr>
        <w:pStyle w:val="Bibliography"/>
        <w:rPr>
          <w:noProof/>
        </w:rPr>
      </w:pPr>
      <w:r w:rsidRPr="00DB35D4">
        <w:rPr>
          <w:noProof/>
        </w:rPr>
        <w:t>Intergonvermental Panel on Climate Change. (2019, September 4). Task Forse on National Greenhouse Gas Inventories. Retrieved from Task Forse on National Greenhouse Gas Inventories: https://www.ipcc-nggip.iges.or.jp/public/gl/invs1.html</w:t>
      </w:r>
    </w:p>
    <w:p w14:paraId="69D4EFB6" w14:textId="77777777" w:rsidR="00E33343" w:rsidRPr="00DB35D4" w:rsidRDefault="00E33343" w:rsidP="00E33343">
      <w:pPr>
        <w:pStyle w:val="Bibliography"/>
        <w:rPr>
          <w:noProof/>
        </w:rPr>
      </w:pPr>
      <w:r w:rsidRPr="00DB35D4">
        <w:rPr>
          <w:noProof/>
        </w:rPr>
        <w:t>Intergovernmental Panel on Climate Change. (n.d.). 2006 IPCC Guidelines for National Greenhouse Gas Inventories. Retrieved from https://www.ipcc-nggip.iges.or.jp/public/2006gl/index.html</w:t>
      </w:r>
    </w:p>
    <w:p w14:paraId="28FD029E" w14:textId="77777777" w:rsidR="00E33343" w:rsidRPr="00DB35D4" w:rsidRDefault="00E33343" w:rsidP="00E33343">
      <w:pPr>
        <w:pStyle w:val="Bibliography"/>
        <w:rPr>
          <w:noProof/>
        </w:rPr>
      </w:pPr>
      <w:r w:rsidRPr="00DB35D4">
        <w:rPr>
          <w:noProof/>
        </w:rPr>
        <w:t>Intergovernmental Panel on Climate Change. (n.d.). 2019 Refinement to the 2006 IPCC Guidelines for National GHG Inventories.</w:t>
      </w:r>
    </w:p>
    <w:p w14:paraId="0D5A37A6" w14:textId="77777777" w:rsidR="00E33343" w:rsidRPr="00DB35D4" w:rsidRDefault="00E33343" w:rsidP="00E33343">
      <w:pPr>
        <w:pStyle w:val="Bibliography"/>
        <w:rPr>
          <w:noProof/>
        </w:rPr>
      </w:pPr>
      <w:r w:rsidRPr="00DB35D4">
        <w:rPr>
          <w:noProof/>
        </w:rPr>
        <w:t>Intergovernmental Panel on Climate Change. (2019, September 5). Task force on National GHG inventories. Retrieved from Task force on National GHG inventories: https://www.ipcc-nggip.iges.or.jp/public/2006gl/index.html</w:t>
      </w:r>
    </w:p>
    <w:p w14:paraId="5915A362" w14:textId="77777777" w:rsidR="00E33343" w:rsidRPr="00DB35D4" w:rsidRDefault="00E33343" w:rsidP="00E33343">
      <w:pPr>
        <w:pStyle w:val="Bibliography"/>
        <w:rPr>
          <w:noProof/>
        </w:rPr>
      </w:pPr>
      <w:r w:rsidRPr="00DB35D4">
        <w:rPr>
          <w:noProof/>
        </w:rPr>
        <w:t>Intergovernmental Panel on Climate Change. (2019, September 5). Task Force on National GHG Inventories. Retrieved from Intergovernmental Panel on Climate Change: https://www.ipcc-nggip.iges.or.jp/public/gp/english/</w:t>
      </w:r>
    </w:p>
    <w:p w14:paraId="2E29DCC4" w14:textId="77777777" w:rsidR="00E33343" w:rsidRPr="00DB35D4" w:rsidRDefault="00E33343" w:rsidP="00E33343">
      <w:pPr>
        <w:pStyle w:val="Bibliography"/>
        <w:rPr>
          <w:noProof/>
        </w:rPr>
      </w:pPr>
      <w:r w:rsidRPr="00DB35D4">
        <w:rPr>
          <w:noProof/>
        </w:rPr>
        <w:t>Internation Civil Aviation Organisation. (2018). Environmental Technical Manual - Volume 4 - Procedures for demonstrating compliance with the Carbon Offsetting and Reduction Scheme for International Aviation (CORSIA).</w:t>
      </w:r>
    </w:p>
    <w:p w14:paraId="17070FD7" w14:textId="77777777" w:rsidR="00E33343" w:rsidRPr="00DB35D4" w:rsidRDefault="00E33343" w:rsidP="00E33343">
      <w:pPr>
        <w:pStyle w:val="Bibliography"/>
        <w:rPr>
          <w:noProof/>
        </w:rPr>
      </w:pPr>
      <w:r w:rsidRPr="00DB35D4">
        <w:rPr>
          <w:noProof/>
        </w:rPr>
        <w:t xml:space="preserve">International Bank for Reconstruction and Development / The World Bank. (May, 2017). Results-Based Climate Finance in Practice: Delivering Climate Finance for Low-Carbon Development. Washington DC. </w:t>
      </w:r>
    </w:p>
    <w:p w14:paraId="63481020" w14:textId="5395CF8B" w:rsidR="00E33343" w:rsidRPr="00E33343" w:rsidRDefault="00E33343" w:rsidP="00E33343">
      <w:pPr>
        <w:pStyle w:val="Bibliography"/>
        <w:rPr>
          <w:noProof/>
        </w:rPr>
      </w:pPr>
      <w:r w:rsidRPr="00DB35D4">
        <w:rPr>
          <w:noProof/>
        </w:rPr>
        <w:t>International Carbon Action Partnership (2021, November 29). Emissions Trading Worldwide: ICAP Status Report 2021:</w:t>
      </w:r>
      <w:r w:rsidRPr="00DB35D4">
        <w:t xml:space="preserve"> </w:t>
      </w:r>
      <w:r w:rsidRPr="00DB35D4">
        <w:rPr>
          <w:noProof/>
        </w:rPr>
        <w:t>https://icapcarbonaction.com/en/icap-status-report-2021</w:t>
      </w:r>
    </w:p>
    <w:p w14:paraId="3446F60E" w14:textId="77777777" w:rsidR="00147A13" w:rsidRPr="00EE5690" w:rsidRDefault="00147A13" w:rsidP="00EE5690">
      <w:pPr>
        <w:pStyle w:val="Bibliography"/>
        <w:jc w:val="left"/>
        <w:rPr>
          <w:rFonts w:cs="Arial"/>
          <w:noProof/>
        </w:rPr>
      </w:pPr>
      <w:r w:rsidRPr="00EE5690">
        <w:rPr>
          <w:rFonts w:cs="Arial"/>
          <w:noProof/>
        </w:rPr>
        <w:t xml:space="preserve">IPCC, 2001: Climate change. (2001). Contribution of Working Group I to the Third Assessment Report of the Intergovernmental Panel on Climate Change </w:t>
      </w:r>
      <w:r w:rsidRPr="00EE5690">
        <w:rPr>
          <w:rFonts w:cs="Arial"/>
          <w:noProof/>
        </w:rPr>
        <w:lastRenderedPageBreak/>
        <w:t xml:space="preserve">[Houghton, J.T. Ding, Y. Griggs, D.J. Noguer, M. Linden, P.J. van der Dai, X. Maskell, K. Johnson, C.A.]. </w:t>
      </w:r>
      <w:r w:rsidRPr="00EE5690">
        <w:rPr>
          <w:rFonts w:cs="Arial"/>
          <w:i/>
          <w:iCs/>
          <w:noProof/>
        </w:rPr>
        <w:t>Cambridge University Press</w:t>
      </w:r>
      <w:r w:rsidRPr="00EE5690">
        <w:rPr>
          <w:rFonts w:cs="Arial"/>
          <w:noProof/>
        </w:rPr>
        <w:t>, 94.</w:t>
      </w:r>
    </w:p>
    <w:p w14:paraId="215A5785" w14:textId="77777777" w:rsidR="00147A13" w:rsidRPr="00EE5690" w:rsidRDefault="00147A13" w:rsidP="00EE5690">
      <w:pPr>
        <w:pStyle w:val="Bibliography"/>
        <w:jc w:val="left"/>
        <w:rPr>
          <w:rFonts w:cs="Arial"/>
        </w:rPr>
      </w:pPr>
      <w:r w:rsidRPr="00EE5690">
        <w:rPr>
          <w:rFonts w:cs="Arial"/>
        </w:rPr>
        <w:t>ITTO (1992). Criteria for the measurement of sustainable tropical forest management. International Tropical Timber Organization Policy Development. Series No. 3. Yokohama, Japan.</w:t>
      </w:r>
    </w:p>
    <w:p w14:paraId="21DC5A64" w14:textId="77777777" w:rsidR="00147A13" w:rsidRPr="00EE5690" w:rsidRDefault="00147A13" w:rsidP="00A01330">
      <w:pPr>
        <w:pStyle w:val="Bibliography1"/>
        <w:numPr>
          <w:ilvl w:val="0"/>
          <w:numId w:val="4"/>
        </w:numPr>
        <w:ind w:left="0" w:firstLine="0"/>
        <w:jc w:val="left"/>
        <w:rPr>
          <w:rFonts w:cs="Arial"/>
        </w:rPr>
      </w:pPr>
      <w:r w:rsidRPr="00EE5690">
        <w:rPr>
          <w:rFonts w:cs="Arial"/>
        </w:rPr>
        <w:t>IUCN, UNDP &amp; WWF, International Union for Conservation of Nature and Natural Resources, United Nations Environmental Programme &amp; World Wildlife Fund (1991). Caring for the Earth. A Strategy for Sustainable Living.</w:t>
      </w:r>
    </w:p>
    <w:p w14:paraId="1D847656" w14:textId="60CB1AE2" w:rsidR="00147A13" w:rsidRDefault="00147A13" w:rsidP="00EE5690">
      <w:pPr>
        <w:pStyle w:val="Bibliography"/>
        <w:jc w:val="left"/>
        <w:rPr>
          <w:rFonts w:cs="Arial"/>
          <w:noProof/>
        </w:rPr>
      </w:pPr>
      <w:r w:rsidRPr="00EE5690">
        <w:rPr>
          <w:rFonts w:cs="Arial"/>
          <w:noProof/>
        </w:rPr>
        <w:t xml:space="preserve">Jose, S., &amp; Bardhan, S. (2012). Agroforestry for biomass production and carbon sequestration: An overview. </w:t>
      </w:r>
      <w:r w:rsidRPr="00EE5690">
        <w:rPr>
          <w:rFonts w:cs="Arial"/>
          <w:i/>
          <w:iCs/>
          <w:noProof/>
        </w:rPr>
        <w:t>Agroforestry Systems</w:t>
      </w:r>
      <w:r w:rsidRPr="00EE5690">
        <w:rPr>
          <w:rFonts w:cs="Arial"/>
          <w:noProof/>
        </w:rPr>
        <w:t xml:space="preserve">, </w:t>
      </w:r>
      <w:r w:rsidRPr="00EE5690">
        <w:rPr>
          <w:rFonts w:cs="Arial"/>
          <w:i/>
          <w:iCs/>
          <w:noProof/>
        </w:rPr>
        <w:t>86</w:t>
      </w:r>
      <w:r w:rsidRPr="00EE5690">
        <w:rPr>
          <w:rFonts w:cs="Arial"/>
          <w:noProof/>
        </w:rPr>
        <w:t xml:space="preserve">(2), 105–111. </w:t>
      </w:r>
      <w:hyperlink r:id="rId356" w:history="1">
        <w:r w:rsidR="00BF47BA" w:rsidRPr="00783CE9">
          <w:rPr>
            <w:rStyle w:val="Hyperlink"/>
            <w:rFonts w:cs="Arial"/>
            <w:noProof/>
          </w:rPr>
          <w:t>https://doi.org/10.1007/s10457-012-9573-x</w:t>
        </w:r>
      </w:hyperlink>
    </w:p>
    <w:p w14:paraId="18346DBA" w14:textId="007163A4" w:rsidR="00BF47BA" w:rsidRPr="00BF47BA" w:rsidRDefault="00BF47BA" w:rsidP="00BF47BA">
      <w:pPr>
        <w:pStyle w:val="Bibliography"/>
        <w:jc w:val="left"/>
        <w:rPr>
          <w:noProof/>
        </w:rPr>
      </w:pPr>
      <w:r w:rsidRPr="00DB35D4">
        <w:rPr>
          <w:noProof/>
        </w:rPr>
        <w:t>Kollmuss, A., Zink, H., &amp; Polycarp, C. (2008). Making Sense of the Voluntary Carbon Market: A Comparison of Carbon Offset Standards. In WWF Germany (Vol. 51, Issue 2). http://www.wwf.de/fileadmin/fm-wwf/pdf_neu/A_Comparison_of_Carbon_Offset_Standards_lang.pdf</w:t>
      </w:r>
    </w:p>
    <w:p w14:paraId="7DBC8A12" w14:textId="77777777" w:rsidR="00147A13" w:rsidRPr="00EE5690" w:rsidRDefault="00147A13" w:rsidP="00EE5690">
      <w:pPr>
        <w:pStyle w:val="Bibliography"/>
        <w:jc w:val="left"/>
        <w:rPr>
          <w:rFonts w:cs="Arial"/>
          <w:noProof/>
        </w:rPr>
      </w:pPr>
      <w:r w:rsidRPr="00EE5690">
        <w:rPr>
          <w:rFonts w:cs="Arial"/>
          <w:noProof/>
        </w:rPr>
        <w:t xml:space="preserve">Koskela, J., Vinceti, B., Dvorak, W., Bush, D., Dawson, I. K., Loo, J., Kjaer, E. D., Navarro, C., Padolina, C., Bordács, S., Jamnadass, R., Graudal, L., &amp; Ramamonjisoa, L. (2014). Utilization and transfer of forest genetic resources: A global review. </w:t>
      </w:r>
      <w:r w:rsidRPr="00EE5690">
        <w:rPr>
          <w:rFonts w:cs="Arial"/>
          <w:i/>
          <w:iCs/>
          <w:noProof/>
        </w:rPr>
        <w:t>Forest Ecology and Management</w:t>
      </w:r>
      <w:r w:rsidRPr="00EE5690">
        <w:rPr>
          <w:rFonts w:cs="Arial"/>
          <w:noProof/>
        </w:rPr>
        <w:t xml:space="preserve">, </w:t>
      </w:r>
      <w:r w:rsidRPr="00EE5690">
        <w:rPr>
          <w:rFonts w:cs="Arial"/>
          <w:i/>
          <w:iCs/>
          <w:noProof/>
        </w:rPr>
        <w:t>333</w:t>
      </w:r>
      <w:r w:rsidRPr="00EE5690">
        <w:rPr>
          <w:rFonts w:cs="Arial"/>
          <w:noProof/>
        </w:rPr>
        <w:t>, 22–34. https://doi.org/10.1016/j.foreco.2014.07.017</w:t>
      </w:r>
    </w:p>
    <w:p w14:paraId="4509C3A8" w14:textId="77777777" w:rsidR="00147A13" w:rsidRPr="00EE5690" w:rsidRDefault="00147A13" w:rsidP="00A01330">
      <w:pPr>
        <w:pStyle w:val="Bibliography1"/>
        <w:numPr>
          <w:ilvl w:val="0"/>
          <w:numId w:val="4"/>
        </w:numPr>
        <w:ind w:left="0" w:firstLine="0"/>
        <w:jc w:val="left"/>
        <w:rPr>
          <w:rFonts w:cs="Arial"/>
        </w:rPr>
      </w:pPr>
      <w:proofErr w:type="spellStart"/>
      <w:r w:rsidRPr="00EE5690">
        <w:rPr>
          <w:rFonts w:cs="Arial"/>
        </w:rPr>
        <w:t>Lele</w:t>
      </w:r>
      <w:proofErr w:type="spellEnd"/>
      <w:r w:rsidRPr="00EE5690">
        <w:rPr>
          <w:rFonts w:cs="Arial"/>
        </w:rPr>
        <w:t>, S.M. (1991). Sustainable development: A Critical Review. World Development, 19(6), 607-621. DOI: 10.1016/0305-750</w:t>
      </w:r>
      <w:proofErr w:type="gramStart"/>
      <w:r w:rsidRPr="00EE5690">
        <w:rPr>
          <w:rFonts w:cs="Arial"/>
        </w:rPr>
        <w:t>X(</w:t>
      </w:r>
      <w:proofErr w:type="gramEnd"/>
      <w:r w:rsidRPr="00EE5690">
        <w:rPr>
          <w:rFonts w:cs="Arial"/>
        </w:rPr>
        <w:t>91)90197-P.</w:t>
      </w:r>
    </w:p>
    <w:p w14:paraId="22A3EC42" w14:textId="77777777" w:rsidR="00147A13" w:rsidRPr="00EE5690" w:rsidRDefault="00147A13" w:rsidP="00EE5690">
      <w:pPr>
        <w:pStyle w:val="Bibliography"/>
        <w:jc w:val="left"/>
        <w:rPr>
          <w:rFonts w:cs="Arial"/>
          <w:noProof/>
        </w:rPr>
      </w:pPr>
      <w:r w:rsidRPr="00EE5690">
        <w:rPr>
          <w:rFonts w:cs="Arial"/>
          <w:noProof/>
        </w:rPr>
        <w:t xml:space="preserve">Leskinen, P., Cardellini, G., González-García, S., Hurmekoski, E., Sathre, R., Seppälä, J., Smyth, C., Stern, T., &amp; Verkerk, P. J. (2018). </w:t>
      </w:r>
      <w:r w:rsidRPr="00EE5690">
        <w:rPr>
          <w:rFonts w:cs="Arial"/>
          <w:i/>
          <w:iCs/>
          <w:noProof/>
        </w:rPr>
        <w:t>Substitution effects of wood-based products in climate change mitigation. From Science to Policy 7, European Forest Institute</w:t>
      </w:r>
      <w:r w:rsidRPr="00EE5690">
        <w:rPr>
          <w:rFonts w:cs="Arial"/>
          <w:noProof/>
        </w:rPr>
        <w:t>. 27.</w:t>
      </w:r>
    </w:p>
    <w:p w14:paraId="05AB6CDB" w14:textId="77777777" w:rsidR="00147A13" w:rsidRPr="00EE5690" w:rsidRDefault="00147A13" w:rsidP="00EE5690">
      <w:pPr>
        <w:pStyle w:val="Bibliography"/>
        <w:jc w:val="left"/>
        <w:rPr>
          <w:rFonts w:cs="Arial"/>
          <w:noProof/>
        </w:rPr>
      </w:pPr>
      <w:r w:rsidRPr="00EE5690">
        <w:rPr>
          <w:rFonts w:cs="Arial"/>
          <w:noProof/>
        </w:rPr>
        <w:t xml:space="preserve">Lewis, S. L., Wheeler, C. E., Mitchard, E. T. A., &amp; Koch, A. (2019). Restoring natural forests is the best way to remove atmospheric carbon. </w:t>
      </w:r>
      <w:r w:rsidRPr="00EE5690">
        <w:rPr>
          <w:rFonts w:cs="Arial"/>
          <w:i/>
          <w:iCs/>
          <w:noProof/>
        </w:rPr>
        <w:t>Nature</w:t>
      </w:r>
      <w:r w:rsidRPr="00EE5690">
        <w:rPr>
          <w:rFonts w:cs="Arial"/>
          <w:noProof/>
        </w:rPr>
        <w:t xml:space="preserve">, </w:t>
      </w:r>
      <w:r w:rsidRPr="00EE5690">
        <w:rPr>
          <w:rFonts w:cs="Arial"/>
          <w:i/>
          <w:iCs/>
          <w:noProof/>
        </w:rPr>
        <w:t>568</w:t>
      </w:r>
      <w:r w:rsidRPr="00EE5690">
        <w:rPr>
          <w:rFonts w:cs="Arial"/>
          <w:noProof/>
        </w:rPr>
        <w:t>(7750), 25–28. https://doi.org/10.1038/d41586-019-01026-8</w:t>
      </w:r>
    </w:p>
    <w:p w14:paraId="1C7BCEF9" w14:textId="77777777" w:rsidR="00147A13" w:rsidRPr="00EE5690" w:rsidRDefault="00147A13" w:rsidP="00EE5690">
      <w:pPr>
        <w:pStyle w:val="Bibliography"/>
        <w:jc w:val="left"/>
        <w:rPr>
          <w:rFonts w:cs="Arial"/>
          <w:noProof/>
        </w:rPr>
      </w:pPr>
      <w:r w:rsidRPr="00EE5690">
        <w:rPr>
          <w:rFonts w:cs="Arial"/>
          <w:noProof/>
        </w:rPr>
        <w:t>Liang, J., Crowther, T. W., Picard, N., Wiser, S., Zhou, M., Alberti, G., Schulze, E.-D., McGuire, A. D., Bozzato, F., Pretzsch, H., De-Miguel, S., Paquette, A., Hérault, B., Scherer-Lorenzen, M., Barrett, C. B., Glick, H. B., Hengeveld, G. M., Nabuurs, G.-</w:t>
      </w:r>
      <w:r w:rsidRPr="00EE5690">
        <w:rPr>
          <w:rFonts w:cs="Arial"/>
          <w:noProof/>
        </w:rPr>
        <w:lastRenderedPageBreak/>
        <w:t xml:space="preserve">J., Pfautsch, S., … Reich, P. B. (2016). Positive biodiversity-productivity relationship predominant in global forests. </w:t>
      </w:r>
      <w:r w:rsidRPr="00EE5690">
        <w:rPr>
          <w:rFonts w:cs="Arial"/>
          <w:i/>
          <w:iCs/>
          <w:noProof/>
        </w:rPr>
        <w:t>Science</w:t>
      </w:r>
      <w:r w:rsidRPr="00EE5690">
        <w:rPr>
          <w:rFonts w:cs="Arial"/>
          <w:noProof/>
        </w:rPr>
        <w:t xml:space="preserve">, </w:t>
      </w:r>
      <w:r w:rsidRPr="00EE5690">
        <w:rPr>
          <w:rFonts w:cs="Arial"/>
          <w:i/>
          <w:iCs/>
          <w:noProof/>
        </w:rPr>
        <w:t>354</w:t>
      </w:r>
      <w:r w:rsidRPr="00EE5690">
        <w:rPr>
          <w:rFonts w:cs="Arial"/>
          <w:noProof/>
        </w:rPr>
        <w:t>(6309). https://doi.org/10.1126/science.aaf8957</w:t>
      </w:r>
    </w:p>
    <w:p w14:paraId="54BFEFE3" w14:textId="77777777" w:rsidR="00147A13" w:rsidRPr="00EE5690" w:rsidRDefault="00147A13" w:rsidP="00EE5690">
      <w:pPr>
        <w:pStyle w:val="Bibliography"/>
        <w:jc w:val="left"/>
        <w:rPr>
          <w:rFonts w:cs="Arial"/>
          <w:noProof/>
        </w:rPr>
      </w:pPr>
      <w:r w:rsidRPr="00EE5690">
        <w:rPr>
          <w:rFonts w:cs="Arial"/>
          <w:noProof/>
        </w:rPr>
        <w:t xml:space="preserve">Lippke, B., Oneil, E., Harrison, R., Skog, K., Gustavsson, L., &amp; Sathre, R. (2011). Life cycle impacts of forest management and wood utilization on carbon mitigation: Knowns and unknowns. </w:t>
      </w:r>
      <w:r w:rsidRPr="00EE5690">
        <w:rPr>
          <w:rFonts w:cs="Arial"/>
          <w:i/>
          <w:iCs/>
          <w:noProof/>
        </w:rPr>
        <w:t>Carbon Management</w:t>
      </w:r>
      <w:r w:rsidRPr="00EE5690">
        <w:rPr>
          <w:rFonts w:cs="Arial"/>
          <w:noProof/>
        </w:rPr>
        <w:t xml:space="preserve">, </w:t>
      </w:r>
      <w:r w:rsidRPr="00EE5690">
        <w:rPr>
          <w:rFonts w:cs="Arial"/>
          <w:i/>
          <w:iCs/>
          <w:noProof/>
        </w:rPr>
        <w:t>2</w:t>
      </w:r>
      <w:r w:rsidRPr="00EE5690">
        <w:rPr>
          <w:rFonts w:cs="Arial"/>
          <w:noProof/>
        </w:rPr>
        <w:t>(3), 303–333. https://doi.org/10.4155/cmt.11.24</w:t>
      </w:r>
    </w:p>
    <w:p w14:paraId="6262B19A" w14:textId="77777777" w:rsidR="00147A13" w:rsidRPr="00EE5690" w:rsidRDefault="00147A13" w:rsidP="00EE5690">
      <w:pPr>
        <w:pStyle w:val="Bibliography"/>
        <w:jc w:val="left"/>
        <w:rPr>
          <w:rFonts w:cs="Arial"/>
          <w:noProof/>
        </w:rPr>
      </w:pPr>
      <w:r w:rsidRPr="00EE5690">
        <w:rPr>
          <w:rFonts w:cs="Arial"/>
          <w:noProof/>
          <w:lang w:val="de-DE"/>
        </w:rPr>
        <w:t xml:space="preserve">Liu, X., Trogisch, S., He, J.-S., Niklaus, P. A., Bruelheide, H., Tang, Z., Erfmeier, A., Scherer-Lorenzen, M., Pietsch, K. A., Yang, B., Kühn, P., Scholten, T., Huang, Y., Wang, C., Staab, M., Leppert, K. N., Wirth, C., Schmid, B., &amp; Ma, K. (2018). </w:t>
      </w:r>
      <w:r w:rsidRPr="00EE5690">
        <w:rPr>
          <w:rFonts w:cs="Arial"/>
          <w:noProof/>
        </w:rPr>
        <w:t xml:space="preserve">Correction to ‘Tree species richness increases ecosystem carbon storage in subtropical forests.’ </w:t>
      </w:r>
      <w:r w:rsidRPr="00EE5690">
        <w:rPr>
          <w:rFonts w:cs="Arial"/>
          <w:i/>
          <w:iCs/>
          <w:noProof/>
        </w:rPr>
        <w:t>Proceedings of the Royal Society B: Biological Sciences</w:t>
      </w:r>
      <w:r w:rsidRPr="00EE5690">
        <w:rPr>
          <w:rFonts w:cs="Arial"/>
          <w:noProof/>
        </w:rPr>
        <w:t xml:space="preserve">, </w:t>
      </w:r>
      <w:r w:rsidRPr="00EE5690">
        <w:rPr>
          <w:rFonts w:cs="Arial"/>
          <w:i/>
          <w:iCs/>
          <w:noProof/>
        </w:rPr>
        <w:t>285</w:t>
      </w:r>
      <w:r w:rsidRPr="00EE5690">
        <w:rPr>
          <w:rFonts w:cs="Arial"/>
          <w:noProof/>
        </w:rPr>
        <w:t>(1888), 20182090. https://doi.org/10.1098/rspb.2018.2090</w:t>
      </w:r>
    </w:p>
    <w:p w14:paraId="7F444E7D" w14:textId="77777777" w:rsidR="00147A13" w:rsidRPr="00EE5690" w:rsidRDefault="00147A13" w:rsidP="00EE5690">
      <w:pPr>
        <w:pStyle w:val="Bibliography"/>
        <w:jc w:val="left"/>
        <w:rPr>
          <w:rFonts w:cs="Arial"/>
          <w:noProof/>
        </w:rPr>
      </w:pPr>
      <w:r w:rsidRPr="00EE5690">
        <w:rPr>
          <w:rFonts w:cs="Arial"/>
          <w:noProof/>
        </w:rPr>
        <w:t xml:space="preserve">Lovrić, M., Da Re, R., Vidale, E., Prokofieva, I., Wong, J., Pettenella, D., Verkerk, P. J., &amp; Mavsar, R. (2020). Non-wood forest products in Europe – A quantitative overview. </w:t>
      </w:r>
      <w:r w:rsidRPr="00EE5690">
        <w:rPr>
          <w:rFonts w:cs="Arial"/>
          <w:i/>
          <w:iCs/>
          <w:noProof/>
        </w:rPr>
        <w:t>Forest Policy and Economics</w:t>
      </w:r>
      <w:r w:rsidRPr="00EE5690">
        <w:rPr>
          <w:rFonts w:cs="Arial"/>
          <w:noProof/>
        </w:rPr>
        <w:t xml:space="preserve">, </w:t>
      </w:r>
      <w:r w:rsidRPr="00EE5690">
        <w:rPr>
          <w:rFonts w:cs="Arial"/>
          <w:i/>
          <w:iCs/>
          <w:noProof/>
        </w:rPr>
        <w:t>116</w:t>
      </w:r>
      <w:r w:rsidRPr="00EE5690">
        <w:rPr>
          <w:rFonts w:cs="Arial"/>
          <w:noProof/>
        </w:rPr>
        <w:t>(April). https://doi.org/10.1016/j.forpol.2020.102175</w:t>
      </w:r>
    </w:p>
    <w:p w14:paraId="7A8400AD" w14:textId="77777777" w:rsidR="00147A13" w:rsidRPr="00EE5690" w:rsidRDefault="00147A13" w:rsidP="00A01330">
      <w:pPr>
        <w:pStyle w:val="Bibliography1"/>
        <w:numPr>
          <w:ilvl w:val="0"/>
          <w:numId w:val="4"/>
        </w:numPr>
        <w:ind w:left="0" w:firstLine="0"/>
        <w:jc w:val="left"/>
        <w:rPr>
          <w:rFonts w:cs="Arial"/>
        </w:rPr>
      </w:pPr>
      <w:r w:rsidRPr="00EE5690">
        <w:rPr>
          <w:rFonts w:cs="Arial"/>
          <w:lang w:val="de-DE"/>
        </w:rPr>
        <w:t xml:space="preserve">Marin, C., </w:t>
      </w:r>
      <w:proofErr w:type="spellStart"/>
      <w:r w:rsidRPr="00EE5690">
        <w:rPr>
          <w:rFonts w:cs="Arial"/>
          <w:lang w:val="de-DE"/>
        </w:rPr>
        <w:t>Dorobanțu</w:t>
      </w:r>
      <w:proofErr w:type="spellEnd"/>
      <w:r w:rsidRPr="00EE5690">
        <w:rPr>
          <w:rFonts w:cs="Arial"/>
          <w:lang w:val="de-DE"/>
        </w:rPr>
        <w:t xml:space="preserve">, R., Codreanu, D. &amp; Mihaela, R. (2012). </w:t>
      </w:r>
      <w:r w:rsidRPr="00EE5690">
        <w:rPr>
          <w:rFonts w:cs="Arial"/>
        </w:rPr>
        <w:t xml:space="preserve">The Fruit of Collaboration between Local Government and Private Partners in the Sustainable Development Community Case Study: County </w:t>
      </w:r>
      <w:proofErr w:type="spellStart"/>
      <w:r w:rsidRPr="00EE5690">
        <w:rPr>
          <w:rFonts w:cs="Arial"/>
        </w:rPr>
        <w:t>Valcea</w:t>
      </w:r>
      <w:proofErr w:type="spellEnd"/>
      <w:r w:rsidRPr="00EE5690">
        <w:rPr>
          <w:rFonts w:cs="Arial"/>
        </w:rPr>
        <w:t xml:space="preserve">. Economy </w:t>
      </w:r>
      <w:proofErr w:type="spellStart"/>
      <w:r w:rsidRPr="00EE5690">
        <w:rPr>
          <w:rFonts w:cs="Arial"/>
        </w:rPr>
        <w:t>Transdisciplinarity</w:t>
      </w:r>
      <w:proofErr w:type="spellEnd"/>
      <w:r w:rsidRPr="00EE5690">
        <w:rPr>
          <w:rFonts w:cs="Arial"/>
        </w:rPr>
        <w:t xml:space="preserve"> Cognition, 2, 93–98. In Duran, C.D., </w:t>
      </w:r>
      <w:proofErr w:type="spellStart"/>
      <w:r w:rsidRPr="00EE5690">
        <w:rPr>
          <w:rFonts w:cs="Arial"/>
        </w:rPr>
        <w:t>Gogan</w:t>
      </w:r>
      <w:proofErr w:type="spellEnd"/>
      <w:r w:rsidRPr="00EE5690">
        <w:rPr>
          <w:rFonts w:cs="Arial"/>
        </w:rPr>
        <w:t xml:space="preserve">, L.M., </w:t>
      </w:r>
      <w:proofErr w:type="spellStart"/>
      <w:r w:rsidRPr="00EE5690">
        <w:rPr>
          <w:rFonts w:cs="Arial"/>
        </w:rPr>
        <w:t>Artene</w:t>
      </w:r>
      <w:proofErr w:type="spellEnd"/>
      <w:r w:rsidRPr="00EE5690">
        <w:rPr>
          <w:rFonts w:cs="Arial"/>
        </w:rPr>
        <w:t>, A. &amp; Duran, V. (2015). The components of sustainable development - a possible approach. Procedia Economics and Finance, 26, 806-811.</w:t>
      </w:r>
    </w:p>
    <w:p w14:paraId="351AE303" w14:textId="6AD329F0" w:rsidR="00147A13" w:rsidRDefault="00147A13" w:rsidP="00EE5690">
      <w:pPr>
        <w:pStyle w:val="Bibliography"/>
        <w:jc w:val="left"/>
        <w:rPr>
          <w:rFonts w:cs="Arial"/>
          <w:noProof/>
        </w:rPr>
      </w:pPr>
      <w:r w:rsidRPr="00EE5690">
        <w:rPr>
          <w:rFonts w:cs="Arial"/>
          <w:noProof/>
        </w:rPr>
        <w:t xml:space="preserve">Martha J Groom, Elizabeth M Gray, &amp; Townsend, P. A. (2008). Biofuels and Biodiversity: Principles for Creating Better Policies for Biofuel Production. </w:t>
      </w:r>
      <w:r w:rsidRPr="00EE5690">
        <w:rPr>
          <w:rFonts w:cs="Arial"/>
          <w:i/>
          <w:iCs/>
          <w:noProof/>
        </w:rPr>
        <w:t>Conservation Biology</w:t>
      </w:r>
      <w:r w:rsidRPr="00EE5690">
        <w:rPr>
          <w:rFonts w:cs="Arial"/>
          <w:noProof/>
        </w:rPr>
        <w:t xml:space="preserve">, </w:t>
      </w:r>
      <w:r w:rsidRPr="00EE5690">
        <w:rPr>
          <w:rFonts w:cs="Arial"/>
          <w:i/>
          <w:iCs/>
          <w:noProof/>
        </w:rPr>
        <w:t>22</w:t>
      </w:r>
      <w:r w:rsidRPr="00EE5690">
        <w:rPr>
          <w:rFonts w:cs="Arial"/>
          <w:noProof/>
        </w:rPr>
        <w:t xml:space="preserve">(3), 602–609. </w:t>
      </w:r>
      <w:hyperlink r:id="rId357" w:history="1">
        <w:r w:rsidR="00BF47BA" w:rsidRPr="00783CE9">
          <w:rPr>
            <w:rStyle w:val="Hyperlink"/>
            <w:rFonts w:cs="Arial"/>
            <w:noProof/>
          </w:rPr>
          <w:t>https://doi.org/10.1111/j.1523-1739.2007.00879.x</w:t>
        </w:r>
      </w:hyperlink>
    </w:p>
    <w:p w14:paraId="281EEF2B" w14:textId="5C8F4F72" w:rsidR="00BF47BA" w:rsidRPr="00BF47BA" w:rsidRDefault="00BF47BA" w:rsidP="00BF47BA">
      <w:pPr>
        <w:pStyle w:val="Bibliography"/>
        <w:rPr>
          <w:noProof/>
        </w:rPr>
      </w:pPr>
      <w:r w:rsidRPr="00DB35D4">
        <w:rPr>
          <w:noProof/>
        </w:rPr>
        <w:t>Marketing Week. (2019, September 16). Retrieved from Marketting Week: https://www.marketingweek.com/timberland-sustainability-marketing-campaign/</w:t>
      </w:r>
    </w:p>
    <w:p w14:paraId="6383AECC" w14:textId="77777777" w:rsidR="00147A13" w:rsidRPr="00EE5690" w:rsidRDefault="00147A13" w:rsidP="00EE5690">
      <w:pPr>
        <w:pStyle w:val="Bibliography"/>
        <w:jc w:val="left"/>
        <w:rPr>
          <w:rFonts w:cs="Arial"/>
          <w:noProof/>
        </w:rPr>
      </w:pPr>
      <w:r w:rsidRPr="00EE5690">
        <w:rPr>
          <w:rFonts w:cs="Arial"/>
          <w:noProof/>
        </w:rPr>
        <w:t>Matson, J. (2000). Cooperative Feasibility Study Guide. 17.</w:t>
      </w:r>
    </w:p>
    <w:p w14:paraId="4DD5B79A" w14:textId="77777777" w:rsidR="00147A13" w:rsidRPr="00EE5690" w:rsidRDefault="00147A13" w:rsidP="00EE5690">
      <w:pPr>
        <w:pStyle w:val="Bibliography"/>
        <w:jc w:val="left"/>
        <w:rPr>
          <w:rFonts w:cs="Arial"/>
          <w:noProof/>
        </w:rPr>
      </w:pPr>
      <w:r w:rsidRPr="00EE5690">
        <w:rPr>
          <w:rFonts w:cs="Arial"/>
          <w:noProof/>
        </w:rPr>
        <w:t xml:space="preserve">Max Hall Public Engagement, &amp; Russo, A. (2020). </w:t>
      </w:r>
      <w:r w:rsidRPr="00EE5690">
        <w:rPr>
          <w:rFonts w:cs="Arial"/>
          <w:i/>
          <w:iCs/>
          <w:noProof/>
        </w:rPr>
        <w:t>US Businesses, Governments and Non-Profits Join Global Push for 1 Trillion Trees</w:t>
      </w:r>
      <w:r w:rsidRPr="00EE5690">
        <w:rPr>
          <w:rFonts w:cs="Arial"/>
          <w:noProof/>
        </w:rPr>
        <w:t>. World Economic Forum. https://www.weforum.org/press/2020/08/us-businesses-governments-and-non-profits-join-global-push-for-1-trillion-trees/</w:t>
      </w:r>
    </w:p>
    <w:p w14:paraId="1AF17394" w14:textId="74507375" w:rsidR="00147A13" w:rsidRDefault="00147A13" w:rsidP="00A01330">
      <w:pPr>
        <w:pStyle w:val="Bibliography1"/>
        <w:numPr>
          <w:ilvl w:val="0"/>
          <w:numId w:val="4"/>
        </w:numPr>
        <w:ind w:left="0" w:firstLine="0"/>
        <w:jc w:val="left"/>
        <w:rPr>
          <w:rFonts w:cs="Arial"/>
        </w:rPr>
      </w:pPr>
      <w:r w:rsidRPr="00EE5690">
        <w:rPr>
          <w:rFonts w:cs="Arial"/>
        </w:rPr>
        <w:lastRenderedPageBreak/>
        <w:t>Meadows, D.H. (1998). Indicators and Information Systems for Sustainable Development. A report to the Balaton Group 1998. The Sustainability Institute.</w:t>
      </w:r>
    </w:p>
    <w:p w14:paraId="4D6A3542" w14:textId="030C566A" w:rsidR="00BF47BA" w:rsidRPr="00BF47BA" w:rsidRDefault="00BF47BA" w:rsidP="00BF47BA">
      <w:pPr>
        <w:pStyle w:val="Bibliography"/>
        <w:jc w:val="left"/>
        <w:rPr>
          <w:noProof/>
        </w:rPr>
      </w:pPr>
      <w:bookmarkStart w:id="397" w:name="_Hlk88840392"/>
      <w:r w:rsidRPr="00DB35D4">
        <w:rPr>
          <w:noProof/>
        </w:rPr>
        <w:t>McLennan Magasanik Associates. (2019, September 2). The Climate Institute. Retrieved from The Climate Institute: http://www.climateinstitute.org.au/verve/_resources/cap_and_trade_vs_baseline_briefing_paper_june_25_2009.pdf</w:t>
      </w:r>
      <w:bookmarkEnd w:id="397"/>
    </w:p>
    <w:p w14:paraId="3BEBA612" w14:textId="41FCD439" w:rsidR="00147A13" w:rsidRDefault="00147A13" w:rsidP="00EE5690">
      <w:pPr>
        <w:pStyle w:val="Bibliography"/>
        <w:jc w:val="left"/>
        <w:rPr>
          <w:rFonts w:cs="Arial"/>
          <w:noProof/>
        </w:rPr>
      </w:pPr>
      <w:r w:rsidRPr="00EE5690">
        <w:rPr>
          <w:rFonts w:cs="Arial"/>
          <w:noProof/>
        </w:rPr>
        <w:t xml:space="preserve">Nave, L. E., Domke, G. M., Hofmeister, K. L., Mishra, U., Perry, C. H., Walters, B. F., &amp; Swanston, C. W. (2018). Reforestation can sequester two petagrams of carbon in US topsoils in a century. </w:t>
      </w:r>
      <w:r w:rsidRPr="00EE5690">
        <w:rPr>
          <w:rFonts w:cs="Arial"/>
          <w:i/>
          <w:iCs/>
          <w:noProof/>
        </w:rPr>
        <w:t>Proceedings of the National Academy of Sciences</w:t>
      </w:r>
      <w:r w:rsidRPr="00EE5690">
        <w:rPr>
          <w:rFonts w:cs="Arial"/>
          <w:noProof/>
        </w:rPr>
        <w:t xml:space="preserve">, </w:t>
      </w:r>
      <w:r w:rsidRPr="00EE5690">
        <w:rPr>
          <w:rFonts w:cs="Arial"/>
          <w:i/>
          <w:iCs/>
          <w:noProof/>
        </w:rPr>
        <w:t>115</w:t>
      </w:r>
      <w:r w:rsidRPr="00EE5690">
        <w:rPr>
          <w:rFonts w:cs="Arial"/>
          <w:noProof/>
        </w:rPr>
        <w:t xml:space="preserve">(11), 2776–2781. </w:t>
      </w:r>
      <w:hyperlink r:id="rId358" w:history="1">
        <w:r w:rsidR="00BF47BA" w:rsidRPr="00783CE9">
          <w:rPr>
            <w:rStyle w:val="Hyperlink"/>
            <w:rFonts w:cs="Arial"/>
            <w:noProof/>
          </w:rPr>
          <w:t>https://doi.org/10.1073/pnas.1719685115</w:t>
        </w:r>
      </w:hyperlink>
    </w:p>
    <w:p w14:paraId="721A27B2" w14:textId="212EAED1" w:rsidR="00BF47BA" w:rsidRPr="00BF47BA" w:rsidRDefault="00BF47BA" w:rsidP="00BF47BA">
      <w:pPr>
        <w:pStyle w:val="Bibliography"/>
        <w:rPr>
          <w:noProof/>
        </w:rPr>
      </w:pPr>
      <w:r w:rsidRPr="00DB35D4">
        <w:rPr>
          <w:noProof/>
        </w:rPr>
        <w:t>Nett, K., &amp; Volters, S. (2017). Leveraging domestic offset projects for a climate-neutral world. Berlin: German Emissions Trading Authority (DEHSt).</w:t>
      </w:r>
    </w:p>
    <w:p w14:paraId="5A4EC7F2" w14:textId="77777777" w:rsidR="00147A13" w:rsidRPr="00EE5690" w:rsidRDefault="00147A13" w:rsidP="00EE5690">
      <w:pPr>
        <w:pStyle w:val="Bibliography"/>
        <w:jc w:val="left"/>
        <w:rPr>
          <w:rFonts w:cs="Arial"/>
          <w:noProof/>
        </w:rPr>
      </w:pPr>
      <w:r w:rsidRPr="00EE5690">
        <w:rPr>
          <w:rFonts w:cs="Arial"/>
          <w:noProof/>
        </w:rPr>
        <w:t xml:space="preserve">Nichols, J. D., Bristow, M., &amp; Vanclay, J. K. (2006). Mixed-species plantations: Prospects and challenges. </w:t>
      </w:r>
      <w:r w:rsidRPr="00EE5690">
        <w:rPr>
          <w:rFonts w:cs="Arial"/>
          <w:i/>
          <w:iCs/>
          <w:noProof/>
        </w:rPr>
        <w:t>Forest Ecology and Management</w:t>
      </w:r>
      <w:r w:rsidRPr="00EE5690">
        <w:rPr>
          <w:rFonts w:cs="Arial"/>
          <w:noProof/>
        </w:rPr>
        <w:t xml:space="preserve">, </w:t>
      </w:r>
      <w:r w:rsidRPr="00EE5690">
        <w:rPr>
          <w:rFonts w:cs="Arial"/>
          <w:i/>
          <w:iCs/>
          <w:noProof/>
        </w:rPr>
        <w:t>233</w:t>
      </w:r>
      <w:r w:rsidRPr="00EE5690">
        <w:rPr>
          <w:rFonts w:cs="Arial"/>
          <w:noProof/>
        </w:rPr>
        <w:t>(2–3), 383–390. https://doi.org/10.1016/j.foreco.2006.07.018</w:t>
      </w:r>
    </w:p>
    <w:p w14:paraId="1B596CBA" w14:textId="5B1C9742" w:rsidR="00147A13" w:rsidRDefault="00147A13" w:rsidP="00A01330">
      <w:pPr>
        <w:pStyle w:val="Bibliography1"/>
        <w:numPr>
          <w:ilvl w:val="0"/>
          <w:numId w:val="4"/>
        </w:numPr>
        <w:ind w:left="0" w:firstLine="0"/>
        <w:jc w:val="left"/>
        <w:rPr>
          <w:rFonts w:cs="Arial"/>
        </w:rPr>
      </w:pPr>
      <w:r w:rsidRPr="00EE5690">
        <w:rPr>
          <w:rFonts w:cs="Arial"/>
        </w:rPr>
        <w:t>O’Driscoll, D. (2018). Carbon Abatement Potential of Reforestation. K4D Helpdesk, Brighton, UK: Institute of Development Studies.</w:t>
      </w:r>
    </w:p>
    <w:p w14:paraId="72E3A6C0" w14:textId="122BC3AA" w:rsidR="00BF47BA" w:rsidRPr="00BF47BA" w:rsidRDefault="00BF47BA" w:rsidP="00BF47BA">
      <w:pPr>
        <w:pStyle w:val="Bibliography"/>
        <w:jc w:val="left"/>
        <w:rPr>
          <w:noProof/>
        </w:rPr>
      </w:pPr>
      <w:bookmarkStart w:id="398" w:name="_Hlk88839934"/>
      <w:r w:rsidRPr="00DB35D4">
        <w:rPr>
          <w:noProof/>
        </w:rPr>
        <w:t>OECD. (2019, Sepetember 2). Retrieved from Organisation for Economic Co-operation and Development: https://www.oecd.org/environment/tools-evaluation/emissiontradingsystems.htm</w:t>
      </w:r>
      <w:bookmarkEnd w:id="398"/>
    </w:p>
    <w:p w14:paraId="50ACDEEE" w14:textId="77777777" w:rsidR="00147A13" w:rsidRPr="00EE5690" w:rsidRDefault="00147A13" w:rsidP="00EE5690">
      <w:pPr>
        <w:pStyle w:val="Bibliography"/>
        <w:jc w:val="left"/>
        <w:rPr>
          <w:rFonts w:cs="Arial"/>
          <w:noProof/>
        </w:rPr>
      </w:pPr>
      <w:r w:rsidRPr="00EE5690">
        <w:rPr>
          <w:rFonts w:cs="Arial"/>
          <w:noProof/>
        </w:rPr>
        <w:t xml:space="preserve">Oliver, C. D., Nassar, N. T., Lippke, B. R., &amp; McCarter, J. B. (2014). Carbon, Fossil Fuel, and Biodiversity Mitigation With Wood and Forests. </w:t>
      </w:r>
      <w:r w:rsidRPr="00EE5690">
        <w:rPr>
          <w:rFonts w:cs="Arial"/>
          <w:i/>
          <w:iCs/>
          <w:noProof/>
        </w:rPr>
        <w:t>Journal of Sustainable Forestry</w:t>
      </w:r>
      <w:r w:rsidRPr="00EE5690">
        <w:rPr>
          <w:rFonts w:cs="Arial"/>
          <w:noProof/>
        </w:rPr>
        <w:t xml:space="preserve">, </w:t>
      </w:r>
      <w:r w:rsidRPr="00EE5690">
        <w:rPr>
          <w:rFonts w:cs="Arial"/>
          <w:i/>
          <w:iCs/>
          <w:noProof/>
        </w:rPr>
        <w:t>33</w:t>
      </w:r>
      <w:r w:rsidRPr="00EE5690">
        <w:rPr>
          <w:rFonts w:cs="Arial"/>
          <w:noProof/>
        </w:rPr>
        <w:t>(3), 248–275. https://doi.org/10.1080/10549811.2013.839386</w:t>
      </w:r>
    </w:p>
    <w:p w14:paraId="12F1359E" w14:textId="77777777" w:rsidR="00147A13" w:rsidRPr="00EE5690" w:rsidRDefault="00147A13" w:rsidP="00EE5690">
      <w:pPr>
        <w:pStyle w:val="Bibliography"/>
        <w:jc w:val="left"/>
        <w:rPr>
          <w:rFonts w:cs="Arial"/>
          <w:noProof/>
        </w:rPr>
      </w:pPr>
      <w:r w:rsidRPr="00EE5690">
        <w:rPr>
          <w:rFonts w:cs="Arial"/>
          <w:noProof/>
        </w:rPr>
        <w:t xml:space="preserve">Osuri, A. M., Gopal, A., Raman, T. R. S., Defries, R., Cook-Patton, S. C., &amp; Naeem, S. (2020). Greater stability of carbon capture in species-rich natural forests compared to species-poor plantations. </w:t>
      </w:r>
      <w:r w:rsidRPr="00EE5690">
        <w:rPr>
          <w:rFonts w:cs="Arial"/>
          <w:i/>
          <w:iCs/>
          <w:noProof/>
        </w:rPr>
        <w:t>Environmental Research Letters</w:t>
      </w:r>
      <w:r w:rsidRPr="00EE5690">
        <w:rPr>
          <w:rFonts w:cs="Arial"/>
          <w:noProof/>
        </w:rPr>
        <w:t xml:space="preserve">, </w:t>
      </w:r>
      <w:r w:rsidRPr="00EE5690">
        <w:rPr>
          <w:rFonts w:cs="Arial"/>
          <w:i/>
          <w:iCs/>
          <w:noProof/>
        </w:rPr>
        <w:t>15</w:t>
      </w:r>
      <w:r w:rsidRPr="00EE5690">
        <w:rPr>
          <w:rFonts w:cs="Arial"/>
          <w:noProof/>
        </w:rPr>
        <w:t>(3). https://doi.org/10.1088/1748-9326/ab5f75</w:t>
      </w:r>
    </w:p>
    <w:p w14:paraId="4AA2AA1E" w14:textId="1B666840" w:rsidR="00147A13" w:rsidRPr="00EE5690" w:rsidRDefault="00147A13" w:rsidP="00A01330">
      <w:pPr>
        <w:pStyle w:val="Bibliography1"/>
        <w:numPr>
          <w:ilvl w:val="0"/>
          <w:numId w:val="4"/>
        </w:numPr>
        <w:ind w:left="0" w:firstLine="0"/>
        <w:jc w:val="left"/>
        <w:rPr>
          <w:rFonts w:cs="Arial"/>
        </w:rPr>
      </w:pPr>
      <w:r w:rsidRPr="00EE5690">
        <w:rPr>
          <w:rFonts w:cs="Arial"/>
        </w:rPr>
        <w:t xml:space="preserve">Pan European Guidelines for Afforestation and Reforestation with a special focus on the provision of the UNFCCC, 2008. </w:t>
      </w:r>
      <w:hyperlink r:id="rId359" w:history="1">
        <w:r w:rsidRPr="00EE5690">
          <w:rPr>
            <w:rStyle w:val="Hyperlink"/>
            <w:rFonts w:cs="Arial"/>
          </w:rPr>
          <w:t>https://www.foresteurope.org/docs/other_meetings/2008/Geneva/Guidelines_Aff_Ref_ADOPTED.pdf</w:t>
        </w:r>
      </w:hyperlink>
      <w:r w:rsidRPr="00EE5690">
        <w:rPr>
          <w:rFonts w:cs="Arial"/>
        </w:rPr>
        <w:t xml:space="preserve"> </w:t>
      </w:r>
    </w:p>
    <w:p w14:paraId="5D6511D2" w14:textId="17991D82" w:rsidR="00147A13" w:rsidRDefault="00147A13" w:rsidP="00EE5690">
      <w:pPr>
        <w:pStyle w:val="Bibliography"/>
        <w:jc w:val="left"/>
        <w:rPr>
          <w:rFonts w:cs="Arial"/>
        </w:rPr>
      </w:pPr>
      <w:r w:rsidRPr="00EE5690">
        <w:rPr>
          <w:rFonts w:cs="Arial"/>
        </w:rPr>
        <w:lastRenderedPageBreak/>
        <w:t xml:space="preserve">PAP/RAC, Priority Actions Programme, in framework of Regional Activity Centre Mediterranean Action Plan (1999). Coastal Area Management Programme (CAMP) </w:t>
      </w:r>
      <w:proofErr w:type="spellStart"/>
      <w:r w:rsidRPr="00EE5690">
        <w:rPr>
          <w:rFonts w:cs="Arial"/>
        </w:rPr>
        <w:t>Fuka-Matrouh</w:t>
      </w:r>
      <w:proofErr w:type="spellEnd"/>
      <w:r w:rsidRPr="00EE5690">
        <w:rPr>
          <w:rFonts w:cs="Arial"/>
        </w:rPr>
        <w:t xml:space="preserve"> – Egypt. Carrying capacity assessment for tourism development. Split: Regional Activity Centre.</w:t>
      </w:r>
    </w:p>
    <w:p w14:paraId="680DC88F" w14:textId="0A652896" w:rsidR="00DB762F" w:rsidRPr="00DB762F" w:rsidRDefault="00DB762F" w:rsidP="00DB762F">
      <w:pPr>
        <w:pStyle w:val="Bibliography"/>
        <w:jc w:val="left"/>
        <w:rPr>
          <w:noProof/>
        </w:rPr>
      </w:pPr>
      <w:r w:rsidRPr="00DB35D4">
        <w:rPr>
          <w:noProof/>
        </w:rPr>
        <w:t>Partnership, I. C. (2019, April 9). ETS Detailed Information. Retrieved from International Carbon Action Partnership: https://icapcarbonaction.com/en/?option=com_etsmap&amp;task=export&amp;format=pdf&amp;layout=list</w:t>
      </w:r>
    </w:p>
    <w:p w14:paraId="096985BA" w14:textId="77777777" w:rsidR="00147A13" w:rsidRPr="00EE5690" w:rsidRDefault="00147A13" w:rsidP="00EE5690">
      <w:pPr>
        <w:pStyle w:val="Bibliography"/>
        <w:jc w:val="left"/>
        <w:rPr>
          <w:rFonts w:cs="Arial"/>
          <w:noProof/>
        </w:rPr>
      </w:pPr>
      <w:r w:rsidRPr="00EE5690">
        <w:rPr>
          <w:rFonts w:cs="Arial"/>
          <w:noProof/>
          <w:lang w:val="de-DE"/>
        </w:rPr>
        <w:t xml:space="preserve">Paquette, A., Hector, A., Castagneyrol, B., Vanhellemont, M., Koricheva, J., Scherer-Lorenzen, M., &amp; Verheyen, K. (2018). </w:t>
      </w:r>
      <w:r w:rsidRPr="00EE5690">
        <w:rPr>
          <w:rFonts w:cs="Arial"/>
          <w:noProof/>
        </w:rPr>
        <w:t xml:space="preserve">A million and more trees for science. </w:t>
      </w:r>
      <w:r w:rsidRPr="00EE5690">
        <w:rPr>
          <w:rFonts w:cs="Arial"/>
          <w:i/>
          <w:iCs/>
          <w:noProof/>
        </w:rPr>
        <w:t>Nature Ecology &amp; Evolution</w:t>
      </w:r>
      <w:r w:rsidRPr="00EE5690">
        <w:rPr>
          <w:rFonts w:cs="Arial"/>
          <w:noProof/>
        </w:rPr>
        <w:t xml:space="preserve">, </w:t>
      </w:r>
      <w:r w:rsidRPr="00EE5690">
        <w:rPr>
          <w:rFonts w:cs="Arial"/>
          <w:i/>
          <w:iCs/>
          <w:noProof/>
        </w:rPr>
        <w:t>2</w:t>
      </w:r>
      <w:r w:rsidRPr="00EE5690">
        <w:rPr>
          <w:rFonts w:cs="Arial"/>
          <w:noProof/>
        </w:rPr>
        <w:t>(5), 763–766. https://doi.org/10.1038/s41559-018-0544-0</w:t>
      </w:r>
    </w:p>
    <w:p w14:paraId="303BDB48" w14:textId="77777777" w:rsidR="00147A13" w:rsidRPr="00EE5690" w:rsidRDefault="00147A13" w:rsidP="00EE5690">
      <w:pPr>
        <w:pStyle w:val="Bibliography"/>
        <w:jc w:val="left"/>
        <w:rPr>
          <w:rFonts w:cs="Arial"/>
          <w:noProof/>
        </w:rPr>
      </w:pPr>
      <w:r w:rsidRPr="00EE5690">
        <w:rPr>
          <w:rFonts w:cs="Arial"/>
          <w:noProof/>
        </w:rPr>
        <w:t xml:space="preserve">Paustian, K., Six, J., Elliott, E., &amp; Hunt, H. (2000). Management options for reducing CO2 emissions from agricultural soils. </w:t>
      </w:r>
      <w:r w:rsidRPr="00EE5690">
        <w:rPr>
          <w:rFonts w:cs="Arial"/>
          <w:i/>
          <w:iCs/>
          <w:noProof/>
        </w:rPr>
        <w:t>Biochemistry</w:t>
      </w:r>
      <w:r w:rsidRPr="00EE5690">
        <w:rPr>
          <w:rFonts w:cs="Arial"/>
          <w:noProof/>
        </w:rPr>
        <w:t xml:space="preserve">, </w:t>
      </w:r>
      <w:r w:rsidRPr="00EE5690">
        <w:rPr>
          <w:rFonts w:cs="Arial"/>
          <w:i/>
          <w:iCs/>
          <w:noProof/>
        </w:rPr>
        <w:t>97</w:t>
      </w:r>
      <w:r w:rsidRPr="00EE5690">
        <w:rPr>
          <w:rFonts w:cs="Arial"/>
          <w:noProof/>
        </w:rPr>
        <w:t>(1–4), 131–141. https://doi.org/10.1023/A</w:t>
      </w:r>
    </w:p>
    <w:p w14:paraId="0358212B" w14:textId="77777777" w:rsidR="00147A13" w:rsidRPr="00EE5690" w:rsidRDefault="00147A13" w:rsidP="00A01330">
      <w:pPr>
        <w:pStyle w:val="Bibliography1"/>
        <w:numPr>
          <w:ilvl w:val="0"/>
          <w:numId w:val="4"/>
        </w:numPr>
        <w:ind w:left="0" w:firstLine="0"/>
        <w:jc w:val="left"/>
        <w:rPr>
          <w:rFonts w:cs="Arial"/>
        </w:rPr>
      </w:pPr>
      <w:r w:rsidRPr="00EE5690">
        <w:rPr>
          <w:rFonts w:cs="Arial"/>
        </w:rPr>
        <w:t>Pearce, D. (1989). Tourism Development. London: Harlow.</w:t>
      </w:r>
    </w:p>
    <w:p w14:paraId="66FD1116" w14:textId="42BA150C" w:rsidR="00147A13" w:rsidRDefault="00147A13" w:rsidP="00EE5690">
      <w:pPr>
        <w:pStyle w:val="Bibliography"/>
        <w:jc w:val="left"/>
        <w:rPr>
          <w:rFonts w:cs="Arial"/>
          <w:noProof/>
        </w:rPr>
      </w:pPr>
      <w:r w:rsidRPr="00EE5690">
        <w:rPr>
          <w:rFonts w:cs="Arial"/>
          <w:noProof/>
        </w:rPr>
        <w:t xml:space="preserve">Pechony, O., &amp; Shindell, D. T. (2010). Driving forces of global wildfires over the past millennium and the forthcoming century. </w:t>
      </w:r>
      <w:r w:rsidRPr="00EE5690">
        <w:rPr>
          <w:rFonts w:cs="Arial"/>
          <w:i/>
          <w:iCs/>
          <w:noProof/>
        </w:rPr>
        <w:t>Proceedings of the National Academy of Sciences</w:t>
      </w:r>
      <w:r w:rsidRPr="00EE5690">
        <w:rPr>
          <w:rFonts w:cs="Arial"/>
          <w:noProof/>
        </w:rPr>
        <w:t xml:space="preserve">, </w:t>
      </w:r>
      <w:r w:rsidRPr="00EE5690">
        <w:rPr>
          <w:rFonts w:cs="Arial"/>
          <w:i/>
          <w:iCs/>
          <w:noProof/>
        </w:rPr>
        <w:t>107</w:t>
      </w:r>
      <w:r w:rsidRPr="00EE5690">
        <w:rPr>
          <w:rFonts w:cs="Arial"/>
          <w:noProof/>
        </w:rPr>
        <w:t xml:space="preserve">(45), 19167–19170. </w:t>
      </w:r>
      <w:hyperlink r:id="rId360" w:history="1">
        <w:r w:rsidR="00DB762F" w:rsidRPr="00783CE9">
          <w:rPr>
            <w:rStyle w:val="Hyperlink"/>
            <w:rFonts w:cs="Arial"/>
            <w:noProof/>
          </w:rPr>
          <w:t>https://doi.org/10.1073/pnas.1003669107</w:t>
        </w:r>
      </w:hyperlink>
    </w:p>
    <w:p w14:paraId="17AF467C" w14:textId="77777777" w:rsidR="00DB762F" w:rsidRPr="00DB35D4" w:rsidRDefault="00DB762F" w:rsidP="00DB762F">
      <w:pPr>
        <w:pStyle w:val="Bibliography"/>
        <w:rPr>
          <w:noProof/>
        </w:rPr>
      </w:pPr>
      <w:r w:rsidRPr="00DB35D4">
        <w:rPr>
          <w:noProof/>
        </w:rPr>
        <w:t>Plan Vivo. (2008). The Plan Vivo System and Standards (Issue February).</w:t>
      </w:r>
    </w:p>
    <w:p w14:paraId="3A2FCE80" w14:textId="77777777" w:rsidR="00DB762F" w:rsidRPr="001428D9" w:rsidRDefault="00DB762F" w:rsidP="00DB762F">
      <w:pPr>
        <w:pStyle w:val="Bibliography"/>
        <w:rPr>
          <w:noProof/>
        </w:rPr>
      </w:pPr>
      <w:r w:rsidRPr="001428D9">
        <w:rPr>
          <w:noProof/>
        </w:rPr>
        <w:t>Plan Vivo. (2013). Plan Vivo Standard.</w:t>
      </w:r>
    </w:p>
    <w:p w14:paraId="21E919AA" w14:textId="7FFFFCD7" w:rsidR="00DB762F" w:rsidRPr="00DB762F" w:rsidRDefault="00DB762F" w:rsidP="00DB762F">
      <w:pPr>
        <w:pStyle w:val="Bibliography"/>
        <w:rPr>
          <w:noProof/>
        </w:rPr>
      </w:pPr>
      <w:r w:rsidRPr="00DB35D4">
        <w:rPr>
          <w:noProof/>
        </w:rPr>
        <w:t>Plan Vivo Foundation. (2013). The Plan Vivo Standard for Community Payments for Ecosystem Services Programmes. Www.Planvivo.Org.</w:t>
      </w:r>
    </w:p>
    <w:p w14:paraId="1585681D" w14:textId="77777777" w:rsidR="00147A13" w:rsidRPr="00EE5690" w:rsidRDefault="00147A13" w:rsidP="00EE5690">
      <w:pPr>
        <w:pStyle w:val="Bibliography"/>
        <w:jc w:val="left"/>
        <w:rPr>
          <w:rFonts w:cs="Arial"/>
          <w:noProof/>
        </w:rPr>
      </w:pPr>
      <w:r w:rsidRPr="00EE5690">
        <w:rPr>
          <w:rFonts w:cs="Arial"/>
          <w:noProof/>
        </w:rPr>
        <w:t xml:space="preserve">Pogson, M., Richards, M., Dondini, M., Jones, E. O., Hastings, A., &amp; Smith, P. (2016). ELUM: A spatial modelling tool to predict soil greenhouse gas changes from land conversion to bioenergy in the UK. </w:t>
      </w:r>
      <w:r w:rsidRPr="00EE5690">
        <w:rPr>
          <w:rFonts w:cs="Arial"/>
          <w:i/>
          <w:iCs/>
          <w:noProof/>
        </w:rPr>
        <w:t>Environmental Modelling and Software</w:t>
      </w:r>
      <w:r w:rsidRPr="00EE5690">
        <w:rPr>
          <w:rFonts w:cs="Arial"/>
          <w:noProof/>
        </w:rPr>
        <w:t xml:space="preserve">, </w:t>
      </w:r>
      <w:r w:rsidRPr="00EE5690">
        <w:rPr>
          <w:rFonts w:cs="Arial"/>
          <w:i/>
          <w:iCs/>
          <w:noProof/>
        </w:rPr>
        <w:t>84</w:t>
      </w:r>
      <w:r w:rsidRPr="00EE5690">
        <w:rPr>
          <w:rFonts w:cs="Arial"/>
          <w:noProof/>
        </w:rPr>
        <w:t>(October), 458–466. https://doi.org/10.1016/j.envsoft.2016.07.011</w:t>
      </w:r>
    </w:p>
    <w:p w14:paraId="39F7E253" w14:textId="77C6573B" w:rsidR="00147A13" w:rsidRDefault="00147A13" w:rsidP="00EE5690">
      <w:pPr>
        <w:pStyle w:val="Bibliography"/>
        <w:jc w:val="left"/>
        <w:rPr>
          <w:rFonts w:cs="Arial"/>
          <w:noProof/>
        </w:rPr>
      </w:pPr>
      <w:r w:rsidRPr="00EE5690">
        <w:rPr>
          <w:rFonts w:cs="Arial"/>
          <w:noProof/>
        </w:rPr>
        <w:t xml:space="preserve">Pomponi, F., Hart, J., Arehart, J. H., &amp; D’Amico, B. (2020). Buildings as a Global Carbon Sink? A Reality Check on Feasibility Limits. </w:t>
      </w:r>
      <w:r w:rsidRPr="00EE5690">
        <w:rPr>
          <w:rFonts w:cs="Arial"/>
          <w:i/>
          <w:iCs/>
          <w:noProof/>
        </w:rPr>
        <w:t>One Earth</w:t>
      </w:r>
      <w:r w:rsidRPr="00EE5690">
        <w:rPr>
          <w:rFonts w:cs="Arial"/>
          <w:noProof/>
        </w:rPr>
        <w:t xml:space="preserve">, </w:t>
      </w:r>
      <w:r w:rsidRPr="00EE5690">
        <w:rPr>
          <w:rFonts w:cs="Arial"/>
          <w:i/>
          <w:iCs/>
          <w:noProof/>
        </w:rPr>
        <w:t>3</w:t>
      </w:r>
      <w:r w:rsidRPr="00EE5690">
        <w:rPr>
          <w:rFonts w:cs="Arial"/>
          <w:noProof/>
        </w:rPr>
        <w:t xml:space="preserve">(2), 157–161. </w:t>
      </w:r>
      <w:hyperlink r:id="rId361" w:history="1">
        <w:r w:rsidR="008C11B7" w:rsidRPr="00783CE9">
          <w:rPr>
            <w:rStyle w:val="Hyperlink"/>
            <w:rFonts w:cs="Arial"/>
            <w:noProof/>
          </w:rPr>
          <w:t>https://doi.org/10.1016/j.oneear.2020.07.018</w:t>
        </w:r>
      </w:hyperlink>
    </w:p>
    <w:p w14:paraId="54F979CC" w14:textId="0F0D6587" w:rsidR="008C11B7" w:rsidRDefault="008C11B7" w:rsidP="008C11B7">
      <w:pPr>
        <w:pStyle w:val="Bibliography"/>
        <w:jc w:val="left"/>
        <w:rPr>
          <w:noProof/>
        </w:rPr>
      </w:pPr>
      <w:r w:rsidRPr="00DB35D4">
        <w:rPr>
          <w:noProof/>
        </w:rPr>
        <w:t xml:space="preserve">Porsche. (2019, September 11). Retrieved from Porsche: </w:t>
      </w:r>
      <w:hyperlink r:id="rId362" w:history="1">
        <w:r w:rsidRPr="00783CE9">
          <w:rPr>
            <w:rStyle w:val="Hyperlink"/>
            <w:noProof/>
          </w:rPr>
          <w:t>https://www.motorauthority.com/news/1124408_porsche-announces-carbon-offset-program-for-us</w:t>
        </w:r>
      </w:hyperlink>
    </w:p>
    <w:p w14:paraId="55C0EC8C" w14:textId="0467D1A6" w:rsidR="008C11B7" w:rsidRPr="008C11B7" w:rsidRDefault="008C11B7" w:rsidP="008C11B7">
      <w:pPr>
        <w:pStyle w:val="Bibliography"/>
        <w:rPr>
          <w:noProof/>
        </w:rPr>
      </w:pPr>
      <w:r w:rsidRPr="00DB35D4">
        <w:rPr>
          <w:noProof/>
        </w:rPr>
        <w:lastRenderedPageBreak/>
        <w:t>Ramstein , C., Dominioni, G., &amp; Ettehad, S. (2019). State and Trends of Carbon Pricing 2019. Washington DC: World Bank Group.</w:t>
      </w:r>
    </w:p>
    <w:p w14:paraId="75B2500F" w14:textId="77777777" w:rsidR="00147A13" w:rsidRPr="00EE5690" w:rsidRDefault="00147A13" w:rsidP="00EE5690">
      <w:pPr>
        <w:pStyle w:val="Bibliography"/>
        <w:jc w:val="left"/>
        <w:rPr>
          <w:rFonts w:cs="Arial"/>
          <w:noProof/>
        </w:rPr>
      </w:pPr>
      <w:r w:rsidRPr="00EE5690">
        <w:rPr>
          <w:rFonts w:cs="Arial"/>
          <w:noProof/>
        </w:rPr>
        <w:t xml:space="preserve">Ratcliffe, S., Wirth, C., Jucker, T., van der Plas, F., Scherer-Lorenzen, M., Verheyen, K., Allan, E., Benavides, R., Bruelheide, H., Ohse, B., Paquette, A., Ampoorter, E., Bastias, C. C., Bauhus, J., Bonal, D., Bouriaud, O., Bussotti, F., Carnol, M., Castagneyrol, B., … Baeten, L. (2017). Biodiversity and ecosystem functioning relations in European forests depend on environmental context. </w:t>
      </w:r>
      <w:r w:rsidRPr="00EE5690">
        <w:rPr>
          <w:rFonts w:cs="Arial"/>
          <w:i/>
          <w:iCs/>
          <w:noProof/>
        </w:rPr>
        <w:t>Ecology Letters</w:t>
      </w:r>
      <w:r w:rsidRPr="00EE5690">
        <w:rPr>
          <w:rFonts w:cs="Arial"/>
          <w:noProof/>
        </w:rPr>
        <w:t xml:space="preserve">, </w:t>
      </w:r>
      <w:r w:rsidRPr="00EE5690">
        <w:rPr>
          <w:rFonts w:cs="Arial"/>
          <w:i/>
          <w:iCs/>
          <w:noProof/>
        </w:rPr>
        <w:t>20</w:t>
      </w:r>
      <w:r w:rsidRPr="00EE5690">
        <w:rPr>
          <w:rFonts w:cs="Arial"/>
          <w:noProof/>
        </w:rPr>
        <w:t>(11), 1414–1426. https://doi.org/10.1111/ele.12849</w:t>
      </w:r>
    </w:p>
    <w:p w14:paraId="54B63B58" w14:textId="77777777" w:rsidR="00147A13" w:rsidRPr="00EE5690" w:rsidRDefault="00147A13" w:rsidP="00EE5690">
      <w:pPr>
        <w:pStyle w:val="Bibliography"/>
        <w:jc w:val="left"/>
        <w:rPr>
          <w:rFonts w:cs="Arial"/>
          <w:noProof/>
        </w:rPr>
      </w:pPr>
      <w:r w:rsidRPr="00EE5690">
        <w:rPr>
          <w:rFonts w:cs="Arial"/>
          <w:noProof/>
        </w:rPr>
        <w:t xml:space="preserve">Richards, K. R., &amp; Stokes, C. (2004). a Review of Forest Carbon Sequestration Cost Studies. </w:t>
      </w:r>
      <w:r w:rsidRPr="00EE5690">
        <w:rPr>
          <w:rFonts w:cs="Arial"/>
          <w:i/>
          <w:iCs/>
          <w:noProof/>
        </w:rPr>
        <w:t>Climatic Change</w:t>
      </w:r>
      <w:r w:rsidRPr="00EE5690">
        <w:rPr>
          <w:rFonts w:cs="Arial"/>
          <w:noProof/>
        </w:rPr>
        <w:t xml:space="preserve">, </w:t>
      </w:r>
      <w:r w:rsidRPr="00EE5690">
        <w:rPr>
          <w:rFonts w:cs="Arial"/>
          <w:i/>
          <w:iCs/>
          <w:noProof/>
        </w:rPr>
        <w:t>63</w:t>
      </w:r>
      <w:r w:rsidRPr="00EE5690">
        <w:rPr>
          <w:rFonts w:cs="Arial"/>
          <w:noProof/>
        </w:rPr>
        <w:t>(1993), 1–48.</w:t>
      </w:r>
    </w:p>
    <w:p w14:paraId="6E0F8E62" w14:textId="77777777" w:rsidR="00147A13" w:rsidRPr="00EE5690" w:rsidRDefault="00147A13" w:rsidP="00EE5690">
      <w:pPr>
        <w:pStyle w:val="Bibliography"/>
        <w:jc w:val="left"/>
        <w:rPr>
          <w:rFonts w:cs="Arial"/>
          <w:noProof/>
        </w:rPr>
      </w:pPr>
      <w:r w:rsidRPr="00EE5690">
        <w:rPr>
          <w:rFonts w:cs="Arial"/>
          <w:noProof/>
        </w:rPr>
        <w:t xml:space="preserve">Richards, K., &amp; Andersson, K. (2001). The leaky sink: Persistent obstacles to a forest carbon sequestration program based on individual projects. </w:t>
      </w:r>
      <w:r w:rsidRPr="00EE5690">
        <w:rPr>
          <w:rFonts w:cs="Arial"/>
          <w:i/>
          <w:iCs/>
          <w:noProof/>
        </w:rPr>
        <w:t>Climate Policy</w:t>
      </w:r>
      <w:r w:rsidRPr="00EE5690">
        <w:rPr>
          <w:rFonts w:cs="Arial"/>
          <w:noProof/>
        </w:rPr>
        <w:t xml:space="preserve">, </w:t>
      </w:r>
      <w:r w:rsidRPr="00EE5690">
        <w:rPr>
          <w:rFonts w:cs="Arial"/>
          <w:i/>
          <w:iCs/>
          <w:noProof/>
        </w:rPr>
        <w:t>1</w:t>
      </w:r>
      <w:r w:rsidRPr="00EE5690">
        <w:rPr>
          <w:rFonts w:cs="Arial"/>
          <w:noProof/>
        </w:rPr>
        <w:t>(1), 41–54. https://doi.org/10.3763/cpol.2001.0105</w:t>
      </w:r>
    </w:p>
    <w:p w14:paraId="65D649A0" w14:textId="0FFC9F86" w:rsidR="00147A13" w:rsidRDefault="00147A13" w:rsidP="00EE5690">
      <w:pPr>
        <w:pStyle w:val="Bibliography"/>
        <w:jc w:val="left"/>
        <w:rPr>
          <w:rFonts w:cs="Arial"/>
          <w:noProof/>
        </w:rPr>
      </w:pPr>
      <w:r w:rsidRPr="00EE5690">
        <w:rPr>
          <w:rFonts w:cs="Arial"/>
          <w:noProof/>
        </w:rPr>
        <w:t xml:space="preserve">Saito, T., &amp; Rehmsmeier, M. (2015). The Precision-Recall Plot Is More Informative than the ROC Plot When Evaluating Binary Classifiers on Imbalanced Datasets. </w:t>
      </w:r>
      <w:r w:rsidRPr="00EE5690">
        <w:rPr>
          <w:rFonts w:cs="Arial"/>
          <w:i/>
          <w:iCs/>
          <w:noProof/>
        </w:rPr>
        <w:t>PLOS ONE</w:t>
      </w:r>
      <w:r w:rsidRPr="00EE5690">
        <w:rPr>
          <w:rFonts w:cs="Arial"/>
          <w:noProof/>
        </w:rPr>
        <w:t xml:space="preserve">, </w:t>
      </w:r>
      <w:r w:rsidRPr="00EE5690">
        <w:rPr>
          <w:rFonts w:cs="Arial"/>
          <w:i/>
          <w:iCs/>
          <w:noProof/>
        </w:rPr>
        <w:t>10</w:t>
      </w:r>
      <w:r w:rsidRPr="00EE5690">
        <w:rPr>
          <w:rFonts w:cs="Arial"/>
          <w:noProof/>
        </w:rPr>
        <w:t xml:space="preserve">(3), e0118432. </w:t>
      </w:r>
      <w:hyperlink r:id="rId363" w:history="1">
        <w:r w:rsidR="00A94BD1" w:rsidRPr="00783CE9">
          <w:rPr>
            <w:rStyle w:val="Hyperlink"/>
            <w:rFonts w:cs="Arial"/>
            <w:noProof/>
          </w:rPr>
          <w:t>https://doi.org/10.1371/journal.pone.0118432</w:t>
        </w:r>
      </w:hyperlink>
    </w:p>
    <w:p w14:paraId="7D474573" w14:textId="35F35ED1" w:rsidR="00A94BD1" w:rsidRPr="00A94BD1" w:rsidRDefault="00A94BD1" w:rsidP="00A94BD1">
      <w:pPr>
        <w:pStyle w:val="Bibliography"/>
        <w:rPr>
          <w:noProof/>
        </w:rPr>
      </w:pPr>
      <w:r w:rsidRPr="00DB35D4">
        <w:rPr>
          <w:noProof/>
          <w:lang w:val="de-DE"/>
        </w:rPr>
        <w:t xml:space="preserve">Santikarn, M., Li, L., La Hoz Theuer, S., &amp; Haug, C. (2018). </w:t>
      </w:r>
      <w:r w:rsidRPr="00DB35D4">
        <w:rPr>
          <w:noProof/>
        </w:rPr>
        <w:t>A Guide to Linking Emissions Trading Systems. Berlin: Dallas Burtraw, Michael Mehling.</w:t>
      </w:r>
    </w:p>
    <w:p w14:paraId="68D35B0F" w14:textId="698082FC" w:rsidR="00147A13" w:rsidRDefault="00147A13" w:rsidP="00EE5690">
      <w:pPr>
        <w:pStyle w:val="Bibliography"/>
        <w:jc w:val="left"/>
        <w:rPr>
          <w:rFonts w:cs="Arial"/>
          <w:noProof/>
        </w:rPr>
      </w:pPr>
      <w:r w:rsidRPr="00EE5690">
        <w:rPr>
          <w:rFonts w:cs="Arial"/>
          <w:noProof/>
        </w:rPr>
        <w:t xml:space="preserve">Sathre, R., &amp; O’Connor, J. (2010). Meta-analysis of greenhouse gas displacement factors of wood product substitution. </w:t>
      </w:r>
      <w:r w:rsidRPr="00EE5690">
        <w:rPr>
          <w:rFonts w:cs="Arial"/>
          <w:i/>
          <w:iCs/>
          <w:noProof/>
        </w:rPr>
        <w:t>Environmental Science and Policy</w:t>
      </w:r>
      <w:r w:rsidRPr="00EE5690">
        <w:rPr>
          <w:rFonts w:cs="Arial"/>
          <w:noProof/>
        </w:rPr>
        <w:t xml:space="preserve">, </w:t>
      </w:r>
      <w:r w:rsidRPr="00EE5690">
        <w:rPr>
          <w:rFonts w:cs="Arial"/>
          <w:i/>
          <w:iCs/>
          <w:noProof/>
        </w:rPr>
        <w:t>13</w:t>
      </w:r>
      <w:r w:rsidRPr="00EE5690">
        <w:rPr>
          <w:rFonts w:cs="Arial"/>
          <w:noProof/>
        </w:rPr>
        <w:t xml:space="preserve">(2), 104–114. </w:t>
      </w:r>
      <w:hyperlink r:id="rId364" w:history="1">
        <w:r w:rsidR="00A94BD1" w:rsidRPr="00783CE9">
          <w:rPr>
            <w:rStyle w:val="Hyperlink"/>
            <w:rFonts w:cs="Arial"/>
            <w:noProof/>
          </w:rPr>
          <w:t>https://doi.org/10.1016/j.envsci.2009.12.005</w:t>
        </w:r>
      </w:hyperlink>
    </w:p>
    <w:p w14:paraId="306DF9BF" w14:textId="77777777" w:rsidR="00A94BD1" w:rsidRPr="00DB35D4" w:rsidRDefault="00A94BD1" w:rsidP="00A94BD1">
      <w:pPr>
        <w:pStyle w:val="Bibliography"/>
        <w:rPr>
          <w:noProof/>
        </w:rPr>
      </w:pPr>
      <w:r w:rsidRPr="00DB35D4">
        <w:rPr>
          <w:noProof/>
        </w:rPr>
        <w:t>Schaltegger, S., Zvezdov, D., Guenther, E., Csutora , M., &amp; Alvarez, I. (2015). Corporate Carbon and Climate Change Accounting: Application, Developments and Issues. Springer.</w:t>
      </w:r>
    </w:p>
    <w:p w14:paraId="06D51F5D" w14:textId="722B2C51" w:rsidR="00A94BD1" w:rsidRPr="00A94BD1" w:rsidRDefault="00A94BD1" w:rsidP="00A94BD1">
      <w:pPr>
        <w:pStyle w:val="Bibliography"/>
        <w:rPr>
          <w:noProof/>
        </w:rPr>
      </w:pPr>
      <w:r w:rsidRPr="00DB35D4">
        <w:rPr>
          <w:noProof/>
        </w:rPr>
        <w:t>Schmidt, L., &amp; Gerber, K. (2016). A comparison of carbon market standards for REDD+ projects. 32. https://germanwatch.org/en/download/17247.pdf</w:t>
      </w:r>
    </w:p>
    <w:p w14:paraId="0F5949C9" w14:textId="77777777" w:rsidR="00147A13" w:rsidRPr="00EE5690" w:rsidRDefault="00147A13" w:rsidP="00EE5690">
      <w:pPr>
        <w:pStyle w:val="Bibliography"/>
        <w:jc w:val="left"/>
        <w:rPr>
          <w:rFonts w:cs="Arial"/>
          <w:noProof/>
        </w:rPr>
      </w:pPr>
      <w:r w:rsidRPr="00EE5690">
        <w:rPr>
          <w:rFonts w:cs="Arial"/>
          <w:noProof/>
          <w:lang w:val="de-DE"/>
        </w:rPr>
        <w:t xml:space="preserve">Schmidt, M. W. I., Torn, M. S., Abiven, S., Dittmar, T., Guggenberger, G., Janssens, I. A., Kleber, M., Kögel-Knabner, I., Lehmann, J., Manning, D. A. C., Nannipieri, P., Rasse, D. P., Weiner, S., &amp; Trumbore, S. E. (2011). </w:t>
      </w:r>
      <w:r w:rsidRPr="00EE5690">
        <w:rPr>
          <w:rFonts w:cs="Arial"/>
          <w:noProof/>
        </w:rPr>
        <w:t xml:space="preserve">Persistence of soil organic matter as an ecosystem property. </w:t>
      </w:r>
      <w:r w:rsidRPr="00EE5690">
        <w:rPr>
          <w:rFonts w:cs="Arial"/>
          <w:i/>
          <w:iCs/>
          <w:noProof/>
        </w:rPr>
        <w:t>Nature</w:t>
      </w:r>
      <w:r w:rsidRPr="00EE5690">
        <w:rPr>
          <w:rFonts w:cs="Arial"/>
          <w:noProof/>
        </w:rPr>
        <w:t xml:space="preserve">, </w:t>
      </w:r>
      <w:r w:rsidRPr="00EE5690">
        <w:rPr>
          <w:rFonts w:cs="Arial"/>
          <w:i/>
          <w:iCs/>
          <w:noProof/>
        </w:rPr>
        <w:t>478</w:t>
      </w:r>
      <w:r w:rsidRPr="00EE5690">
        <w:rPr>
          <w:rFonts w:cs="Arial"/>
          <w:noProof/>
        </w:rPr>
        <w:t>(7367), 49–56. https://doi.org/10.1038/nature10386</w:t>
      </w:r>
    </w:p>
    <w:p w14:paraId="6F7056BE" w14:textId="77777777" w:rsidR="00147A13" w:rsidRPr="00EE5690" w:rsidRDefault="00147A13" w:rsidP="00EE5690">
      <w:pPr>
        <w:pStyle w:val="Bibliography"/>
        <w:jc w:val="left"/>
        <w:rPr>
          <w:rFonts w:cs="Arial"/>
          <w:noProof/>
        </w:rPr>
      </w:pPr>
      <w:r w:rsidRPr="00EE5690">
        <w:rPr>
          <w:rFonts w:cs="Arial"/>
          <w:noProof/>
        </w:rPr>
        <w:lastRenderedPageBreak/>
        <w:t xml:space="preserve">Seidl, R., Thom, D., Kautz, M., Martin-Benito, D., Peltoniemi, M., Vacchiano, G., Wild, J., Ascoli, D., Petr, M., Honkaniemi, J., Lexer, M. J., Trotsiuk, V., Mairota, P., Svoboda, M., Fabrika, M., Nagel, T. A., &amp; Reyer, C. P. O. (2017). Forest disturbances under climate change. </w:t>
      </w:r>
      <w:r w:rsidRPr="00EE5690">
        <w:rPr>
          <w:rFonts w:cs="Arial"/>
          <w:i/>
          <w:iCs/>
          <w:noProof/>
        </w:rPr>
        <w:t>Nature Climate Change</w:t>
      </w:r>
      <w:r w:rsidRPr="00EE5690">
        <w:rPr>
          <w:rFonts w:cs="Arial"/>
          <w:noProof/>
        </w:rPr>
        <w:t xml:space="preserve">, </w:t>
      </w:r>
      <w:r w:rsidRPr="00EE5690">
        <w:rPr>
          <w:rFonts w:cs="Arial"/>
          <w:i/>
          <w:iCs/>
          <w:noProof/>
        </w:rPr>
        <w:t>7</w:t>
      </w:r>
      <w:r w:rsidRPr="00EE5690">
        <w:rPr>
          <w:rFonts w:cs="Arial"/>
          <w:noProof/>
        </w:rPr>
        <w:t>(6), 395–402. https://doi.org/10.1038/nclimate3303</w:t>
      </w:r>
    </w:p>
    <w:p w14:paraId="43BCB61A" w14:textId="022DFD4E" w:rsidR="00147A13" w:rsidRDefault="00147A13" w:rsidP="00EE5690">
      <w:pPr>
        <w:pStyle w:val="Bibliography"/>
        <w:jc w:val="left"/>
        <w:rPr>
          <w:rFonts w:cs="Arial"/>
          <w:noProof/>
        </w:rPr>
      </w:pPr>
      <w:r w:rsidRPr="00EE5690">
        <w:rPr>
          <w:rFonts w:cs="Arial"/>
          <w:noProof/>
          <w:lang w:val="de-DE"/>
        </w:rPr>
        <w:t xml:space="preserve">Shive, K. L., Fulé, P. Z., Sieg, C. H., Strom, B. A., &amp; Hunter, M. E. (2014). </w:t>
      </w:r>
      <w:r w:rsidRPr="00EE5690">
        <w:rPr>
          <w:rFonts w:cs="Arial"/>
          <w:noProof/>
        </w:rPr>
        <w:t xml:space="preserve">Managing burned landscapes: evaluating future management strategies for resilient forests under a warming climate. </w:t>
      </w:r>
      <w:r w:rsidRPr="00EE5690">
        <w:rPr>
          <w:rFonts w:cs="Arial"/>
          <w:i/>
          <w:iCs/>
          <w:noProof/>
        </w:rPr>
        <w:t>International Journal of Wildland Fire</w:t>
      </w:r>
      <w:r w:rsidRPr="00EE5690">
        <w:rPr>
          <w:rFonts w:cs="Arial"/>
          <w:noProof/>
        </w:rPr>
        <w:t xml:space="preserve">, </w:t>
      </w:r>
      <w:r w:rsidRPr="00EE5690">
        <w:rPr>
          <w:rFonts w:cs="Arial"/>
          <w:i/>
          <w:iCs/>
          <w:noProof/>
        </w:rPr>
        <w:t>23</w:t>
      </w:r>
      <w:r w:rsidRPr="00EE5690">
        <w:rPr>
          <w:rFonts w:cs="Arial"/>
          <w:noProof/>
        </w:rPr>
        <w:t xml:space="preserve">(7), 915. </w:t>
      </w:r>
      <w:hyperlink r:id="rId365" w:history="1">
        <w:r w:rsidR="00A94BD1" w:rsidRPr="00783CE9">
          <w:rPr>
            <w:rStyle w:val="Hyperlink"/>
            <w:rFonts w:cs="Arial"/>
            <w:noProof/>
          </w:rPr>
          <w:t>https://doi.org/10.1071/WF13184</w:t>
        </w:r>
      </w:hyperlink>
    </w:p>
    <w:p w14:paraId="77B10963" w14:textId="69FF7521" w:rsidR="00A94BD1" w:rsidRPr="00A94BD1" w:rsidRDefault="00A94BD1" w:rsidP="00A94BD1">
      <w:pPr>
        <w:pStyle w:val="Bibliography"/>
        <w:rPr>
          <w:noProof/>
        </w:rPr>
      </w:pPr>
      <w:r w:rsidRPr="00DB35D4">
        <w:rPr>
          <w:noProof/>
        </w:rPr>
        <w:t>Singhal, P. (2018). Environmental regulations: Lessons from the command-and-control approach (No. 124). . DIW Roundup: Politik im Fokus.</w:t>
      </w:r>
    </w:p>
    <w:p w14:paraId="7004F2DD" w14:textId="22DAB45A" w:rsidR="00A94BD1" w:rsidRPr="00A94BD1" w:rsidRDefault="00147A13" w:rsidP="00A01330">
      <w:pPr>
        <w:pStyle w:val="Bibliography1"/>
        <w:numPr>
          <w:ilvl w:val="0"/>
          <w:numId w:val="4"/>
        </w:numPr>
        <w:ind w:left="0" w:firstLine="0"/>
        <w:jc w:val="left"/>
        <w:rPr>
          <w:rFonts w:cs="Arial"/>
        </w:rPr>
      </w:pPr>
      <w:proofErr w:type="spellStart"/>
      <w:r w:rsidRPr="00EE5690">
        <w:rPr>
          <w:rFonts w:cs="Arial"/>
        </w:rPr>
        <w:t>Siry</w:t>
      </w:r>
      <w:proofErr w:type="spellEnd"/>
      <w:r w:rsidRPr="00EE5690">
        <w:rPr>
          <w:rFonts w:cs="Arial"/>
        </w:rPr>
        <w:t xml:space="preserve">, J.P, </w:t>
      </w:r>
      <w:proofErr w:type="spellStart"/>
      <w:r w:rsidRPr="00EE5690">
        <w:rPr>
          <w:rFonts w:cs="Arial"/>
        </w:rPr>
        <w:t>Cubbage</w:t>
      </w:r>
      <w:proofErr w:type="spellEnd"/>
      <w:r w:rsidRPr="00EE5690">
        <w:rPr>
          <w:rFonts w:cs="Arial"/>
        </w:rPr>
        <w:t>, F.W &amp; Newman, D.H. 2009: Global Forest Ownership: Implications for Forest Production, Management and Protection. In: Proceedings of the XIII World Forestry Congress (18-23 Oct. 2009), Buenos Aires, Argentina.</w:t>
      </w:r>
    </w:p>
    <w:p w14:paraId="386C070E" w14:textId="77777777" w:rsidR="00147A13" w:rsidRPr="00EE5690" w:rsidRDefault="00147A13" w:rsidP="00EE5690">
      <w:pPr>
        <w:pStyle w:val="Bibliography"/>
        <w:jc w:val="left"/>
        <w:rPr>
          <w:rFonts w:cs="Arial"/>
          <w:noProof/>
        </w:rPr>
      </w:pPr>
      <w:r w:rsidRPr="00EE5690">
        <w:rPr>
          <w:rFonts w:cs="Arial"/>
          <w:noProof/>
        </w:rPr>
        <w:t xml:space="preserve">Skidmore, A. K., Wang, T., de Bie, K., &amp; Pilesjö, P. (2019). Comment on “The global tree restoration potential.” </w:t>
      </w:r>
      <w:r w:rsidRPr="00EE5690">
        <w:rPr>
          <w:rFonts w:cs="Arial"/>
          <w:i/>
          <w:iCs/>
          <w:noProof/>
        </w:rPr>
        <w:t>Science</w:t>
      </w:r>
      <w:r w:rsidRPr="00EE5690">
        <w:rPr>
          <w:rFonts w:cs="Arial"/>
          <w:noProof/>
        </w:rPr>
        <w:t xml:space="preserve">, </w:t>
      </w:r>
      <w:r w:rsidRPr="00EE5690">
        <w:rPr>
          <w:rFonts w:cs="Arial"/>
          <w:i/>
          <w:iCs/>
          <w:noProof/>
        </w:rPr>
        <w:t>366</w:t>
      </w:r>
      <w:r w:rsidRPr="00EE5690">
        <w:rPr>
          <w:rFonts w:cs="Arial"/>
          <w:noProof/>
        </w:rPr>
        <w:t>(6469), 1–5. https://doi.org/10.1126/science.aaz0111</w:t>
      </w:r>
    </w:p>
    <w:p w14:paraId="23576CB2" w14:textId="77777777" w:rsidR="00147A13" w:rsidRPr="00EE5690" w:rsidRDefault="00147A13" w:rsidP="00EE5690">
      <w:pPr>
        <w:pStyle w:val="Bibliography"/>
        <w:jc w:val="left"/>
        <w:rPr>
          <w:rFonts w:cs="Arial"/>
          <w:noProof/>
        </w:rPr>
      </w:pPr>
      <w:r w:rsidRPr="00EE5690">
        <w:rPr>
          <w:rFonts w:cs="Arial"/>
          <w:noProof/>
        </w:rPr>
        <w:t xml:space="preserve">Sloan, T. J., Payne, R. J., Anderson, A. R., Bain, C., Chapman, S., Cowie, N., Gilbert, P., Lindsay, R., Mauquoy, D., Newton, A. J., &amp; Andersen, R. (2018). Peatland afforestation in the UK and consequences for carbon storage. </w:t>
      </w:r>
      <w:r w:rsidRPr="00EE5690">
        <w:rPr>
          <w:rFonts w:cs="Arial"/>
          <w:i/>
          <w:iCs/>
          <w:noProof/>
        </w:rPr>
        <w:t>Mires and Peat</w:t>
      </w:r>
      <w:r w:rsidRPr="00EE5690">
        <w:rPr>
          <w:rFonts w:cs="Arial"/>
          <w:noProof/>
        </w:rPr>
        <w:t xml:space="preserve">, </w:t>
      </w:r>
      <w:r w:rsidRPr="00EE5690">
        <w:rPr>
          <w:rFonts w:cs="Arial"/>
          <w:i/>
          <w:iCs/>
          <w:noProof/>
        </w:rPr>
        <w:t>23</w:t>
      </w:r>
      <w:r w:rsidRPr="00EE5690">
        <w:rPr>
          <w:rFonts w:cs="Arial"/>
          <w:noProof/>
        </w:rPr>
        <w:t>, 1–17. https://doi.org/10.19189/MaP.2017.OMB.315</w:t>
      </w:r>
    </w:p>
    <w:p w14:paraId="6BF19C83" w14:textId="77777777" w:rsidR="00147A13" w:rsidRPr="00EE5690" w:rsidRDefault="00147A13" w:rsidP="00EE5690">
      <w:pPr>
        <w:pStyle w:val="Bibliography"/>
        <w:jc w:val="left"/>
        <w:rPr>
          <w:rFonts w:cs="Arial"/>
          <w:noProof/>
        </w:rPr>
      </w:pPr>
      <w:r w:rsidRPr="00EE5690">
        <w:rPr>
          <w:rFonts w:cs="Arial"/>
          <w:noProof/>
        </w:rPr>
        <w:t xml:space="preserve">Smith, P., Davis, S. J., Creutzig, F., Fuss, S., Minx, J., Gabrielle, B., Kato, E., Jackson, R. B., Cowie, A., Kriegler, E., Van Vuuren, D. P., Rogelj, J., Ciais, P., Milne, J., Canadell, J. G., McCollum, D., Peters, G., Andrew, R., Krey, V., … Yongsung, C. (2016). Biophysical and economic limits to negative CO2 emissions. </w:t>
      </w:r>
      <w:r w:rsidRPr="00EE5690">
        <w:rPr>
          <w:rFonts w:cs="Arial"/>
          <w:i/>
          <w:iCs/>
          <w:noProof/>
        </w:rPr>
        <w:t>Nature Climate Change</w:t>
      </w:r>
      <w:r w:rsidRPr="00EE5690">
        <w:rPr>
          <w:rFonts w:cs="Arial"/>
          <w:noProof/>
        </w:rPr>
        <w:t xml:space="preserve">, </w:t>
      </w:r>
      <w:r w:rsidRPr="00EE5690">
        <w:rPr>
          <w:rFonts w:cs="Arial"/>
          <w:i/>
          <w:iCs/>
          <w:noProof/>
        </w:rPr>
        <w:t>6</w:t>
      </w:r>
      <w:r w:rsidRPr="00EE5690">
        <w:rPr>
          <w:rFonts w:cs="Arial"/>
          <w:noProof/>
        </w:rPr>
        <w:t>(1), 42–50. https://doi.org/10.1038/nclimate2870</w:t>
      </w:r>
    </w:p>
    <w:p w14:paraId="2F0E421B" w14:textId="77777777" w:rsidR="00147A13" w:rsidRPr="00EE5690" w:rsidRDefault="00147A13" w:rsidP="00EE5690">
      <w:pPr>
        <w:pStyle w:val="Bibliography"/>
        <w:jc w:val="left"/>
        <w:rPr>
          <w:rFonts w:cs="Arial"/>
          <w:noProof/>
        </w:rPr>
      </w:pPr>
      <w:r w:rsidRPr="00EE5690">
        <w:rPr>
          <w:rFonts w:cs="Arial"/>
          <w:noProof/>
        </w:rPr>
        <w:t xml:space="preserve">Stephens, S. L., Agee, J. K., Fulé, P. Z., North, M. P., Romme, W. H., Swetnam, T. W., &amp; Turner, M. G. (2013). Managing Forests and Fire in Changing Climates. </w:t>
      </w:r>
      <w:r w:rsidRPr="00EE5690">
        <w:rPr>
          <w:rFonts w:cs="Arial"/>
          <w:i/>
          <w:iCs/>
          <w:noProof/>
        </w:rPr>
        <w:t>Science</w:t>
      </w:r>
      <w:r w:rsidRPr="00EE5690">
        <w:rPr>
          <w:rFonts w:cs="Arial"/>
          <w:noProof/>
        </w:rPr>
        <w:t xml:space="preserve">, </w:t>
      </w:r>
      <w:r w:rsidRPr="00EE5690">
        <w:rPr>
          <w:rFonts w:cs="Arial"/>
          <w:i/>
          <w:iCs/>
          <w:noProof/>
        </w:rPr>
        <w:t>342</w:t>
      </w:r>
      <w:r w:rsidRPr="00EE5690">
        <w:rPr>
          <w:rFonts w:cs="Arial"/>
          <w:noProof/>
        </w:rPr>
        <w:t>(6154), 41–42. https://doi.org/10.1126/science.1240294</w:t>
      </w:r>
    </w:p>
    <w:p w14:paraId="510ACAAB" w14:textId="6D8EE15D" w:rsidR="00147A13" w:rsidRDefault="00147A13" w:rsidP="00A01330">
      <w:pPr>
        <w:pStyle w:val="Bibliography1"/>
        <w:numPr>
          <w:ilvl w:val="0"/>
          <w:numId w:val="4"/>
        </w:numPr>
        <w:ind w:left="0" w:firstLine="0"/>
        <w:jc w:val="left"/>
        <w:rPr>
          <w:rFonts w:cs="Arial"/>
        </w:rPr>
      </w:pPr>
      <w:r w:rsidRPr="00EE5690">
        <w:rPr>
          <w:rFonts w:cs="Arial"/>
        </w:rPr>
        <w:t>Sterling, S. (2010). Learning for resilience, or the resilient learner? Towards a necessary reconciliation in a paradigm of sustainable education. Environmental Education Research, 16, 511-528. DOI: 10.1080/13504622.2010.505427.</w:t>
      </w:r>
    </w:p>
    <w:p w14:paraId="5296451B" w14:textId="77777777" w:rsidR="0003149E" w:rsidRPr="00DB35D4" w:rsidRDefault="0003149E" w:rsidP="0003149E">
      <w:pPr>
        <w:pStyle w:val="Bibliography"/>
        <w:jc w:val="left"/>
        <w:rPr>
          <w:noProof/>
        </w:rPr>
      </w:pPr>
      <w:r w:rsidRPr="00DB35D4">
        <w:rPr>
          <w:noProof/>
        </w:rPr>
        <w:lastRenderedPageBreak/>
        <w:t>The Amazon Fund. (2019, September 2019). Retrieved from The Amazon Fund: http://www.amazonfund.gov.br/en/home/</w:t>
      </w:r>
    </w:p>
    <w:p w14:paraId="69E603C2" w14:textId="77777777" w:rsidR="0003149E" w:rsidRPr="00DB35D4" w:rsidRDefault="0003149E" w:rsidP="0003149E">
      <w:pPr>
        <w:pStyle w:val="Bibliography"/>
        <w:jc w:val="left"/>
        <w:rPr>
          <w:noProof/>
        </w:rPr>
      </w:pPr>
      <w:r w:rsidRPr="00DB35D4">
        <w:rPr>
          <w:noProof/>
        </w:rPr>
        <w:t>The Gold Standard Foundation. (2013). The Gold Standard Afforestation/Reforestation (A/R) Requirements v.0.9. 9(August 2013). http://www.cdmgoldstandard.org/wp-content/uploads/2014/01/AR-Requirements_v0-9.pdf</w:t>
      </w:r>
    </w:p>
    <w:p w14:paraId="382B1958" w14:textId="77777777" w:rsidR="0003149E" w:rsidRPr="00DB35D4" w:rsidRDefault="0003149E" w:rsidP="0003149E">
      <w:pPr>
        <w:pStyle w:val="Bibliography"/>
        <w:jc w:val="left"/>
        <w:rPr>
          <w:noProof/>
        </w:rPr>
      </w:pPr>
      <w:r w:rsidRPr="00DB35D4">
        <w:rPr>
          <w:noProof/>
        </w:rPr>
        <w:t>The Guardian. (2019, Seotember 11). Retrieved from The Guardian: https://www.theguardian.com/world/2019/aug/16/norway-halts-amazon-fund-donation-dispute-brazil-deforestation-jair-bolsonaro</w:t>
      </w:r>
    </w:p>
    <w:p w14:paraId="68782613" w14:textId="77777777" w:rsidR="0003149E" w:rsidRPr="00DB35D4" w:rsidRDefault="0003149E" w:rsidP="0003149E">
      <w:pPr>
        <w:pStyle w:val="Bibliography"/>
        <w:jc w:val="left"/>
        <w:rPr>
          <w:noProof/>
        </w:rPr>
      </w:pPr>
      <w:r w:rsidRPr="00DB35D4">
        <w:rPr>
          <w:noProof/>
        </w:rPr>
        <w:t>The Intergovernmental Panel on Climate Change. (n.d.). Supplement to the 2006 IPCC Guidelines for National Greenhouse Gas Inventories: Wetlands (Wetlands Supplement). (T. K. Takahiko Hiraishi, Compiler) Switzerland. Retrieved September 5, 2019, from https://www.ipcc-nggip.iges.or.jp/public/wetlands/pdf/Wetlands_Supplement_Entire_Report.pdf</w:t>
      </w:r>
    </w:p>
    <w:p w14:paraId="64599053" w14:textId="77777777" w:rsidR="0003149E" w:rsidRPr="00DB35D4" w:rsidRDefault="0003149E" w:rsidP="0003149E">
      <w:pPr>
        <w:pStyle w:val="Bibliography"/>
        <w:jc w:val="left"/>
        <w:rPr>
          <w:noProof/>
        </w:rPr>
      </w:pPr>
      <w:r w:rsidRPr="00DB35D4">
        <w:rPr>
          <w:noProof/>
          <w:lang w:val="de-DE"/>
        </w:rPr>
        <w:t xml:space="preserve">Tietenberg, T., Grubb, M., Michaelowa, A., Swift, B., &amp; Zhang, Z. (1999). </w:t>
      </w:r>
      <w:r w:rsidRPr="00DB35D4">
        <w:rPr>
          <w:noProof/>
        </w:rPr>
        <w:t>International Rules for Greenhouse Gas Emissions Trading. United Nations Conference On Trade And Development.</w:t>
      </w:r>
    </w:p>
    <w:p w14:paraId="5B02AFCB" w14:textId="77777777" w:rsidR="0003149E" w:rsidRPr="00DB35D4" w:rsidRDefault="0003149E" w:rsidP="0003149E">
      <w:pPr>
        <w:pStyle w:val="Bibliography"/>
        <w:jc w:val="left"/>
        <w:rPr>
          <w:noProof/>
        </w:rPr>
      </w:pPr>
      <w:r w:rsidRPr="00DB35D4">
        <w:rPr>
          <w:noProof/>
        </w:rPr>
        <w:t>Timberland . (2019, September 16). Timberland Plant the Change. Retrieved from Timberland Plant the Change: https://www.timberland.com/responsibility/stories/plant-the-change.html</w:t>
      </w:r>
    </w:p>
    <w:p w14:paraId="1D68A533" w14:textId="1DC71C45" w:rsidR="0003149E" w:rsidRPr="0003149E" w:rsidRDefault="0003149E" w:rsidP="0003149E">
      <w:pPr>
        <w:pStyle w:val="Bibliography"/>
        <w:jc w:val="left"/>
        <w:rPr>
          <w:noProof/>
        </w:rPr>
      </w:pPr>
      <w:r w:rsidRPr="00DB35D4">
        <w:rPr>
          <w:noProof/>
        </w:rPr>
        <w:t>Timberland. (2019, September 16). Timberland. Retrieved from Timberland: https://www.timberland.com/nature-needs-heroes.html</w:t>
      </w:r>
    </w:p>
    <w:p w14:paraId="260DD931" w14:textId="395B4133" w:rsidR="00147A13" w:rsidRDefault="00147A13" w:rsidP="00EE5690">
      <w:pPr>
        <w:pStyle w:val="Bibliography"/>
        <w:jc w:val="left"/>
        <w:rPr>
          <w:rFonts w:cs="Arial"/>
          <w:noProof/>
        </w:rPr>
      </w:pPr>
      <w:r w:rsidRPr="00EE5690">
        <w:rPr>
          <w:rFonts w:cs="Arial"/>
          <w:noProof/>
        </w:rPr>
        <w:t xml:space="preserve">Torres, A. B., Marchant, R., Lovett, J. C., Smart, J. C. R., &amp; Tipper, R. (2010). Analysis of the carbon sequestration costs of afforestation and reforestation agroforestry practices and the use of cost curves to evaluate their potential for implementation of climate change mitigation. </w:t>
      </w:r>
      <w:r w:rsidRPr="00EE5690">
        <w:rPr>
          <w:rFonts w:cs="Arial"/>
          <w:i/>
          <w:iCs/>
          <w:noProof/>
        </w:rPr>
        <w:t>Ecological Economics</w:t>
      </w:r>
      <w:r w:rsidRPr="00EE5690">
        <w:rPr>
          <w:rFonts w:cs="Arial"/>
          <w:noProof/>
        </w:rPr>
        <w:t xml:space="preserve">, </w:t>
      </w:r>
      <w:r w:rsidRPr="00EE5690">
        <w:rPr>
          <w:rFonts w:cs="Arial"/>
          <w:i/>
          <w:iCs/>
          <w:noProof/>
        </w:rPr>
        <w:t>69</w:t>
      </w:r>
      <w:r w:rsidRPr="00EE5690">
        <w:rPr>
          <w:rFonts w:cs="Arial"/>
          <w:noProof/>
        </w:rPr>
        <w:t xml:space="preserve">(3), 469–477. </w:t>
      </w:r>
      <w:hyperlink r:id="rId366" w:history="1">
        <w:r w:rsidR="0003149E" w:rsidRPr="00783CE9">
          <w:rPr>
            <w:rStyle w:val="Hyperlink"/>
            <w:rFonts w:cs="Arial"/>
            <w:noProof/>
          </w:rPr>
          <w:t>https://doi.org/10.1016/j.ecolecon.2009.09.007</w:t>
        </w:r>
      </w:hyperlink>
    </w:p>
    <w:p w14:paraId="060F0799" w14:textId="77777777" w:rsidR="0003149E" w:rsidRPr="00DB35D4" w:rsidRDefault="0003149E" w:rsidP="0003149E">
      <w:pPr>
        <w:pStyle w:val="Bibliography"/>
        <w:rPr>
          <w:noProof/>
        </w:rPr>
      </w:pPr>
      <w:r w:rsidRPr="00DB35D4">
        <w:rPr>
          <w:noProof/>
        </w:rPr>
        <w:t>UNFCCC/CCNUCC. (2007). “Combined tool to identify the baseline scenario and demonstrate additionality in A/R CDM project activities.” In UNFCCC.</w:t>
      </w:r>
    </w:p>
    <w:p w14:paraId="63B22A07" w14:textId="75EC8B9A" w:rsidR="0003149E" w:rsidRPr="00015CCF" w:rsidRDefault="0003149E" w:rsidP="0003149E">
      <w:pPr>
        <w:pStyle w:val="Bibliography"/>
        <w:rPr>
          <w:noProof/>
        </w:rPr>
      </w:pPr>
      <w:r w:rsidRPr="00DB35D4">
        <w:rPr>
          <w:noProof/>
        </w:rPr>
        <w:t>United Nations Framework Convention on Climate Change. (2014). Handbook on Measurement, Reporting and Verification for developing country Parties.</w:t>
      </w:r>
    </w:p>
    <w:p w14:paraId="7C51E2D2" w14:textId="77777777" w:rsidR="00147A13" w:rsidRPr="00EE5690" w:rsidRDefault="00147A13" w:rsidP="00EE5690">
      <w:pPr>
        <w:pStyle w:val="Bibliography"/>
        <w:jc w:val="left"/>
        <w:rPr>
          <w:rFonts w:cs="Arial"/>
          <w:noProof/>
        </w:rPr>
      </w:pPr>
      <w:r w:rsidRPr="00EE5690">
        <w:rPr>
          <w:rFonts w:cs="Arial"/>
          <w:noProof/>
          <w:lang w:val="de-DE"/>
        </w:rPr>
        <w:lastRenderedPageBreak/>
        <w:t xml:space="preserve">Van Kooten, G. C., Wang, Y., &amp; Laaksonen-craig, S. (2007). </w:t>
      </w:r>
      <w:r w:rsidRPr="00EE5690">
        <w:rPr>
          <w:rFonts w:cs="Arial"/>
          <w:noProof/>
        </w:rPr>
        <w:t xml:space="preserve">Carbon sequestration in forest ecosystems as a strategy for mitigating climate change. </w:t>
      </w:r>
      <w:r w:rsidRPr="00EE5690">
        <w:rPr>
          <w:rFonts w:cs="Arial"/>
          <w:i/>
          <w:iCs/>
          <w:noProof/>
        </w:rPr>
        <w:t>Selected Paper Prepared for Presentation at the American Agricultural Economics Association Annual Meeting. United States</w:t>
      </w:r>
      <w:r w:rsidRPr="00EE5690">
        <w:rPr>
          <w:rFonts w:cs="Arial"/>
          <w:noProof/>
        </w:rPr>
        <w:t>.</w:t>
      </w:r>
    </w:p>
    <w:p w14:paraId="6C779111" w14:textId="77777777" w:rsidR="00147A13" w:rsidRPr="00EE5690" w:rsidRDefault="00147A13" w:rsidP="00A01330">
      <w:pPr>
        <w:pStyle w:val="Bibliography1"/>
        <w:numPr>
          <w:ilvl w:val="0"/>
          <w:numId w:val="4"/>
        </w:numPr>
        <w:ind w:left="0" w:firstLine="0"/>
        <w:jc w:val="left"/>
        <w:rPr>
          <w:rFonts w:cs="Arial"/>
        </w:rPr>
      </w:pPr>
      <w:r w:rsidRPr="00EE5690">
        <w:rPr>
          <w:rFonts w:cs="Arial"/>
          <w:lang w:val="de-DE"/>
        </w:rPr>
        <w:t xml:space="preserve">Vander-Merwe, I. &amp; Van-der-Merwe, J. (1999). </w:t>
      </w:r>
      <w:r w:rsidRPr="00EE5690">
        <w:rPr>
          <w:rFonts w:cs="Arial"/>
        </w:rPr>
        <w:t xml:space="preserve">Sustainable development at the local level: An introduction to local agenda 21. Pretoria: Department of environmental affairs and tourism. In Duran, C.D., </w:t>
      </w:r>
      <w:proofErr w:type="spellStart"/>
      <w:r w:rsidRPr="00EE5690">
        <w:rPr>
          <w:rFonts w:cs="Arial"/>
        </w:rPr>
        <w:t>Gogan</w:t>
      </w:r>
      <w:proofErr w:type="spellEnd"/>
      <w:r w:rsidRPr="00EE5690">
        <w:rPr>
          <w:rFonts w:cs="Arial"/>
        </w:rPr>
        <w:t xml:space="preserve">, L.M., </w:t>
      </w:r>
      <w:proofErr w:type="spellStart"/>
      <w:r w:rsidRPr="00EE5690">
        <w:rPr>
          <w:rFonts w:cs="Arial"/>
        </w:rPr>
        <w:t>Artene</w:t>
      </w:r>
      <w:proofErr w:type="spellEnd"/>
      <w:r w:rsidRPr="00EE5690">
        <w:rPr>
          <w:rFonts w:cs="Arial"/>
        </w:rPr>
        <w:t>, A. &amp; Duran, V. (2015). The components of sustainable development - a possible approach. Procedia Economics and Finance, 26, 806-811.</w:t>
      </w:r>
    </w:p>
    <w:p w14:paraId="42051FE7" w14:textId="2A92317E" w:rsidR="00147A13" w:rsidRDefault="00147A13" w:rsidP="00EE5690">
      <w:pPr>
        <w:pStyle w:val="Bibliography"/>
        <w:jc w:val="left"/>
        <w:rPr>
          <w:rFonts w:cs="Arial"/>
        </w:rPr>
      </w:pPr>
      <w:proofErr w:type="spellStart"/>
      <w:r w:rsidRPr="00EE5690">
        <w:rPr>
          <w:rFonts w:cs="Arial"/>
        </w:rPr>
        <w:t>Vare</w:t>
      </w:r>
      <w:proofErr w:type="spellEnd"/>
      <w:r w:rsidRPr="00EE5690">
        <w:rPr>
          <w:rFonts w:cs="Arial"/>
        </w:rPr>
        <w:t xml:space="preserve">, P. &amp; Scott, W. (2007). Learning for a change exploring the relationship between </w:t>
      </w:r>
      <w:proofErr w:type="spellStart"/>
      <w:r w:rsidRPr="00EE5690">
        <w:rPr>
          <w:rFonts w:cs="Arial"/>
        </w:rPr>
        <w:t>educationand</w:t>
      </w:r>
      <w:proofErr w:type="spellEnd"/>
      <w:r w:rsidRPr="00EE5690">
        <w:rPr>
          <w:rFonts w:cs="Arial"/>
        </w:rPr>
        <w:t xml:space="preserve"> sustainable development. Journal of Education for Sustainable Development, 1, 191-198.</w:t>
      </w:r>
    </w:p>
    <w:p w14:paraId="10B136C5" w14:textId="77777777" w:rsidR="0003149E" w:rsidRPr="00DB35D4" w:rsidRDefault="0003149E" w:rsidP="0003149E">
      <w:pPr>
        <w:pStyle w:val="Bibliography"/>
        <w:rPr>
          <w:noProof/>
        </w:rPr>
      </w:pPr>
      <w:r w:rsidRPr="00DB35D4">
        <w:rPr>
          <w:noProof/>
        </w:rPr>
        <w:t>Verra. (2017). VCS Project cycle: How to develop a VCS Project.</w:t>
      </w:r>
    </w:p>
    <w:p w14:paraId="57D36BAA" w14:textId="7CE10D47" w:rsidR="0003149E" w:rsidRDefault="0003149E" w:rsidP="0003149E">
      <w:pPr>
        <w:pStyle w:val="Bibliography"/>
        <w:rPr>
          <w:noProof/>
        </w:rPr>
      </w:pPr>
      <w:r w:rsidRPr="00DB35D4">
        <w:rPr>
          <w:noProof/>
        </w:rPr>
        <w:t xml:space="preserve">Verra. (2019, September 3). Retrieved from https://verra.org/methodologies/: </w:t>
      </w:r>
      <w:hyperlink r:id="rId367" w:history="1">
        <w:r w:rsidRPr="00DB35D4">
          <w:rPr>
            <w:noProof/>
          </w:rPr>
          <w:t>https://verra.org/methodologies/</w:t>
        </w:r>
      </w:hyperlink>
    </w:p>
    <w:p w14:paraId="4581694B" w14:textId="04C36A58" w:rsidR="0003149E" w:rsidRPr="0003149E" w:rsidRDefault="0003149E" w:rsidP="0003149E">
      <w:pPr>
        <w:pStyle w:val="Bibliography"/>
        <w:rPr>
          <w:noProof/>
        </w:rPr>
      </w:pPr>
      <w:r w:rsidRPr="0003149E">
        <w:rPr>
          <w:rFonts w:cs="Arial"/>
          <w:noProof/>
        </w:rPr>
        <w:t>Verra. (2019). Verified Carbon Standard Program Guide v4.0. September, 10</w:t>
      </w:r>
    </w:p>
    <w:p w14:paraId="59A5BBF4" w14:textId="77777777" w:rsidR="00147A13" w:rsidRPr="00EE5690" w:rsidRDefault="00147A13" w:rsidP="00EE5690">
      <w:pPr>
        <w:pStyle w:val="Bibliography"/>
        <w:jc w:val="left"/>
        <w:rPr>
          <w:rFonts w:cs="Arial"/>
          <w:noProof/>
        </w:rPr>
      </w:pPr>
      <w:r w:rsidRPr="00EE5690">
        <w:rPr>
          <w:rFonts w:cs="Arial"/>
          <w:noProof/>
        </w:rPr>
        <w:t xml:space="preserve">Waring, B., Neumann, M., Prentice, I. C., Adams, M., Smith, P., &amp; Siegert, M. (2020). Forests and Decarbonization – Roles of Natural and Planted Forests. </w:t>
      </w:r>
      <w:r w:rsidRPr="00EE5690">
        <w:rPr>
          <w:rFonts w:cs="Arial"/>
          <w:i/>
          <w:iCs/>
          <w:noProof/>
        </w:rPr>
        <w:t>Frontiers in Forests and Global Change</w:t>
      </w:r>
      <w:r w:rsidRPr="00EE5690">
        <w:rPr>
          <w:rFonts w:cs="Arial"/>
          <w:noProof/>
        </w:rPr>
        <w:t xml:space="preserve">, </w:t>
      </w:r>
      <w:r w:rsidRPr="00EE5690">
        <w:rPr>
          <w:rFonts w:cs="Arial"/>
          <w:i/>
          <w:iCs/>
          <w:noProof/>
        </w:rPr>
        <w:t>3</w:t>
      </w:r>
      <w:r w:rsidRPr="00EE5690">
        <w:rPr>
          <w:rFonts w:cs="Arial"/>
          <w:noProof/>
        </w:rPr>
        <w:t>(May), 1–6. https://doi.org/10.3389/ffgc.2020.00058</w:t>
      </w:r>
    </w:p>
    <w:p w14:paraId="1BAABE61" w14:textId="60C76623" w:rsidR="0003149E" w:rsidRPr="0003149E" w:rsidRDefault="00147A13" w:rsidP="0003149E">
      <w:pPr>
        <w:pStyle w:val="Bibliography"/>
        <w:jc w:val="left"/>
        <w:rPr>
          <w:rFonts w:cs="Arial"/>
        </w:rPr>
      </w:pPr>
      <w:r w:rsidRPr="00EE5690">
        <w:rPr>
          <w:rFonts w:cs="Arial"/>
        </w:rPr>
        <w:t xml:space="preserve">WCED, United Nations World Commission on Environment and Development (1987). Our Common Future. Retrieved November 5,2019 </w:t>
      </w:r>
      <w:hyperlink r:id="rId368" w:history="1">
        <w:r w:rsidRPr="00EE5690">
          <w:rPr>
            <w:rStyle w:val="Hyperlink"/>
            <w:rFonts w:cs="Arial"/>
          </w:rPr>
          <w:t>https://sustainabledevelopment.un.org/content/documents/5987our-common-future.pdf</w:t>
        </w:r>
      </w:hyperlink>
      <w:r w:rsidRPr="00EE5690">
        <w:rPr>
          <w:rFonts w:cs="Arial"/>
        </w:rPr>
        <w:t>.</w:t>
      </w:r>
    </w:p>
    <w:p w14:paraId="18FA0773" w14:textId="5CA6249B" w:rsidR="00147A13" w:rsidRDefault="00147A13" w:rsidP="00EE5690">
      <w:pPr>
        <w:pStyle w:val="Bibliography"/>
        <w:jc w:val="left"/>
        <w:rPr>
          <w:rFonts w:cs="Arial"/>
          <w:noProof/>
        </w:rPr>
      </w:pPr>
      <w:r w:rsidRPr="00EE5690">
        <w:rPr>
          <w:rFonts w:cs="Arial"/>
          <w:noProof/>
        </w:rPr>
        <w:t xml:space="preserve">Winckler, J., Lejeune, Q., Reick, C. H., &amp; Pongratz, J. (2019). Nonlocal Effects Dominate the Global Mean Surface Temperature Response to the Biogeophysical Effects of Deforestation. </w:t>
      </w:r>
      <w:r w:rsidRPr="00EE5690">
        <w:rPr>
          <w:rFonts w:cs="Arial"/>
          <w:i/>
          <w:iCs/>
          <w:noProof/>
        </w:rPr>
        <w:t>Geophysical Research Letters</w:t>
      </w:r>
      <w:r w:rsidRPr="00EE5690">
        <w:rPr>
          <w:rFonts w:cs="Arial"/>
          <w:noProof/>
        </w:rPr>
        <w:t xml:space="preserve">, </w:t>
      </w:r>
      <w:r w:rsidRPr="00EE5690">
        <w:rPr>
          <w:rFonts w:cs="Arial"/>
          <w:i/>
          <w:iCs/>
          <w:noProof/>
        </w:rPr>
        <w:t>46</w:t>
      </w:r>
      <w:r w:rsidRPr="00EE5690">
        <w:rPr>
          <w:rFonts w:cs="Arial"/>
          <w:noProof/>
        </w:rPr>
        <w:t xml:space="preserve">(2), 745–755. </w:t>
      </w:r>
      <w:hyperlink r:id="rId369" w:history="1">
        <w:r w:rsidR="0003149E" w:rsidRPr="00783CE9">
          <w:rPr>
            <w:rStyle w:val="Hyperlink"/>
            <w:rFonts w:cs="Arial"/>
            <w:noProof/>
          </w:rPr>
          <w:t>https://doi.org/10.1029/2018GL080211</w:t>
        </w:r>
      </w:hyperlink>
    </w:p>
    <w:p w14:paraId="1A249B38" w14:textId="77777777" w:rsidR="0003149E" w:rsidRPr="00DB35D4" w:rsidRDefault="0003149E" w:rsidP="0003149E">
      <w:pPr>
        <w:pStyle w:val="Bibliography"/>
        <w:jc w:val="left"/>
        <w:rPr>
          <w:noProof/>
        </w:rPr>
      </w:pPr>
      <w:r w:rsidRPr="00DB35D4">
        <w:rPr>
          <w:noProof/>
        </w:rPr>
        <w:t>World Bank Group. (2019). State and Trends of Carbon Pricing 2019. Washington DC.</w:t>
      </w:r>
    </w:p>
    <w:p w14:paraId="7021BBE8" w14:textId="507556C7" w:rsidR="0003149E" w:rsidRPr="00015CCF" w:rsidRDefault="0003149E" w:rsidP="0003149E">
      <w:pPr>
        <w:pStyle w:val="Bibliography"/>
        <w:jc w:val="left"/>
        <w:rPr>
          <w:noProof/>
        </w:rPr>
      </w:pPr>
      <w:r w:rsidRPr="00DB35D4">
        <w:rPr>
          <w:noProof/>
        </w:rPr>
        <w:t>WWF. (2010, May). Forest Carbon Standards a WWF Assessment Guide. Frankfurt, Germany. Retrieved from https://mobil.wwf.de/fileadmin/fm-wwf/Publikationen-PDF/Forest_Carbon_Standards_Assessment_Guide.pdf</w:t>
      </w:r>
    </w:p>
    <w:p w14:paraId="1B126AD8" w14:textId="6CD72A9E" w:rsidR="009B3BE6" w:rsidRPr="00EE5690" w:rsidRDefault="00147A13" w:rsidP="00EE5690">
      <w:pPr>
        <w:pStyle w:val="Bibliography"/>
        <w:jc w:val="left"/>
        <w:rPr>
          <w:rFonts w:cs="Arial"/>
          <w:noProof/>
        </w:rPr>
      </w:pPr>
      <w:r w:rsidRPr="00EE5690">
        <w:rPr>
          <w:rFonts w:cs="Arial"/>
          <w:noProof/>
          <w:lang w:val="de-DE"/>
        </w:rPr>
        <w:lastRenderedPageBreak/>
        <w:t xml:space="preserve">Xiang, Y., Cheng, M., Huang, Y., An, S., &amp; Darboux, F. (2017). </w:t>
      </w:r>
      <w:r w:rsidRPr="00EE5690">
        <w:rPr>
          <w:rFonts w:cs="Arial"/>
          <w:noProof/>
        </w:rPr>
        <w:t xml:space="preserve">Changes in Soil Microbial Community and Its Effect on Carbon Sequestration Following Afforestation on the Loess Plateau, China. </w:t>
      </w:r>
      <w:r w:rsidRPr="00EE5690">
        <w:rPr>
          <w:rFonts w:cs="Arial"/>
          <w:i/>
          <w:iCs/>
          <w:noProof/>
        </w:rPr>
        <w:t>International Journal of Environmental Research and Public Health</w:t>
      </w:r>
      <w:r w:rsidRPr="00EE5690">
        <w:rPr>
          <w:rFonts w:cs="Arial"/>
          <w:noProof/>
        </w:rPr>
        <w:t xml:space="preserve">, </w:t>
      </w:r>
      <w:r w:rsidRPr="00EE5690">
        <w:rPr>
          <w:rFonts w:cs="Arial"/>
          <w:i/>
          <w:iCs/>
          <w:noProof/>
        </w:rPr>
        <w:t>14</w:t>
      </w:r>
      <w:r w:rsidRPr="00EE5690">
        <w:rPr>
          <w:rFonts w:cs="Arial"/>
          <w:noProof/>
        </w:rPr>
        <w:t xml:space="preserve">(8), 948. </w:t>
      </w:r>
      <w:hyperlink r:id="rId370" w:history="1">
        <w:r w:rsidRPr="00EE5690">
          <w:rPr>
            <w:rStyle w:val="Hyperlink"/>
            <w:rFonts w:cs="Arial"/>
            <w:noProof/>
          </w:rPr>
          <w:t>https://doi.org/10.3390/ijerph14080948</w:t>
        </w:r>
      </w:hyperlink>
    </w:p>
    <w:p w14:paraId="59782945" w14:textId="71D41F58" w:rsidR="00147A13" w:rsidRPr="00EE5690" w:rsidRDefault="00147A13" w:rsidP="00EE5690">
      <w:pPr>
        <w:spacing w:line="300" w:lineRule="exact"/>
        <w:jc w:val="left"/>
        <w:rPr>
          <w:rFonts w:cs="Arial"/>
          <w:lang w:val="en-GB"/>
        </w:rPr>
      </w:pPr>
      <w:r w:rsidRPr="00EE5690">
        <w:rPr>
          <w:rFonts w:cs="Arial"/>
          <w:lang w:val="en-GB"/>
        </w:rPr>
        <w:br w:type="page"/>
      </w:r>
    </w:p>
    <w:p w14:paraId="3BDDE7A6" w14:textId="45D07C5F" w:rsidR="009B3BE6" w:rsidRPr="00230F15" w:rsidRDefault="009B3BE6" w:rsidP="00EE5690">
      <w:pPr>
        <w:pStyle w:val="Heading1"/>
        <w:numPr>
          <w:ilvl w:val="0"/>
          <w:numId w:val="0"/>
        </w:numPr>
        <w:jc w:val="left"/>
        <w:rPr>
          <w:rFonts w:cs="Arial"/>
          <w:sz w:val="24"/>
          <w:szCs w:val="24"/>
          <w:lang w:val="en-GB"/>
        </w:rPr>
      </w:pPr>
      <w:bookmarkStart w:id="399" w:name="_Toc223361321"/>
      <w:bookmarkStart w:id="400" w:name="_Toc91752480"/>
      <w:r w:rsidRPr="00230F15">
        <w:rPr>
          <w:rFonts w:cs="Arial"/>
          <w:sz w:val="24"/>
          <w:szCs w:val="24"/>
          <w:lang w:val="en-GB"/>
        </w:rPr>
        <w:lastRenderedPageBreak/>
        <w:t xml:space="preserve">Annex I: </w:t>
      </w:r>
      <w:r w:rsidR="00520FB6" w:rsidRPr="00230F15">
        <w:rPr>
          <w:rFonts w:cs="Arial"/>
          <w:sz w:val="24"/>
          <w:szCs w:val="24"/>
          <w:lang w:val="en-GB"/>
        </w:rPr>
        <w:t>List</w:t>
      </w:r>
      <w:r w:rsidRPr="00230F15">
        <w:rPr>
          <w:rFonts w:cs="Arial"/>
          <w:sz w:val="24"/>
          <w:szCs w:val="24"/>
          <w:lang w:val="en-GB"/>
        </w:rPr>
        <w:t xml:space="preserve"> of figures</w:t>
      </w:r>
      <w:bookmarkEnd w:id="399"/>
      <w:bookmarkEnd w:id="400"/>
    </w:p>
    <w:p w14:paraId="7BF42923" w14:textId="26DD93BE" w:rsidR="00FE4088" w:rsidRDefault="00121AB0">
      <w:pPr>
        <w:pStyle w:val="TableofFigures"/>
        <w:tabs>
          <w:tab w:val="right" w:leader="dot" w:pos="8495"/>
        </w:tabs>
        <w:rPr>
          <w:rFonts w:asciiTheme="minorHAnsi" w:eastAsiaTheme="minorEastAsia" w:hAnsiTheme="minorHAnsi" w:cstheme="minorBidi"/>
          <w:noProof/>
          <w:lang w:val="el-GR" w:eastAsia="el-GR"/>
        </w:rPr>
      </w:pPr>
      <w:r w:rsidRPr="00EE5690">
        <w:rPr>
          <w:rFonts w:cs="Arial"/>
        </w:rPr>
        <w:fldChar w:fldCharType="begin"/>
      </w:r>
      <w:r w:rsidR="009B3BE6" w:rsidRPr="00EE5690">
        <w:rPr>
          <w:rFonts w:cs="Arial"/>
        </w:rPr>
        <w:instrText xml:space="preserve"> TOC \h \z \c "Figure" </w:instrText>
      </w:r>
      <w:r w:rsidRPr="00EE5690">
        <w:rPr>
          <w:rFonts w:cs="Arial"/>
        </w:rPr>
        <w:fldChar w:fldCharType="separate"/>
      </w:r>
      <w:hyperlink w:anchor="_Toc91752485" w:history="1">
        <w:r w:rsidR="00FE4088" w:rsidRPr="00DA40CB">
          <w:rPr>
            <w:rStyle w:val="Hyperlink"/>
            <w:rFonts w:cs="Arial"/>
            <w:noProof/>
          </w:rPr>
          <w:t xml:space="preserve">Figure 1 Potential Marginal lands in Europe, </w:t>
        </w:r>
        <w:r w:rsidR="00FE4088" w:rsidRPr="00DA40CB">
          <w:rPr>
            <w:rStyle w:val="Hyperlink"/>
            <w:rFonts w:eastAsiaTheme="minorHAnsi" w:cs="Arial"/>
            <w:noProof/>
            <w:lang w:val="en-US"/>
          </w:rPr>
          <w:t>Layer "ML_Hard" for Europe where the orange colors represent the areas defined as marginal excluding land use "impervious", "croplands", "forest", "protected areas" and "changed". (Source: personal compilation of Jesús Torralba Pérez)</w:t>
        </w:r>
        <w:r w:rsidR="00FE4088">
          <w:rPr>
            <w:noProof/>
            <w:webHidden/>
          </w:rPr>
          <w:tab/>
        </w:r>
        <w:r w:rsidR="00FE4088">
          <w:rPr>
            <w:noProof/>
            <w:webHidden/>
          </w:rPr>
          <w:fldChar w:fldCharType="begin"/>
        </w:r>
        <w:r w:rsidR="00FE4088">
          <w:rPr>
            <w:noProof/>
            <w:webHidden/>
          </w:rPr>
          <w:instrText xml:space="preserve"> PAGEREF _Toc91752485 \h </w:instrText>
        </w:r>
        <w:r w:rsidR="00FE4088">
          <w:rPr>
            <w:noProof/>
            <w:webHidden/>
          </w:rPr>
        </w:r>
        <w:r w:rsidR="00FE4088">
          <w:rPr>
            <w:noProof/>
            <w:webHidden/>
          </w:rPr>
          <w:fldChar w:fldCharType="separate"/>
        </w:r>
        <w:r w:rsidR="0073710A">
          <w:rPr>
            <w:noProof/>
            <w:webHidden/>
          </w:rPr>
          <w:t>37</w:t>
        </w:r>
        <w:r w:rsidR="00FE4088">
          <w:rPr>
            <w:noProof/>
            <w:webHidden/>
          </w:rPr>
          <w:fldChar w:fldCharType="end"/>
        </w:r>
      </w:hyperlink>
    </w:p>
    <w:p w14:paraId="60DB2FAE" w14:textId="602458BE"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86" w:history="1">
        <w:r w:rsidR="00FE4088" w:rsidRPr="00DA40CB">
          <w:rPr>
            <w:rStyle w:val="Hyperlink"/>
            <w:rFonts w:cs="Arial"/>
            <w:noProof/>
          </w:rPr>
          <w:t>Figure 2 Sustainable development assessment workflow</w:t>
        </w:r>
        <w:r w:rsidR="00FE4088">
          <w:rPr>
            <w:noProof/>
            <w:webHidden/>
          </w:rPr>
          <w:tab/>
        </w:r>
        <w:r w:rsidR="00FE4088">
          <w:rPr>
            <w:noProof/>
            <w:webHidden/>
          </w:rPr>
          <w:fldChar w:fldCharType="begin"/>
        </w:r>
        <w:r w:rsidR="00FE4088">
          <w:rPr>
            <w:noProof/>
            <w:webHidden/>
          </w:rPr>
          <w:instrText xml:space="preserve"> PAGEREF _Toc91752486 \h </w:instrText>
        </w:r>
        <w:r w:rsidR="00FE4088">
          <w:rPr>
            <w:noProof/>
            <w:webHidden/>
          </w:rPr>
        </w:r>
        <w:r w:rsidR="00FE4088">
          <w:rPr>
            <w:noProof/>
            <w:webHidden/>
          </w:rPr>
          <w:fldChar w:fldCharType="separate"/>
        </w:r>
        <w:r w:rsidR="0073710A">
          <w:rPr>
            <w:noProof/>
            <w:webHidden/>
          </w:rPr>
          <w:t>38</w:t>
        </w:r>
        <w:r w:rsidR="00FE4088">
          <w:rPr>
            <w:noProof/>
            <w:webHidden/>
          </w:rPr>
          <w:fldChar w:fldCharType="end"/>
        </w:r>
      </w:hyperlink>
    </w:p>
    <w:p w14:paraId="53C10BBD" w14:textId="174D95E5"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87" w:history="1">
        <w:r w:rsidR="00FE4088" w:rsidRPr="00DA40CB">
          <w:rPr>
            <w:rStyle w:val="Hyperlink"/>
            <w:rFonts w:cs="Arial"/>
            <w:noProof/>
          </w:rPr>
          <w:t>Figure 3 Sentinel spatial resolution (SENTINEL-2 10 m spatial resolution bands: B2 (490 nm), B3 (560 nm), B4 (665 nm) and B8 (842 nm) top, SENTINEL-2 20 m spatial resolution bands: B5 (705 nm), B6 (740 nm), B7 (783 nm), B8a (865 nm), B11 (1610 nm) and B12 (2190 nm), middle, SENTINEL-2 60 m spatial resolution bands: B1 (443 nm), B9 (940 nm) and B10 (1375 nm) , bottom), source ESA</w:t>
        </w:r>
        <w:r w:rsidR="00FE4088">
          <w:rPr>
            <w:noProof/>
            <w:webHidden/>
          </w:rPr>
          <w:tab/>
        </w:r>
        <w:r w:rsidR="00FE4088">
          <w:rPr>
            <w:noProof/>
            <w:webHidden/>
          </w:rPr>
          <w:fldChar w:fldCharType="begin"/>
        </w:r>
        <w:r w:rsidR="00FE4088">
          <w:rPr>
            <w:noProof/>
            <w:webHidden/>
          </w:rPr>
          <w:instrText xml:space="preserve"> PAGEREF _Toc91752487 \h </w:instrText>
        </w:r>
        <w:r w:rsidR="00FE4088">
          <w:rPr>
            <w:noProof/>
            <w:webHidden/>
          </w:rPr>
        </w:r>
        <w:r w:rsidR="00FE4088">
          <w:rPr>
            <w:noProof/>
            <w:webHidden/>
          </w:rPr>
          <w:fldChar w:fldCharType="separate"/>
        </w:r>
        <w:r w:rsidR="0073710A">
          <w:rPr>
            <w:noProof/>
            <w:webHidden/>
          </w:rPr>
          <w:t>40</w:t>
        </w:r>
        <w:r w:rsidR="00FE4088">
          <w:rPr>
            <w:noProof/>
            <w:webHidden/>
          </w:rPr>
          <w:fldChar w:fldCharType="end"/>
        </w:r>
      </w:hyperlink>
    </w:p>
    <w:p w14:paraId="2FEC3039" w14:textId="37A635CA"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88" w:history="1">
        <w:r w:rsidR="00FE4088" w:rsidRPr="00DA40CB">
          <w:rPr>
            <w:rStyle w:val="Hyperlink"/>
            <w:rFonts w:cs="Arial"/>
            <w:noProof/>
          </w:rPr>
          <w:t>Figure 4 Financial sustainability assessment</w:t>
        </w:r>
        <w:r w:rsidR="00FE4088">
          <w:rPr>
            <w:noProof/>
            <w:webHidden/>
          </w:rPr>
          <w:tab/>
        </w:r>
        <w:r w:rsidR="00FE4088">
          <w:rPr>
            <w:noProof/>
            <w:webHidden/>
          </w:rPr>
          <w:fldChar w:fldCharType="begin"/>
        </w:r>
        <w:r w:rsidR="00FE4088">
          <w:rPr>
            <w:noProof/>
            <w:webHidden/>
          </w:rPr>
          <w:instrText xml:space="preserve"> PAGEREF _Toc91752488 \h </w:instrText>
        </w:r>
        <w:r w:rsidR="00FE4088">
          <w:rPr>
            <w:noProof/>
            <w:webHidden/>
          </w:rPr>
        </w:r>
        <w:r w:rsidR="00FE4088">
          <w:rPr>
            <w:noProof/>
            <w:webHidden/>
          </w:rPr>
          <w:fldChar w:fldCharType="separate"/>
        </w:r>
        <w:r w:rsidR="0073710A">
          <w:rPr>
            <w:noProof/>
            <w:webHidden/>
          </w:rPr>
          <w:t>42</w:t>
        </w:r>
        <w:r w:rsidR="00FE4088">
          <w:rPr>
            <w:noProof/>
            <w:webHidden/>
          </w:rPr>
          <w:fldChar w:fldCharType="end"/>
        </w:r>
      </w:hyperlink>
    </w:p>
    <w:p w14:paraId="1302B707" w14:textId="4FB59681"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89" w:history="1">
        <w:r w:rsidR="00FE4088" w:rsidRPr="00DA40CB">
          <w:rPr>
            <w:rStyle w:val="Hyperlink"/>
            <w:rFonts w:cs="Arial"/>
            <w:noProof/>
          </w:rPr>
          <w:t>Figure 5 IHS Markit Global Carbon Index (USD) (Source: https://indices.ihsmarkit.com/Carbonindex)</w:t>
        </w:r>
        <w:r w:rsidR="00FE4088">
          <w:rPr>
            <w:noProof/>
            <w:webHidden/>
          </w:rPr>
          <w:tab/>
        </w:r>
        <w:r w:rsidR="00FE4088">
          <w:rPr>
            <w:noProof/>
            <w:webHidden/>
          </w:rPr>
          <w:fldChar w:fldCharType="begin"/>
        </w:r>
        <w:r w:rsidR="00FE4088">
          <w:rPr>
            <w:noProof/>
            <w:webHidden/>
          </w:rPr>
          <w:instrText xml:space="preserve"> PAGEREF _Toc91752489 \h </w:instrText>
        </w:r>
        <w:r w:rsidR="00FE4088">
          <w:rPr>
            <w:noProof/>
            <w:webHidden/>
          </w:rPr>
        </w:r>
        <w:r w:rsidR="00FE4088">
          <w:rPr>
            <w:noProof/>
            <w:webHidden/>
          </w:rPr>
          <w:fldChar w:fldCharType="separate"/>
        </w:r>
        <w:r w:rsidR="0073710A">
          <w:rPr>
            <w:noProof/>
            <w:webHidden/>
          </w:rPr>
          <w:t>44</w:t>
        </w:r>
        <w:r w:rsidR="00FE4088">
          <w:rPr>
            <w:noProof/>
            <w:webHidden/>
          </w:rPr>
          <w:fldChar w:fldCharType="end"/>
        </w:r>
      </w:hyperlink>
    </w:p>
    <w:p w14:paraId="6A34437C" w14:textId="4A315BC1"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0" w:history="1">
        <w:r w:rsidR="00FE4088" w:rsidRPr="00DA40CB">
          <w:rPr>
            <w:rStyle w:val="Hyperlink"/>
            <w:rFonts w:cs="Arial"/>
            <w:noProof/>
          </w:rPr>
          <w:t>Figure 6 Total value of marketed non-wood goods (Source:  Forest Europe, 2015)</w:t>
        </w:r>
        <w:r w:rsidR="00FE4088">
          <w:rPr>
            <w:noProof/>
            <w:webHidden/>
          </w:rPr>
          <w:tab/>
        </w:r>
        <w:r w:rsidR="00FE4088">
          <w:rPr>
            <w:noProof/>
            <w:webHidden/>
          </w:rPr>
          <w:fldChar w:fldCharType="begin"/>
        </w:r>
        <w:r w:rsidR="00FE4088">
          <w:rPr>
            <w:noProof/>
            <w:webHidden/>
          </w:rPr>
          <w:instrText xml:space="preserve"> PAGEREF _Toc91752490 \h </w:instrText>
        </w:r>
        <w:r w:rsidR="00FE4088">
          <w:rPr>
            <w:noProof/>
            <w:webHidden/>
          </w:rPr>
        </w:r>
        <w:r w:rsidR="00FE4088">
          <w:rPr>
            <w:noProof/>
            <w:webHidden/>
          </w:rPr>
          <w:fldChar w:fldCharType="separate"/>
        </w:r>
        <w:r w:rsidR="0073710A">
          <w:rPr>
            <w:noProof/>
            <w:webHidden/>
          </w:rPr>
          <w:t>45</w:t>
        </w:r>
        <w:r w:rsidR="00FE4088">
          <w:rPr>
            <w:noProof/>
            <w:webHidden/>
          </w:rPr>
          <w:fldChar w:fldCharType="end"/>
        </w:r>
      </w:hyperlink>
    </w:p>
    <w:p w14:paraId="720DD1DF" w14:textId="438E1AAC"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1" w:history="1">
        <w:r w:rsidR="00FE4088" w:rsidRPr="00DA40CB">
          <w:rPr>
            <w:rStyle w:val="Hyperlink"/>
            <w:rFonts w:cs="Arial"/>
            <w:noProof/>
          </w:rPr>
          <w:t>Figure 7 Classification of European Countries per region according to The Europe Forest, 2015 (Source:  Forest Europe, 2015)</w:t>
        </w:r>
        <w:r w:rsidR="00FE4088">
          <w:rPr>
            <w:noProof/>
            <w:webHidden/>
          </w:rPr>
          <w:tab/>
        </w:r>
        <w:r w:rsidR="00FE4088">
          <w:rPr>
            <w:noProof/>
            <w:webHidden/>
          </w:rPr>
          <w:fldChar w:fldCharType="begin"/>
        </w:r>
        <w:r w:rsidR="00FE4088">
          <w:rPr>
            <w:noProof/>
            <w:webHidden/>
          </w:rPr>
          <w:instrText xml:space="preserve"> PAGEREF _Toc91752491 \h </w:instrText>
        </w:r>
        <w:r w:rsidR="00FE4088">
          <w:rPr>
            <w:noProof/>
            <w:webHidden/>
          </w:rPr>
        </w:r>
        <w:r w:rsidR="00FE4088">
          <w:rPr>
            <w:noProof/>
            <w:webHidden/>
          </w:rPr>
          <w:fldChar w:fldCharType="separate"/>
        </w:r>
        <w:r w:rsidR="0073710A">
          <w:rPr>
            <w:noProof/>
            <w:webHidden/>
          </w:rPr>
          <w:t>47</w:t>
        </w:r>
        <w:r w:rsidR="00FE4088">
          <w:rPr>
            <w:noProof/>
            <w:webHidden/>
          </w:rPr>
          <w:fldChar w:fldCharType="end"/>
        </w:r>
      </w:hyperlink>
    </w:p>
    <w:p w14:paraId="17395273" w14:textId="0F7D369E"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2" w:history="1">
        <w:r w:rsidR="00FE4088" w:rsidRPr="00DA40CB">
          <w:rPr>
            <w:rStyle w:val="Hyperlink"/>
            <w:rFonts w:cs="Arial"/>
            <w:noProof/>
          </w:rPr>
          <w:t>Figure 8 Total reported value of marketed NWGs accounted for by plant products (in percent) (Source:  Forest Europe, 2015)</w:t>
        </w:r>
        <w:r w:rsidR="00FE4088">
          <w:rPr>
            <w:noProof/>
            <w:webHidden/>
          </w:rPr>
          <w:tab/>
        </w:r>
        <w:r w:rsidR="00FE4088">
          <w:rPr>
            <w:noProof/>
            <w:webHidden/>
          </w:rPr>
          <w:fldChar w:fldCharType="begin"/>
        </w:r>
        <w:r w:rsidR="00FE4088">
          <w:rPr>
            <w:noProof/>
            <w:webHidden/>
          </w:rPr>
          <w:instrText xml:space="preserve"> PAGEREF _Toc91752492 \h </w:instrText>
        </w:r>
        <w:r w:rsidR="00FE4088">
          <w:rPr>
            <w:noProof/>
            <w:webHidden/>
          </w:rPr>
        </w:r>
        <w:r w:rsidR="00FE4088">
          <w:rPr>
            <w:noProof/>
            <w:webHidden/>
          </w:rPr>
          <w:fldChar w:fldCharType="separate"/>
        </w:r>
        <w:r w:rsidR="0073710A">
          <w:rPr>
            <w:noProof/>
            <w:webHidden/>
          </w:rPr>
          <w:t>47</w:t>
        </w:r>
        <w:r w:rsidR="00FE4088">
          <w:rPr>
            <w:noProof/>
            <w:webHidden/>
          </w:rPr>
          <w:fldChar w:fldCharType="end"/>
        </w:r>
      </w:hyperlink>
    </w:p>
    <w:p w14:paraId="0D1CB1C4" w14:textId="43F4D07A"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3" w:history="1">
        <w:r w:rsidR="00FE4088" w:rsidRPr="00DA40CB">
          <w:rPr>
            <w:rStyle w:val="Hyperlink"/>
            <w:rFonts w:cs="Arial"/>
            <w:noProof/>
          </w:rPr>
          <w:t>Figure 9 Shares of total value of marketed NWGs accounted for by animal products; absolute values specified in EUR 1,000 (Source:  Forest Europe, 2015)</w:t>
        </w:r>
        <w:r w:rsidR="00FE4088">
          <w:rPr>
            <w:noProof/>
            <w:webHidden/>
          </w:rPr>
          <w:tab/>
        </w:r>
        <w:r w:rsidR="00FE4088">
          <w:rPr>
            <w:noProof/>
            <w:webHidden/>
          </w:rPr>
          <w:fldChar w:fldCharType="begin"/>
        </w:r>
        <w:r w:rsidR="00FE4088">
          <w:rPr>
            <w:noProof/>
            <w:webHidden/>
          </w:rPr>
          <w:instrText xml:space="preserve"> PAGEREF _Toc91752493 \h </w:instrText>
        </w:r>
        <w:r w:rsidR="00FE4088">
          <w:rPr>
            <w:noProof/>
            <w:webHidden/>
          </w:rPr>
        </w:r>
        <w:r w:rsidR="00FE4088">
          <w:rPr>
            <w:noProof/>
            <w:webHidden/>
          </w:rPr>
          <w:fldChar w:fldCharType="separate"/>
        </w:r>
        <w:r w:rsidR="0073710A">
          <w:rPr>
            <w:noProof/>
            <w:webHidden/>
          </w:rPr>
          <w:t>48</w:t>
        </w:r>
        <w:r w:rsidR="00FE4088">
          <w:rPr>
            <w:noProof/>
            <w:webHidden/>
          </w:rPr>
          <w:fldChar w:fldCharType="end"/>
        </w:r>
      </w:hyperlink>
    </w:p>
    <w:p w14:paraId="20DC5138" w14:textId="5AC8BC80"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4" w:history="1">
        <w:r w:rsidR="00FE4088" w:rsidRPr="00DA40CB">
          <w:rPr>
            <w:rStyle w:val="Hyperlink"/>
            <w:rFonts w:cs="Arial"/>
            <w:noProof/>
          </w:rPr>
          <w:t>Figure 10 Total value of marketed services (Source:  Forest Europe, 2015)</w:t>
        </w:r>
        <w:r w:rsidR="00FE4088">
          <w:rPr>
            <w:noProof/>
            <w:webHidden/>
          </w:rPr>
          <w:tab/>
        </w:r>
        <w:r w:rsidR="00FE4088">
          <w:rPr>
            <w:noProof/>
            <w:webHidden/>
          </w:rPr>
          <w:fldChar w:fldCharType="begin"/>
        </w:r>
        <w:r w:rsidR="00FE4088">
          <w:rPr>
            <w:noProof/>
            <w:webHidden/>
          </w:rPr>
          <w:instrText xml:space="preserve"> PAGEREF _Toc91752494 \h </w:instrText>
        </w:r>
        <w:r w:rsidR="00FE4088">
          <w:rPr>
            <w:noProof/>
            <w:webHidden/>
          </w:rPr>
        </w:r>
        <w:r w:rsidR="00FE4088">
          <w:rPr>
            <w:noProof/>
            <w:webHidden/>
          </w:rPr>
          <w:fldChar w:fldCharType="separate"/>
        </w:r>
        <w:r w:rsidR="0073710A">
          <w:rPr>
            <w:noProof/>
            <w:webHidden/>
          </w:rPr>
          <w:t>50</w:t>
        </w:r>
        <w:r w:rsidR="00FE4088">
          <w:rPr>
            <w:noProof/>
            <w:webHidden/>
          </w:rPr>
          <w:fldChar w:fldCharType="end"/>
        </w:r>
      </w:hyperlink>
    </w:p>
    <w:p w14:paraId="3F24A0D8" w14:textId="766E129A"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5" w:history="1">
        <w:r w:rsidR="00FE4088" w:rsidRPr="00DA40CB">
          <w:rPr>
            <w:rStyle w:val="Hyperlink"/>
            <w:rFonts w:cs="Arial"/>
            <w:noProof/>
          </w:rPr>
          <w:t>Figure 11 Proportion of marketed services provided by reporting countries (Source:  Forest Europe, 2015)</w:t>
        </w:r>
        <w:r w:rsidR="00FE4088">
          <w:rPr>
            <w:noProof/>
            <w:webHidden/>
          </w:rPr>
          <w:tab/>
        </w:r>
        <w:r w:rsidR="00FE4088">
          <w:rPr>
            <w:noProof/>
            <w:webHidden/>
          </w:rPr>
          <w:fldChar w:fldCharType="begin"/>
        </w:r>
        <w:r w:rsidR="00FE4088">
          <w:rPr>
            <w:noProof/>
            <w:webHidden/>
          </w:rPr>
          <w:instrText xml:space="preserve"> PAGEREF _Toc91752495 \h </w:instrText>
        </w:r>
        <w:r w:rsidR="00FE4088">
          <w:rPr>
            <w:noProof/>
            <w:webHidden/>
          </w:rPr>
        </w:r>
        <w:r w:rsidR="00FE4088">
          <w:rPr>
            <w:noProof/>
            <w:webHidden/>
          </w:rPr>
          <w:fldChar w:fldCharType="separate"/>
        </w:r>
        <w:r w:rsidR="0073710A">
          <w:rPr>
            <w:noProof/>
            <w:webHidden/>
          </w:rPr>
          <w:t>51</w:t>
        </w:r>
        <w:r w:rsidR="00FE4088">
          <w:rPr>
            <w:noProof/>
            <w:webHidden/>
          </w:rPr>
          <w:fldChar w:fldCharType="end"/>
        </w:r>
      </w:hyperlink>
    </w:p>
    <w:p w14:paraId="7B3B4D97" w14:textId="7CC28D3E"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6" w:history="1">
        <w:r w:rsidR="00FE4088" w:rsidRPr="00DA40CB">
          <w:rPr>
            <w:rStyle w:val="Hyperlink"/>
            <w:rFonts w:cs="Arial"/>
            <w:noProof/>
          </w:rPr>
          <w:t>Figure 12 Social aspects of sustainability</w:t>
        </w:r>
        <w:r w:rsidR="00FE4088">
          <w:rPr>
            <w:noProof/>
            <w:webHidden/>
          </w:rPr>
          <w:tab/>
        </w:r>
        <w:r w:rsidR="00FE4088">
          <w:rPr>
            <w:noProof/>
            <w:webHidden/>
          </w:rPr>
          <w:fldChar w:fldCharType="begin"/>
        </w:r>
        <w:r w:rsidR="00FE4088">
          <w:rPr>
            <w:noProof/>
            <w:webHidden/>
          </w:rPr>
          <w:instrText xml:space="preserve"> PAGEREF _Toc91752496 \h </w:instrText>
        </w:r>
        <w:r w:rsidR="00FE4088">
          <w:rPr>
            <w:noProof/>
            <w:webHidden/>
          </w:rPr>
        </w:r>
        <w:r w:rsidR="00FE4088">
          <w:rPr>
            <w:noProof/>
            <w:webHidden/>
          </w:rPr>
          <w:fldChar w:fldCharType="separate"/>
        </w:r>
        <w:r w:rsidR="0073710A">
          <w:rPr>
            <w:noProof/>
            <w:webHidden/>
          </w:rPr>
          <w:t>54</w:t>
        </w:r>
        <w:r w:rsidR="00FE4088">
          <w:rPr>
            <w:noProof/>
            <w:webHidden/>
          </w:rPr>
          <w:fldChar w:fldCharType="end"/>
        </w:r>
      </w:hyperlink>
    </w:p>
    <w:p w14:paraId="2D1C92DE" w14:textId="0A0ED438"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7" w:history="1">
        <w:r w:rsidR="00FE4088" w:rsidRPr="00DA40CB">
          <w:rPr>
            <w:rStyle w:val="Hyperlink"/>
            <w:rFonts w:cs="Arial"/>
            <w:noProof/>
          </w:rPr>
          <w:t>Figure 13 Forest ownership in Europe (Source:  Forest Europe, 2015)</w:t>
        </w:r>
        <w:r w:rsidR="00FE4088">
          <w:rPr>
            <w:noProof/>
            <w:webHidden/>
          </w:rPr>
          <w:tab/>
        </w:r>
        <w:r w:rsidR="00FE4088">
          <w:rPr>
            <w:noProof/>
            <w:webHidden/>
          </w:rPr>
          <w:fldChar w:fldCharType="begin"/>
        </w:r>
        <w:r w:rsidR="00FE4088">
          <w:rPr>
            <w:noProof/>
            <w:webHidden/>
          </w:rPr>
          <w:instrText xml:space="preserve"> PAGEREF _Toc91752497 \h </w:instrText>
        </w:r>
        <w:r w:rsidR="00FE4088">
          <w:rPr>
            <w:noProof/>
            <w:webHidden/>
          </w:rPr>
        </w:r>
        <w:r w:rsidR="00FE4088">
          <w:rPr>
            <w:noProof/>
            <w:webHidden/>
          </w:rPr>
          <w:fldChar w:fldCharType="separate"/>
        </w:r>
        <w:r w:rsidR="0073710A">
          <w:rPr>
            <w:noProof/>
            <w:webHidden/>
          </w:rPr>
          <w:t>59</w:t>
        </w:r>
        <w:r w:rsidR="00FE4088">
          <w:rPr>
            <w:noProof/>
            <w:webHidden/>
          </w:rPr>
          <w:fldChar w:fldCharType="end"/>
        </w:r>
      </w:hyperlink>
    </w:p>
    <w:p w14:paraId="3C3B0F9D" w14:textId="17B5B579"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8" w:history="1">
        <w:r w:rsidR="00FE4088" w:rsidRPr="00DA40CB">
          <w:rPr>
            <w:rStyle w:val="Hyperlink"/>
            <w:rFonts w:cs="Arial"/>
            <w:noProof/>
          </w:rPr>
          <w:t>Figure 14 Area of privately owned forest as a percentage of total forest (2010) (Source:  Forest Europe, 2015)</w:t>
        </w:r>
        <w:r w:rsidR="00FE4088">
          <w:rPr>
            <w:noProof/>
            <w:webHidden/>
          </w:rPr>
          <w:tab/>
        </w:r>
        <w:r w:rsidR="00FE4088">
          <w:rPr>
            <w:noProof/>
            <w:webHidden/>
          </w:rPr>
          <w:fldChar w:fldCharType="begin"/>
        </w:r>
        <w:r w:rsidR="00FE4088">
          <w:rPr>
            <w:noProof/>
            <w:webHidden/>
          </w:rPr>
          <w:instrText xml:space="preserve"> PAGEREF _Toc91752498 \h </w:instrText>
        </w:r>
        <w:r w:rsidR="00FE4088">
          <w:rPr>
            <w:noProof/>
            <w:webHidden/>
          </w:rPr>
        </w:r>
        <w:r w:rsidR="00FE4088">
          <w:rPr>
            <w:noProof/>
            <w:webHidden/>
          </w:rPr>
          <w:fldChar w:fldCharType="separate"/>
        </w:r>
        <w:r w:rsidR="0073710A">
          <w:rPr>
            <w:noProof/>
            <w:webHidden/>
          </w:rPr>
          <w:t>59</w:t>
        </w:r>
        <w:r w:rsidR="00FE4088">
          <w:rPr>
            <w:noProof/>
            <w:webHidden/>
          </w:rPr>
          <w:fldChar w:fldCharType="end"/>
        </w:r>
      </w:hyperlink>
    </w:p>
    <w:p w14:paraId="40D2C005" w14:textId="58BF2C0C"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499" w:history="1">
        <w:r w:rsidR="00FE4088" w:rsidRPr="00DA40CB">
          <w:rPr>
            <w:rStyle w:val="Hyperlink"/>
            <w:rFonts w:cs="Arial"/>
            <w:noProof/>
          </w:rPr>
          <w:t>Figure 15 Distribution of forest area in 2010 by ownership classes and region (Forest Europe, 2015)</w:t>
        </w:r>
        <w:r w:rsidR="00FE4088">
          <w:rPr>
            <w:noProof/>
            <w:webHidden/>
          </w:rPr>
          <w:tab/>
        </w:r>
        <w:r w:rsidR="00FE4088">
          <w:rPr>
            <w:noProof/>
            <w:webHidden/>
          </w:rPr>
          <w:fldChar w:fldCharType="begin"/>
        </w:r>
        <w:r w:rsidR="00FE4088">
          <w:rPr>
            <w:noProof/>
            <w:webHidden/>
          </w:rPr>
          <w:instrText xml:space="preserve"> PAGEREF _Toc91752499 \h </w:instrText>
        </w:r>
        <w:r w:rsidR="00FE4088">
          <w:rPr>
            <w:noProof/>
            <w:webHidden/>
          </w:rPr>
        </w:r>
        <w:r w:rsidR="00FE4088">
          <w:rPr>
            <w:noProof/>
            <w:webHidden/>
          </w:rPr>
          <w:fldChar w:fldCharType="separate"/>
        </w:r>
        <w:r w:rsidR="0073710A">
          <w:rPr>
            <w:noProof/>
            <w:webHidden/>
          </w:rPr>
          <w:t>60</w:t>
        </w:r>
        <w:r w:rsidR="00FE4088">
          <w:rPr>
            <w:noProof/>
            <w:webHidden/>
          </w:rPr>
          <w:fldChar w:fldCharType="end"/>
        </w:r>
      </w:hyperlink>
    </w:p>
    <w:p w14:paraId="701D4C51" w14:textId="41E54D18"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0" w:history="1">
        <w:r w:rsidR="00FE4088" w:rsidRPr="00DA40CB">
          <w:rPr>
            <w:rStyle w:val="Hyperlink"/>
            <w:rFonts w:cs="Arial"/>
            <w:noProof/>
          </w:rPr>
          <w:t>Figure 16 Private Forest area 1990 - 2010 by region (Forest Europe, 2015)</w:t>
        </w:r>
        <w:r w:rsidR="00FE4088">
          <w:rPr>
            <w:noProof/>
            <w:webHidden/>
          </w:rPr>
          <w:tab/>
        </w:r>
        <w:r w:rsidR="00FE4088">
          <w:rPr>
            <w:noProof/>
            <w:webHidden/>
          </w:rPr>
          <w:fldChar w:fldCharType="begin"/>
        </w:r>
        <w:r w:rsidR="00FE4088">
          <w:rPr>
            <w:noProof/>
            <w:webHidden/>
          </w:rPr>
          <w:instrText xml:space="preserve"> PAGEREF _Toc91752500 \h </w:instrText>
        </w:r>
        <w:r w:rsidR="00FE4088">
          <w:rPr>
            <w:noProof/>
            <w:webHidden/>
          </w:rPr>
        </w:r>
        <w:r w:rsidR="00FE4088">
          <w:rPr>
            <w:noProof/>
            <w:webHidden/>
          </w:rPr>
          <w:fldChar w:fldCharType="separate"/>
        </w:r>
        <w:r w:rsidR="0073710A">
          <w:rPr>
            <w:noProof/>
            <w:webHidden/>
          </w:rPr>
          <w:t>60</w:t>
        </w:r>
        <w:r w:rsidR="00FE4088">
          <w:rPr>
            <w:noProof/>
            <w:webHidden/>
          </w:rPr>
          <w:fldChar w:fldCharType="end"/>
        </w:r>
      </w:hyperlink>
    </w:p>
    <w:p w14:paraId="2F05AAB9" w14:textId="5D45C376"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1" w:history="1">
        <w:r w:rsidR="00FE4088" w:rsidRPr="00DA40CB">
          <w:rPr>
            <w:rStyle w:val="Hyperlink"/>
            <w:rFonts w:cs="Arial"/>
            <w:noProof/>
          </w:rPr>
          <w:t>Figure 17 Forest employment distribution (Source:  Forest Europe, 2015)</w:t>
        </w:r>
        <w:r w:rsidR="00FE4088">
          <w:rPr>
            <w:noProof/>
            <w:webHidden/>
          </w:rPr>
          <w:tab/>
        </w:r>
        <w:r w:rsidR="00FE4088">
          <w:rPr>
            <w:noProof/>
            <w:webHidden/>
          </w:rPr>
          <w:fldChar w:fldCharType="begin"/>
        </w:r>
        <w:r w:rsidR="00FE4088">
          <w:rPr>
            <w:noProof/>
            <w:webHidden/>
          </w:rPr>
          <w:instrText xml:space="preserve"> PAGEREF _Toc91752501 \h </w:instrText>
        </w:r>
        <w:r w:rsidR="00FE4088">
          <w:rPr>
            <w:noProof/>
            <w:webHidden/>
          </w:rPr>
        </w:r>
        <w:r w:rsidR="00FE4088">
          <w:rPr>
            <w:noProof/>
            <w:webHidden/>
          </w:rPr>
          <w:fldChar w:fldCharType="separate"/>
        </w:r>
        <w:r w:rsidR="0073710A">
          <w:rPr>
            <w:noProof/>
            <w:webHidden/>
          </w:rPr>
          <w:t>60</w:t>
        </w:r>
        <w:r w:rsidR="00FE4088">
          <w:rPr>
            <w:noProof/>
            <w:webHidden/>
          </w:rPr>
          <w:fldChar w:fldCharType="end"/>
        </w:r>
      </w:hyperlink>
    </w:p>
    <w:p w14:paraId="0773593F" w14:textId="39A4D7FA"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2" w:history="1">
        <w:r w:rsidR="00FE4088" w:rsidRPr="00DA40CB">
          <w:rPr>
            <w:rStyle w:val="Hyperlink"/>
            <w:rFonts w:cs="Arial"/>
            <w:noProof/>
          </w:rPr>
          <w:t>Figure 18 Development of forest-related employment from 2000-2010 (Forest Europe, 2015)</w:t>
        </w:r>
        <w:r w:rsidR="00FE4088">
          <w:rPr>
            <w:noProof/>
            <w:webHidden/>
          </w:rPr>
          <w:tab/>
        </w:r>
        <w:r w:rsidR="00FE4088">
          <w:rPr>
            <w:noProof/>
            <w:webHidden/>
          </w:rPr>
          <w:fldChar w:fldCharType="begin"/>
        </w:r>
        <w:r w:rsidR="00FE4088">
          <w:rPr>
            <w:noProof/>
            <w:webHidden/>
          </w:rPr>
          <w:instrText xml:space="preserve"> PAGEREF _Toc91752502 \h </w:instrText>
        </w:r>
        <w:r w:rsidR="00FE4088">
          <w:rPr>
            <w:noProof/>
            <w:webHidden/>
          </w:rPr>
        </w:r>
        <w:r w:rsidR="00FE4088">
          <w:rPr>
            <w:noProof/>
            <w:webHidden/>
          </w:rPr>
          <w:fldChar w:fldCharType="separate"/>
        </w:r>
        <w:r w:rsidR="0073710A">
          <w:rPr>
            <w:noProof/>
            <w:webHidden/>
          </w:rPr>
          <w:t>61</w:t>
        </w:r>
        <w:r w:rsidR="00FE4088">
          <w:rPr>
            <w:noProof/>
            <w:webHidden/>
          </w:rPr>
          <w:fldChar w:fldCharType="end"/>
        </w:r>
      </w:hyperlink>
    </w:p>
    <w:p w14:paraId="6F3377C9" w14:textId="4EC06EBE"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3" w:history="1">
        <w:r w:rsidR="00FE4088" w:rsidRPr="00DA40CB">
          <w:rPr>
            <w:rStyle w:val="Hyperlink"/>
            <w:rFonts w:cs="Arial"/>
            <w:noProof/>
          </w:rPr>
          <w:t>Figure 19 Environmental aspects of sustainability</w:t>
        </w:r>
        <w:r w:rsidR="00FE4088">
          <w:rPr>
            <w:noProof/>
            <w:webHidden/>
          </w:rPr>
          <w:tab/>
        </w:r>
        <w:r w:rsidR="00FE4088">
          <w:rPr>
            <w:noProof/>
            <w:webHidden/>
          </w:rPr>
          <w:fldChar w:fldCharType="begin"/>
        </w:r>
        <w:r w:rsidR="00FE4088">
          <w:rPr>
            <w:noProof/>
            <w:webHidden/>
          </w:rPr>
          <w:instrText xml:space="preserve"> PAGEREF _Toc91752503 \h </w:instrText>
        </w:r>
        <w:r w:rsidR="00FE4088">
          <w:rPr>
            <w:noProof/>
            <w:webHidden/>
          </w:rPr>
        </w:r>
        <w:r w:rsidR="00FE4088">
          <w:rPr>
            <w:noProof/>
            <w:webHidden/>
          </w:rPr>
          <w:fldChar w:fldCharType="separate"/>
        </w:r>
        <w:r w:rsidR="0073710A">
          <w:rPr>
            <w:noProof/>
            <w:webHidden/>
          </w:rPr>
          <w:t>63</w:t>
        </w:r>
        <w:r w:rsidR="00FE4088">
          <w:rPr>
            <w:noProof/>
            <w:webHidden/>
          </w:rPr>
          <w:fldChar w:fldCharType="end"/>
        </w:r>
      </w:hyperlink>
    </w:p>
    <w:p w14:paraId="2487592D" w14:textId="162CFAFE"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4" w:history="1">
        <w:r w:rsidR="00FE4088" w:rsidRPr="00DA40CB">
          <w:rPr>
            <w:rStyle w:val="Hyperlink"/>
            <w:rFonts w:cs="Arial"/>
            <w:noProof/>
          </w:rPr>
          <w:t>Figure 20 Issues covered by the main policy objectives relating to protective forests and other wooded land for the period 2011-2014 (Source:  Forest Europe, 2015)</w:t>
        </w:r>
        <w:r w:rsidR="00FE4088">
          <w:rPr>
            <w:noProof/>
            <w:webHidden/>
          </w:rPr>
          <w:tab/>
        </w:r>
        <w:r w:rsidR="00FE4088">
          <w:rPr>
            <w:noProof/>
            <w:webHidden/>
          </w:rPr>
          <w:fldChar w:fldCharType="begin"/>
        </w:r>
        <w:r w:rsidR="00FE4088">
          <w:rPr>
            <w:noProof/>
            <w:webHidden/>
          </w:rPr>
          <w:instrText xml:space="preserve"> PAGEREF _Toc91752504 \h </w:instrText>
        </w:r>
        <w:r w:rsidR="00FE4088">
          <w:rPr>
            <w:noProof/>
            <w:webHidden/>
          </w:rPr>
        </w:r>
        <w:r w:rsidR="00FE4088">
          <w:rPr>
            <w:noProof/>
            <w:webHidden/>
          </w:rPr>
          <w:fldChar w:fldCharType="separate"/>
        </w:r>
        <w:r w:rsidR="0073710A">
          <w:rPr>
            <w:noProof/>
            <w:webHidden/>
          </w:rPr>
          <w:t>70</w:t>
        </w:r>
        <w:r w:rsidR="00FE4088">
          <w:rPr>
            <w:noProof/>
            <w:webHidden/>
          </w:rPr>
          <w:fldChar w:fldCharType="end"/>
        </w:r>
      </w:hyperlink>
    </w:p>
    <w:p w14:paraId="7774D043" w14:textId="29017D57"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5" w:history="1">
        <w:r w:rsidR="00FE4088" w:rsidRPr="00DA40CB">
          <w:rPr>
            <w:rStyle w:val="Hyperlink"/>
            <w:rFonts w:cs="Arial"/>
            <w:noProof/>
          </w:rPr>
          <w:t>Figure 21 Area of protected forest (1,000 ha) in Europe by MCPFE class (1.1–1.3 and 2) in 2000, 2010 and 2015 (based on available data) (Source:  Forest Europe, 2015)</w:t>
        </w:r>
        <w:r w:rsidR="00FE4088">
          <w:rPr>
            <w:noProof/>
            <w:webHidden/>
          </w:rPr>
          <w:tab/>
        </w:r>
        <w:r w:rsidR="00FE4088">
          <w:rPr>
            <w:noProof/>
            <w:webHidden/>
          </w:rPr>
          <w:fldChar w:fldCharType="begin"/>
        </w:r>
        <w:r w:rsidR="00FE4088">
          <w:rPr>
            <w:noProof/>
            <w:webHidden/>
          </w:rPr>
          <w:instrText xml:space="preserve"> PAGEREF _Toc91752505 \h </w:instrText>
        </w:r>
        <w:r w:rsidR="00FE4088">
          <w:rPr>
            <w:noProof/>
            <w:webHidden/>
          </w:rPr>
        </w:r>
        <w:r w:rsidR="00FE4088">
          <w:rPr>
            <w:noProof/>
            <w:webHidden/>
          </w:rPr>
          <w:fldChar w:fldCharType="separate"/>
        </w:r>
        <w:r w:rsidR="0073710A">
          <w:rPr>
            <w:noProof/>
            <w:webHidden/>
          </w:rPr>
          <w:t>73</w:t>
        </w:r>
        <w:r w:rsidR="00FE4088">
          <w:rPr>
            <w:noProof/>
            <w:webHidden/>
          </w:rPr>
          <w:fldChar w:fldCharType="end"/>
        </w:r>
      </w:hyperlink>
    </w:p>
    <w:p w14:paraId="57668E07" w14:textId="545340A5"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6" w:history="1">
        <w:r w:rsidR="00FE4088" w:rsidRPr="00DA40CB">
          <w:rPr>
            <w:rStyle w:val="Hyperlink"/>
            <w:rFonts w:cs="Arial"/>
            <w:noProof/>
          </w:rPr>
          <w:t>Figure 22 Technological aspects for the enhancement of sustainability</w:t>
        </w:r>
        <w:r w:rsidR="00FE4088">
          <w:rPr>
            <w:noProof/>
            <w:webHidden/>
          </w:rPr>
          <w:tab/>
        </w:r>
        <w:r w:rsidR="00FE4088">
          <w:rPr>
            <w:noProof/>
            <w:webHidden/>
          </w:rPr>
          <w:fldChar w:fldCharType="begin"/>
        </w:r>
        <w:r w:rsidR="00FE4088">
          <w:rPr>
            <w:noProof/>
            <w:webHidden/>
          </w:rPr>
          <w:instrText xml:space="preserve"> PAGEREF _Toc91752506 \h </w:instrText>
        </w:r>
        <w:r w:rsidR="00FE4088">
          <w:rPr>
            <w:noProof/>
            <w:webHidden/>
          </w:rPr>
        </w:r>
        <w:r w:rsidR="00FE4088">
          <w:rPr>
            <w:noProof/>
            <w:webHidden/>
          </w:rPr>
          <w:fldChar w:fldCharType="separate"/>
        </w:r>
        <w:r w:rsidR="0073710A">
          <w:rPr>
            <w:noProof/>
            <w:webHidden/>
          </w:rPr>
          <w:t>75</w:t>
        </w:r>
        <w:r w:rsidR="00FE4088">
          <w:rPr>
            <w:noProof/>
            <w:webHidden/>
          </w:rPr>
          <w:fldChar w:fldCharType="end"/>
        </w:r>
      </w:hyperlink>
    </w:p>
    <w:p w14:paraId="14638DC5" w14:textId="77F2A94F"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7" w:history="1">
        <w:r w:rsidR="00FE4088" w:rsidRPr="00DA40CB">
          <w:rPr>
            <w:rStyle w:val="Hyperlink"/>
            <w:rFonts w:cs="Arial"/>
            <w:noProof/>
          </w:rPr>
          <w:t>Figure 23 Methodology’s Workflow of the economical afforestation model of ML</w:t>
        </w:r>
        <w:r w:rsidR="00FE4088">
          <w:rPr>
            <w:noProof/>
            <w:webHidden/>
          </w:rPr>
          <w:tab/>
        </w:r>
        <w:r w:rsidR="00FE4088">
          <w:rPr>
            <w:noProof/>
            <w:webHidden/>
          </w:rPr>
          <w:fldChar w:fldCharType="begin"/>
        </w:r>
        <w:r w:rsidR="00FE4088">
          <w:rPr>
            <w:noProof/>
            <w:webHidden/>
          </w:rPr>
          <w:instrText xml:space="preserve"> PAGEREF _Toc91752507 \h </w:instrText>
        </w:r>
        <w:r w:rsidR="00FE4088">
          <w:rPr>
            <w:noProof/>
            <w:webHidden/>
          </w:rPr>
        </w:r>
        <w:r w:rsidR="00FE4088">
          <w:rPr>
            <w:noProof/>
            <w:webHidden/>
          </w:rPr>
          <w:fldChar w:fldCharType="separate"/>
        </w:r>
        <w:r w:rsidR="0073710A">
          <w:rPr>
            <w:noProof/>
            <w:webHidden/>
          </w:rPr>
          <w:t>83</w:t>
        </w:r>
        <w:r w:rsidR="00FE4088">
          <w:rPr>
            <w:noProof/>
            <w:webHidden/>
          </w:rPr>
          <w:fldChar w:fldCharType="end"/>
        </w:r>
      </w:hyperlink>
    </w:p>
    <w:p w14:paraId="4A426F45" w14:textId="0A680B28"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8" w:history="1">
        <w:r w:rsidR="00FE4088" w:rsidRPr="00DA40CB">
          <w:rPr>
            <w:rStyle w:val="Hyperlink"/>
            <w:rFonts w:cs="Arial"/>
            <w:noProof/>
          </w:rPr>
          <w:t>Figure 24 Cost of manual soil preparation</w:t>
        </w:r>
        <w:r w:rsidR="00FE4088">
          <w:rPr>
            <w:noProof/>
            <w:webHidden/>
          </w:rPr>
          <w:tab/>
        </w:r>
        <w:r w:rsidR="00FE4088">
          <w:rPr>
            <w:noProof/>
            <w:webHidden/>
          </w:rPr>
          <w:fldChar w:fldCharType="begin"/>
        </w:r>
        <w:r w:rsidR="00FE4088">
          <w:rPr>
            <w:noProof/>
            <w:webHidden/>
          </w:rPr>
          <w:instrText xml:space="preserve"> PAGEREF _Toc91752508 \h </w:instrText>
        </w:r>
        <w:r w:rsidR="00FE4088">
          <w:rPr>
            <w:noProof/>
            <w:webHidden/>
          </w:rPr>
        </w:r>
        <w:r w:rsidR="00FE4088">
          <w:rPr>
            <w:noProof/>
            <w:webHidden/>
          </w:rPr>
          <w:fldChar w:fldCharType="separate"/>
        </w:r>
        <w:r w:rsidR="0073710A">
          <w:rPr>
            <w:noProof/>
            <w:webHidden/>
          </w:rPr>
          <w:t>86</w:t>
        </w:r>
        <w:r w:rsidR="00FE4088">
          <w:rPr>
            <w:noProof/>
            <w:webHidden/>
          </w:rPr>
          <w:fldChar w:fldCharType="end"/>
        </w:r>
      </w:hyperlink>
    </w:p>
    <w:p w14:paraId="71B38673" w14:textId="68C88340"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09" w:history="1">
        <w:r w:rsidR="00FE4088" w:rsidRPr="00DA40CB">
          <w:rPr>
            <w:rStyle w:val="Hyperlink"/>
            <w:rFonts w:cs="Arial"/>
            <w:noProof/>
          </w:rPr>
          <w:t>Figure 25 Cost of mechanical soil preparation</w:t>
        </w:r>
        <w:r w:rsidR="00FE4088">
          <w:rPr>
            <w:noProof/>
            <w:webHidden/>
          </w:rPr>
          <w:tab/>
        </w:r>
        <w:r w:rsidR="00FE4088">
          <w:rPr>
            <w:noProof/>
            <w:webHidden/>
          </w:rPr>
          <w:fldChar w:fldCharType="begin"/>
        </w:r>
        <w:r w:rsidR="00FE4088">
          <w:rPr>
            <w:noProof/>
            <w:webHidden/>
          </w:rPr>
          <w:instrText xml:space="preserve"> PAGEREF _Toc91752509 \h </w:instrText>
        </w:r>
        <w:r w:rsidR="00FE4088">
          <w:rPr>
            <w:noProof/>
            <w:webHidden/>
          </w:rPr>
        </w:r>
        <w:r w:rsidR="00FE4088">
          <w:rPr>
            <w:noProof/>
            <w:webHidden/>
          </w:rPr>
          <w:fldChar w:fldCharType="separate"/>
        </w:r>
        <w:r w:rsidR="0073710A">
          <w:rPr>
            <w:noProof/>
            <w:webHidden/>
          </w:rPr>
          <w:t>86</w:t>
        </w:r>
        <w:r w:rsidR="00FE4088">
          <w:rPr>
            <w:noProof/>
            <w:webHidden/>
          </w:rPr>
          <w:fldChar w:fldCharType="end"/>
        </w:r>
      </w:hyperlink>
    </w:p>
    <w:p w14:paraId="0F39E88F" w14:textId="5367FD6A"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0" w:history="1">
        <w:r w:rsidR="00FE4088" w:rsidRPr="00DA40CB">
          <w:rPr>
            <w:rStyle w:val="Hyperlink"/>
            <w:rFonts w:cs="Arial"/>
            <w:noProof/>
          </w:rPr>
          <w:t>Figure 26. European regional groups by EuroVoc. Map by Samotny Wędrowiec based on this design: https://commons.wikimedia.org/wiki/File:Map_of_Europe_(political).png, CC BY-SA 3.0, https://en.wikipedia.org/w/index.php?curid=42792537.</w:t>
        </w:r>
        <w:r w:rsidR="00FE4088">
          <w:rPr>
            <w:noProof/>
            <w:webHidden/>
          </w:rPr>
          <w:tab/>
        </w:r>
        <w:r w:rsidR="00FE4088">
          <w:rPr>
            <w:noProof/>
            <w:webHidden/>
          </w:rPr>
          <w:fldChar w:fldCharType="begin"/>
        </w:r>
        <w:r w:rsidR="00FE4088">
          <w:rPr>
            <w:noProof/>
            <w:webHidden/>
          </w:rPr>
          <w:instrText xml:space="preserve"> PAGEREF _Toc91752510 \h </w:instrText>
        </w:r>
        <w:r w:rsidR="00FE4088">
          <w:rPr>
            <w:noProof/>
            <w:webHidden/>
          </w:rPr>
        </w:r>
        <w:r w:rsidR="00FE4088">
          <w:rPr>
            <w:noProof/>
            <w:webHidden/>
          </w:rPr>
          <w:fldChar w:fldCharType="separate"/>
        </w:r>
        <w:r w:rsidR="0073710A">
          <w:rPr>
            <w:noProof/>
            <w:webHidden/>
          </w:rPr>
          <w:t>96</w:t>
        </w:r>
        <w:r w:rsidR="00FE4088">
          <w:rPr>
            <w:noProof/>
            <w:webHidden/>
          </w:rPr>
          <w:fldChar w:fldCharType="end"/>
        </w:r>
      </w:hyperlink>
    </w:p>
    <w:p w14:paraId="3B9B7650" w14:textId="3D06A2D5"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1" w:history="1">
        <w:r w:rsidR="00FE4088" w:rsidRPr="00DA40CB">
          <w:rPr>
            <w:rStyle w:val="Hyperlink"/>
            <w:rFonts w:cs="Arial"/>
            <w:noProof/>
          </w:rPr>
          <w:t>Figure 27 Costs. GFCG Building and Equipment over Forest Sector GVA</w:t>
        </w:r>
        <w:r w:rsidR="00FE4088">
          <w:rPr>
            <w:noProof/>
            <w:webHidden/>
          </w:rPr>
          <w:tab/>
        </w:r>
        <w:r w:rsidR="00FE4088">
          <w:rPr>
            <w:noProof/>
            <w:webHidden/>
          </w:rPr>
          <w:fldChar w:fldCharType="begin"/>
        </w:r>
        <w:r w:rsidR="00FE4088">
          <w:rPr>
            <w:noProof/>
            <w:webHidden/>
          </w:rPr>
          <w:instrText xml:space="preserve"> PAGEREF _Toc91752511 \h </w:instrText>
        </w:r>
        <w:r w:rsidR="00FE4088">
          <w:rPr>
            <w:noProof/>
            <w:webHidden/>
          </w:rPr>
        </w:r>
        <w:r w:rsidR="00FE4088">
          <w:rPr>
            <w:noProof/>
            <w:webHidden/>
          </w:rPr>
          <w:fldChar w:fldCharType="separate"/>
        </w:r>
        <w:r w:rsidR="0073710A">
          <w:rPr>
            <w:noProof/>
            <w:webHidden/>
          </w:rPr>
          <w:t>98</w:t>
        </w:r>
        <w:r w:rsidR="00FE4088">
          <w:rPr>
            <w:noProof/>
            <w:webHidden/>
          </w:rPr>
          <w:fldChar w:fldCharType="end"/>
        </w:r>
      </w:hyperlink>
    </w:p>
    <w:p w14:paraId="5616B606" w14:textId="4E462EED"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2" w:history="1">
        <w:r w:rsidR="00FE4088" w:rsidRPr="00DA40CB">
          <w:rPr>
            <w:rStyle w:val="Hyperlink"/>
            <w:rFonts w:cs="Arial"/>
            <w:noProof/>
          </w:rPr>
          <w:t>Figure 28 Costs. GFCF planting of trees for regular income in Forest sector GVA</w:t>
        </w:r>
        <w:r w:rsidR="00FE4088">
          <w:rPr>
            <w:noProof/>
            <w:webHidden/>
          </w:rPr>
          <w:tab/>
        </w:r>
        <w:r w:rsidR="00FE4088">
          <w:rPr>
            <w:noProof/>
            <w:webHidden/>
          </w:rPr>
          <w:fldChar w:fldCharType="begin"/>
        </w:r>
        <w:r w:rsidR="00FE4088">
          <w:rPr>
            <w:noProof/>
            <w:webHidden/>
          </w:rPr>
          <w:instrText xml:space="preserve"> PAGEREF _Toc91752512 \h </w:instrText>
        </w:r>
        <w:r w:rsidR="00FE4088">
          <w:rPr>
            <w:noProof/>
            <w:webHidden/>
          </w:rPr>
        </w:r>
        <w:r w:rsidR="00FE4088">
          <w:rPr>
            <w:noProof/>
            <w:webHidden/>
          </w:rPr>
          <w:fldChar w:fldCharType="separate"/>
        </w:r>
        <w:r w:rsidR="0073710A">
          <w:rPr>
            <w:noProof/>
            <w:webHidden/>
          </w:rPr>
          <w:t>99</w:t>
        </w:r>
        <w:r w:rsidR="00FE4088">
          <w:rPr>
            <w:noProof/>
            <w:webHidden/>
          </w:rPr>
          <w:fldChar w:fldCharType="end"/>
        </w:r>
      </w:hyperlink>
    </w:p>
    <w:p w14:paraId="4051F1A6" w14:textId="44218782"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3" w:history="1">
        <w:r w:rsidR="00FE4088" w:rsidRPr="00DA40CB">
          <w:rPr>
            <w:rStyle w:val="Hyperlink"/>
            <w:rFonts w:cs="Arial"/>
            <w:noProof/>
          </w:rPr>
          <w:t>Figure 29. Costs. Maintenance of materials in the Forest sector GVA</w:t>
        </w:r>
        <w:r w:rsidR="00FE4088">
          <w:rPr>
            <w:noProof/>
            <w:webHidden/>
          </w:rPr>
          <w:tab/>
        </w:r>
        <w:r w:rsidR="00FE4088">
          <w:rPr>
            <w:noProof/>
            <w:webHidden/>
          </w:rPr>
          <w:fldChar w:fldCharType="begin"/>
        </w:r>
        <w:r w:rsidR="00FE4088">
          <w:rPr>
            <w:noProof/>
            <w:webHidden/>
          </w:rPr>
          <w:instrText xml:space="preserve"> PAGEREF _Toc91752513 \h </w:instrText>
        </w:r>
        <w:r w:rsidR="00FE4088">
          <w:rPr>
            <w:noProof/>
            <w:webHidden/>
          </w:rPr>
        </w:r>
        <w:r w:rsidR="00FE4088">
          <w:rPr>
            <w:noProof/>
            <w:webHidden/>
          </w:rPr>
          <w:fldChar w:fldCharType="separate"/>
        </w:r>
        <w:r w:rsidR="0073710A">
          <w:rPr>
            <w:noProof/>
            <w:webHidden/>
          </w:rPr>
          <w:t>100</w:t>
        </w:r>
        <w:r w:rsidR="00FE4088">
          <w:rPr>
            <w:noProof/>
            <w:webHidden/>
          </w:rPr>
          <w:fldChar w:fldCharType="end"/>
        </w:r>
      </w:hyperlink>
    </w:p>
    <w:p w14:paraId="22B0559B" w14:textId="3D279E4B"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4" w:history="1">
        <w:r w:rsidR="00FE4088" w:rsidRPr="00DA40CB">
          <w:rPr>
            <w:rStyle w:val="Hyperlink"/>
            <w:rFonts w:cs="Arial"/>
            <w:noProof/>
          </w:rPr>
          <w:t>Figure 30. Costs. Economic compensation by employee.</w:t>
        </w:r>
        <w:r w:rsidR="00FE4088">
          <w:rPr>
            <w:noProof/>
            <w:webHidden/>
          </w:rPr>
          <w:tab/>
        </w:r>
        <w:r w:rsidR="00FE4088">
          <w:rPr>
            <w:noProof/>
            <w:webHidden/>
          </w:rPr>
          <w:fldChar w:fldCharType="begin"/>
        </w:r>
        <w:r w:rsidR="00FE4088">
          <w:rPr>
            <w:noProof/>
            <w:webHidden/>
          </w:rPr>
          <w:instrText xml:space="preserve"> PAGEREF _Toc91752514 \h </w:instrText>
        </w:r>
        <w:r w:rsidR="00FE4088">
          <w:rPr>
            <w:noProof/>
            <w:webHidden/>
          </w:rPr>
        </w:r>
        <w:r w:rsidR="00FE4088">
          <w:rPr>
            <w:noProof/>
            <w:webHidden/>
          </w:rPr>
          <w:fldChar w:fldCharType="separate"/>
        </w:r>
        <w:r w:rsidR="0073710A">
          <w:rPr>
            <w:noProof/>
            <w:webHidden/>
          </w:rPr>
          <w:t>100</w:t>
        </w:r>
        <w:r w:rsidR="00FE4088">
          <w:rPr>
            <w:noProof/>
            <w:webHidden/>
          </w:rPr>
          <w:fldChar w:fldCharType="end"/>
        </w:r>
      </w:hyperlink>
    </w:p>
    <w:p w14:paraId="61D0EF27" w14:textId="2AB3D569"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5" w:history="1">
        <w:r w:rsidR="00FE4088" w:rsidRPr="00DA40CB">
          <w:rPr>
            <w:rStyle w:val="Hyperlink"/>
            <w:rFonts w:cs="Arial"/>
            <w:noProof/>
          </w:rPr>
          <w:t>Figure 31. income from NWP in gross value added of the forestry sector</w:t>
        </w:r>
        <w:r w:rsidR="00FE4088">
          <w:rPr>
            <w:noProof/>
            <w:webHidden/>
          </w:rPr>
          <w:tab/>
        </w:r>
        <w:r w:rsidR="00FE4088">
          <w:rPr>
            <w:noProof/>
            <w:webHidden/>
          </w:rPr>
          <w:fldChar w:fldCharType="begin"/>
        </w:r>
        <w:r w:rsidR="00FE4088">
          <w:rPr>
            <w:noProof/>
            <w:webHidden/>
          </w:rPr>
          <w:instrText xml:space="preserve"> PAGEREF _Toc91752515 \h </w:instrText>
        </w:r>
        <w:r w:rsidR="00FE4088">
          <w:rPr>
            <w:noProof/>
            <w:webHidden/>
          </w:rPr>
        </w:r>
        <w:r w:rsidR="00FE4088">
          <w:rPr>
            <w:noProof/>
            <w:webHidden/>
          </w:rPr>
          <w:fldChar w:fldCharType="separate"/>
        </w:r>
        <w:r w:rsidR="0073710A">
          <w:rPr>
            <w:noProof/>
            <w:webHidden/>
          </w:rPr>
          <w:t>101</w:t>
        </w:r>
        <w:r w:rsidR="00FE4088">
          <w:rPr>
            <w:noProof/>
            <w:webHidden/>
          </w:rPr>
          <w:fldChar w:fldCharType="end"/>
        </w:r>
      </w:hyperlink>
    </w:p>
    <w:p w14:paraId="27738ED3" w14:textId="64BF25EA"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6" w:history="1">
        <w:r w:rsidR="00FE4088" w:rsidRPr="00DA40CB">
          <w:rPr>
            <w:rStyle w:val="Hyperlink"/>
            <w:rFonts w:cs="Arial"/>
            <w:noProof/>
          </w:rPr>
          <w:t>Figure 32. Employment in the forest sector by activity</w:t>
        </w:r>
        <w:r w:rsidR="00FE4088">
          <w:rPr>
            <w:noProof/>
            <w:webHidden/>
          </w:rPr>
          <w:tab/>
        </w:r>
        <w:r w:rsidR="00FE4088">
          <w:rPr>
            <w:noProof/>
            <w:webHidden/>
          </w:rPr>
          <w:fldChar w:fldCharType="begin"/>
        </w:r>
        <w:r w:rsidR="00FE4088">
          <w:rPr>
            <w:noProof/>
            <w:webHidden/>
          </w:rPr>
          <w:instrText xml:space="preserve"> PAGEREF _Toc91752516 \h </w:instrText>
        </w:r>
        <w:r w:rsidR="00FE4088">
          <w:rPr>
            <w:noProof/>
            <w:webHidden/>
          </w:rPr>
        </w:r>
        <w:r w:rsidR="00FE4088">
          <w:rPr>
            <w:noProof/>
            <w:webHidden/>
          </w:rPr>
          <w:fldChar w:fldCharType="separate"/>
        </w:r>
        <w:r w:rsidR="0073710A">
          <w:rPr>
            <w:noProof/>
            <w:webHidden/>
          </w:rPr>
          <w:t>104</w:t>
        </w:r>
        <w:r w:rsidR="00FE4088">
          <w:rPr>
            <w:noProof/>
            <w:webHidden/>
          </w:rPr>
          <w:fldChar w:fldCharType="end"/>
        </w:r>
      </w:hyperlink>
    </w:p>
    <w:p w14:paraId="173AFE76" w14:textId="6C461F09"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7" w:history="1">
        <w:r w:rsidR="00FE4088" w:rsidRPr="00DA40CB">
          <w:rPr>
            <w:rStyle w:val="Hyperlink"/>
            <w:rFonts w:cs="Arial"/>
            <w:noProof/>
          </w:rPr>
          <w:t>Figure 33 Surface of terrestrial sites designated under Natura 2000</w:t>
        </w:r>
        <w:r w:rsidR="00FE4088">
          <w:rPr>
            <w:noProof/>
            <w:webHidden/>
          </w:rPr>
          <w:tab/>
        </w:r>
        <w:r w:rsidR="00FE4088">
          <w:rPr>
            <w:noProof/>
            <w:webHidden/>
          </w:rPr>
          <w:fldChar w:fldCharType="begin"/>
        </w:r>
        <w:r w:rsidR="00FE4088">
          <w:rPr>
            <w:noProof/>
            <w:webHidden/>
          </w:rPr>
          <w:instrText xml:space="preserve"> PAGEREF _Toc91752517 \h </w:instrText>
        </w:r>
        <w:r w:rsidR="00FE4088">
          <w:rPr>
            <w:noProof/>
            <w:webHidden/>
          </w:rPr>
        </w:r>
        <w:r w:rsidR="00FE4088">
          <w:rPr>
            <w:noProof/>
            <w:webHidden/>
          </w:rPr>
          <w:fldChar w:fldCharType="separate"/>
        </w:r>
        <w:r w:rsidR="0073710A">
          <w:rPr>
            <w:noProof/>
            <w:webHidden/>
          </w:rPr>
          <w:t>106</w:t>
        </w:r>
        <w:r w:rsidR="00FE4088">
          <w:rPr>
            <w:noProof/>
            <w:webHidden/>
          </w:rPr>
          <w:fldChar w:fldCharType="end"/>
        </w:r>
      </w:hyperlink>
    </w:p>
    <w:p w14:paraId="4D40A51F" w14:textId="7749390C"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8" w:history="1">
        <w:r w:rsidR="00FE4088" w:rsidRPr="00DA40CB">
          <w:rPr>
            <w:rStyle w:val="Hyperlink"/>
            <w:rFonts w:cs="Arial"/>
            <w:noProof/>
          </w:rPr>
          <w:t>Figure 34. Area protected for biodiversity conversion</w:t>
        </w:r>
        <w:r w:rsidR="00FE4088">
          <w:rPr>
            <w:noProof/>
            <w:webHidden/>
          </w:rPr>
          <w:tab/>
        </w:r>
        <w:r w:rsidR="00FE4088">
          <w:rPr>
            <w:noProof/>
            <w:webHidden/>
          </w:rPr>
          <w:fldChar w:fldCharType="begin"/>
        </w:r>
        <w:r w:rsidR="00FE4088">
          <w:rPr>
            <w:noProof/>
            <w:webHidden/>
          </w:rPr>
          <w:instrText xml:space="preserve"> PAGEREF _Toc91752518 \h </w:instrText>
        </w:r>
        <w:r w:rsidR="00FE4088">
          <w:rPr>
            <w:noProof/>
            <w:webHidden/>
          </w:rPr>
        </w:r>
        <w:r w:rsidR="00FE4088">
          <w:rPr>
            <w:noProof/>
            <w:webHidden/>
          </w:rPr>
          <w:fldChar w:fldCharType="separate"/>
        </w:r>
        <w:r w:rsidR="0073710A">
          <w:rPr>
            <w:noProof/>
            <w:webHidden/>
          </w:rPr>
          <w:t>106</w:t>
        </w:r>
        <w:r w:rsidR="00FE4088">
          <w:rPr>
            <w:noProof/>
            <w:webHidden/>
          </w:rPr>
          <w:fldChar w:fldCharType="end"/>
        </w:r>
      </w:hyperlink>
    </w:p>
    <w:p w14:paraId="440B6F34" w14:textId="61A7D443"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19" w:history="1">
        <w:r w:rsidR="00FE4088" w:rsidRPr="00DA40CB">
          <w:rPr>
            <w:rStyle w:val="Hyperlink"/>
            <w:rFonts w:cs="Arial"/>
            <w:noProof/>
          </w:rPr>
          <w:t>Figure 35 Erosion by land cover type</w:t>
        </w:r>
        <w:r w:rsidR="00FE4088">
          <w:rPr>
            <w:noProof/>
            <w:webHidden/>
          </w:rPr>
          <w:tab/>
        </w:r>
        <w:r w:rsidR="00FE4088">
          <w:rPr>
            <w:noProof/>
            <w:webHidden/>
          </w:rPr>
          <w:fldChar w:fldCharType="begin"/>
        </w:r>
        <w:r w:rsidR="00FE4088">
          <w:rPr>
            <w:noProof/>
            <w:webHidden/>
          </w:rPr>
          <w:instrText xml:space="preserve"> PAGEREF _Toc91752519 \h </w:instrText>
        </w:r>
        <w:r w:rsidR="00FE4088">
          <w:rPr>
            <w:noProof/>
            <w:webHidden/>
          </w:rPr>
        </w:r>
        <w:r w:rsidR="00FE4088">
          <w:rPr>
            <w:noProof/>
            <w:webHidden/>
          </w:rPr>
          <w:fldChar w:fldCharType="separate"/>
        </w:r>
        <w:r w:rsidR="0073710A">
          <w:rPr>
            <w:noProof/>
            <w:webHidden/>
          </w:rPr>
          <w:t>107</w:t>
        </w:r>
        <w:r w:rsidR="00FE4088">
          <w:rPr>
            <w:noProof/>
            <w:webHidden/>
          </w:rPr>
          <w:fldChar w:fldCharType="end"/>
        </w:r>
      </w:hyperlink>
    </w:p>
    <w:p w14:paraId="05B5E8AC" w14:textId="18831E84"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20" w:history="1">
        <w:r w:rsidR="00FE4088" w:rsidRPr="00DA40CB">
          <w:rPr>
            <w:rStyle w:val="Hyperlink"/>
            <w:rFonts w:cs="Arial"/>
            <w:noProof/>
          </w:rPr>
          <w:t>Figure 36 Share of forest and other wooded land that provides a protective function</w:t>
        </w:r>
        <w:r w:rsidR="00FE4088">
          <w:rPr>
            <w:noProof/>
            <w:webHidden/>
          </w:rPr>
          <w:tab/>
        </w:r>
        <w:r w:rsidR="00FE4088">
          <w:rPr>
            <w:noProof/>
            <w:webHidden/>
          </w:rPr>
          <w:fldChar w:fldCharType="begin"/>
        </w:r>
        <w:r w:rsidR="00FE4088">
          <w:rPr>
            <w:noProof/>
            <w:webHidden/>
          </w:rPr>
          <w:instrText xml:space="preserve"> PAGEREF _Toc91752520 \h </w:instrText>
        </w:r>
        <w:r w:rsidR="00FE4088">
          <w:rPr>
            <w:noProof/>
            <w:webHidden/>
          </w:rPr>
        </w:r>
        <w:r w:rsidR="00FE4088">
          <w:rPr>
            <w:noProof/>
            <w:webHidden/>
          </w:rPr>
          <w:fldChar w:fldCharType="separate"/>
        </w:r>
        <w:r w:rsidR="0073710A">
          <w:rPr>
            <w:noProof/>
            <w:webHidden/>
          </w:rPr>
          <w:t>108</w:t>
        </w:r>
        <w:r w:rsidR="00FE4088">
          <w:rPr>
            <w:noProof/>
            <w:webHidden/>
          </w:rPr>
          <w:fldChar w:fldCharType="end"/>
        </w:r>
      </w:hyperlink>
    </w:p>
    <w:p w14:paraId="2EABCC9A" w14:textId="36D4442B" w:rsidR="00FE4088" w:rsidRDefault="003B0DE2">
      <w:pPr>
        <w:pStyle w:val="TableofFigures"/>
        <w:tabs>
          <w:tab w:val="right" w:leader="dot" w:pos="8495"/>
        </w:tabs>
        <w:rPr>
          <w:rFonts w:asciiTheme="minorHAnsi" w:eastAsiaTheme="minorEastAsia" w:hAnsiTheme="minorHAnsi" w:cstheme="minorBidi"/>
          <w:noProof/>
          <w:lang w:val="el-GR" w:eastAsia="el-GR"/>
        </w:rPr>
      </w:pPr>
      <w:hyperlink r:id="rId371" w:anchor="_Toc91752521" w:history="1">
        <w:r w:rsidR="00FE4088" w:rsidRPr="00DA40CB">
          <w:rPr>
            <w:rStyle w:val="Hyperlink"/>
            <w:noProof/>
            <w:lang w:val="en-US"/>
          </w:rPr>
          <w:t>Figure 37</w:t>
        </w:r>
        <w:r w:rsidR="00FE4088" w:rsidRPr="00DA40CB">
          <w:rPr>
            <w:rStyle w:val="Hyperlink"/>
            <w:noProof/>
          </w:rPr>
          <w:t xml:space="preserve"> </w:t>
        </w:r>
        <w:r w:rsidR="00FE4088" w:rsidRPr="00DA40CB">
          <w:rPr>
            <w:rStyle w:val="Hyperlink"/>
            <w:noProof/>
            <w:lang w:val="en-US"/>
          </w:rPr>
          <w:t>Emission Trade worldwide. The map. Source: https://icapcarbonaction.com/en/?option=com_attach&amp;task=download&amp;id=637</w:t>
        </w:r>
        <w:r w:rsidR="00FE4088">
          <w:rPr>
            <w:noProof/>
            <w:webHidden/>
          </w:rPr>
          <w:tab/>
        </w:r>
        <w:r w:rsidR="00FE4088">
          <w:rPr>
            <w:noProof/>
            <w:webHidden/>
          </w:rPr>
          <w:fldChar w:fldCharType="begin"/>
        </w:r>
        <w:r w:rsidR="00FE4088">
          <w:rPr>
            <w:noProof/>
            <w:webHidden/>
          </w:rPr>
          <w:instrText xml:space="preserve"> PAGEREF _Toc91752521 \h </w:instrText>
        </w:r>
        <w:r w:rsidR="00FE4088">
          <w:rPr>
            <w:noProof/>
            <w:webHidden/>
          </w:rPr>
        </w:r>
        <w:r w:rsidR="00FE4088">
          <w:rPr>
            <w:noProof/>
            <w:webHidden/>
          </w:rPr>
          <w:fldChar w:fldCharType="separate"/>
        </w:r>
        <w:r w:rsidR="0073710A">
          <w:rPr>
            <w:noProof/>
            <w:webHidden/>
          </w:rPr>
          <w:t>125</w:t>
        </w:r>
        <w:r w:rsidR="00FE4088">
          <w:rPr>
            <w:noProof/>
            <w:webHidden/>
          </w:rPr>
          <w:fldChar w:fldCharType="end"/>
        </w:r>
      </w:hyperlink>
    </w:p>
    <w:p w14:paraId="0FD4F9AE" w14:textId="4AECBCE3"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22" w:history="1">
        <w:r w:rsidR="00FE4088" w:rsidRPr="00DA40CB">
          <w:rPr>
            <w:rStyle w:val="Hyperlink"/>
            <w:rFonts w:cs="Arial"/>
            <w:noProof/>
          </w:rPr>
          <w:t>Figure 38 Shares of several ETSs in world carbon markets. Source: World Bank, 2021: State and Trends of Carbon Pricing. Online available at: https://openknowledge.worldbank.org/handle/10986/35620</w:t>
        </w:r>
        <w:r w:rsidR="00FE4088">
          <w:rPr>
            <w:noProof/>
            <w:webHidden/>
          </w:rPr>
          <w:tab/>
        </w:r>
        <w:r w:rsidR="00FE4088">
          <w:rPr>
            <w:noProof/>
            <w:webHidden/>
          </w:rPr>
          <w:fldChar w:fldCharType="begin"/>
        </w:r>
        <w:r w:rsidR="00FE4088">
          <w:rPr>
            <w:noProof/>
            <w:webHidden/>
          </w:rPr>
          <w:instrText xml:space="preserve"> PAGEREF _Toc91752522 \h </w:instrText>
        </w:r>
        <w:r w:rsidR="00FE4088">
          <w:rPr>
            <w:noProof/>
            <w:webHidden/>
          </w:rPr>
        </w:r>
        <w:r w:rsidR="00FE4088">
          <w:rPr>
            <w:noProof/>
            <w:webHidden/>
          </w:rPr>
          <w:fldChar w:fldCharType="separate"/>
        </w:r>
        <w:r w:rsidR="0073710A">
          <w:rPr>
            <w:noProof/>
            <w:webHidden/>
          </w:rPr>
          <w:t>127</w:t>
        </w:r>
        <w:r w:rsidR="00FE4088">
          <w:rPr>
            <w:noProof/>
            <w:webHidden/>
          </w:rPr>
          <w:fldChar w:fldCharType="end"/>
        </w:r>
      </w:hyperlink>
    </w:p>
    <w:p w14:paraId="787B317E" w14:textId="4EFE0129"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23" w:history="1">
        <w:r w:rsidR="00FE4088" w:rsidRPr="00DA40CB">
          <w:rPr>
            <w:rStyle w:val="Hyperlink"/>
            <w:noProof/>
          </w:rPr>
          <w:t>Figure 39</w:t>
        </w:r>
        <w:r w:rsidR="00FE4088" w:rsidRPr="00DA40CB">
          <w:rPr>
            <w:rStyle w:val="Hyperlink"/>
            <w:rFonts w:cs="Arial"/>
            <w:noProof/>
          </w:rPr>
          <w:t xml:space="preserve"> Historical Market-Wide Voluntary Offset Transaction Volumes. Source: (Hamrick &amp; Goldstein, Raising Ambition - State of the Voluntary Carbon Markets 2016, 2016)</w:t>
        </w:r>
        <w:r w:rsidR="00FE4088">
          <w:rPr>
            <w:noProof/>
            <w:webHidden/>
          </w:rPr>
          <w:tab/>
        </w:r>
        <w:r w:rsidR="00FE4088">
          <w:rPr>
            <w:noProof/>
            <w:webHidden/>
          </w:rPr>
          <w:fldChar w:fldCharType="begin"/>
        </w:r>
        <w:r w:rsidR="00FE4088">
          <w:rPr>
            <w:noProof/>
            <w:webHidden/>
          </w:rPr>
          <w:instrText xml:space="preserve"> PAGEREF _Toc91752523 \h </w:instrText>
        </w:r>
        <w:r w:rsidR="00FE4088">
          <w:rPr>
            <w:noProof/>
            <w:webHidden/>
          </w:rPr>
        </w:r>
        <w:r w:rsidR="00FE4088">
          <w:rPr>
            <w:noProof/>
            <w:webHidden/>
          </w:rPr>
          <w:fldChar w:fldCharType="separate"/>
        </w:r>
        <w:r w:rsidR="0073710A">
          <w:rPr>
            <w:noProof/>
            <w:webHidden/>
          </w:rPr>
          <w:t>129</w:t>
        </w:r>
        <w:r w:rsidR="00FE4088">
          <w:rPr>
            <w:noProof/>
            <w:webHidden/>
          </w:rPr>
          <w:fldChar w:fldCharType="end"/>
        </w:r>
      </w:hyperlink>
    </w:p>
    <w:p w14:paraId="2926B233" w14:textId="1186E396"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24" w:history="1">
        <w:r w:rsidR="00FE4088" w:rsidRPr="00DA40CB">
          <w:rPr>
            <w:rStyle w:val="Hyperlink"/>
            <w:rFonts w:cs="Arial"/>
            <w:noProof/>
          </w:rPr>
          <w:t>Figure 40 Types of Carbon Offset traders. Source: (Hamrick &amp; Goldstein, Raising Ambition - State of the Voluntary Carbon Markets 2016, 2016)</w:t>
        </w:r>
        <w:r w:rsidR="00FE4088">
          <w:rPr>
            <w:noProof/>
            <w:webHidden/>
          </w:rPr>
          <w:tab/>
        </w:r>
        <w:r w:rsidR="00FE4088">
          <w:rPr>
            <w:noProof/>
            <w:webHidden/>
          </w:rPr>
          <w:fldChar w:fldCharType="begin"/>
        </w:r>
        <w:r w:rsidR="00FE4088">
          <w:rPr>
            <w:noProof/>
            <w:webHidden/>
          </w:rPr>
          <w:instrText xml:space="preserve"> PAGEREF _Toc91752524 \h </w:instrText>
        </w:r>
        <w:r w:rsidR="00FE4088">
          <w:rPr>
            <w:noProof/>
            <w:webHidden/>
          </w:rPr>
        </w:r>
        <w:r w:rsidR="00FE4088">
          <w:rPr>
            <w:noProof/>
            <w:webHidden/>
          </w:rPr>
          <w:fldChar w:fldCharType="separate"/>
        </w:r>
        <w:r w:rsidR="0073710A">
          <w:rPr>
            <w:noProof/>
            <w:webHidden/>
          </w:rPr>
          <w:t>130</w:t>
        </w:r>
        <w:r w:rsidR="00FE4088">
          <w:rPr>
            <w:noProof/>
            <w:webHidden/>
          </w:rPr>
          <w:fldChar w:fldCharType="end"/>
        </w:r>
      </w:hyperlink>
    </w:p>
    <w:p w14:paraId="4C8F1915" w14:textId="68AD32A8" w:rsidR="00FE4088" w:rsidRP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25" w:history="1">
        <w:r w:rsidR="00FE4088" w:rsidRPr="00FE4088">
          <w:rPr>
            <w:rStyle w:val="Hyperlink"/>
            <w:rFonts w:cs="Arial"/>
            <w:noProof/>
          </w:rPr>
          <w:t>Figure 41 Carbon price of EU ETS. Source: https://icapcarbonaction.com/en/ets-prices</w:t>
        </w:r>
        <w:r w:rsidR="00FE4088" w:rsidRPr="00FE4088">
          <w:rPr>
            <w:noProof/>
            <w:webHidden/>
          </w:rPr>
          <w:tab/>
        </w:r>
        <w:r w:rsidR="00FE4088" w:rsidRPr="00FE4088">
          <w:rPr>
            <w:noProof/>
            <w:webHidden/>
          </w:rPr>
          <w:fldChar w:fldCharType="begin"/>
        </w:r>
        <w:r w:rsidR="00FE4088" w:rsidRPr="00FE4088">
          <w:rPr>
            <w:noProof/>
            <w:webHidden/>
          </w:rPr>
          <w:instrText xml:space="preserve"> PAGEREF _Toc91752525 \h </w:instrText>
        </w:r>
        <w:r w:rsidR="00FE4088" w:rsidRPr="00FE4088">
          <w:rPr>
            <w:noProof/>
            <w:webHidden/>
          </w:rPr>
        </w:r>
        <w:r w:rsidR="00FE4088" w:rsidRPr="00FE4088">
          <w:rPr>
            <w:noProof/>
            <w:webHidden/>
          </w:rPr>
          <w:fldChar w:fldCharType="separate"/>
        </w:r>
        <w:r w:rsidR="0073710A">
          <w:rPr>
            <w:noProof/>
            <w:webHidden/>
          </w:rPr>
          <w:t>132</w:t>
        </w:r>
        <w:r w:rsidR="00FE4088" w:rsidRPr="00FE4088">
          <w:rPr>
            <w:noProof/>
            <w:webHidden/>
          </w:rPr>
          <w:fldChar w:fldCharType="end"/>
        </w:r>
      </w:hyperlink>
    </w:p>
    <w:p w14:paraId="28C20A34" w14:textId="7C778243" w:rsidR="00FE4088" w:rsidRP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26" w:history="1">
        <w:r w:rsidR="00FE4088" w:rsidRPr="00FE4088">
          <w:rPr>
            <w:rStyle w:val="Hyperlink"/>
            <w:rFonts w:cs="Arial"/>
            <w:noProof/>
          </w:rPr>
          <w:t>Figure 42 EU ETS trading periods. Source: https://ec.europa.eu/clima/sites/clima/files/docs/ets_handbook_en.pdf</w:t>
        </w:r>
        <w:r w:rsidR="00FE4088" w:rsidRPr="00FE4088">
          <w:rPr>
            <w:noProof/>
            <w:webHidden/>
          </w:rPr>
          <w:tab/>
        </w:r>
        <w:r w:rsidR="00FE4088" w:rsidRPr="00FE4088">
          <w:rPr>
            <w:noProof/>
            <w:webHidden/>
          </w:rPr>
          <w:fldChar w:fldCharType="begin"/>
        </w:r>
        <w:r w:rsidR="00FE4088" w:rsidRPr="00FE4088">
          <w:rPr>
            <w:noProof/>
            <w:webHidden/>
          </w:rPr>
          <w:instrText xml:space="preserve"> PAGEREF _Toc91752526 \h </w:instrText>
        </w:r>
        <w:r w:rsidR="00FE4088" w:rsidRPr="00FE4088">
          <w:rPr>
            <w:noProof/>
            <w:webHidden/>
          </w:rPr>
        </w:r>
        <w:r w:rsidR="00FE4088" w:rsidRPr="00FE4088">
          <w:rPr>
            <w:noProof/>
            <w:webHidden/>
          </w:rPr>
          <w:fldChar w:fldCharType="separate"/>
        </w:r>
        <w:r w:rsidR="0073710A">
          <w:rPr>
            <w:noProof/>
            <w:webHidden/>
          </w:rPr>
          <w:t>135</w:t>
        </w:r>
        <w:r w:rsidR="00FE4088" w:rsidRPr="00FE4088">
          <w:rPr>
            <w:noProof/>
            <w:webHidden/>
          </w:rPr>
          <w:fldChar w:fldCharType="end"/>
        </w:r>
      </w:hyperlink>
    </w:p>
    <w:p w14:paraId="370E42FC" w14:textId="4F612A8A" w:rsidR="00FE4088" w:rsidRP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27" w:history="1">
        <w:r w:rsidR="00FE4088" w:rsidRPr="00FE4088">
          <w:rPr>
            <w:rStyle w:val="Hyperlink"/>
            <w:rFonts w:cs="Arial"/>
            <w:noProof/>
          </w:rPr>
          <w:t>Figure 43 Member states GHG emissions in 2020 compared to 2005. Source: https://ec.europa.eu/clima/policies/effort_el#tab-0-0</w:t>
        </w:r>
        <w:r w:rsidR="00FE4088" w:rsidRPr="00FE4088">
          <w:rPr>
            <w:noProof/>
            <w:webHidden/>
          </w:rPr>
          <w:tab/>
        </w:r>
        <w:r w:rsidR="00FE4088" w:rsidRPr="00FE4088">
          <w:rPr>
            <w:noProof/>
            <w:webHidden/>
          </w:rPr>
          <w:fldChar w:fldCharType="begin"/>
        </w:r>
        <w:r w:rsidR="00FE4088" w:rsidRPr="00FE4088">
          <w:rPr>
            <w:noProof/>
            <w:webHidden/>
          </w:rPr>
          <w:instrText xml:space="preserve"> PAGEREF _Toc91752527 \h </w:instrText>
        </w:r>
        <w:r w:rsidR="00FE4088" w:rsidRPr="00FE4088">
          <w:rPr>
            <w:noProof/>
            <w:webHidden/>
          </w:rPr>
        </w:r>
        <w:r w:rsidR="00FE4088" w:rsidRPr="00FE4088">
          <w:rPr>
            <w:noProof/>
            <w:webHidden/>
          </w:rPr>
          <w:fldChar w:fldCharType="separate"/>
        </w:r>
        <w:r w:rsidR="0073710A">
          <w:rPr>
            <w:noProof/>
            <w:webHidden/>
          </w:rPr>
          <w:t>140</w:t>
        </w:r>
        <w:r w:rsidR="00FE4088" w:rsidRPr="00FE4088">
          <w:rPr>
            <w:noProof/>
            <w:webHidden/>
          </w:rPr>
          <w:fldChar w:fldCharType="end"/>
        </w:r>
      </w:hyperlink>
    </w:p>
    <w:p w14:paraId="392C8C13" w14:textId="54041AA8" w:rsidR="00FE4088" w:rsidRP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28" w:history="1">
        <w:r w:rsidR="00FE4088" w:rsidRPr="00FE4088">
          <w:rPr>
            <w:rStyle w:val="Hyperlink"/>
            <w:rFonts w:cs="Arial"/>
            <w:noProof/>
          </w:rPr>
          <w:t>Figure 44 Member state emission reduction targets for 2030 compared to 2005, for sectors outside of EU-ETS including new flexibilities to reaching these targets. Source: https://ec.europa.eu/clima/policies/effort_el#tab-0-0</w:t>
        </w:r>
        <w:r w:rsidR="00FE4088" w:rsidRPr="00FE4088">
          <w:rPr>
            <w:noProof/>
            <w:webHidden/>
          </w:rPr>
          <w:tab/>
        </w:r>
        <w:r w:rsidR="00FE4088" w:rsidRPr="00FE4088">
          <w:rPr>
            <w:noProof/>
            <w:webHidden/>
          </w:rPr>
          <w:fldChar w:fldCharType="begin"/>
        </w:r>
        <w:r w:rsidR="00FE4088" w:rsidRPr="00FE4088">
          <w:rPr>
            <w:noProof/>
            <w:webHidden/>
          </w:rPr>
          <w:instrText xml:space="preserve"> PAGEREF _Toc91752528 \h </w:instrText>
        </w:r>
        <w:r w:rsidR="00FE4088" w:rsidRPr="00FE4088">
          <w:rPr>
            <w:noProof/>
            <w:webHidden/>
          </w:rPr>
        </w:r>
        <w:r w:rsidR="00FE4088" w:rsidRPr="00FE4088">
          <w:rPr>
            <w:noProof/>
            <w:webHidden/>
          </w:rPr>
          <w:fldChar w:fldCharType="separate"/>
        </w:r>
        <w:r w:rsidR="0073710A">
          <w:rPr>
            <w:noProof/>
            <w:webHidden/>
          </w:rPr>
          <w:t>141</w:t>
        </w:r>
        <w:r w:rsidR="00FE4088" w:rsidRPr="00FE4088">
          <w:rPr>
            <w:noProof/>
            <w:webHidden/>
          </w:rPr>
          <w:fldChar w:fldCharType="end"/>
        </w:r>
      </w:hyperlink>
    </w:p>
    <w:p w14:paraId="7D067629" w14:textId="028066DA" w:rsidR="00FE4088" w:rsidRP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29" w:history="1">
        <w:r w:rsidR="00FE4088" w:rsidRPr="00FE4088">
          <w:rPr>
            <w:rStyle w:val="Hyperlink"/>
            <w:rFonts w:cs="Arial"/>
            <w:noProof/>
          </w:rPr>
          <w:t>Figure 45 Greenhouse gas emissions in ESD sectors. Source: Eurostat, https://ec.europa.eu/eurostat/tgm/refreshTableAction.do?tab=table&amp;plugin=1&amp;pcode=t2020</w:t>
        </w:r>
        <w:r w:rsidR="00FE4088" w:rsidRPr="00FE4088">
          <w:rPr>
            <w:noProof/>
            <w:webHidden/>
          </w:rPr>
          <w:tab/>
        </w:r>
        <w:r w:rsidR="00FE4088" w:rsidRPr="00FE4088">
          <w:rPr>
            <w:noProof/>
            <w:webHidden/>
          </w:rPr>
          <w:fldChar w:fldCharType="begin"/>
        </w:r>
        <w:r w:rsidR="00FE4088" w:rsidRPr="00FE4088">
          <w:rPr>
            <w:noProof/>
            <w:webHidden/>
          </w:rPr>
          <w:instrText xml:space="preserve"> PAGEREF _Toc91752529 \h </w:instrText>
        </w:r>
        <w:r w:rsidR="00FE4088" w:rsidRPr="00FE4088">
          <w:rPr>
            <w:noProof/>
            <w:webHidden/>
          </w:rPr>
        </w:r>
        <w:r w:rsidR="00FE4088" w:rsidRPr="00FE4088">
          <w:rPr>
            <w:noProof/>
            <w:webHidden/>
          </w:rPr>
          <w:fldChar w:fldCharType="separate"/>
        </w:r>
        <w:r w:rsidR="0073710A">
          <w:rPr>
            <w:noProof/>
            <w:webHidden/>
          </w:rPr>
          <w:t>143</w:t>
        </w:r>
        <w:r w:rsidR="00FE4088" w:rsidRPr="00FE4088">
          <w:rPr>
            <w:noProof/>
            <w:webHidden/>
          </w:rPr>
          <w:fldChar w:fldCharType="end"/>
        </w:r>
      </w:hyperlink>
    </w:p>
    <w:p w14:paraId="7BF00B1C" w14:textId="0FCB55A8"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0" w:history="1">
        <w:r w:rsidR="00FE4088" w:rsidRPr="00DA40CB">
          <w:rPr>
            <w:rStyle w:val="Hyperlink"/>
            <w:rFonts w:cs="Arial"/>
            <w:noProof/>
          </w:rPr>
          <w:t>Figure 46 Gas CO2 Emissions LULUCF</w:t>
        </w:r>
        <w:r w:rsidR="00FE4088">
          <w:rPr>
            <w:noProof/>
            <w:webHidden/>
          </w:rPr>
          <w:tab/>
        </w:r>
        <w:r w:rsidR="00FE4088">
          <w:rPr>
            <w:noProof/>
            <w:webHidden/>
          </w:rPr>
          <w:fldChar w:fldCharType="begin"/>
        </w:r>
        <w:r w:rsidR="00FE4088">
          <w:rPr>
            <w:noProof/>
            <w:webHidden/>
          </w:rPr>
          <w:instrText xml:space="preserve"> PAGEREF _Toc91752530 \h </w:instrText>
        </w:r>
        <w:r w:rsidR="00FE4088">
          <w:rPr>
            <w:noProof/>
            <w:webHidden/>
          </w:rPr>
        </w:r>
        <w:r w:rsidR="00FE4088">
          <w:rPr>
            <w:noProof/>
            <w:webHidden/>
          </w:rPr>
          <w:fldChar w:fldCharType="separate"/>
        </w:r>
        <w:r w:rsidR="0073710A">
          <w:rPr>
            <w:noProof/>
            <w:webHidden/>
          </w:rPr>
          <w:t>151</w:t>
        </w:r>
        <w:r w:rsidR="00FE4088">
          <w:rPr>
            <w:noProof/>
            <w:webHidden/>
          </w:rPr>
          <w:fldChar w:fldCharType="end"/>
        </w:r>
      </w:hyperlink>
    </w:p>
    <w:p w14:paraId="42E73A11" w14:textId="08E50EBE"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1" w:history="1">
        <w:r w:rsidR="00FE4088" w:rsidRPr="00DA40CB">
          <w:rPr>
            <w:rStyle w:val="Hyperlink"/>
            <w:rFonts w:cs="Arial"/>
            <w:noProof/>
            <w:lang w:val="en-US"/>
          </w:rPr>
          <w:t>Figure 47</w:t>
        </w:r>
        <w:r w:rsidR="00FE4088" w:rsidRPr="00DA40CB">
          <w:rPr>
            <w:rStyle w:val="Hyperlink"/>
            <w:rFonts w:cs="Arial"/>
            <w:noProof/>
          </w:rPr>
          <w:t xml:space="preserve"> Diagram demonstrating the structure for the preparation of annual reports on GHG emission and their removals. Source: (European Union, 2013)</w:t>
        </w:r>
        <w:r w:rsidR="00FE4088">
          <w:rPr>
            <w:noProof/>
            <w:webHidden/>
          </w:rPr>
          <w:tab/>
        </w:r>
        <w:r w:rsidR="00FE4088">
          <w:rPr>
            <w:noProof/>
            <w:webHidden/>
          </w:rPr>
          <w:fldChar w:fldCharType="begin"/>
        </w:r>
        <w:r w:rsidR="00FE4088">
          <w:rPr>
            <w:noProof/>
            <w:webHidden/>
          </w:rPr>
          <w:instrText xml:space="preserve"> PAGEREF _Toc91752531 \h </w:instrText>
        </w:r>
        <w:r w:rsidR="00FE4088">
          <w:rPr>
            <w:noProof/>
            <w:webHidden/>
          </w:rPr>
        </w:r>
        <w:r w:rsidR="00FE4088">
          <w:rPr>
            <w:noProof/>
            <w:webHidden/>
          </w:rPr>
          <w:fldChar w:fldCharType="separate"/>
        </w:r>
        <w:r w:rsidR="0073710A">
          <w:rPr>
            <w:noProof/>
            <w:webHidden/>
          </w:rPr>
          <w:t>158</w:t>
        </w:r>
        <w:r w:rsidR="00FE4088">
          <w:rPr>
            <w:noProof/>
            <w:webHidden/>
          </w:rPr>
          <w:fldChar w:fldCharType="end"/>
        </w:r>
      </w:hyperlink>
    </w:p>
    <w:p w14:paraId="3BAB729F" w14:textId="21435DB9"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2" w:history="1">
        <w:r w:rsidR="00FE4088" w:rsidRPr="00DA40CB">
          <w:rPr>
            <w:rStyle w:val="Hyperlink"/>
            <w:rFonts w:cs="Arial"/>
            <w:noProof/>
          </w:rPr>
          <w:t>Figure 48 Distribution map of Emissions Reductions Fund projects in Australia. Source: http://www.cleanenergyregulator.gov.au/maps/Pages/erf-projects/index.html</w:t>
        </w:r>
        <w:r w:rsidR="00FE4088">
          <w:rPr>
            <w:noProof/>
            <w:webHidden/>
          </w:rPr>
          <w:tab/>
        </w:r>
        <w:r w:rsidR="00FE4088">
          <w:rPr>
            <w:noProof/>
            <w:webHidden/>
          </w:rPr>
          <w:fldChar w:fldCharType="begin"/>
        </w:r>
        <w:r w:rsidR="00FE4088">
          <w:rPr>
            <w:noProof/>
            <w:webHidden/>
          </w:rPr>
          <w:instrText xml:space="preserve"> PAGEREF _Toc91752532 \h </w:instrText>
        </w:r>
        <w:r w:rsidR="00FE4088">
          <w:rPr>
            <w:noProof/>
            <w:webHidden/>
          </w:rPr>
        </w:r>
        <w:r w:rsidR="00FE4088">
          <w:rPr>
            <w:noProof/>
            <w:webHidden/>
          </w:rPr>
          <w:fldChar w:fldCharType="separate"/>
        </w:r>
        <w:r w:rsidR="0073710A">
          <w:rPr>
            <w:noProof/>
            <w:webHidden/>
          </w:rPr>
          <w:t>167</w:t>
        </w:r>
        <w:r w:rsidR="00FE4088">
          <w:rPr>
            <w:noProof/>
            <w:webHidden/>
          </w:rPr>
          <w:fldChar w:fldCharType="end"/>
        </w:r>
      </w:hyperlink>
    </w:p>
    <w:p w14:paraId="3B590C70" w14:textId="377674B6"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3" w:history="1">
        <w:r w:rsidR="00FE4088" w:rsidRPr="00DA40CB">
          <w:rPr>
            <w:rStyle w:val="Hyperlink"/>
            <w:rFonts w:cs="Arial"/>
            <w:noProof/>
          </w:rPr>
          <w:t>Figure 49 Projects relative to LULUCF. Source: http://www.cleanenergyregulator.gov.au/maps/Pages/erf-projects/index.html</w:t>
        </w:r>
        <w:r w:rsidR="00FE4088">
          <w:rPr>
            <w:noProof/>
            <w:webHidden/>
          </w:rPr>
          <w:tab/>
        </w:r>
        <w:r w:rsidR="00FE4088">
          <w:rPr>
            <w:noProof/>
            <w:webHidden/>
          </w:rPr>
          <w:fldChar w:fldCharType="begin"/>
        </w:r>
        <w:r w:rsidR="00FE4088">
          <w:rPr>
            <w:noProof/>
            <w:webHidden/>
          </w:rPr>
          <w:instrText xml:space="preserve"> PAGEREF _Toc91752533 \h </w:instrText>
        </w:r>
        <w:r w:rsidR="00FE4088">
          <w:rPr>
            <w:noProof/>
            <w:webHidden/>
          </w:rPr>
        </w:r>
        <w:r w:rsidR="00FE4088">
          <w:rPr>
            <w:noProof/>
            <w:webHidden/>
          </w:rPr>
          <w:fldChar w:fldCharType="separate"/>
        </w:r>
        <w:r w:rsidR="0073710A">
          <w:rPr>
            <w:noProof/>
            <w:webHidden/>
          </w:rPr>
          <w:t>168</w:t>
        </w:r>
        <w:r w:rsidR="00FE4088">
          <w:rPr>
            <w:noProof/>
            <w:webHidden/>
          </w:rPr>
          <w:fldChar w:fldCharType="end"/>
        </w:r>
      </w:hyperlink>
    </w:p>
    <w:p w14:paraId="623EF3E3" w14:textId="75C804EB"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4" w:history="1">
        <w:r w:rsidR="00FE4088" w:rsidRPr="00DA40CB">
          <w:rPr>
            <w:rStyle w:val="Hyperlink"/>
            <w:rFonts w:cs="Arial"/>
            <w:noProof/>
          </w:rPr>
          <w:t>Figure 50: Relationship among ISO 14060 family and the GHG standards. Source: https://www.iso.org/obp/ui/#iso:std:iso:14064:-1:ed-2:v1:en</w:t>
        </w:r>
        <w:r w:rsidR="00FE4088">
          <w:rPr>
            <w:noProof/>
            <w:webHidden/>
          </w:rPr>
          <w:tab/>
        </w:r>
        <w:r w:rsidR="00FE4088">
          <w:rPr>
            <w:noProof/>
            <w:webHidden/>
          </w:rPr>
          <w:fldChar w:fldCharType="begin"/>
        </w:r>
        <w:r w:rsidR="00FE4088">
          <w:rPr>
            <w:noProof/>
            <w:webHidden/>
          </w:rPr>
          <w:instrText xml:space="preserve"> PAGEREF _Toc91752534 \h </w:instrText>
        </w:r>
        <w:r w:rsidR="00FE4088">
          <w:rPr>
            <w:noProof/>
            <w:webHidden/>
          </w:rPr>
        </w:r>
        <w:r w:rsidR="00FE4088">
          <w:rPr>
            <w:noProof/>
            <w:webHidden/>
          </w:rPr>
          <w:fldChar w:fldCharType="separate"/>
        </w:r>
        <w:r w:rsidR="0073710A">
          <w:rPr>
            <w:noProof/>
            <w:webHidden/>
          </w:rPr>
          <w:t>174</w:t>
        </w:r>
        <w:r w:rsidR="00FE4088">
          <w:rPr>
            <w:noProof/>
            <w:webHidden/>
          </w:rPr>
          <w:fldChar w:fldCharType="end"/>
        </w:r>
      </w:hyperlink>
    </w:p>
    <w:p w14:paraId="241F2515" w14:textId="4462BD10"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5" w:history="1">
        <w:r w:rsidR="00FE4088" w:rsidRPr="00DA40CB">
          <w:rPr>
            <w:rStyle w:val="Hyperlink"/>
            <w:rFonts w:cs="Arial"/>
            <w:noProof/>
          </w:rPr>
          <w:t>Figure 51 Basic characteristics of a forest carbon standard. Source: https://mobil.wwf.de/fileadmin/fm-wwf/Publikationen-PDF/Forest_Carbon_Standards_Assessment_Guide.pdf</w:t>
        </w:r>
        <w:r w:rsidR="00FE4088">
          <w:rPr>
            <w:noProof/>
            <w:webHidden/>
          </w:rPr>
          <w:tab/>
        </w:r>
        <w:r w:rsidR="00FE4088">
          <w:rPr>
            <w:noProof/>
            <w:webHidden/>
          </w:rPr>
          <w:fldChar w:fldCharType="begin"/>
        </w:r>
        <w:r w:rsidR="00FE4088">
          <w:rPr>
            <w:noProof/>
            <w:webHidden/>
          </w:rPr>
          <w:instrText xml:space="preserve"> PAGEREF _Toc91752535 \h </w:instrText>
        </w:r>
        <w:r w:rsidR="00FE4088">
          <w:rPr>
            <w:noProof/>
            <w:webHidden/>
          </w:rPr>
        </w:r>
        <w:r w:rsidR="00FE4088">
          <w:rPr>
            <w:noProof/>
            <w:webHidden/>
          </w:rPr>
          <w:fldChar w:fldCharType="separate"/>
        </w:r>
        <w:r w:rsidR="0073710A">
          <w:rPr>
            <w:noProof/>
            <w:webHidden/>
          </w:rPr>
          <w:t>175</w:t>
        </w:r>
        <w:r w:rsidR="00FE4088">
          <w:rPr>
            <w:noProof/>
            <w:webHidden/>
          </w:rPr>
          <w:fldChar w:fldCharType="end"/>
        </w:r>
      </w:hyperlink>
    </w:p>
    <w:p w14:paraId="59DE5365" w14:textId="4E8BEFA8"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6" w:history="1">
        <w:r w:rsidR="00FE4088" w:rsidRPr="00DA40CB">
          <w:rPr>
            <w:rStyle w:val="Hyperlink"/>
            <w:rFonts w:cs="Arial"/>
            <w:noProof/>
          </w:rPr>
          <w:t>Figure 52 Historical market share of transaction Volume by profit and non-profit suppliers. Source: https://www.forest-trends.org/wp-content/uploads/imported/final_report_2010_9-1-10_no-crop-pdf.pdf</w:t>
        </w:r>
        <w:r w:rsidR="00FE4088">
          <w:rPr>
            <w:noProof/>
            <w:webHidden/>
          </w:rPr>
          <w:tab/>
        </w:r>
        <w:r w:rsidR="00FE4088">
          <w:rPr>
            <w:noProof/>
            <w:webHidden/>
          </w:rPr>
          <w:fldChar w:fldCharType="begin"/>
        </w:r>
        <w:r w:rsidR="00FE4088">
          <w:rPr>
            <w:noProof/>
            <w:webHidden/>
          </w:rPr>
          <w:instrText xml:space="preserve"> PAGEREF _Toc91752536 \h </w:instrText>
        </w:r>
        <w:r w:rsidR="00FE4088">
          <w:rPr>
            <w:noProof/>
            <w:webHidden/>
          </w:rPr>
        </w:r>
        <w:r w:rsidR="00FE4088">
          <w:rPr>
            <w:noProof/>
            <w:webHidden/>
          </w:rPr>
          <w:fldChar w:fldCharType="separate"/>
        </w:r>
        <w:r w:rsidR="0073710A">
          <w:rPr>
            <w:noProof/>
            <w:webHidden/>
          </w:rPr>
          <w:t>176</w:t>
        </w:r>
        <w:r w:rsidR="00FE4088">
          <w:rPr>
            <w:noProof/>
            <w:webHidden/>
          </w:rPr>
          <w:fldChar w:fldCharType="end"/>
        </w:r>
      </w:hyperlink>
    </w:p>
    <w:p w14:paraId="41322F72" w14:textId="69F4A904"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7" w:history="1">
        <w:r w:rsidR="00FE4088" w:rsidRPr="00DA40CB">
          <w:rPr>
            <w:rStyle w:val="Hyperlink"/>
            <w:rFonts w:cs="Arial"/>
            <w:noProof/>
          </w:rPr>
          <w:t>Figure 53 Implementation phases of CORSIA. Source: (Ecosystem Marketplace, 2010)</w:t>
        </w:r>
        <w:r w:rsidR="00FE4088">
          <w:rPr>
            <w:noProof/>
            <w:webHidden/>
          </w:rPr>
          <w:tab/>
        </w:r>
        <w:r w:rsidR="00FE4088">
          <w:rPr>
            <w:noProof/>
            <w:webHidden/>
          </w:rPr>
          <w:fldChar w:fldCharType="begin"/>
        </w:r>
        <w:r w:rsidR="00FE4088">
          <w:rPr>
            <w:noProof/>
            <w:webHidden/>
          </w:rPr>
          <w:instrText xml:space="preserve"> PAGEREF _Toc91752537 \h </w:instrText>
        </w:r>
        <w:r w:rsidR="00FE4088">
          <w:rPr>
            <w:noProof/>
            <w:webHidden/>
          </w:rPr>
        </w:r>
        <w:r w:rsidR="00FE4088">
          <w:rPr>
            <w:noProof/>
            <w:webHidden/>
          </w:rPr>
          <w:fldChar w:fldCharType="separate"/>
        </w:r>
        <w:r w:rsidR="0073710A">
          <w:rPr>
            <w:noProof/>
            <w:webHidden/>
          </w:rPr>
          <w:t>190</w:t>
        </w:r>
        <w:r w:rsidR="00FE4088">
          <w:rPr>
            <w:noProof/>
            <w:webHidden/>
          </w:rPr>
          <w:fldChar w:fldCharType="end"/>
        </w:r>
      </w:hyperlink>
    </w:p>
    <w:p w14:paraId="3D52F584" w14:textId="5B76B28A"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8" w:history="1">
        <w:r w:rsidR="00FE4088" w:rsidRPr="00DA40CB">
          <w:rPr>
            <w:rStyle w:val="Hyperlink"/>
            <w:rFonts w:cs="Arial"/>
            <w:noProof/>
          </w:rPr>
          <w:t>Figure 54 RBCF Programmes in different continents. Source: https://www.mainstreamingclimate.org/publication/new-report-from-the-world-bank-on-results-based-climate-financing/</w:t>
        </w:r>
        <w:r w:rsidR="00FE4088">
          <w:rPr>
            <w:noProof/>
            <w:webHidden/>
          </w:rPr>
          <w:tab/>
        </w:r>
        <w:r w:rsidR="00FE4088">
          <w:rPr>
            <w:noProof/>
            <w:webHidden/>
          </w:rPr>
          <w:fldChar w:fldCharType="begin"/>
        </w:r>
        <w:r w:rsidR="00FE4088">
          <w:rPr>
            <w:noProof/>
            <w:webHidden/>
          </w:rPr>
          <w:instrText xml:space="preserve"> PAGEREF _Toc91752538 \h </w:instrText>
        </w:r>
        <w:r w:rsidR="00FE4088">
          <w:rPr>
            <w:noProof/>
            <w:webHidden/>
          </w:rPr>
        </w:r>
        <w:r w:rsidR="00FE4088">
          <w:rPr>
            <w:noProof/>
            <w:webHidden/>
          </w:rPr>
          <w:fldChar w:fldCharType="separate"/>
        </w:r>
        <w:r w:rsidR="0073710A">
          <w:rPr>
            <w:noProof/>
            <w:webHidden/>
          </w:rPr>
          <w:t>193</w:t>
        </w:r>
        <w:r w:rsidR="00FE4088">
          <w:rPr>
            <w:noProof/>
            <w:webHidden/>
          </w:rPr>
          <w:fldChar w:fldCharType="end"/>
        </w:r>
      </w:hyperlink>
    </w:p>
    <w:p w14:paraId="32A19F46" w14:textId="32CBEF30"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39" w:history="1">
        <w:r w:rsidR="00FE4088" w:rsidRPr="00DA40CB">
          <w:rPr>
            <w:rStyle w:val="Hyperlink"/>
            <w:rFonts w:cs="Arial"/>
            <w:noProof/>
          </w:rPr>
          <w:t>Figure 55 UN-REDD National Programmes (blue) and UN-REDD Partner Countries (green) countries. Source: https://en.wikipedia.org/wiki/United_Nations_REDD_Programme</w:t>
        </w:r>
        <w:r w:rsidR="00FE4088">
          <w:rPr>
            <w:noProof/>
            <w:webHidden/>
          </w:rPr>
          <w:tab/>
        </w:r>
        <w:r w:rsidR="00FE4088">
          <w:rPr>
            <w:noProof/>
            <w:webHidden/>
          </w:rPr>
          <w:fldChar w:fldCharType="begin"/>
        </w:r>
        <w:r w:rsidR="00FE4088">
          <w:rPr>
            <w:noProof/>
            <w:webHidden/>
          </w:rPr>
          <w:instrText xml:space="preserve"> PAGEREF _Toc91752539 \h </w:instrText>
        </w:r>
        <w:r w:rsidR="00FE4088">
          <w:rPr>
            <w:noProof/>
            <w:webHidden/>
          </w:rPr>
        </w:r>
        <w:r w:rsidR="00FE4088">
          <w:rPr>
            <w:noProof/>
            <w:webHidden/>
          </w:rPr>
          <w:fldChar w:fldCharType="separate"/>
        </w:r>
        <w:r w:rsidR="0073710A">
          <w:rPr>
            <w:noProof/>
            <w:webHidden/>
          </w:rPr>
          <w:t>194</w:t>
        </w:r>
        <w:r w:rsidR="00FE4088">
          <w:rPr>
            <w:noProof/>
            <w:webHidden/>
          </w:rPr>
          <w:fldChar w:fldCharType="end"/>
        </w:r>
      </w:hyperlink>
    </w:p>
    <w:p w14:paraId="4BAEFFBA" w14:textId="7D67FD7E" w:rsidR="00942B3D" w:rsidRPr="00EE5690" w:rsidRDefault="00121AB0" w:rsidP="00EE5690">
      <w:pPr>
        <w:jc w:val="left"/>
        <w:rPr>
          <w:rFonts w:cs="Arial"/>
          <w:lang w:val="en-GB"/>
        </w:rPr>
      </w:pPr>
      <w:r w:rsidRPr="00EE5690">
        <w:rPr>
          <w:rFonts w:cs="Arial"/>
          <w:lang w:val="en-GB"/>
        </w:rPr>
        <w:fldChar w:fldCharType="end"/>
      </w:r>
    </w:p>
    <w:p w14:paraId="7E516455" w14:textId="77777777" w:rsidR="00C07B3F" w:rsidRPr="00EE5690" w:rsidRDefault="00C07B3F" w:rsidP="00EE5690">
      <w:pPr>
        <w:spacing w:line="300" w:lineRule="exact"/>
        <w:jc w:val="left"/>
        <w:rPr>
          <w:rFonts w:eastAsiaTheme="majorEastAsia" w:cs="Arial"/>
          <w:b/>
          <w:bCs/>
          <w:smallCaps/>
          <w:color w:val="212745" w:themeColor="text2"/>
        </w:rPr>
      </w:pPr>
      <w:bookmarkStart w:id="401" w:name="_Toc382650074"/>
      <w:r w:rsidRPr="00EE5690">
        <w:rPr>
          <w:rFonts w:cs="Arial"/>
        </w:rPr>
        <w:br w:type="page"/>
      </w:r>
    </w:p>
    <w:p w14:paraId="15C067FC" w14:textId="2C16B603" w:rsidR="006D1E47" w:rsidRPr="00230F15" w:rsidRDefault="006D1E47" w:rsidP="00EE5690">
      <w:pPr>
        <w:pStyle w:val="Heading1"/>
        <w:numPr>
          <w:ilvl w:val="0"/>
          <w:numId w:val="0"/>
        </w:numPr>
        <w:jc w:val="left"/>
        <w:rPr>
          <w:rFonts w:cs="Arial"/>
          <w:sz w:val="24"/>
          <w:szCs w:val="24"/>
        </w:rPr>
      </w:pPr>
      <w:bookmarkStart w:id="402" w:name="_Toc91752481"/>
      <w:r w:rsidRPr="00230F15">
        <w:rPr>
          <w:rFonts w:cs="Arial"/>
          <w:sz w:val="24"/>
          <w:szCs w:val="24"/>
        </w:rPr>
        <w:lastRenderedPageBreak/>
        <w:t>Annex II: List of Tables</w:t>
      </w:r>
      <w:bookmarkEnd w:id="401"/>
      <w:bookmarkEnd w:id="402"/>
    </w:p>
    <w:p w14:paraId="632D8D04" w14:textId="2A73FF6B" w:rsidR="00FE4088" w:rsidRDefault="005D744F">
      <w:pPr>
        <w:pStyle w:val="TableofFigures"/>
        <w:tabs>
          <w:tab w:val="right" w:leader="dot" w:pos="8495"/>
        </w:tabs>
        <w:rPr>
          <w:rFonts w:asciiTheme="minorHAnsi" w:eastAsiaTheme="minorEastAsia" w:hAnsiTheme="minorHAnsi" w:cstheme="minorBidi"/>
          <w:noProof/>
          <w:lang w:val="el-GR" w:eastAsia="el-GR"/>
        </w:rPr>
      </w:pPr>
      <w:r w:rsidRPr="00EE5690">
        <w:rPr>
          <w:rFonts w:cs="Arial"/>
          <w:noProof/>
        </w:rPr>
        <w:fldChar w:fldCharType="begin"/>
      </w:r>
      <w:r w:rsidRPr="00EE5690">
        <w:rPr>
          <w:rFonts w:cs="Arial"/>
          <w:noProof/>
        </w:rPr>
        <w:instrText xml:space="preserve"> TOC \h \z \c "Table" </w:instrText>
      </w:r>
      <w:r w:rsidRPr="00EE5690">
        <w:rPr>
          <w:rFonts w:cs="Arial"/>
          <w:noProof/>
        </w:rPr>
        <w:fldChar w:fldCharType="separate"/>
      </w:r>
      <w:hyperlink w:anchor="_Toc91752540" w:history="1">
        <w:r w:rsidR="00FE4088" w:rsidRPr="00985791">
          <w:rPr>
            <w:rStyle w:val="Hyperlink"/>
            <w:rFonts w:cs="Arial"/>
            <w:noProof/>
          </w:rPr>
          <w:t>Table 1 Overview of activities connected to the sustainable development concept (Source: Tomislav K., 2018)</w:t>
        </w:r>
        <w:r w:rsidR="00FE4088">
          <w:rPr>
            <w:noProof/>
            <w:webHidden/>
          </w:rPr>
          <w:tab/>
        </w:r>
        <w:r w:rsidR="00FE4088">
          <w:rPr>
            <w:noProof/>
            <w:webHidden/>
          </w:rPr>
          <w:fldChar w:fldCharType="begin"/>
        </w:r>
        <w:r w:rsidR="00FE4088">
          <w:rPr>
            <w:noProof/>
            <w:webHidden/>
          </w:rPr>
          <w:instrText xml:space="preserve"> PAGEREF _Toc91752540 \h </w:instrText>
        </w:r>
        <w:r w:rsidR="00FE4088">
          <w:rPr>
            <w:noProof/>
            <w:webHidden/>
          </w:rPr>
        </w:r>
        <w:r w:rsidR="00FE4088">
          <w:rPr>
            <w:noProof/>
            <w:webHidden/>
          </w:rPr>
          <w:fldChar w:fldCharType="separate"/>
        </w:r>
        <w:r w:rsidR="0073710A">
          <w:rPr>
            <w:noProof/>
            <w:webHidden/>
          </w:rPr>
          <w:t>19</w:t>
        </w:r>
        <w:r w:rsidR="00FE4088">
          <w:rPr>
            <w:noProof/>
            <w:webHidden/>
          </w:rPr>
          <w:fldChar w:fldCharType="end"/>
        </w:r>
      </w:hyperlink>
    </w:p>
    <w:p w14:paraId="6587BFC6" w14:textId="76ADF29D"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41" w:history="1">
        <w:r w:rsidR="00FE4088" w:rsidRPr="00985791">
          <w:rPr>
            <w:rStyle w:val="Hyperlink"/>
            <w:rFonts w:cs="Arial"/>
            <w:noProof/>
          </w:rPr>
          <w:t>Table 2 Overview of the sustainable development meaning in the period 1987-2015 (Source: Tomislav K., 2018)</w:t>
        </w:r>
        <w:r w:rsidR="00FE4088">
          <w:rPr>
            <w:noProof/>
            <w:webHidden/>
          </w:rPr>
          <w:tab/>
        </w:r>
        <w:r w:rsidR="00FE4088">
          <w:rPr>
            <w:noProof/>
            <w:webHidden/>
          </w:rPr>
          <w:fldChar w:fldCharType="begin"/>
        </w:r>
        <w:r w:rsidR="00FE4088">
          <w:rPr>
            <w:noProof/>
            <w:webHidden/>
          </w:rPr>
          <w:instrText xml:space="preserve"> PAGEREF _Toc91752541 \h </w:instrText>
        </w:r>
        <w:r w:rsidR="00FE4088">
          <w:rPr>
            <w:noProof/>
            <w:webHidden/>
          </w:rPr>
        </w:r>
        <w:r w:rsidR="00FE4088">
          <w:rPr>
            <w:noProof/>
            <w:webHidden/>
          </w:rPr>
          <w:fldChar w:fldCharType="separate"/>
        </w:r>
        <w:r w:rsidR="0073710A">
          <w:rPr>
            <w:noProof/>
            <w:webHidden/>
          </w:rPr>
          <w:t>20</w:t>
        </w:r>
        <w:r w:rsidR="00FE4088">
          <w:rPr>
            <w:noProof/>
            <w:webHidden/>
          </w:rPr>
          <w:fldChar w:fldCharType="end"/>
        </w:r>
      </w:hyperlink>
    </w:p>
    <w:p w14:paraId="23D5004C" w14:textId="0C8238D3"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42" w:history="1">
        <w:r w:rsidR="00FE4088" w:rsidRPr="00985791">
          <w:rPr>
            <w:rStyle w:val="Hyperlink"/>
            <w:rFonts w:cs="Arial"/>
            <w:noProof/>
          </w:rPr>
          <w:t>Table 3 Forest Policy and governance Indicators. (Source: Forest Europe 7</w:t>
        </w:r>
        <w:r w:rsidR="00FE4088" w:rsidRPr="00985791">
          <w:rPr>
            <w:rStyle w:val="Hyperlink"/>
            <w:rFonts w:cs="Arial"/>
            <w:noProof/>
            <w:vertAlign w:val="superscript"/>
          </w:rPr>
          <w:t>th</w:t>
        </w:r>
        <w:r w:rsidR="00FE4088" w:rsidRPr="00985791">
          <w:rPr>
            <w:rStyle w:val="Hyperlink"/>
            <w:rFonts w:cs="Arial"/>
            <w:noProof/>
          </w:rPr>
          <w:t xml:space="preserve"> Ministerial Conference, 2015)</w:t>
        </w:r>
        <w:r w:rsidR="00FE4088">
          <w:rPr>
            <w:noProof/>
            <w:webHidden/>
          </w:rPr>
          <w:tab/>
        </w:r>
        <w:r w:rsidR="00FE4088">
          <w:rPr>
            <w:noProof/>
            <w:webHidden/>
          </w:rPr>
          <w:fldChar w:fldCharType="begin"/>
        </w:r>
        <w:r w:rsidR="00FE4088">
          <w:rPr>
            <w:noProof/>
            <w:webHidden/>
          </w:rPr>
          <w:instrText xml:space="preserve"> PAGEREF _Toc91752542 \h </w:instrText>
        </w:r>
        <w:r w:rsidR="00FE4088">
          <w:rPr>
            <w:noProof/>
            <w:webHidden/>
          </w:rPr>
        </w:r>
        <w:r w:rsidR="00FE4088">
          <w:rPr>
            <w:noProof/>
            <w:webHidden/>
          </w:rPr>
          <w:fldChar w:fldCharType="separate"/>
        </w:r>
        <w:r w:rsidR="0073710A">
          <w:rPr>
            <w:noProof/>
            <w:webHidden/>
          </w:rPr>
          <w:t>24</w:t>
        </w:r>
        <w:r w:rsidR="00FE4088">
          <w:rPr>
            <w:noProof/>
            <w:webHidden/>
          </w:rPr>
          <w:fldChar w:fldCharType="end"/>
        </w:r>
      </w:hyperlink>
    </w:p>
    <w:p w14:paraId="3D7936A1" w14:textId="4AB9F37F"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43" w:history="1">
        <w:r w:rsidR="00FE4088" w:rsidRPr="00985791">
          <w:rPr>
            <w:rStyle w:val="Hyperlink"/>
            <w:rFonts w:cs="Arial"/>
            <w:noProof/>
          </w:rPr>
          <w:t>Table 4 SFM Pan European Criteria and Indicators (Source: Forest Europe 7</w:t>
        </w:r>
        <w:r w:rsidR="00FE4088" w:rsidRPr="00985791">
          <w:rPr>
            <w:rStyle w:val="Hyperlink"/>
            <w:rFonts w:cs="Arial"/>
            <w:noProof/>
            <w:vertAlign w:val="superscript"/>
          </w:rPr>
          <w:t>th</w:t>
        </w:r>
        <w:r w:rsidR="00FE4088" w:rsidRPr="00985791">
          <w:rPr>
            <w:rStyle w:val="Hyperlink"/>
            <w:rFonts w:cs="Arial"/>
            <w:noProof/>
          </w:rPr>
          <w:t xml:space="preserve"> Ministerial Conference, 2015)</w:t>
        </w:r>
        <w:r w:rsidR="00FE4088">
          <w:rPr>
            <w:noProof/>
            <w:webHidden/>
          </w:rPr>
          <w:tab/>
        </w:r>
        <w:r w:rsidR="00FE4088">
          <w:rPr>
            <w:noProof/>
            <w:webHidden/>
          </w:rPr>
          <w:fldChar w:fldCharType="begin"/>
        </w:r>
        <w:r w:rsidR="00FE4088">
          <w:rPr>
            <w:noProof/>
            <w:webHidden/>
          </w:rPr>
          <w:instrText xml:space="preserve"> PAGEREF _Toc91752543 \h </w:instrText>
        </w:r>
        <w:r w:rsidR="00FE4088">
          <w:rPr>
            <w:noProof/>
            <w:webHidden/>
          </w:rPr>
        </w:r>
        <w:r w:rsidR="00FE4088">
          <w:rPr>
            <w:noProof/>
            <w:webHidden/>
          </w:rPr>
          <w:fldChar w:fldCharType="separate"/>
        </w:r>
        <w:r w:rsidR="0073710A">
          <w:rPr>
            <w:noProof/>
            <w:webHidden/>
          </w:rPr>
          <w:t>24</w:t>
        </w:r>
        <w:r w:rsidR="00FE4088">
          <w:rPr>
            <w:noProof/>
            <w:webHidden/>
          </w:rPr>
          <w:fldChar w:fldCharType="end"/>
        </w:r>
      </w:hyperlink>
    </w:p>
    <w:p w14:paraId="6E31A237" w14:textId="755CB06B"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44" w:history="1">
        <w:r w:rsidR="00FE4088" w:rsidRPr="00985791">
          <w:rPr>
            <w:rStyle w:val="Hyperlink"/>
            <w:rFonts w:cs="Arial"/>
            <w:noProof/>
          </w:rPr>
          <w:t>Table 5 Pan European Guidelines for Afforestation and reforestation projects. (Source: Pan European Guidelines for Afforestation and Reforestation with a special focus on the provision of the UNFCCC, 2008)</w:t>
        </w:r>
        <w:r w:rsidR="00FE4088">
          <w:rPr>
            <w:noProof/>
            <w:webHidden/>
          </w:rPr>
          <w:tab/>
        </w:r>
        <w:r w:rsidR="00FE4088">
          <w:rPr>
            <w:noProof/>
            <w:webHidden/>
          </w:rPr>
          <w:fldChar w:fldCharType="begin"/>
        </w:r>
        <w:r w:rsidR="00FE4088">
          <w:rPr>
            <w:noProof/>
            <w:webHidden/>
          </w:rPr>
          <w:instrText xml:space="preserve"> PAGEREF _Toc91752544 \h </w:instrText>
        </w:r>
        <w:r w:rsidR="00FE4088">
          <w:rPr>
            <w:noProof/>
            <w:webHidden/>
          </w:rPr>
        </w:r>
        <w:r w:rsidR="00FE4088">
          <w:rPr>
            <w:noProof/>
            <w:webHidden/>
          </w:rPr>
          <w:fldChar w:fldCharType="separate"/>
        </w:r>
        <w:r w:rsidR="0073710A">
          <w:rPr>
            <w:noProof/>
            <w:webHidden/>
          </w:rPr>
          <w:t>28</w:t>
        </w:r>
        <w:r w:rsidR="00FE4088">
          <w:rPr>
            <w:noProof/>
            <w:webHidden/>
          </w:rPr>
          <w:fldChar w:fldCharType="end"/>
        </w:r>
      </w:hyperlink>
    </w:p>
    <w:p w14:paraId="01290F1F" w14:textId="23E80AD9"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45" w:history="1">
        <w:r w:rsidR="00FE4088" w:rsidRPr="00985791">
          <w:rPr>
            <w:rStyle w:val="Hyperlink"/>
            <w:rFonts w:cs="Arial"/>
            <w:noProof/>
          </w:rPr>
          <w:t>Table 6 Legal regulatory instruments of EU and further non legally binding instruments related to forests (Source:  Forest Europe, 2015)</w:t>
        </w:r>
        <w:r w:rsidR="00FE4088">
          <w:rPr>
            <w:noProof/>
            <w:webHidden/>
          </w:rPr>
          <w:tab/>
        </w:r>
        <w:r w:rsidR="00FE4088">
          <w:rPr>
            <w:noProof/>
            <w:webHidden/>
          </w:rPr>
          <w:fldChar w:fldCharType="begin"/>
        </w:r>
        <w:r w:rsidR="00FE4088">
          <w:rPr>
            <w:noProof/>
            <w:webHidden/>
          </w:rPr>
          <w:instrText xml:space="preserve"> PAGEREF _Toc91752545 \h </w:instrText>
        </w:r>
        <w:r w:rsidR="00FE4088">
          <w:rPr>
            <w:noProof/>
            <w:webHidden/>
          </w:rPr>
        </w:r>
        <w:r w:rsidR="00FE4088">
          <w:rPr>
            <w:noProof/>
            <w:webHidden/>
          </w:rPr>
          <w:fldChar w:fldCharType="separate"/>
        </w:r>
        <w:r w:rsidR="0073710A">
          <w:rPr>
            <w:noProof/>
            <w:webHidden/>
          </w:rPr>
          <w:t>31</w:t>
        </w:r>
        <w:r w:rsidR="00FE4088">
          <w:rPr>
            <w:noProof/>
            <w:webHidden/>
          </w:rPr>
          <w:fldChar w:fldCharType="end"/>
        </w:r>
      </w:hyperlink>
    </w:p>
    <w:p w14:paraId="1F35C48C" w14:textId="27B29703"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46" w:history="1">
        <w:r w:rsidR="00FE4088" w:rsidRPr="00985791">
          <w:rPr>
            <w:rStyle w:val="Hyperlink"/>
            <w:rFonts w:cs="Arial"/>
            <w:noProof/>
          </w:rPr>
          <w:t>Table 7  EU financial programs</w:t>
        </w:r>
        <w:r w:rsidR="00FE4088">
          <w:rPr>
            <w:noProof/>
            <w:webHidden/>
          </w:rPr>
          <w:tab/>
        </w:r>
        <w:r w:rsidR="00FE4088">
          <w:rPr>
            <w:noProof/>
            <w:webHidden/>
          </w:rPr>
          <w:fldChar w:fldCharType="begin"/>
        </w:r>
        <w:r w:rsidR="00FE4088">
          <w:rPr>
            <w:noProof/>
            <w:webHidden/>
          </w:rPr>
          <w:instrText xml:space="preserve"> PAGEREF _Toc91752546 \h </w:instrText>
        </w:r>
        <w:r w:rsidR="00FE4088">
          <w:rPr>
            <w:noProof/>
            <w:webHidden/>
          </w:rPr>
        </w:r>
        <w:r w:rsidR="00FE4088">
          <w:rPr>
            <w:noProof/>
            <w:webHidden/>
          </w:rPr>
          <w:fldChar w:fldCharType="separate"/>
        </w:r>
        <w:r w:rsidR="0073710A">
          <w:rPr>
            <w:noProof/>
            <w:webHidden/>
          </w:rPr>
          <w:t>34</w:t>
        </w:r>
        <w:r w:rsidR="00FE4088">
          <w:rPr>
            <w:noProof/>
            <w:webHidden/>
          </w:rPr>
          <w:fldChar w:fldCharType="end"/>
        </w:r>
      </w:hyperlink>
    </w:p>
    <w:p w14:paraId="6CC1EFBF" w14:textId="11605C6B"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47" w:history="1">
        <w:r w:rsidR="00FE4088" w:rsidRPr="00985791">
          <w:rPr>
            <w:rStyle w:val="Hyperlink"/>
            <w:rFonts w:cs="Arial"/>
            <w:noProof/>
          </w:rPr>
          <w:t>Table 8</w:t>
        </w:r>
        <w:r w:rsidR="00FE4088" w:rsidRPr="00985791">
          <w:rPr>
            <w:rStyle w:val="Hyperlink"/>
            <w:rFonts w:cs="Arial"/>
            <w:noProof/>
            <w:lang w:val="en-US"/>
          </w:rPr>
          <w:t xml:space="preserve"> Implementation costs for an afforestation project</w:t>
        </w:r>
        <w:r w:rsidR="00FE4088">
          <w:rPr>
            <w:noProof/>
            <w:webHidden/>
          </w:rPr>
          <w:tab/>
        </w:r>
        <w:r w:rsidR="00FE4088">
          <w:rPr>
            <w:noProof/>
            <w:webHidden/>
          </w:rPr>
          <w:fldChar w:fldCharType="begin"/>
        </w:r>
        <w:r w:rsidR="00FE4088">
          <w:rPr>
            <w:noProof/>
            <w:webHidden/>
          </w:rPr>
          <w:instrText xml:space="preserve"> PAGEREF _Toc91752547 \h </w:instrText>
        </w:r>
        <w:r w:rsidR="00FE4088">
          <w:rPr>
            <w:noProof/>
            <w:webHidden/>
          </w:rPr>
        </w:r>
        <w:r w:rsidR="00FE4088">
          <w:rPr>
            <w:noProof/>
            <w:webHidden/>
          </w:rPr>
          <w:fldChar w:fldCharType="separate"/>
        </w:r>
        <w:r w:rsidR="0073710A">
          <w:rPr>
            <w:noProof/>
            <w:webHidden/>
          </w:rPr>
          <w:t>43</w:t>
        </w:r>
        <w:r w:rsidR="00FE4088">
          <w:rPr>
            <w:noProof/>
            <w:webHidden/>
          </w:rPr>
          <w:fldChar w:fldCharType="end"/>
        </w:r>
      </w:hyperlink>
    </w:p>
    <w:p w14:paraId="67176344" w14:textId="2670DFB6"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48" w:history="1">
        <w:r w:rsidR="00FE4088" w:rsidRPr="00985791">
          <w:rPr>
            <w:rStyle w:val="Hyperlink"/>
            <w:rFonts w:cs="Arial"/>
            <w:noProof/>
          </w:rPr>
          <w:t>Table 9</w:t>
        </w:r>
        <w:r w:rsidR="00FE4088" w:rsidRPr="00985791">
          <w:rPr>
            <w:rStyle w:val="Hyperlink"/>
            <w:rFonts w:cs="Arial"/>
            <w:noProof/>
            <w:lang w:val="en-US"/>
          </w:rPr>
          <w:t xml:space="preserve"> Value of marketed NWGs (</w:t>
        </w:r>
        <w:r w:rsidR="00FE4088" w:rsidRPr="00985791">
          <w:rPr>
            <w:rStyle w:val="Hyperlink"/>
            <w:rFonts w:cs="Arial"/>
            <w:noProof/>
          </w:rPr>
          <w:t>Source:  Forest Europe, 2015)</w:t>
        </w:r>
        <w:r w:rsidR="00FE4088">
          <w:rPr>
            <w:noProof/>
            <w:webHidden/>
          </w:rPr>
          <w:tab/>
        </w:r>
        <w:r w:rsidR="00FE4088">
          <w:rPr>
            <w:noProof/>
            <w:webHidden/>
          </w:rPr>
          <w:fldChar w:fldCharType="begin"/>
        </w:r>
        <w:r w:rsidR="00FE4088">
          <w:rPr>
            <w:noProof/>
            <w:webHidden/>
          </w:rPr>
          <w:instrText xml:space="preserve"> PAGEREF _Toc91752548 \h </w:instrText>
        </w:r>
        <w:r w:rsidR="00FE4088">
          <w:rPr>
            <w:noProof/>
            <w:webHidden/>
          </w:rPr>
        </w:r>
        <w:r w:rsidR="00FE4088">
          <w:rPr>
            <w:noProof/>
            <w:webHidden/>
          </w:rPr>
          <w:fldChar w:fldCharType="separate"/>
        </w:r>
        <w:r w:rsidR="0073710A">
          <w:rPr>
            <w:noProof/>
            <w:webHidden/>
          </w:rPr>
          <w:t>48</w:t>
        </w:r>
        <w:r w:rsidR="00FE4088">
          <w:rPr>
            <w:noProof/>
            <w:webHidden/>
          </w:rPr>
          <w:fldChar w:fldCharType="end"/>
        </w:r>
      </w:hyperlink>
    </w:p>
    <w:p w14:paraId="07480717" w14:textId="4E7C06E3"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49" w:history="1">
        <w:r w:rsidR="00FE4088" w:rsidRPr="00985791">
          <w:rPr>
            <w:rStyle w:val="Hyperlink"/>
            <w:rFonts w:cs="Arial"/>
            <w:noProof/>
          </w:rPr>
          <w:t>Table 10</w:t>
        </w:r>
        <w:r w:rsidR="00FE4088" w:rsidRPr="00985791">
          <w:rPr>
            <w:rStyle w:val="Hyperlink"/>
            <w:rFonts w:cs="Arial"/>
            <w:noProof/>
            <w:lang w:val="en-US"/>
          </w:rPr>
          <w:t xml:space="preserve"> Quantity and value of different types of marketed animal products (Source:  Forest Europe, 2015)</w:t>
        </w:r>
        <w:r w:rsidR="00FE4088">
          <w:rPr>
            <w:noProof/>
            <w:webHidden/>
          </w:rPr>
          <w:tab/>
        </w:r>
        <w:r w:rsidR="00FE4088">
          <w:rPr>
            <w:noProof/>
            <w:webHidden/>
          </w:rPr>
          <w:fldChar w:fldCharType="begin"/>
        </w:r>
        <w:r w:rsidR="00FE4088">
          <w:rPr>
            <w:noProof/>
            <w:webHidden/>
          </w:rPr>
          <w:instrText xml:space="preserve"> PAGEREF _Toc91752549 \h </w:instrText>
        </w:r>
        <w:r w:rsidR="00FE4088">
          <w:rPr>
            <w:noProof/>
            <w:webHidden/>
          </w:rPr>
        </w:r>
        <w:r w:rsidR="00FE4088">
          <w:rPr>
            <w:noProof/>
            <w:webHidden/>
          </w:rPr>
          <w:fldChar w:fldCharType="separate"/>
        </w:r>
        <w:r w:rsidR="0073710A">
          <w:rPr>
            <w:noProof/>
            <w:webHidden/>
          </w:rPr>
          <w:t>49</w:t>
        </w:r>
        <w:r w:rsidR="00FE4088">
          <w:rPr>
            <w:noProof/>
            <w:webHidden/>
          </w:rPr>
          <w:fldChar w:fldCharType="end"/>
        </w:r>
      </w:hyperlink>
    </w:p>
    <w:p w14:paraId="7144B998" w14:textId="1A43999D"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0" w:history="1">
        <w:r w:rsidR="00FE4088" w:rsidRPr="00985791">
          <w:rPr>
            <w:rStyle w:val="Hyperlink"/>
            <w:rFonts w:cs="Arial"/>
            <w:noProof/>
          </w:rPr>
          <w:t>Table 11 Average value of the marketed services per hectare for countries that reported positive values for the various service (Source:  Forest Europe, 2015)</w:t>
        </w:r>
        <w:r w:rsidR="00FE4088">
          <w:rPr>
            <w:noProof/>
            <w:webHidden/>
          </w:rPr>
          <w:tab/>
        </w:r>
        <w:r w:rsidR="00FE4088">
          <w:rPr>
            <w:noProof/>
            <w:webHidden/>
          </w:rPr>
          <w:fldChar w:fldCharType="begin"/>
        </w:r>
        <w:r w:rsidR="00FE4088">
          <w:rPr>
            <w:noProof/>
            <w:webHidden/>
          </w:rPr>
          <w:instrText xml:space="preserve"> PAGEREF _Toc91752550 \h </w:instrText>
        </w:r>
        <w:r w:rsidR="00FE4088">
          <w:rPr>
            <w:noProof/>
            <w:webHidden/>
          </w:rPr>
        </w:r>
        <w:r w:rsidR="00FE4088">
          <w:rPr>
            <w:noProof/>
            <w:webHidden/>
          </w:rPr>
          <w:fldChar w:fldCharType="separate"/>
        </w:r>
        <w:r w:rsidR="0073710A">
          <w:rPr>
            <w:noProof/>
            <w:webHidden/>
          </w:rPr>
          <w:t>49</w:t>
        </w:r>
        <w:r w:rsidR="00FE4088">
          <w:rPr>
            <w:noProof/>
            <w:webHidden/>
          </w:rPr>
          <w:fldChar w:fldCharType="end"/>
        </w:r>
      </w:hyperlink>
    </w:p>
    <w:p w14:paraId="7490FDEB" w14:textId="07DC1005"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1" w:history="1">
        <w:r w:rsidR="00FE4088" w:rsidRPr="00985791">
          <w:rPr>
            <w:rStyle w:val="Hyperlink"/>
            <w:rFonts w:cs="Arial"/>
            <w:noProof/>
          </w:rPr>
          <w:t>Table 12</w:t>
        </w:r>
        <w:r w:rsidR="00FE4088" w:rsidRPr="00985791">
          <w:rPr>
            <w:rStyle w:val="Hyperlink"/>
            <w:rFonts w:cs="Arial"/>
            <w:noProof/>
            <w:lang w:val="en-US"/>
          </w:rPr>
          <w:t xml:space="preserve"> Definition of forest services (Source:  Forest Europe, 2015)</w:t>
        </w:r>
        <w:r w:rsidR="00FE4088">
          <w:rPr>
            <w:noProof/>
            <w:webHidden/>
          </w:rPr>
          <w:tab/>
        </w:r>
        <w:r w:rsidR="00FE4088">
          <w:rPr>
            <w:noProof/>
            <w:webHidden/>
          </w:rPr>
          <w:fldChar w:fldCharType="begin"/>
        </w:r>
        <w:r w:rsidR="00FE4088">
          <w:rPr>
            <w:noProof/>
            <w:webHidden/>
          </w:rPr>
          <w:instrText xml:space="preserve"> PAGEREF _Toc91752551 \h </w:instrText>
        </w:r>
        <w:r w:rsidR="00FE4088">
          <w:rPr>
            <w:noProof/>
            <w:webHidden/>
          </w:rPr>
        </w:r>
        <w:r w:rsidR="00FE4088">
          <w:rPr>
            <w:noProof/>
            <w:webHidden/>
          </w:rPr>
          <w:fldChar w:fldCharType="separate"/>
        </w:r>
        <w:r w:rsidR="0073710A">
          <w:rPr>
            <w:noProof/>
            <w:webHidden/>
          </w:rPr>
          <w:t>50</w:t>
        </w:r>
        <w:r w:rsidR="00FE4088">
          <w:rPr>
            <w:noProof/>
            <w:webHidden/>
          </w:rPr>
          <w:fldChar w:fldCharType="end"/>
        </w:r>
      </w:hyperlink>
    </w:p>
    <w:p w14:paraId="796A0A64" w14:textId="0496840A"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2" w:history="1">
        <w:r w:rsidR="00FE4088" w:rsidRPr="00985791">
          <w:rPr>
            <w:rStyle w:val="Hyperlink"/>
            <w:rFonts w:cs="Arial"/>
            <w:noProof/>
          </w:rPr>
          <w:t>Table 13</w:t>
        </w:r>
        <w:r w:rsidR="00FE4088" w:rsidRPr="00985791">
          <w:rPr>
            <w:rStyle w:val="Hyperlink"/>
            <w:rFonts w:cs="Arial"/>
            <w:noProof/>
            <w:lang w:val="en-US"/>
          </w:rPr>
          <w:t xml:space="preserve"> Total values for other marketed forest ecosystem services reported by country groups (Source:  Forest Europe, 2015)</w:t>
        </w:r>
        <w:r w:rsidR="00FE4088">
          <w:rPr>
            <w:noProof/>
            <w:webHidden/>
          </w:rPr>
          <w:tab/>
        </w:r>
        <w:r w:rsidR="00FE4088">
          <w:rPr>
            <w:noProof/>
            <w:webHidden/>
          </w:rPr>
          <w:fldChar w:fldCharType="begin"/>
        </w:r>
        <w:r w:rsidR="00FE4088">
          <w:rPr>
            <w:noProof/>
            <w:webHidden/>
          </w:rPr>
          <w:instrText xml:space="preserve"> PAGEREF _Toc91752552 \h </w:instrText>
        </w:r>
        <w:r w:rsidR="00FE4088">
          <w:rPr>
            <w:noProof/>
            <w:webHidden/>
          </w:rPr>
        </w:r>
        <w:r w:rsidR="00FE4088">
          <w:rPr>
            <w:noProof/>
            <w:webHidden/>
          </w:rPr>
          <w:fldChar w:fldCharType="separate"/>
        </w:r>
        <w:r w:rsidR="0073710A">
          <w:rPr>
            <w:noProof/>
            <w:webHidden/>
          </w:rPr>
          <w:t>52</w:t>
        </w:r>
        <w:r w:rsidR="00FE4088">
          <w:rPr>
            <w:noProof/>
            <w:webHidden/>
          </w:rPr>
          <w:fldChar w:fldCharType="end"/>
        </w:r>
      </w:hyperlink>
    </w:p>
    <w:p w14:paraId="741D9F6D" w14:textId="3F873931"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3" w:history="1">
        <w:r w:rsidR="00FE4088" w:rsidRPr="00985791">
          <w:rPr>
            <w:rStyle w:val="Hyperlink"/>
            <w:rFonts w:cs="Arial"/>
            <w:noProof/>
          </w:rPr>
          <w:t>Table 14</w:t>
        </w:r>
        <w:r w:rsidR="00FE4088" w:rsidRPr="00985791">
          <w:rPr>
            <w:rStyle w:val="Hyperlink"/>
            <w:rFonts w:cs="Arial"/>
            <w:noProof/>
            <w:lang w:val="en-US"/>
          </w:rPr>
          <w:t xml:space="preserve"> Potential Sources of Income</w:t>
        </w:r>
        <w:r w:rsidR="00FE4088">
          <w:rPr>
            <w:noProof/>
            <w:webHidden/>
          </w:rPr>
          <w:tab/>
        </w:r>
        <w:r w:rsidR="00FE4088">
          <w:rPr>
            <w:noProof/>
            <w:webHidden/>
          </w:rPr>
          <w:fldChar w:fldCharType="begin"/>
        </w:r>
        <w:r w:rsidR="00FE4088">
          <w:rPr>
            <w:noProof/>
            <w:webHidden/>
          </w:rPr>
          <w:instrText xml:space="preserve"> PAGEREF _Toc91752553 \h </w:instrText>
        </w:r>
        <w:r w:rsidR="00FE4088">
          <w:rPr>
            <w:noProof/>
            <w:webHidden/>
          </w:rPr>
        </w:r>
        <w:r w:rsidR="00FE4088">
          <w:rPr>
            <w:noProof/>
            <w:webHidden/>
          </w:rPr>
          <w:fldChar w:fldCharType="separate"/>
        </w:r>
        <w:r w:rsidR="0073710A">
          <w:rPr>
            <w:noProof/>
            <w:webHidden/>
          </w:rPr>
          <w:t>52</w:t>
        </w:r>
        <w:r w:rsidR="00FE4088">
          <w:rPr>
            <w:noProof/>
            <w:webHidden/>
          </w:rPr>
          <w:fldChar w:fldCharType="end"/>
        </w:r>
      </w:hyperlink>
    </w:p>
    <w:p w14:paraId="2F7A179A" w14:textId="2B9ACEED"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4" w:history="1">
        <w:r w:rsidR="00FE4088" w:rsidRPr="00985791">
          <w:rPr>
            <w:rStyle w:val="Hyperlink"/>
            <w:rFonts w:cs="Arial"/>
            <w:noProof/>
          </w:rPr>
          <w:t>Table 15</w:t>
        </w:r>
        <w:r w:rsidR="00FE4088" w:rsidRPr="00985791">
          <w:rPr>
            <w:rStyle w:val="Hyperlink"/>
            <w:rFonts w:cs="Arial"/>
            <w:noProof/>
            <w:lang w:val="el-GR"/>
          </w:rPr>
          <w:t xml:space="preserve"> Generic Financial Assessment</w:t>
        </w:r>
        <w:r w:rsidR="00FE4088">
          <w:rPr>
            <w:noProof/>
            <w:webHidden/>
          </w:rPr>
          <w:tab/>
        </w:r>
        <w:r w:rsidR="00FE4088">
          <w:rPr>
            <w:noProof/>
            <w:webHidden/>
          </w:rPr>
          <w:fldChar w:fldCharType="begin"/>
        </w:r>
        <w:r w:rsidR="00FE4088">
          <w:rPr>
            <w:noProof/>
            <w:webHidden/>
          </w:rPr>
          <w:instrText xml:space="preserve"> PAGEREF _Toc91752554 \h </w:instrText>
        </w:r>
        <w:r w:rsidR="00FE4088">
          <w:rPr>
            <w:noProof/>
            <w:webHidden/>
          </w:rPr>
        </w:r>
        <w:r w:rsidR="00FE4088">
          <w:rPr>
            <w:noProof/>
            <w:webHidden/>
          </w:rPr>
          <w:fldChar w:fldCharType="separate"/>
        </w:r>
        <w:r w:rsidR="0073710A">
          <w:rPr>
            <w:noProof/>
            <w:webHidden/>
          </w:rPr>
          <w:t>53</w:t>
        </w:r>
        <w:r w:rsidR="00FE4088">
          <w:rPr>
            <w:noProof/>
            <w:webHidden/>
          </w:rPr>
          <w:fldChar w:fldCharType="end"/>
        </w:r>
      </w:hyperlink>
    </w:p>
    <w:p w14:paraId="79E84449" w14:textId="620FD169"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5" w:history="1">
        <w:r w:rsidR="00FE4088" w:rsidRPr="00985791">
          <w:rPr>
            <w:rStyle w:val="Hyperlink"/>
            <w:rFonts w:cs="Arial"/>
            <w:noProof/>
          </w:rPr>
          <w:t>Table 16</w:t>
        </w:r>
        <w:r w:rsidR="00FE4088" w:rsidRPr="00985791">
          <w:rPr>
            <w:rStyle w:val="Hyperlink"/>
            <w:rFonts w:cs="Arial"/>
            <w:noProof/>
            <w:lang w:val="en-US"/>
          </w:rPr>
          <w:t xml:space="preserve"> </w:t>
        </w:r>
        <w:r w:rsidR="00FE4088" w:rsidRPr="00985791">
          <w:rPr>
            <w:rStyle w:val="Hyperlink"/>
            <w:rFonts w:cs="Arial"/>
            <w:noProof/>
          </w:rPr>
          <w:t>Area with public access and area managed for recreational use by region (Forest Europe, 2015)</w:t>
        </w:r>
        <w:r w:rsidR="00FE4088">
          <w:rPr>
            <w:noProof/>
            <w:webHidden/>
          </w:rPr>
          <w:tab/>
        </w:r>
        <w:r w:rsidR="00FE4088">
          <w:rPr>
            <w:noProof/>
            <w:webHidden/>
          </w:rPr>
          <w:fldChar w:fldCharType="begin"/>
        </w:r>
        <w:r w:rsidR="00FE4088">
          <w:rPr>
            <w:noProof/>
            <w:webHidden/>
          </w:rPr>
          <w:instrText xml:space="preserve"> PAGEREF _Toc91752555 \h </w:instrText>
        </w:r>
        <w:r w:rsidR="00FE4088">
          <w:rPr>
            <w:noProof/>
            <w:webHidden/>
          </w:rPr>
        </w:r>
        <w:r w:rsidR="00FE4088">
          <w:rPr>
            <w:noProof/>
            <w:webHidden/>
          </w:rPr>
          <w:fldChar w:fldCharType="separate"/>
        </w:r>
        <w:r w:rsidR="0073710A">
          <w:rPr>
            <w:noProof/>
            <w:webHidden/>
          </w:rPr>
          <w:t>61</w:t>
        </w:r>
        <w:r w:rsidR="00FE4088">
          <w:rPr>
            <w:noProof/>
            <w:webHidden/>
          </w:rPr>
          <w:fldChar w:fldCharType="end"/>
        </w:r>
      </w:hyperlink>
    </w:p>
    <w:p w14:paraId="5E90A073" w14:textId="4F08BC98"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6" w:history="1">
        <w:r w:rsidR="00FE4088" w:rsidRPr="00985791">
          <w:rPr>
            <w:rStyle w:val="Hyperlink"/>
            <w:rFonts w:cs="Arial"/>
            <w:noProof/>
          </w:rPr>
          <w:t>Table 17 Forest land reported for the protection of soil, water and other ecosystem services in 2015 by region (Source:  Forest Europe, 2015)</w:t>
        </w:r>
        <w:r w:rsidR="00FE4088">
          <w:rPr>
            <w:noProof/>
            <w:webHidden/>
          </w:rPr>
          <w:tab/>
        </w:r>
        <w:r w:rsidR="00FE4088">
          <w:rPr>
            <w:noProof/>
            <w:webHidden/>
          </w:rPr>
          <w:fldChar w:fldCharType="begin"/>
        </w:r>
        <w:r w:rsidR="00FE4088">
          <w:rPr>
            <w:noProof/>
            <w:webHidden/>
          </w:rPr>
          <w:instrText xml:space="preserve"> PAGEREF _Toc91752556 \h </w:instrText>
        </w:r>
        <w:r w:rsidR="00FE4088">
          <w:rPr>
            <w:noProof/>
            <w:webHidden/>
          </w:rPr>
        </w:r>
        <w:r w:rsidR="00FE4088">
          <w:rPr>
            <w:noProof/>
            <w:webHidden/>
          </w:rPr>
          <w:fldChar w:fldCharType="separate"/>
        </w:r>
        <w:r w:rsidR="0073710A">
          <w:rPr>
            <w:noProof/>
            <w:webHidden/>
          </w:rPr>
          <w:t>69</w:t>
        </w:r>
        <w:r w:rsidR="00FE4088">
          <w:rPr>
            <w:noProof/>
            <w:webHidden/>
          </w:rPr>
          <w:fldChar w:fldCharType="end"/>
        </w:r>
      </w:hyperlink>
    </w:p>
    <w:p w14:paraId="6D684666" w14:textId="088AC7B9"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7" w:history="1">
        <w:r w:rsidR="00FE4088" w:rsidRPr="00985791">
          <w:rPr>
            <w:rStyle w:val="Hyperlink"/>
            <w:rFonts w:cs="Arial"/>
            <w:noProof/>
          </w:rPr>
          <w:t>Table 18 Share (percentage and million ha) of forest area (uneven-aged and even-aged) by regeneration types in the European regions, 2010 (based on the available data) (Source:  Forest Europe, 2015)</w:t>
        </w:r>
        <w:r w:rsidR="00FE4088">
          <w:rPr>
            <w:noProof/>
            <w:webHidden/>
          </w:rPr>
          <w:tab/>
        </w:r>
        <w:r w:rsidR="00FE4088">
          <w:rPr>
            <w:noProof/>
            <w:webHidden/>
          </w:rPr>
          <w:fldChar w:fldCharType="begin"/>
        </w:r>
        <w:r w:rsidR="00FE4088">
          <w:rPr>
            <w:noProof/>
            <w:webHidden/>
          </w:rPr>
          <w:instrText xml:space="preserve"> PAGEREF _Toc91752557 \h </w:instrText>
        </w:r>
        <w:r w:rsidR="00FE4088">
          <w:rPr>
            <w:noProof/>
            <w:webHidden/>
          </w:rPr>
        </w:r>
        <w:r w:rsidR="00FE4088">
          <w:rPr>
            <w:noProof/>
            <w:webHidden/>
          </w:rPr>
          <w:fldChar w:fldCharType="separate"/>
        </w:r>
        <w:r w:rsidR="0073710A">
          <w:rPr>
            <w:noProof/>
            <w:webHidden/>
          </w:rPr>
          <w:t>70</w:t>
        </w:r>
        <w:r w:rsidR="00FE4088">
          <w:rPr>
            <w:noProof/>
            <w:webHidden/>
          </w:rPr>
          <w:fldChar w:fldCharType="end"/>
        </w:r>
      </w:hyperlink>
    </w:p>
    <w:p w14:paraId="5461A31A" w14:textId="1E20EAD5"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8" w:history="1">
        <w:r w:rsidR="00FE4088" w:rsidRPr="00985791">
          <w:rPr>
            <w:rStyle w:val="Hyperlink"/>
            <w:rFonts w:cs="Arial"/>
            <w:noProof/>
          </w:rPr>
          <w:t>Table 19 Numbers of threatened forest-occurring tree species, birds, mammals, other vertebrates, other invertebrates, vascular plants and fungi (number of reporting countries: 30) (Source:  Forest Europe, 2015)</w:t>
        </w:r>
        <w:r w:rsidR="00FE4088">
          <w:rPr>
            <w:noProof/>
            <w:webHidden/>
          </w:rPr>
          <w:tab/>
        </w:r>
        <w:r w:rsidR="00FE4088">
          <w:rPr>
            <w:noProof/>
            <w:webHidden/>
          </w:rPr>
          <w:fldChar w:fldCharType="begin"/>
        </w:r>
        <w:r w:rsidR="00FE4088">
          <w:rPr>
            <w:noProof/>
            <w:webHidden/>
          </w:rPr>
          <w:instrText xml:space="preserve"> PAGEREF _Toc91752558 \h </w:instrText>
        </w:r>
        <w:r w:rsidR="00FE4088">
          <w:rPr>
            <w:noProof/>
            <w:webHidden/>
          </w:rPr>
        </w:r>
        <w:r w:rsidR="00FE4088">
          <w:rPr>
            <w:noProof/>
            <w:webHidden/>
          </w:rPr>
          <w:fldChar w:fldCharType="separate"/>
        </w:r>
        <w:r w:rsidR="0073710A">
          <w:rPr>
            <w:noProof/>
            <w:webHidden/>
          </w:rPr>
          <w:t>71</w:t>
        </w:r>
        <w:r w:rsidR="00FE4088">
          <w:rPr>
            <w:noProof/>
            <w:webHidden/>
          </w:rPr>
          <w:fldChar w:fldCharType="end"/>
        </w:r>
      </w:hyperlink>
    </w:p>
    <w:p w14:paraId="40BAF396" w14:textId="25ACF502"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59" w:history="1">
        <w:r w:rsidR="00FE4088" w:rsidRPr="00985791">
          <w:rPr>
            <w:rStyle w:val="Hyperlink"/>
            <w:rFonts w:cs="Arial"/>
            <w:noProof/>
          </w:rPr>
          <w:t>Table 20 Numbers of extinct forest-occurring tree species, birds, mammals, other vertebrates, other invertebrates, vascular plants and fungi by regions, EU 28 and Europe (number of reporting countries: 45) (Source:  Forest Europe, 2015)</w:t>
        </w:r>
        <w:r w:rsidR="00FE4088">
          <w:rPr>
            <w:noProof/>
            <w:webHidden/>
          </w:rPr>
          <w:tab/>
        </w:r>
        <w:r w:rsidR="00FE4088">
          <w:rPr>
            <w:noProof/>
            <w:webHidden/>
          </w:rPr>
          <w:fldChar w:fldCharType="begin"/>
        </w:r>
        <w:r w:rsidR="00FE4088">
          <w:rPr>
            <w:noProof/>
            <w:webHidden/>
          </w:rPr>
          <w:instrText xml:space="preserve"> PAGEREF _Toc91752559 \h </w:instrText>
        </w:r>
        <w:r w:rsidR="00FE4088">
          <w:rPr>
            <w:noProof/>
            <w:webHidden/>
          </w:rPr>
        </w:r>
        <w:r w:rsidR="00FE4088">
          <w:rPr>
            <w:noProof/>
            <w:webHidden/>
          </w:rPr>
          <w:fldChar w:fldCharType="separate"/>
        </w:r>
        <w:r w:rsidR="0073710A">
          <w:rPr>
            <w:noProof/>
            <w:webHidden/>
          </w:rPr>
          <w:t>72</w:t>
        </w:r>
        <w:r w:rsidR="00FE4088">
          <w:rPr>
            <w:noProof/>
            <w:webHidden/>
          </w:rPr>
          <w:fldChar w:fldCharType="end"/>
        </w:r>
      </w:hyperlink>
    </w:p>
    <w:p w14:paraId="5F1FA4D8" w14:textId="6E77EE2E"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0" w:history="1">
        <w:r w:rsidR="00FE4088" w:rsidRPr="00985791">
          <w:rPr>
            <w:rStyle w:val="Hyperlink"/>
            <w:rFonts w:cs="Arial"/>
            <w:noProof/>
          </w:rPr>
          <w:t>Table 21 Selected objectives of the EU biodiversity strategy to 2020 relevant to forests</w:t>
        </w:r>
        <w:r w:rsidR="00FE4088">
          <w:rPr>
            <w:noProof/>
            <w:webHidden/>
          </w:rPr>
          <w:tab/>
        </w:r>
        <w:r w:rsidR="00FE4088">
          <w:rPr>
            <w:noProof/>
            <w:webHidden/>
          </w:rPr>
          <w:fldChar w:fldCharType="begin"/>
        </w:r>
        <w:r w:rsidR="00FE4088">
          <w:rPr>
            <w:noProof/>
            <w:webHidden/>
          </w:rPr>
          <w:instrText xml:space="preserve"> PAGEREF _Toc91752560 \h </w:instrText>
        </w:r>
        <w:r w:rsidR="00FE4088">
          <w:rPr>
            <w:noProof/>
            <w:webHidden/>
          </w:rPr>
        </w:r>
        <w:r w:rsidR="00FE4088">
          <w:rPr>
            <w:noProof/>
            <w:webHidden/>
          </w:rPr>
          <w:fldChar w:fldCharType="separate"/>
        </w:r>
        <w:r w:rsidR="0073710A">
          <w:rPr>
            <w:noProof/>
            <w:webHidden/>
          </w:rPr>
          <w:t>73</w:t>
        </w:r>
        <w:r w:rsidR="00FE4088">
          <w:rPr>
            <w:noProof/>
            <w:webHidden/>
          </w:rPr>
          <w:fldChar w:fldCharType="end"/>
        </w:r>
      </w:hyperlink>
    </w:p>
    <w:p w14:paraId="5C03ED20" w14:textId="3B7B3347"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1" w:history="1">
        <w:r w:rsidR="00FE4088" w:rsidRPr="00985791">
          <w:rPr>
            <w:rStyle w:val="Hyperlink"/>
            <w:rFonts w:cs="Arial"/>
            <w:noProof/>
          </w:rPr>
          <w:t>Table 22 Average prices, in euros, per European country for planting 1,000 trees per ha</w:t>
        </w:r>
        <w:r w:rsidR="00FE4088">
          <w:rPr>
            <w:noProof/>
            <w:webHidden/>
          </w:rPr>
          <w:tab/>
        </w:r>
        <w:r w:rsidR="00FE4088">
          <w:rPr>
            <w:noProof/>
            <w:webHidden/>
          </w:rPr>
          <w:fldChar w:fldCharType="begin"/>
        </w:r>
        <w:r w:rsidR="00FE4088">
          <w:rPr>
            <w:noProof/>
            <w:webHidden/>
          </w:rPr>
          <w:instrText xml:space="preserve"> PAGEREF _Toc91752561 \h </w:instrText>
        </w:r>
        <w:r w:rsidR="00FE4088">
          <w:rPr>
            <w:noProof/>
            <w:webHidden/>
          </w:rPr>
        </w:r>
        <w:r w:rsidR="00FE4088">
          <w:rPr>
            <w:noProof/>
            <w:webHidden/>
          </w:rPr>
          <w:fldChar w:fldCharType="separate"/>
        </w:r>
        <w:r w:rsidR="0073710A">
          <w:rPr>
            <w:noProof/>
            <w:webHidden/>
          </w:rPr>
          <w:t>87</w:t>
        </w:r>
        <w:r w:rsidR="00FE4088">
          <w:rPr>
            <w:noProof/>
            <w:webHidden/>
          </w:rPr>
          <w:fldChar w:fldCharType="end"/>
        </w:r>
      </w:hyperlink>
    </w:p>
    <w:p w14:paraId="1DACCBBB" w14:textId="21DD4C36"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2" w:history="1">
        <w:r w:rsidR="00FE4088" w:rsidRPr="00985791">
          <w:rPr>
            <w:rStyle w:val="Hyperlink"/>
            <w:rFonts w:cs="Arial"/>
            <w:noProof/>
          </w:rPr>
          <w:t>Table 23</w:t>
        </w:r>
        <w:r w:rsidR="00FE4088" w:rsidRPr="00985791">
          <w:rPr>
            <w:rStyle w:val="Hyperlink"/>
            <w:rFonts w:cs="Arial"/>
            <w:noProof/>
            <w:lang w:val="en-US"/>
          </w:rPr>
          <w:t xml:space="preserve"> </w:t>
        </w:r>
        <w:r w:rsidR="00FE4088" w:rsidRPr="00985791">
          <w:rPr>
            <w:rStyle w:val="Hyperlink"/>
            <w:rFonts w:cs="Arial"/>
            <w:noProof/>
          </w:rPr>
          <w:t>Planting cost estimation by European Commission (Source: European Commission, 2021d)</w:t>
        </w:r>
        <w:r w:rsidR="00FE4088">
          <w:rPr>
            <w:noProof/>
            <w:webHidden/>
          </w:rPr>
          <w:tab/>
        </w:r>
        <w:r w:rsidR="00FE4088">
          <w:rPr>
            <w:noProof/>
            <w:webHidden/>
          </w:rPr>
          <w:fldChar w:fldCharType="begin"/>
        </w:r>
        <w:r w:rsidR="00FE4088">
          <w:rPr>
            <w:noProof/>
            <w:webHidden/>
          </w:rPr>
          <w:instrText xml:space="preserve"> PAGEREF _Toc91752562 \h </w:instrText>
        </w:r>
        <w:r w:rsidR="00FE4088">
          <w:rPr>
            <w:noProof/>
            <w:webHidden/>
          </w:rPr>
        </w:r>
        <w:r w:rsidR="00FE4088">
          <w:rPr>
            <w:noProof/>
            <w:webHidden/>
          </w:rPr>
          <w:fldChar w:fldCharType="separate"/>
        </w:r>
        <w:r w:rsidR="0073710A">
          <w:rPr>
            <w:noProof/>
            <w:webHidden/>
          </w:rPr>
          <w:t>88</w:t>
        </w:r>
        <w:r w:rsidR="00FE4088">
          <w:rPr>
            <w:noProof/>
            <w:webHidden/>
          </w:rPr>
          <w:fldChar w:fldCharType="end"/>
        </w:r>
      </w:hyperlink>
    </w:p>
    <w:p w14:paraId="09107604" w14:textId="35602C97"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3" w:history="1">
        <w:r w:rsidR="00FE4088" w:rsidRPr="00985791">
          <w:rPr>
            <w:rStyle w:val="Hyperlink"/>
            <w:rFonts w:cs="Arial"/>
            <w:noProof/>
          </w:rPr>
          <w:t>Table 24. Indicators identified for the sustainability aspects.</w:t>
        </w:r>
        <w:r w:rsidR="00FE4088">
          <w:rPr>
            <w:noProof/>
            <w:webHidden/>
          </w:rPr>
          <w:tab/>
        </w:r>
        <w:r w:rsidR="00FE4088">
          <w:rPr>
            <w:noProof/>
            <w:webHidden/>
          </w:rPr>
          <w:fldChar w:fldCharType="begin"/>
        </w:r>
        <w:r w:rsidR="00FE4088">
          <w:rPr>
            <w:noProof/>
            <w:webHidden/>
          </w:rPr>
          <w:instrText xml:space="preserve"> PAGEREF _Toc91752563 \h </w:instrText>
        </w:r>
        <w:r w:rsidR="00FE4088">
          <w:rPr>
            <w:noProof/>
            <w:webHidden/>
          </w:rPr>
        </w:r>
        <w:r w:rsidR="00FE4088">
          <w:rPr>
            <w:noProof/>
            <w:webHidden/>
          </w:rPr>
          <w:fldChar w:fldCharType="separate"/>
        </w:r>
        <w:r w:rsidR="0073710A">
          <w:rPr>
            <w:noProof/>
            <w:webHidden/>
          </w:rPr>
          <w:t>90</w:t>
        </w:r>
        <w:r w:rsidR="00FE4088">
          <w:rPr>
            <w:noProof/>
            <w:webHidden/>
          </w:rPr>
          <w:fldChar w:fldCharType="end"/>
        </w:r>
      </w:hyperlink>
    </w:p>
    <w:p w14:paraId="578C29F4" w14:textId="754E1D0D"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4" w:history="1">
        <w:r w:rsidR="00FE4088" w:rsidRPr="00985791">
          <w:rPr>
            <w:rStyle w:val="Hyperlink"/>
            <w:rFonts w:cs="Arial"/>
            <w:noProof/>
          </w:rPr>
          <w:t>Table 25 Environmental datasets found in the Eurostat database</w:t>
        </w:r>
        <w:r w:rsidR="00FE4088">
          <w:rPr>
            <w:noProof/>
            <w:webHidden/>
          </w:rPr>
          <w:tab/>
        </w:r>
        <w:r w:rsidR="00FE4088">
          <w:rPr>
            <w:noProof/>
            <w:webHidden/>
          </w:rPr>
          <w:fldChar w:fldCharType="begin"/>
        </w:r>
        <w:r w:rsidR="00FE4088">
          <w:rPr>
            <w:noProof/>
            <w:webHidden/>
          </w:rPr>
          <w:instrText xml:space="preserve"> PAGEREF _Toc91752564 \h </w:instrText>
        </w:r>
        <w:r w:rsidR="00FE4088">
          <w:rPr>
            <w:noProof/>
            <w:webHidden/>
          </w:rPr>
        </w:r>
        <w:r w:rsidR="00FE4088">
          <w:rPr>
            <w:noProof/>
            <w:webHidden/>
          </w:rPr>
          <w:fldChar w:fldCharType="separate"/>
        </w:r>
        <w:r w:rsidR="0073710A">
          <w:rPr>
            <w:noProof/>
            <w:webHidden/>
          </w:rPr>
          <w:t>91</w:t>
        </w:r>
        <w:r w:rsidR="00FE4088">
          <w:rPr>
            <w:noProof/>
            <w:webHidden/>
          </w:rPr>
          <w:fldChar w:fldCharType="end"/>
        </w:r>
      </w:hyperlink>
    </w:p>
    <w:p w14:paraId="37325FD1" w14:textId="113C59C8"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5" w:history="1">
        <w:r w:rsidR="00FE4088" w:rsidRPr="00985791">
          <w:rPr>
            <w:rStyle w:val="Hyperlink"/>
            <w:rFonts w:cs="Arial"/>
            <w:noProof/>
          </w:rPr>
          <w:t>Table 26 Social datasets found in the Eurostat database</w:t>
        </w:r>
        <w:r w:rsidR="00FE4088">
          <w:rPr>
            <w:noProof/>
            <w:webHidden/>
          </w:rPr>
          <w:tab/>
        </w:r>
        <w:r w:rsidR="00FE4088">
          <w:rPr>
            <w:noProof/>
            <w:webHidden/>
          </w:rPr>
          <w:fldChar w:fldCharType="begin"/>
        </w:r>
        <w:r w:rsidR="00FE4088">
          <w:rPr>
            <w:noProof/>
            <w:webHidden/>
          </w:rPr>
          <w:instrText xml:space="preserve"> PAGEREF _Toc91752565 \h </w:instrText>
        </w:r>
        <w:r w:rsidR="00FE4088">
          <w:rPr>
            <w:noProof/>
            <w:webHidden/>
          </w:rPr>
        </w:r>
        <w:r w:rsidR="00FE4088">
          <w:rPr>
            <w:noProof/>
            <w:webHidden/>
          </w:rPr>
          <w:fldChar w:fldCharType="separate"/>
        </w:r>
        <w:r w:rsidR="0073710A">
          <w:rPr>
            <w:noProof/>
            <w:webHidden/>
          </w:rPr>
          <w:t>92</w:t>
        </w:r>
        <w:r w:rsidR="00FE4088">
          <w:rPr>
            <w:noProof/>
            <w:webHidden/>
          </w:rPr>
          <w:fldChar w:fldCharType="end"/>
        </w:r>
      </w:hyperlink>
    </w:p>
    <w:p w14:paraId="2292972A" w14:textId="4B5F7077"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6" w:history="1">
        <w:r w:rsidR="00FE4088" w:rsidRPr="00985791">
          <w:rPr>
            <w:rStyle w:val="Hyperlink"/>
            <w:rFonts w:cs="Arial"/>
            <w:noProof/>
          </w:rPr>
          <w:t>Table 27 Financial datasets found in the Eurostat database</w:t>
        </w:r>
        <w:r w:rsidR="00FE4088">
          <w:rPr>
            <w:noProof/>
            <w:webHidden/>
          </w:rPr>
          <w:tab/>
        </w:r>
        <w:r w:rsidR="00FE4088">
          <w:rPr>
            <w:noProof/>
            <w:webHidden/>
          </w:rPr>
          <w:fldChar w:fldCharType="begin"/>
        </w:r>
        <w:r w:rsidR="00FE4088">
          <w:rPr>
            <w:noProof/>
            <w:webHidden/>
          </w:rPr>
          <w:instrText xml:space="preserve"> PAGEREF _Toc91752566 \h </w:instrText>
        </w:r>
        <w:r w:rsidR="00FE4088">
          <w:rPr>
            <w:noProof/>
            <w:webHidden/>
          </w:rPr>
        </w:r>
        <w:r w:rsidR="00FE4088">
          <w:rPr>
            <w:noProof/>
            <w:webHidden/>
          </w:rPr>
          <w:fldChar w:fldCharType="separate"/>
        </w:r>
        <w:r w:rsidR="0073710A">
          <w:rPr>
            <w:noProof/>
            <w:webHidden/>
          </w:rPr>
          <w:t>92</w:t>
        </w:r>
        <w:r w:rsidR="00FE4088">
          <w:rPr>
            <w:noProof/>
            <w:webHidden/>
          </w:rPr>
          <w:fldChar w:fldCharType="end"/>
        </w:r>
      </w:hyperlink>
    </w:p>
    <w:p w14:paraId="6CBDEF9C" w14:textId="35D3F277"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7" w:history="1">
        <w:r w:rsidR="00FE4088" w:rsidRPr="00985791">
          <w:rPr>
            <w:rStyle w:val="Hyperlink"/>
            <w:rFonts w:cs="Arial"/>
            <w:noProof/>
          </w:rPr>
          <w:t>Table 28.Variables found on Eurostat dataset for both indicators and sustainability aspects</w:t>
        </w:r>
        <w:r w:rsidR="00FE4088">
          <w:rPr>
            <w:noProof/>
            <w:webHidden/>
          </w:rPr>
          <w:tab/>
        </w:r>
        <w:r w:rsidR="00FE4088">
          <w:rPr>
            <w:noProof/>
            <w:webHidden/>
          </w:rPr>
          <w:fldChar w:fldCharType="begin"/>
        </w:r>
        <w:r w:rsidR="00FE4088">
          <w:rPr>
            <w:noProof/>
            <w:webHidden/>
          </w:rPr>
          <w:instrText xml:space="preserve"> PAGEREF _Toc91752567 \h </w:instrText>
        </w:r>
        <w:r w:rsidR="00FE4088">
          <w:rPr>
            <w:noProof/>
            <w:webHidden/>
          </w:rPr>
        </w:r>
        <w:r w:rsidR="00FE4088">
          <w:rPr>
            <w:noProof/>
            <w:webHidden/>
          </w:rPr>
          <w:fldChar w:fldCharType="separate"/>
        </w:r>
        <w:r w:rsidR="0073710A">
          <w:rPr>
            <w:noProof/>
            <w:webHidden/>
          </w:rPr>
          <w:t>94</w:t>
        </w:r>
        <w:r w:rsidR="00FE4088">
          <w:rPr>
            <w:noProof/>
            <w:webHidden/>
          </w:rPr>
          <w:fldChar w:fldCharType="end"/>
        </w:r>
      </w:hyperlink>
    </w:p>
    <w:p w14:paraId="4D9E2D34" w14:textId="4A6DE550"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8" w:history="1">
        <w:r w:rsidR="00FE4088" w:rsidRPr="00985791">
          <w:rPr>
            <w:rStyle w:val="Hyperlink"/>
            <w:rFonts w:cs="Arial"/>
            <w:noProof/>
          </w:rPr>
          <w:t>Table 29. Income provided by forest services by hectare for the regional groups. Forest Area is represented in thousands of hectares. Forest services in Millions of Euros.</w:t>
        </w:r>
        <w:r w:rsidR="00FE4088">
          <w:rPr>
            <w:noProof/>
            <w:webHidden/>
          </w:rPr>
          <w:tab/>
        </w:r>
        <w:r w:rsidR="00FE4088">
          <w:rPr>
            <w:noProof/>
            <w:webHidden/>
          </w:rPr>
          <w:fldChar w:fldCharType="begin"/>
        </w:r>
        <w:r w:rsidR="00FE4088">
          <w:rPr>
            <w:noProof/>
            <w:webHidden/>
          </w:rPr>
          <w:instrText xml:space="preserve"> PAGEREF _Toc91752568 \h </w:instrText>
        </w:r>
        <w:r w:rsidR="00FE4088">
          <w:rPr>
            <w:noProof/>
            <w:webHidden/>
          </w:rPr>
        </w:r>
        <w:r w:rsidR="00FE4088">
          <w:rPr>
            <w:noProof/>
            <w:webHidden/>
          </w:rPr>
          <w:fldChar w:fldCharType="separate"/>
        </w:r>
        <w:r w:rsidR="0073710A">
          <w:rPr>
            <w:noProof/>
            <w:webHidden/>
          </w:rPr>
          <w:t>102</w:t>
        </w:r>
        <w:r w:rsidR="00FE4088">
          <w:rPr>
            <w:noProof/>
            <w:webHidden/>
          </w:rPr>
          <w:fldChar w:fldCharType="end"/>
        </w:r>
      </w:hyperlink>
    </w:p>
    <w:p w14:paraId="483915B5" w14:textId="0E2273D0"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69" w:history="1">
        <w:r w:rsidR="00FE4088" w:rsidRPr="00985791">
          <w:rPr>
            <w:rStyle w:val="Hyperlink"/>
            <w:rFonts w:cs="Arial"/>
            <w:noProof/>
          </w:rPr>
          <w:t>Table 30 Income provided by other forest services by hectare for the regional groups</w:t>
        </w:r>
        <w:r w:rsidR="00FE4088">
          <w:rPr>
            <w:noProof/>
            <w:webHidden/>
          </w:rPr>
          <w:tab/>
        </w:r>
        <w:r w:rsidR="00FE4088">
          <w:rPr>
            <w:noProof/>
            <w:webHidden/>
          </w:rPr>
          <w:fldChar w:fldCharType="begin"/>
        </w:r>
        <w:r w:rsidR="00FE4088">
          <w:rPr>
            <w:noProof/>
            <w:webHidden/>
          </w:rPr>
          <w:instrText xml:space="preserve"> PAGEREF _Toc91752569 \h </w:instrText>
        </w:r>
        <w:r w:rsidR="00FE4088">
          <w:rPr>
            <w:noProof/>
            <w:webHidden/>
          </w:rPr>
        </w:r>
        <w:r w:rsidR="00FE4088">
          <w:rPr>
            <w:noProof/>
            <w:webHidden/>
          </w:rPr>
          <w:fldChar w:fldCharType="separate"/>
        </w:r>
        <w:r w:rsidR="0073710A">
          <w:rPr>
            <w:noProof/>
            <w:webHidden/>
          </w:rPr>
          <w:t>103</w:t>
        </w:r>
        <w:r w:rsidR="00FE4088">
          <w:rPr>
            <w:noProof/>
            <w:webHidden/>
          </w:rPr>
          <w:fldChar w:fldCharType="end"/>
        </w:r>
      </w:hyperlink>
    </w:p>
    <w:p w14:paraId="51029738" w14:textId="51AFA371"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70" w:history="1">
        <w:r w:rsidR="00FE4088" w:rsidRPr="00985791">
          <w:rPr>
            <w:rStyle w:val="Hyperlink"/>
            <w:rFonts w:cs="Arial"/>
            <w:noProof/>
          </w:rPr>
          <w:t>Table 31 Mean participation rate in recreational activities in the regional groups</w:t>
        </w:r>
        <w:r w:rsidR="00FE4088">
          <w:rPr>
            <w:noProof/>
            <w:webHidden/>
          </w:rPr>
          <w:tab/>
        </w:r>
        <w:r w:rsidR="00FE4088">
          <w:rPr>
            <w:noProof/>
            <w:webHidden/>
          </w:rPr>
          <w:fldChar w:fldCharType="begin"/>
        </w:r>
        <w:r w:rsidR="00FE4088">
          <w:rPr>
            <w:noProof/>
            <w:webHidden/>
          </w:rPr>
          <w:instrText xml:space="preserve"> PAGEREF _Toc91752570 \h </w:instrText>
        </w:r>
        <w:r w:rsidR="00FE4088">
          <w:rPr>
            <w:noProof/>
            <w:webHidden/>
          </w:rPr>
        </w:r>
        <w:r w:rsidR="00FE4088">
          <w:rPr>
            <w:noProof/>
            <w:webHidden/>
          </w:rPr>
          <w:fldChar w:fldCharType="separate"/>
        </w:r>
        <w:r w:rsidR="0073710A">
          <w:rPr>
            <w:noProof/>
            <w:webHidden/>
          </w:rPr>
          <w:t>105</w:t>
        </w:r>
        <w:r w:rsidR="00FE4088">
          <w:rPr>
            <w:noProof/>
            <w:webHidden/>
          </w:rPr>
          <w:fldChar w:fldCharType="end"/>
        </w:r>
      </w:hyperlink>
    </w:p>
    <w:p w14:paraId="6B7030B5" w14:textId="4E61434E"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71" w:history="1">
        <w:r w:rsidR="00FE4088" w:rsidRPr="00985791">
          <w:rPr>
            <w:rStyle w:val="Hyperlink"/>
            <w:rFonts w:cs="Arial"/>
            <w:noProof/>
          </w:rPr>
          <w:t xml:space="preserve">Table 32 </w:t>
        </w:r>
        <w:r w:rsidR="00FE4088" w:rsidRPr="00985791">
          <w:rPr>
            <w:rStyle w:val="Hyperlink"/>
            <w:rFonts w:cs="Arial"/>
            <w:noProof/>
            <w:lang w:val="en-US"/>
          </w:rPr>
          <w:t>Related decisions of UNFCCC to LULUCF</w:t>
        </w:r>
        <w:r w:rsidR="00FE4088">
          <w:rPr>
            <w:noProof/>
            <w:webHidden/>
          </w:rPr>
          <w:tab/>
        </w:r>
        <w:r w:rsidR="00FE4088">
          <w:rPr>
            <w:noProof/>
            <w:webHidden/>
          </w:rPr>
          <w:fldChar w:fldCharType="begin"/>
        </w:r>
        <w:r w:rsidR="00FE4088">
          <w:rPr>
            <w:noProof/>
            <w:webHidden/>
          </w:rPr>
          <w:instrText xml:space="preserve"> PAGEREF _Toc91752571 \h </w:instrText>
        </w:r>
        <w:r w:rsidR="00FE4088">
          <w:rPr>
            <w:noProof/>
            <w:webHidden/>
          </w:rPr>
        </w:r>
        <w:r w:rsidR="00FE4088">
          <w:rPr>
            <w:noProof/>
            <w:webHidden/>
          </w:rPr>
          <w:fldChar w:fldCharType="separate"/>
        </w:r>
        <w:r w:rsidR="0073710A">
          <w:rPr>
            <w:noProof/>
            <w:webHidden/>
          </w:rPr>
          <w:t>146</w:t>
        </w:r>
        <w:r w:rsidR="00FE4088">
          <w:rPr>
            <w:noProof/>
            <w:webHidden/>
          </w:rPr>
          <w:fldChar w:fldCharType="end"/>
        </w:r>
      </w:hyperlink>
    </w:p>
    <w:p w14:paraId="4A098923" w14:textId="7095A741"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72" w:history="1">
        <w:r w:rsidR="00FE4088" w:rsidRPr="00985791">
          <w:rPr>
            <w:rStyle w:val="Hyperlink"/>
            <w:rFonts w:cs="Arial"/>
            <w:noProof/>
          </w:rPr>
          <w:t>Table 33 EU Legislation and related documents</w:t>
        </w:r>
        <w:r w:rsidR="00FE4088">
          <w:rPr>
            <w:noProof/>
            <w:webHidden/>
          </w:rPr>
          <w:tab/>
        </w:r>
        <w:r w:rsidR="00FE4088">
          <w:rPr>
            <w:noProof/>
            <w:webHidden/>
          </w:rPr>
          <w:fldChar w:fldCharType="begin"/>
        </w:r>
        <w:r w:rsidR="00FE4088">
          <w:rPr>
            <w:noProof/>
            <w:webHidden/>
          </w:rPr>
          <w:instrText xml:space="preserve"> PAGEREF _Toc91752572 \h </w:instrText>
        </w:r>
        <w:r w:rsidR="00FE4088">
          <w:rPr>
            <w:noProof/>
            <w:webHidden/>
          </w:rPr>
        </w:r>
        <w:r w:rsidR="00FE4088">
          <w:rPr>
            <w:noProof/>
            <w:webHidden/>
          </w:rPr>
          <w:fldChar w:fldCharType="separate"/>
        </w:r>
        <w:r w:rsidR="0073710A">
          <w:rPr>
            <w:noProof/>
            <w:webHidden/>
          </w:rPr>
          <w:t>152</w:t>
        </w:r>
        <w:r w:rsidR="00FE4088">
          <w:rPr>
            <w:noProof/>
            <w:webHidden/>
          </w:rPr>
          <w:fldChar w:fldCharType="end"/>
        </w:r>
      </w:hyperlink>
    </w:p>
    <w:p w14:paraId="6ADEE771" w14:textId="4B1A44C3"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73" w:history="1">
        <w:r w:rsidR="00FE4088" w:rsidRPr="00985791">
          <w:rPr>
            <w:rStyle w:val="Hyperlink"/>
            <w:rFonts w:cs="Arial"/>
            <w:noProof/>
          </w:rPr>
          <w:t>Table 34 EU Legislation on Reporting</w:t>
        </w:r>
        <w:r w:rsidR="00FE4088">
          <w:rPr>
            <w:noProof/>
            <w:webHidden/>
          </w:rPr>
          <w:tab/>
        </w:r>
        <w:r w:rsidR="00FE4088">
          <w:rPr>
            <w:noProof/>
            <w:webHidden/>
          </w:rPr>
          <w:fldChar w:fldCharType="begin"/>
        </w:r>
        <w:r w:rsidR="00FE4088">
          <w:rPr>
            <w:noProof/>
            <w:webHidden/>
          </w:rPr>
          <w:instrText xml:space="preserve"> PAGEREF _Toc91752573 \h </w:instrText>
        </w:r>
        <w:r w:rsidR="00FE4088">
          <w:rPr>
            <w:noProof/>
            <w:webHidden/>
          </w:rPr>
        </w:r>
        <w:r w:rsidR="00FE4088">
          <w:rPr>
            <w:noProof/>
            <w:webHidden/>
          </w:rPr>
          <w:fldChar w:fldCharType="separate"/>
        </w:r>
        <w:r w:rsidR="0073710A">
          <w:rPr>
            <w:noProof/>
            <w:webHidden/>
          </w:rPr>
          <w:t>160</w:t>
        </w:r>
        <w:r w:rsidR="00FE4088">
          <w:rPr>
            <w:noProof/>
            <w:webHidden/>
          </w:rPr>
          <w:fldChar w:fldCharType="end"/>
        </w:r>
      </w:hyperlink>
    </w:p>
    <w:p w14:paraId="0461D131" w14:textId="4FFD323C"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74" w:history="1">
        <w:r w:rsidR="00FE4088" w:rsidRPr="00985791">
          <w:rPr>
            <w:rStyle w:val="Hyperlink"/>
            <w:rFonts w:cs="Arial"/>
            <w:noProof/>
          </w:rPr>
          <w:t>Table 35 Methodologies of ACR</w:t>
        </w:r>
        <w:r w:rsidR="00FE4088">
          <w:rPr>
            <w:noProof/>
            <w:webHidden/>
          </w:rPr>
          <w:tab/>
        </w:r>
        <w:r w:rsidR="00FE4088">
          <w:rPr>
            <w:noProof/>
            <w:webHidden/>
          </w:rPr>
          <w:fldChar w:fldCharType="begin"/>
        </w:r>
        <w:r w:rsidR="00FE4088">
          <w:rPr>
            <w:noProof/>
            <w:webHidden/>
          </w:rPr>
          <w:instrText xml:space="preserve"> PAGEREF _Toc91752574 \h </w:instrText>
        </w:r>
        <w:r w:rsidR="00FE4088">
          <w:rPr>
            <w:noProof/>
            <w:webHidden/>
          </w:rPr>
        </w:r>
        <w:r w:rsidR="00FE4088">
          <w:rPr>
            <w:noProof/>
            <w:webHidden/>
          </w:rPr>
          <w:fldChar w:fldCharType="separate"/>
        </w:r>
        <w:r w:rsidR="0073710A">
          <w:rPr>
            <w:noProof/>
            <w:webHidden/>
          </w:rPr>
          <w:t>163</w:t>
        </w:r>
        <w:r w:rsidR="00FE4088">
          <w:rPr>
            <w:noProof/>
            <w:webHidden/>
          </w:rPr>
          <w:fldChar w:fldCharType="end"/>
        </w:r>
      </w:hyperlink>
    </w:p>
    <w:p w14:paraId="37A2F116" w14:textId="3C4C9E03"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75" w:history="1">
        <w:r w:rsidR="00FE4088" w:rsidRPr="00985791">
          <w:rPr>
            <w:rStyle w:val="Hyperlink"/>
            <w:rFonts w:cs="Arial"/>
            <w:noProof/>
          </w:rPr>
          <w:t>Table 36 Reserve’s protocols’ list</w:t>
        </w:r>
        <w:r w:rsidR="00FE4088">
          <w:rPr>
            <w:noProof/>
            <w:webHidden/>
          </w:rPr>
          <w:tab/>
        </w:r>
        <w:r w:rsidR="00FE4088">
          <w:rPr>
            <w:noProof/>
            <w:webHidden/>
          </w:rPr>
          <w:fldChar w:fldCharType="begin"/>
        </w:r>
        <w:r w:rsidR="00FE4088">
          <w:rPr>
            <w:noProof/>
            <w:webHidden/>
          </w:rPr>
          <w:instrText xml:space="preserve"> PAGEREF _Toc91752575 \h </w:instrText>
        </w:r>
        <w:r w:rsidR="00FE4088">
          <w:rPr>
            <w:noProof/>
            <w:webHidden/>
          </w:rPr>
        </w:r>
        <w:r w:rsidR="00FE4088">
          <w:rPr>
            <w:noProof/>
            <w:webHidden/>
          </w:rPr>
          <w:fldChar w:fldCharType="separate"/>
        </w:r>
        <w:r w:rsidR="0073710A">
          <w:rPr>
            <w:noProof/>
            <w:webHidden/>
          </w:rPr>
          <w:t>169</w:t>
        </w:r>
        <w:r w:rsidR="00FE4088">
          <w:rPr>
            <w:noProof/>
            <w:webHidden/>
          </w:rPr>
          <w:fldChar w:fldCharType="end"/>
        </w:r>
      </w:hyperlink>
    </w:p>
    <w:p w14:paraId="010799E2" w14:textId="341AFAA0"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76" w:history="1">
        <w:r w:rsidR="00FE4088" w:rsidRPr="00985791">
          <w:rPr>
            <w:rStyle w:val="Hyperlink"/>
            <w:rFonts w:cs="Arial"/>
            <w:noProof/>
          </w:rPr>
          <w:t>Table 37  Lists of CDM Projects connected with LULUCF</w:t>
        </w:r>
        <w:r w:rsidR="00FE4088">
          <w:rPr>
            <w:noProof/>
            <w:webHidden/>
          </w:rPr>
          <w:tab/>
        </w:r>
        <w:r w:rsidR="00FE4088">
          <w:rPr>
            <w:noProof/>
            <w:webHidden/>
          </w:rPr>
          <w:fldChar w:fldCharType="begin"/>
        </w:r>
        <w:r w:rsidR="00FE4088">
          <w:rPr>
            <w:noProof/>
            <w:webHidden/>
          </w:rPr>
          <w:instrText xml:space="preserve"> PAGEREF _Toc91752576 \h </w:instrText>
        </w:r>
        <w:r w:rsidR="00FE4088">
          <w:rPr>
            <w:noProof/>
            <w:webHidden/>
          </w:rPr>
        </w:r>
        <w:r w:rsidR="00FE4088">
          <w:rPr>
            <w:noProof/>
            <w:webHidden/>
          </w:rPr>
          <w:fldChar w:fldCharType="separate"/>
        </w:r>
        <w:r w:rsidR="0073710A">
          <w:rPr>
            <w:noProof/>
            <w:webHidden/>
          </w:rPr>
          <w:t>178</w:t>
        </w:r>
        <w:r w:rsidR="00FE4088">
          <w:rPr>
            <w:noProof/>
            <w:webHidden/>
          </w:rPr>
          <w:fldChar w:fldCharType="end"/>
        </w:r>
      </w:hyperlink>
    </w:p>
    <w:p w14:paraId="1BA7321E" w14:textId="455A8C4B"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77" w:history="1">
        <w:r w:rsidR="00FE4088" w:rsidRPr="00985791">
          <w:rPr>
            <w:rStyle w:val="Hyperlink"/>
            <w:rFonts w:cs="Arial"/>
            <w:noProof/>
          </w:rPr>
          <w:t>Table 38 Organizations providing Carbon offset Projects through Voluntary Markets</w:t>
        </w:r>
        <w:r w:rsidR="00FE4088">
          <w:rPr>
            <w:noProof/>
            <w:webHidden/>
          </w:rPr>
          <w:tab/>
        </w:r>
        <w:r w:rsidR="00FE4088">
          <w:rPr>
            <w:noProof/>
            <w:webHidden/>
          </w:rPr>
          <w:fldChar w:fldCharType="begin"/>
        </w:r>
        <w:r w:rsidR="00FE4088">
          <w:rPr>
            <w:noProof/>
            <w:webHidden/>
          </w:rPr>
          <w:instrText xml:space="preserve"> PAGEREF _Toc91752577 \h </w:instrText>
        </w:r>
        <w:r w:rsidR="00FE4088">
          <w:rPr>
            <w:noProof/>
            <w:webHidden/>
          </w:rPr>
        </w:r>
        <w:r w:rsidR="00FE4088">
          <w:rPr>
            <w:noProof/>
            <w:webHidden/>
          </w:rPr>
          <w:fldChar w:fldCharType="separate"/>
        </w:r>
        <w:r w:rsidR="0073710A">
          <w:rPr>
            <w:noProof/>
            <w:webHidden/>
          </w:rPr>
          <w:t>183</w:t>
        </w:r>
        <w:r w:rsidR="00FE4088">
          <w:rPr>
            <w:noProof/>
            <w:webHidden/>
          </w:rPr>
          <w:fldChar w:fldCharType="end"/>
        </w:r>
      </w:hyperlink>
    </w:p>
    <w:p w14:paraId="783A7985" w14:textId="4A57A603" w:rsidR="00FE4088" w:rsidRDefault="003B0DE2">
      <w:pPr>
        <w:pStyle w:val="TableofFigures"/>
        <w:tabs>
          <w:tab w:val="right" w:leader="dot" w:pos="8495"/>
        </w:tabs>
        <w:rPr>
          <w:rFonts w:asciiTheme="minorHAnsi" w:eastAsiaTheme="minorEastAsia" w:hAnsiTheme="minorHAnsi" w:cstheme="minorBidi"/>
          <w:noProof/>
          <w:lang w:val="el-GR" w:eastAsia="el-GR"/>
        </w:rPr>
      </w:pPr>
      <w:hyperlink w:anchor="_Toc91752578" w:history="1">
        <w:r w:rsidR="00FE4088" w:rsidRPr="00985791">
          <w:rPr>
            <w:rStyle w:val="Hyperlink"/>
            <w:rFonts w:cs="Arial"/>
            <w:noProof/>
          </w:rPr>
          <w:t>Table 39 Carbon Offset Programmes</w:t>
        </w:r>
        <w:r w:rsidR="00FE4088">
          <w:rPr>
            <w:noProof/>
            <w:webHidden/>
          </w:rPr>
          <w:tab/>
        </w:r>
        <w:r w:rsidR="00FE4088">
          <w:rPr>
            <w:noProof/>
            <w:webHidden/>
          </w:rPr>
          <w:fldChar w:fldCharType="begin"/>
        </w:r>
        <w:r w:rsidR="00FE4088">
          <w:rPr>
            <w:noProof/>
            <w:webHidden/>
          </w:rPr>
          <w:instrText xml:space="preserve"> PAGEREF _Toc91752578 \h </w:instrText>
        </w:r>
        <w:r w:rsidR="00FE4088">
          <w:rPr>
            <w:noProof/>
            <w:webHidden/>
          </w:rPr>
        </w:r>
        <w:r w:rsidR="00FE4088">
          <w:rPr>
            <w:noProof/>
            <w:webHidden/>
          </w:rPr>
          <w:fldChar w:fldCharType="separate"/>
        </w:r>
        <w:r w:rsidR="0073710A">
          <w:rPr>
            <w:noProof/>
            <w:webHidden/>
          </w:rPr>
          <w:t>201</w:t>
        </w:r>
        <w:r w:rsidR="00FE4088">
          <w:rPr>
            <w:noProof/>
            <w:webHidden/>
          </w:rPr>
          <w:fldChar w:fldCharType="end"/>
        </w:r>
      </w:hyperlink>
    </w:p>
    <w:p w14:paraId="1161E267" w14:textId="7654D9BD" w:rsidR="0038402E" w:rsidRDefault="005D744F" w:rsidP="00EE5690">
      <w:pPr>
        <w:jc w:val="left"/>
        <w:rPr>
          <w:rFonts w:cs="Arial"/>
          <w:noProof/>
        </w:rPr>
      </w:pPr>
      <w:r w:rsidRPr="00EE5690">
        <w:rPr>
          <w:rFonts w:cs="Arial"/>
          <w:noProof/>
        </w:rPr>
        <w:fldChar w:fldCharType="end"/>
      </w:r>
    </w:p>
    <w:p w14:paraId="5D0ACF7C" w14:textId="77777777" w:rsidR="0038402E" w:rsidRDefault="0038402E">
      <w:pPr>
        <w:spacing w:line="300" w:lineRule="exact"/>
        <w:jc w:val="left"/>
        <w:rPr>
          <w:rFonts w:cs="Arial"/>
          <w:noProof/>
        </w:rPr>
      </w:pPr>
      <w:r>
        <w:rPr>
          <w:rFonts w:cs="Arial"/>
          <w:noProof/>
        </w:rPr>
        <w:br w:type="page"/>
      </w:r>
    </w:p>
    <w:p w14:paraId="02C6AC3B" w14:textId="17DB23CF" w:rsidR="0038402E" w:rsidRPr="00230F15" w:rsidRDefault="0038402E" w:rsidP="006D7829">
      <w:pPr>
        <w:pStyle w:val="Heading1"/>
        <w:numPr>
          <w:ilvl w:val="0"/>
          <w:numId w:val="0"/>
        </w:numPr>
        <w:ind w:left="360"/>
        <w:rPr>
          <w:rFonts w:eastAsia="Times New Roman" w:cs="Arial"/>
          <w:b w:val="0"/>
          <w:bCs w:val="0"/>
          <w:i/>
          <w:iCs/>
          <w:smallCaps w:val="0"/>
          <w:color w:val="212745"/>
          <w:sz w:val="24"/>
          <w:szCs w:val="24"/>
          <w:lang w:val="en-GB"/>
        </w:rPr>
      </w:pPr>
      <w:bookmarkStart w:id="403" w:name="_Toc90893028"/>
      <w:bookmarkStart w:id="404" w:name="_Toc91752482"/>
      <w:r w:rsidRPr="00230F15">
        <w:rPr>
          <w:rFonts w:eastAsia="Times New Roman" w:cs="Arial"/>
          <w:color w:val="212745"/>
          <w:sz w:val="24"/>
          <w:szCs w:val="24"/>
          <w:lang w:val="en-GB"/>
        </w:rPr>
        <w:lastRenderedPageBreak/>
        <w:t>Annex III</w:t>
      </w:r>
      <w:bookmarkEnd w:id="403"/>
      <w:r w:rsidR="006D7829" w:rsidRPr="00230F15">
        <w:rPr>
          <w:rFonts w:eastAsia="Times New Roman" w:cs="Arial"/>
          <w:color w:val="212745"/>
          <w:sz w:val="24"/>
          <w:szCs w:val="24"/>
          <w:lang w:val="en-GB"/>
        </w:rPr>
        <w:t xml:space="preserve"> </w:t>
      </w:r>
      <w:r w:rsidR="006D7829" w:rsidRPr="00230F15">
        <w:rPr>
          <w:rFonts w:cs="Arial"/>
          <w:sz w:val="24"/>
          <w:szCs w:val="24"/>
        </w:rPr>
        <w:t>The ENDS Carbon Offset Providers Directory</w:t>
      </w:r>
      <w:bookmarkEnd w:id="404"/>
    </w:p>
    <w:p w14:paraId="1ACA014B" w14:textId="5413D8AA" w:rsidR="0038402E" w:rsidRPr="00DB35D4" w:rsidRDefault="0038402E" w:rsidP="0038402E">
      <w:pPr>
        <w:rPr>
          <w:rFonts w:cs="Arial"/>
        </w:rPr>
      </w:pPr>
      <w:r w:rsidRPr="00DB35D4">
        <w:rPr>
          <w:rFonts w:cs="Arial"/>
        </w:rPr>
        <w:t>The ENDS Carbon Offset Providers Directory</w:t>
      </w:r>
      <w:sdt>
        <w:sdtPr>
          <w:rPr>
            <w:rFonts w:cs="Arial"/>
          </w:rPr>
          <w:id w:val="715554652"/>
          <w:citation/>
        </w:sdtPr>
        <w:sdtEndPr/>
        <w:sdtContent>
          <w:r w:rsidRPr="00DB35D4">
            <w:rPr>
              <w:rFonts w:cs="Arial"/>
            </w:rPr>
            <w:fldChar w:fldCharType="begin"/>
          </w:r>
          <w:r w:rsidRPr="00DB35D4">
            <w:rPr>
              <w:rFonts w:cs="Arial"/>
            </w:rPr>
            <w:instrText xml:space="preserve"> CITATION END19 \l 1033 </w:instrText>
          </w:r>
          <w:r w:rsidRPr="00DB35D4">
            <w:rPr>
              <w:rFonts w:cs="Arial"/>
            </w:rPr>
            <w:fldChar w:fldCharType="separate"/>
          </w:r>
          <w:r w:rsidR="00487700">
            <w:rPr>
              <w:rFonts w:cs="Arial"/>
              <w:noProof/>
            </w:rPr>
            <w:t xml:space="preserve"> </w:t>
          </w:r>
          <w:r w:rsidR="00487700" w:rsidRPr="00487700">
            <w:rPr>
              <w:rFonts w:cs="Arial"/>
              <w:noProof/>
            </w:rPr>
            <w:t>(ENDS Carbon Offset, 2019)</w:t>
          </w:r>
          <w:r w:rsidRPr="00DB35D4">
            <w:rPr>
              <w:rFonts w:cs="Arial"/>
            </w:rPr>
            <w:fldChar w:fldCharType="end"/>
          </w:r>
        </w:sdtContent>
      </w:sdt>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842"/>
        <w:gridCol w:w="2977"/>
      </w:tblGrid>
      <w:tr w:rsidR="00AE5054" w:rsidRPr="00AE5054" w14:paraId="15F82824" w14:textId="77777777" w:rsidTr="0022057B">
        <w:trPr>
          <w:trHeight w:val="287"/>
        </w:trPr>
        <w:tc>
          <w:tcPr>
            <w:tcW w:w="4390" w:type="dxa"/>
            <w:shd w:val="clear" w:color="auto" w:fill="auto"/>
            <w:vAlign w:val="center"/>
            <w:hideMark/>
          </w:tcPr>
          <w:p w14:paraId="04D6B340" w14:textId="77777777" w:rsidR="00AE5054" w:rsidRPr="00AE5054" w:rsidRDefault="00AE5054" w:rsidP="00AE5054">
            <w:pPr>
              <w:spacing w:before="0" w:after="0"/>
              <w:jc w:val="left"/>
              <w:rPr>
                <w:rFonts w:eastAsia="Times New Roman" w:cs="Arial"/>
                <w:b/>
                <w:bCs/>
                <w:color w:val="000000"/>
                <w:lang w:eastAsia="el-GR"/>
              </w:rPr>
            </w:pPr>
            <w:r w:rsidRPr="00AE5054">
              <w:rPr>
                <w:rFonts w:eastAsia="Times New Roman" w:cs="Arial"/>
                <w:b/>
                <w:bCs/>
                <w:color w:val="000000"/>
                <w:lang w:eastAsia="el-GR"/>
              </w:rPr>
              <w:t>Provider Name</w:t>
            </w:r>
          </w:p>
        </w:tc>
        <w:tc>
          <w:tcPr>
            <w:tcW w:w="1842" w:type="dxa"/>
            <w:shd w:val="clear" w:color="auto" w:fill="auto"/>
            <w:vAlign w:val="center"/>
            <w:hideMark/>
          </w:tcPr>
          <w:p w14:paraId="3BA75B2B" w14:textId="77777777" w:rsidR="00AE5054" w:rsidRPr="00AE5054" w:rsidRDefault="00AE5054" w:rsidP="00AE5054">
            <w:pPr>
              <w:spacing w:before="0" w:after="0"/>
              <w:jc w:val="left"/>
              <w:rPr>
                <w:rFonts w:eastAsia="Times New Roman" w:cs="Arial"/>
                <w:b/>
                <w:bCs/>
                <w:color w:val="000000"/>
                <w:lang w:eastAsia="el-GR"/>
              </w:rPr>
            </w:pPr>
            <w:r w:rsidRPr="00AE5054">
              <w:rPr>
                <w:rFonts w:eastAsia="Times New Roman" w:cs="Arial"/>
                <w:b/>
                <w:bCs/>
                <w:color w:val="000000"/>
                <w:lang w:eastAsia="el-GR"/>
              </w:rPr>
              <w:t>Location</w:t>
            </w:r>
          </w:p>
        </w:tc>
        <w:tc>
          <w:tcPr>
            <w:tcW w:w="2977" w:type="dxa"/>
            <w:shd w:val="clear" w:color="auto" w:fill="auto"/>
            <w:vAlign w:val="center"/>
            <w:hideMark/>
          </w:tcPr>
          <w:p w14:paraId="1E614DF3" w14:textId="77777777" w:rsidR="00AE5054" w:rsidRPr="00AE5054" w:rsidRDefault="00AE5054" w:rsidP="00AE5054">
            <w:pPr>
              <w:spacing w:before="0" w:after="0"/>
              <w:jc w:val="left"/>
              <w:rPr>
                <w:rFonts w:eastAsia="Times New Roman" w:cs="Arial"/>
                <w:b/>
                <w:bCs/>
                <w:color w:val="000000"/>
                <w:lang w:eastAsia="el-GR"/>
              </w:rPr>
            </w:pPr>
            <w:r w:rsidRPr="00AE5054">
              <w:rPr>
                <w:rFonts w:eastAsia="Times New Roman" w:cs="Arial"/>
                <w:b/>
                <w:bCs/>
                <w:color w:val="000000"/>
                <w:lang w:eastAsia="el-GR"/>
              </w:rPr>
              <w:t>Provider Type</w:t>
            </w:r>
          </w:p>
        </w:tc>
      </w:tr>
      <w:tr w:rsidR="00AE5054" w:rsidRPr="00AE5054" w14:paraId="336C96D1" w14:textId="77777777" w:rsidTr="0022057B">
        <w:trPr>
          <w:trHeight w:val="287"/>
        </w:trPr>
        <w:tc>
          <w:tcPr>
            <w:tcW w:w="4390" w:type="dxa"/>
            <w:shd w:val="clear" w:color="auto" w:fill="auto"/>
            <w:vAlign w:val="center"/>
            <w:hideMark/>
          </w:tcPr>
          <w:p w14:paraId="6C289DC7" w14:textId="77777777" w:rsidR="00AE5054" w:rsidRPr="00AE5054" w:rsidRDefault="003B0DE2" w:rsidP="00AE5054">
            <w:pPr>
              <w:spacing w:before="0" w:after="0"/>
              <w:jc w:val="left"/>
              <w:rPr>
                <w:rFonts w:eastAsia="Times New Roman" w:cs="Arial"/>
                <w:color w:val="0563C1"/>
                <w:u w:val="single"/>
                <w:lang w:eastAsia="el-GR"/>
              </w:rPr>
            </w:pPr>
            <w:hyperlink r:id="rId372" w:history="1">
              <w:r w:rsidR="00AE5054" w:rsidRPr="00AE5054">
                <w:rPr>
                  <w:rFonts w:eastAsia="Times New Roman" w:cs="Arial"/>
                  <w:color w:val="0563C1"/>
                  <w:u w:val="single"/>
                  <w:lang w:eastAsia="el-GR"/>
                </w:rPr>
                <w:t>3Degrees</w:t>
              </w:r>
            </w:hyperlink>
          </w:p>
        </w:tc>
        <w:tc>
          <w:tcPr>
            <w:tcW w:w="1842" w:type="dxa"/>
            <w:shd w:val="clear" w:color="auto" w:fill="auto"/>
            <w:vAlign w:val="center"/>
            <w:hideMark/>
          </w:tcPr>
          <w:p w14:paraId="6D39DE0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6008247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3D944753" w14:textId="77777777" w:rsidTr="0022057B">
        <w:trPr>
          <w:trHeight w:val="287"/>
        </w:trPr>
        <w:tc>
          <w:tcPr>
            <w:tcW w:w="4390" w:type="dxa"/>
            <w:shd w:val="clear" w:color="auto" w:fill="auto"/>
            <w:vAlign w:val="center"/>
            <w:hideMark/>
          </w:tcPr>
          <w:p w14:paraId="67E2ADBC" w14:textId="77777777" w:rsidR="00AE5054" w:rsidRPr="00AE5054" w:rsidRDefault="003B0DE2" w:rsidP="00AE5054">
            <w:pPr>
              <w:spacing w:before="0" w:after="0"/>
              <w:jc w:val="left"/>
              <w:rPr>
                <w:rFonts w:eastAsia="Times New Roman" w:cs="Arial"/>
                <w:color w:val="0563C1"/>
                <w:u w:val="single"/>
                <w:lang w:eastAsia="el-GR"/>
              </w:rPr>
            </w:pPr>
            <w:hyperlink r:id="rId373" w:history="1">
              <w:r w:rsidR="00AE5054" w:rsidRPr="00AE5054">
                <w:rPr>
                  <w:rFonts w:eastAsia="Times New Roman" w:cs="Arial"/>
                  <w:color w:val="0563C1"/>
                  <w:u w:val="single"/>
                  <w:lang w:eastAsia="el-GR"/>
                </w:rPr>
                <w:t>4 Offsets</w:t>
              </w:r>
            </w:hyperlink>
          </w:p>
        </w:tc>
        <w:tc>
          <w:tcPr>
            <w:tcW w:w="1842" w:type="dxa"/>
            <w:shd w:val="clear" w:color="auto" w:fill="auto"/>
            <w:vAlign w:val="center"/>
            <w:hideMark/>
          </w:tcPr>
          <w:p w14:paraId="7E2FEF0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0FF177F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2F6EF218" w14:textId="77777777" w:rsidTr="0022057B">
        <w:trPr>
          <w:trHeight w:val="287"/>
        </w:trPr>
        <w:tc>
          <w:tcPr>
            <w:tcW w:w="4390" w:type="dxa"/>
            <w:shd w:val="clear" w:color="auto" w:fill="auto"/>
            <w:vAlign w:val="center"/>
            <w:hideMark/>
          </w:tcPr>
          <w:p w14:paraId="7C811A02" w14:textId="77777777" w:rsidR="00AE5054" w:rsidRPr="00AE5054" w:rsidRDefault="003B0DE2" w:rsidP="00AE5054">
            <w:pPr>
              <w:spacing w:before="0" w:after="0"/>
              <w:jc w:val="left"/>
              <w:rPr>
                <w:rFonts w:eastAsia="Times New Roman" w:cs="Arial"/>
                <w:color w:val="0563C1"/>
                <w:u w:val="single"/>
                <w:lang w:eastAsia="el-GR"/>
              </w:rPr>
            </w:pPr>
            <w:hyperlink r:id="rId374" w:history="1">
              <w:r w:rsidR="00AE5054" w:rsidRPr="00AE5054">
                <w:rPr>
                  <w:rFonts w:eastAsia="Times New Roman" w:cs="Arial"/>
                  <w:color w:val="0563C1"/>
                  <w:u w:val="single"/>
                  <w:lang w:eastAsia="el-GR"/>
                </w:rPr>
                <w:t>A2G</w:t>
              </w:r>
            </w:hyperlink>
          </w:p>
        </w:tc>
        <w:tc>
          <w:tcPr>
            <w:tcW w:w="1842" w:type="dxa"/>
            <w:shd w:val="clear" w:color="auto" w:fill="auto"/>
            <w:vAlign w:val="center"/>
            <w:hideMark/>
          </w:tcPr>
          <w:p w14:paraId="7FCFBD4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Peru</w:t>
            </w:r>
          </w:p>
        </w:tc>
        <w:tc>
          <w:tcPr>
            <w:tcW w:w="2977" w:type="dxa"/>
            <w:shd w:val="clear" w:color="auto" w:fill="auto"/>
            <w:vAlign w:val="center"/>
            <w:hideMark/>
          </w:tcPr>
          <w:p w14:paraId="5F9D450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0722A45E" w14:textId="77777777" w:rsidTr="0022057B">
        <w:trPr>
          <w:trHeight w:val="574"/>
        </w:trPr>
        <w:tc>
          <w:tcPr>
            <w:tcW w:w="4390" w:type="dxa"/>
            <w:shd w:val="clear" w:color="auto" w:fill="auto"/>
            <w:vAlign w:val="center"/>
            <w:hideMark/>
          </w:tcPr>
          <w:p w14:paraId="4E4A4B8C" w14:textId="77777777" w:rsidR="00AE5054" w:rsidRPr="00AE5054" w:rsidRDefault="003B0DE2" w:rsidP="00AE5054">
            <w:pPr>
              <w:spacing w:before="0" w:after="0"/>
              <w:jc w:val="left"/>
              <w:rPr>
                <w:rFonts w:eastAsia="Times New Roman" w:cs="Arial"/>
                <w:color w:val="0563C1"/>
                <w:u w:val="single"/>
                <w:lang w:eastAsia="el-GR"/>
              </w:rPr>
            </w:pPr>
            <w:hyperlink r:id="rId375" w:history="1">
              <w:r w:rsidR="00AE5054" w:rsidRPr="00AE5054">
                <w:rPr>
                  <w:rFonts w:eastAsia="Times New Roman" w:cs="Arial"/>
                  <w:color w:val="0563C1"/>
                  <w:u w:val="single"/>
                  <w:lang w:eastAsia="el-GR"/>
                </w:rPr>
                <w:t>Action Carbone</w:t>
              </w:r>
            </w:hyperlink>
          </w:p>
        </w:tc>
        <w:tc>
          <w:tcPr>
            <w:tcW w:w="1842" w:type="dxa"/>
            <w:shd w:val="clear" w:color="auto" w:fill="auto"/>
            <w:vAlign w:val="center"/>
            <w:hideMark/>
          </w:tcPr>
          <w:p w14:paraId="134128F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France</w:t>
            </w:r>
          </w:p>
        </w:tc>
        <w:tc>
          <w:tcPr>
            <w:tcW w:w="2977" w:type="dxa"/>
            <w:shd w:val="clear" w:color="auto" w:fill="auto"/>
            <w:vAlign w:val="center"/>
            <w:hideMark/>
          </w:tcPr>
          <w:p w14:paraId="45CDE6F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583390BE" w14:textId="77777777" w:rsidTr="0022057B">
        <w:trPr>
          <w:trHeight w:val="860"/>
        </w:trPr>
        <w:tc>
          <w:tcPr>
            <w:tcW w:w="4390" w:type="dxa"/>
            <w:shd w:val="clear" w:color="auto" w:fill="auto"/>
            <w:vAlign w:val="center"/>
            <w:hideMark/>
          </w:tcPr>
          <w:p w14:paraId="57086FAE" w14:textId="77777777" w:rsidR="00AE5054" w:rsidRPr="00AE5054" w:rsidRDefault="003B0DE2" w:rsidP="00AE5054">
            <w:pPr>
              <w:spacing w:before="0" w:after="0"/>
              <w:jc w:val="left"/>
              <w:rPr>
                <w:rFonts w:eastAsia="Times New Roman" w:cs="Arial"/>
                <w:color w:val="0563C1"/>
                <w:u w:val="single"/>
                <w:lang w:eastAsia="el-GR"/>
              </w:rPr>
            </w:pPr>
            <w:hyperlink r:id="rId376" w:history="1">
              <w:r w:rsidR="00AE5054" w:rsidRPr="00AE5054">
                <w:rPr>
                  <w:rFonts w:eastAsia="Times New Roman" w:cs="Arial"/>
                  <w:color w:val="0563C1"/>
                  <w:u w:val="single"/>
                  <w:lang w:eastAsia="el-GR"/>
                </w:rPr>
                <w:t>Advanced Global Trading</w:t>
              </w:r>
            </w:hyperlink>
          </w:p>
        </w:tc>
        <w:tc>
          <w:tcPr>
            <w:tcW w:w="1842" w:type="dxa"/>
            <w:shd w:val="clear" w:color="auto" w:fill="auto"/>
            <w:vAlign w:val="center"/>
            <w:hideMark/>
          </w:tcPr>
          <w:p w14:paraId="79B155A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32EDF2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Trader and/or broker, Retailer, Consultant</w:t>
            </w:r>
          </w:p>
        </w:tc>
      </w:tr>
      <w:tr w:rsidR="00AE5054" w:rsidRPr="00AE5054" w14:paraId="3987B4BD" w14:textId="77777777" w:rsidTr="0022057B">
        <w:trPr>
          <w:trHeight w:val="287"/>
        </w:trPr>
        <w:tc>
          <w:tcPr>
            <w:tcW w:w="4390" w:type="dxa"/>
            <w:shd w:val="clear" w:color="auto" w:fill="auto"/>
            <w:vAlign w:val="center"/>
            <w:hideMark/>
          </w:tcPr>
          <w:p w14:paraId="4D449DFE" w14:textId="77777777" w:rsidR="00AE5054" w:rsidRPr="00AE5054" w:rsidRDefault="003B0DE2" w:rsidP="00AE5054">
            <w:pPr>
              <w:spacing w:before="0" w:after="0"/>
              <w:jc w:val="left"/>
              <w:rPr>
                <w:rFonts w:eastAsia="Times New Roman" w:cs="Arial"/>
                <w:color w:val="0563C1"/>
                <w:u w:val="single"/>
                <w:lang w:eastAsia="el-GR"/>
              </w:rPr>
            </w:pPr>
            <w:hyperlink r:id="rId377" w:history="1">
              <w:r w:rsidR="00AE5054" w:rsidRPr="00AE5054">
                <w:rPr>
                  <w:rFonts w:eastAsia="Times New Roman" w:cs="Arial"/>
                  <w:color w:val="0563C1"/>
                  <w:u w:val="single"/>
                  <w:lang w:eastAsia="el-GR"/>
                </w:rPr>
                <w:t>Ag Cert International</w:t>
              </w:r>
            </w:hyperlink>
          </w:p>
        </w:tc>
        <w:tc>
          <w:tcPr>
            <w:tcW w:w="1842" w:type="dxa"/>
            <w:shd w:val="clear" w:color="auto" w:fill="auto"/>
            <w:vAlign w:val="center"/>
            <w:hideMark/>
          </w:tcPr>
          <w:p w14:paraId="5C6DF25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Ireland</w:t>
            </w:r>
          </w:p>
        </w:tc>
        <w:tc>
          <w:tcPr>
            <w:tcW w:w="2977" w:type="dxa"/>
            <w:shd w:val="clear" w:color="auto" w:fill="auto"/>
            <w:vAlign w:val="center"/>
            <w:hideMark/>
          </w:tcPr>
          <w:p w14:paraId="00F7B28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0B6E1DCF" w14:textId="77777777" w:rsidTr="0022057B">
        <w:trPr>
          <w:trHeight w:val="574"/>
        </w:trPr>
        <w:tc>
          <w:tcPr>
            <w:tcW w:w="4390" w:type="dxa"/>
            <w:shd w:val="clear" w:color="auto" w:fill="auto"/>
            <w:vAlign w:val="center"/>
            <w:hideMark/>
          </w:tcPr>
          <w:p w14:paraId="262D8124" w14:textId="77777777" w:rsidR="00AE5054" w:rsidRPr="00AE5054" w:rsidRDefault="003B0DE2" w:rsidP="00AE5054">
            <w:pPr>
              <w:spacing w:before="0" w:after="0"/>
              <w:jc w:val="left"/>
              <w:rPr>
                <w:rFonts w:eastAsia="Times New Roman" w:cs="Arial"/>
                <w:color w:val="0563C1"/>
                <w:u w:val="single"/>
                <w:lang w:eastAsia="el-GR"/>
              </w:rPr>
            </w:pPr>
            <w:hyperlink r:id="rId378" w:history="1">
              <w:r w:rsidR="00AE5054" w:rsidRPr="00AE5054">
                <w:rPr>
                  <w:rFonts w:eastAsia="Times New Roman" w:cs="Arial"/>
                  <w:color w:val="0563C1"/>
                  <w:u w:val="single"/>
                  <w:lang w:eastAsia="el-GR"/>
                </w:rPr>
                <w:t>AGL</w:t>
              </w:r>
            </w:hyperlink>
          </w:p>
        </w:tc>
        <w:tc>
          <w:tcPr>
            <w:tcW w:w="1842" w:type="dxa"/>
            <w:shd w:val="clear" w:color="auto" w:fill="auto"/>
            <w:vAlign w:val="center"/>
            <w:hideMark/>
          </w:tcPr>
          <w:p w14:paraId="3AC0162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761E820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3F1DE64D" w14:textId="77777777" w:rsidTr="0022057B">
        <w:trPr>
          <w:trHeight w:val="287"/>
        </w:trPr>
        <w:tc>
          <w:tcPr>
            <w:tcW w:w="4390" w:type="dxa"/>
            <w:shd w:val="clear" w:color="auto" w:fill="auto"/>
            <w:vAlign w:val="center"/>
            <w:hideMark/>
          </w:tcPr>
          <w:p w14:paraId="1A7A3F94" w14:textId="77777777" w:rsidR="00AE5054" w:rsidRPr="00AE5054" w:rsidRDefault="003B0DE2" w:rsidP="00AE5054">
            <w:pPr>
              <w:spacing w:before="0" w:after="0"/>
              <w:jc w:val="left"/>
              <w:rPr>
                <w:rFonts w:eastAsia="Times New Roman" w:cs="Arial"/>
                <w:color w:val="0563C1"/>
                <w:u w:val="single"/>
                <w:lang w:eastAsia="el-GR"/>
              </w:rPr>
            </w:pPr>
            <w:hyperlink r:id="rId379" w:history="1">
              <w:r w:rsidR="00AE5054" w:rsidRPr="00AE5054">
                <w:rPr>
                  <w:rFonts w:eastAsia="Times New Roman" w:cs="Arial"/>
                  <w:color w:val="0563C1"/>
                  <w:u w:val="single"/>
                  <w:lang w:eastAsia="el-GR"/>
                </w:rPr>
                <w:t>Ambiental PV</w:t>
              </w:r>
            </w:hyperlink>
          </w:p>
        </w:tc>
        <w:tc>
          <w:tcPr>
            <w:tcW w:w="1842" w:type="dxa"/>
            <w:shd w:val="clear" w:color="auto" w:fill="auto"/>
            <w:vAlign w:val="center"/>
            <w:hideMark/>
          </w:tcPr>
          <w:p w14:paraId="5EE5DF2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Brazil</w:t>
            </w:r>
          </w:p>
        </w:tc>
        <w:tc>
          <w:tcPr>
            <w:tcW w:w="2977" w:type="dxa"/>
            <w:shd w:val="clear" w:color="auto" w:fill="auto"/>
            <w:vAlign w:val="center"/>
            <w:hideMark/>
          </w:tcPr>
          <w:p w14:paraId="33AE41C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160AC97F" w14:textId="77777777" w:rsidTr="0022057B">
        <w:trPr>
          <w:trHeight w:val="287"/>
        </w:trPr>
        <w:tc>
          <w:tcPr>
            <w:tcW w:w="4390" w:type="dxa"/>
            <w:shd w:val="clear" w:color="auto" w:fill="auto"/>
            <w:vAlign w:val="center"/>
            <w:hideMark/>
          </w:tcPr>
          <w:p w14:paraId="7918F99A" w14:textId="77777777" w:rsidR="00AE5054" w:rsidRPr="00AE5054" w:rsidRDefault="003B0DE2" w:rsidP="00AE5054">
            <w:pPr>
              <w:spacing w:before="0" w:after="0"/>
              <w:jc w:val="left"/>
              <w:rPr>
                <w:rFonts w:eastAsia="Times New Roman" w:cs="Arial"/>
                <w:color w:val="0563C1"/>
                <w:u w:val="single"/>
                <w:lang w:eastAsia="el-GR"/>
              </w:rPr>
            </w:pPr>
            <w:hyperlink r:id="rId380" w:history="1">
              <w:r w:rsidR="00AE5054" w:rsidRPr="00AE5054">
                <w:rPr>
                  <w:rFonts w:eastAsia="Times New Roman" w:cs="Arial"/>
                  <w:color w:val="0563C1"/>
                  <w:u w:val="single"/>
                  <w:lang w:eastAsia="el-GR"/>
                </w:rPr>
                <w:t>American Forests</w:t>
              </w:r>
            </w:hyperlink>
          </w:p>
        </w:tc>
        <w:tc>
          <w:tcPr>
            <w:tcW w:w="1842" w:type="dxa"/>
            <w:shd w:val="clear" w:color="auto" w:fill="auto"/>
            <w:vAlign w:val="center"/>
            <w:hideMark/>
          </w:tcPr>
          <w:p w14:paraId="4E2C7CC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BBBFDF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2C5F949" w14:textId="77777777" w:rsidTr="0022057B">
        <w:trPr>
          <w:trHeight w:val="574"/>
        </w:trPr>
        <w:tc>
          <w:tcPr>
            <w:tcW w:w="4390" w:type="dxa"/>
            <w:shd w:val="clear" w:color="auto" w:fill="auto"/>
            <w:vAlign w:val="center"/>
            <w:hideMark/>
          </w:tcPr>
          <w:p w14:paraId="36E0BBAB" w14:textId="77777777" w:rsidR="00AE5054" w:rsidRPr="00AE5054" w:rsidRDefault="003B0DE2" w:rsidP="00AE5054">
            <w:pPr>
              <w:spacing w:before="0" w:after="0"/>
              <w:jc w:val="left"/>
              <w:rPr>
                <w:rFonts w:eastAsia="Times New Roman" w:cs="Arial"/>
                <w:color w:val="0563C1"/>
                <w:u w:val="single"/>
                <w:lang w:eastAsia="el-GR"/>
              </w:rPr>
            </w:pPr>
            <w:hyperlink r:id="rId381" w:history="1">
              <w:proofErr w:type="spellStart"/>
              <w:r w:rsidR="00AE5054" w:rsidRPr="00AE5054">
                <w:rPr>
                  <w:rFonts w:eastAsia="Times New Roman" w:cs="Arial"/>
                  <w:color w:val="0563C1"/>
                  <w:u w:val="single"/>
                  <w:lang w:eastAsia="el-GR"/>
                </w:rPr>
                <w:t>Atmosclear</w:t>
              </w:r>
              <w:proofErr w:type="spellEnd"/>
            </w:hyperlink>
          </w:p>
        </w:tc>
        <w:tc>
          <w:tcPr>
            <w:tcW w:w="1842" w:type="dxa"/>
            <w:shd w:val="clear" w:color="auto" w:fill="auto"/>
            <w:vAlign w:val="center"/>
            <w:hideMark/>
          </w:tcPr>
          <w:p w14:paraId="668C613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327B645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4F45D85C" w14:textId="77777777" w:rsidTr="0022057B">
        <w:trPr>
          <w:trHeight w:val="287"/>
        </w:trPr>
        <w:tc>
          <w:tcPr>
            <w:tcW w:w="4390" w:type="dxa"/>
            <w:shd w:val="clear" w:color="auto" w:fill="auto"/>
            <w:vAlign w:val="center"/>
            <w:hideMark/>
          </w:tcPr>
          <w:p w14:paraId="3FF93385" w14:textId="77777777" w:rsidR="00AE5054" w:rsidRPr="00AE5054" w:rsidRDefault="003B0DE2" w:rsidP="00AE5054">
            <w:pPr>
              <w:spacing w:before="0" w:after="0"/>
              <w:jc w:val="left"/>
              <w:rPr>
                <w:rFonts w:eastAsia="Times New Roman" w:cs="Arial"/>
                <w:color w:val="0563C1"/>
                <w:u w:val="single"/>
                <w:lang w:eastAsia="el-GR"/>
              </w:rPr>
            </w:pPr>
            <w:hyperlink r:id="rId382" w:history="1">
              <w:proofErr w:type="spellStart"/>
              <w:r w:rsidR="00AE5054" w:rsidRPr="00AE5054">
                <w:rPr>
                  <w:rFonts w:eastAsia="Times New Roman" w:cs="Arial"/>
                  <w:color w:val="0563C1"/>
                  <w:u w:val="single"/>
                  <w:lang w:eastAsia="el-GR"/>
                </w:rPr>
                <w:t>Atmosfair</w:t>
              </w:r>
              <w:proofErr w:type="spellEnd"/>
            </w:hyperlink>
          </w:p>
        </w:tc>
        <w:tc>
          <w:tcPr>
            <w:tcW w:w="1842" w:type="dxa"/>
            <w:shd w:val="clear" w:color="auto" w:fill="auto"/>
            <w:vAlign w:val="center"/>
            <w:hideMark/>
          </w:tcPr>
          <w:p w14:paraId="563A528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Germany</w:t>
            </w:r>
          </w:p>
        </w:tc>
        <w:tc>
          <w:tcPr>
            <w:tcW w:w="2977" w:type="dxa"/>
            <w:shd w:val="clear" w:color="auto" w:fill="auto"/>
            <w:vAlign w:val="center"/>
            <w:hideMark/>
          </w:tcPr>
          <w:p w14:paraId="167CDD6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1A430A1B" w14:textId="77777777" w:rsidTr="0022057B">
        <w:trPr>
          <w:trHeight w:val="574"/>
        </w:trPr>
        <w:tc>
          <w:tcPr>
            <w:tcW w:w="4390" w:type="dxa"/>
            <w:shd w:val="clear" w:color="auto" w:fill="auto"/>
            <w:vAlign w:val="center"/>
            <w:hideMark/>
          </w:tcPr>
          <w:p w14:paraId="458A2082" w14:textId="77777777" w:rsidR="00AE5054" w:rsidRPr="00AE5054" w:rsidRDefault="003B0DE2" w:rsidP="00AE5054">
            <w:pPr>
              <w:spacing w:before="0" w:after="0"/>
              <w:jc w:val="left"/>
              <w:rPr>
                <w:rFonts w:eastAsia="Times New Roman" w:cs="Arial"/>
                <w:color w:val="0563C1"/>
                <w:u w:val="single"/>
                <w:lang w:eastAsia="el-GR"/>
              </w:rPr>
            </w:pPr>
            <w:hyperlink r:id="rId383" w:history="1">
              <w:r w:rsidR="00AE5054" w:rsidRPr="00AE5054">
                <w:rPr>
                  <w:rFonts w:eastAsia="Times New Roman" w:cs="Arial"/>
                  <w:color w:val="0563C1"/>
                  <w:u w:val="single"/>
                  <w:lang w:eastAsia="el-GR"/>
                </w:rPr>
                <w:t>Australian Carbon Traders</w:t>
              </w:r>
            </w:hyperlink>
          </w:p>
        </w:tc>
        <w:tc>
          <w:tcPr>
            <w:tcW w:w="1842" w:type="dxa"/>
            <w:shd w:val="clear" w:color="auto" w:fill="auto"/>
            <w:vAlign w:val="center"/>
            <w:hideMark/>
          </w:tcPr>
          <w:p w14:paraId="5F0DE1F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32A25FD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 Retailer, Consultant</w:t>
            </w:r>
          </w:p>
        </w:tc>
      </w:tr>
      <w:tr w:rsidR="00AE5054" w:rsidRPr="00AE5054" w14:paraId="0F775F86" w14:textId="77777777" w:rsidTr="0022057B">
        <w:trPr>
          <w:trHeight w:val="287"/>
        </w:trPr>
        <w:tc>
          <w:tcPr>
            <w:tcW w:w="4390" w:type="dxa"/>
            <w:shd w:val="clear" w:color="auto" w:fill="auto"/>
            <w:vAlign w:val="center"/>
            <w:hideMark/>
          </w:tcPr>
          <w:p w14:paraId="18E7693B" w14:textId="77777777" w:rsidR="00AE5054" w:rsidRPr="00AE5054" w:rsidRDefault="003B0DE2" w:rsidP="00AE5054">
            <w:pPr>
              <w:spacing w:before="0" w:after="0"/>
              <w:jc w:val="left"/>
              <w:rPr>
                <w:rFonts w:eastAsia="Times New Roman" w:cs="Arial"/>
                <w:color w:val="0563C1"/>
                <w:u w:val="single"/>
                <w:lang w:eastAsia="el-GR"/>
              </w:rPr>
            </w:pPr>
            <w:hyperlink r:id="rId384" w:history="1">
              <w:r w:rsidR="00AE5054" w:rsidRPr="00AE5054">
                <w:rPr>
                  <w:rFonts w:eastAsia="Times New Roman" w:cs="Arial"/>
                  <w:color w:val="0563C1"/>
                  <w:u w:val="single"/>
                  <w:lang w:eastAsia="el-GR"/>
                </w:rPr>
                <w:t>Balance Carbon</w:t>
              </w:r>
            </w:hyperlink>
          </w:p>
        </w:tc>
        <w:tc>
          <w:tcPr>
            <w:tcW w:w="1842" w:type="dxa"/>
            <w:shd w:val="clear" w:color="auto" w:fill="auto"/>
            <w:vAlign w:val="center"/>
            <w:hideMark/>
          </w:tcPr>
          <w:p w14:paraId="00BCB17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61F1AC9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2E8D1837" w14:textId="77777777" w:rsidTr="0022057B">
        <w:trPr>
          <w:trHeight w:val="287"/>
        </w:trPr>
        <w:tc>
          <w:tcPr>
            <w:tcW w:w="4390" w:type="dxa"/>
            <w:shd w:val="clear" w:color="auto" w:fill="auto"/>
            <w:vAlign w:val="center"/>
            <w:hideMark/>
          </w:tcPr>
          <w:p w14:paraId="719852DF" w14:textId="77777777" w:rsidR="00AE5054" w:rsidRPr="00AE5054" w:rsidRDefault="003B0DE2" w:rsidP="00AE5054">
            <w:pPr>
              <w:spacing w:before="0" w:after="0"/>
              <w:jc w:val="left"/>
              <w:rPr>
                <w:rFonts w:eastAsia="Times New Roman" w:cs="Arial"/>
                <w:color w:val="0563C1"/>
                <w:u w:val="single"/>
                <w:lang w:eastAsia="el-GR"/>
              </w:rPr>
            </w:pPr>
            <w:hyperlink r:id="rId385" w:history="1">
              <w:proofErr w:type="spellStart"/>
              <w:r w:rsidR="00AE5054" w:rsidRPr="00AE5054">
                <w:rPr>
                  <w:rFonts w:eastAsia="Times New Roman" w:cs="Arial"/>
                  <w:color w:val="0563C1"/>
                  <w:u w:val="single"/>
                  <w:lang w:eastAsia="el-GR"/>
                </w:rPr>
                <w:t>Balanz</w:t>
              </w:r>
              <w:proofErr w:type="spellEnd"/>
              <w:r w:rsidR="00AE5054" w:rsidRPr="00AE5054">
                <w:rPr>
                  <w:rFonts w:eastAsia="Times New Roman" w:cs="Arial"/>
                  <w:color w:val="0563C1"/>
                  <w:u w:val="single"/>
                  <w:lang w:eastAsia="el-GR"/>
                </w:rPr>
                <w:t xml:space="preserve"> CO2</w:t>
              </w:r>
            </w:hyperlink>
          </w:p>
        </w:tc>
        <w:tc>
          <w:tcPr>
            <w:tcW w:w="1842" w:type="dxa"/>
            <w:shd w:val="clear" w:color="auto" w:fill="auto"/>
            <w:vAlign w:val="center"/>
            <w:hideMark/>
          </w:tcPr>
          <w:p w14:paraId="7BB021E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F10B21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28F83CEA" w14:textId="77777777" w:rsidTr="0022057B">
        <w:trPr>
          <w:trHeight w:val="287"/>
        </w:trPr>
        <w:tc>
          <w:tcPr>
            <w:tcW w:w="4390" w:type="dxa"/>
            <w:shd w:val="clear" w:color="auto" w:fill="auto"/>
            <w:vAlign w:val="center"/>
            <w:hideMark/>
          </w:tcPr>
          <w:p w14:paraId="75E6B31E" w14:textId="77777777" w:rsidR="00AE5054" w:rsidRPr="00AE5054" w:rsidRDefault="003B0DE2" w:rsidP="00AE5054">
            <w:pPr>
              <w:spacing w:before="0" w:after="0"/>
              <w:jc w:val="left"/>
              <w:rPr>
                <w:rFonts w:eastAsia="Times New Roman" w:cs="Arial"/>
                <w:color w:val="0563C1"/>
                <w:u w:val="single"/>
                <w:lang w:eastAsia="el-GR"/>
              </w:rPr>
            </w:pPr>
            <w:hyperlink r:id="rId386" w:history="1">
              <w:r w:rsidR="00AE5054" w:rsidRPr="00AE5054">
                <w:rPr>
                  <w:rFonts w:eastAsia="Times New Roman" w:cs="Arial"/>
                  <w:color w:val="0563C1"/>
                  <w:u w:val="single"/>
                  <w:lang w:eastAsia="el-GR"/>
                </w:rPr>
                <w:t>Bendigo Bank</w:t>
              </w:r>
            </w:hyperlink>
          </w:p>
        </w:tc>
        <w:tc>
          <w:tcPr>
            <w:tcW w:w="1842" w:type="dxa"/>
            <w:shd w:val="clear" w:color="auto" w:fill="auto"/>
            <w:vAlign w:val="center"/>
            <w:hideMark/>
          </w:tcPr>
          <w:p w14:paraId="2E728E7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7BD156B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4D8C3565" w14:textId="77777777" w:rsidTr="0022057B">
        <w:trPr>
          <w:trHeight w:val="287"/>
        </w:trPr>
        <w:tc>
          <w:tcPr>
            <w:tcW w:w="4390" w:type="dxa"/>
            <w:shd w:val="clear" w:color="auto" w:fill="auto"/>
            <w:vAlign w:val="center"/>
            <w:hideMark/>
          </w:tcPr>
          <w:p w14:paraId="5645AADB" w14:textId="77777777" w:rsidR="00AE5054" w:rsidRPr="00AE5054" w:rsidRDefault="003B0DE2" w:rsidP="00AE5054">
            <w:pPr>
              <w:spacing w:before="0" w:after="0"/>
              <w:jc w:val="left"/>
              <w:rPr>
                <w:rFonts w:eastAsia="Times New Roman" w:cs="Arial"/>
                <w:color w:val="0563C1"/>
                <w:u w:val="single"/>
                <w:lang w:eastAsia="el-GR"/>
              </w:rPr>
            </w:pPr>
            <w:hyperlink r:id="rId387" w:history="1">
              <w:proofErr w:type="spellStart"/>
              <w:r w:rsidR="00AE5054" w:rsidRPr="00AE5054">
                <w:rPr>
                  <w:rFonts w:eastAsia="Times New Roman" w:cs="Arial"/>
                  <w:color w:val="0563C1"/>
                  <w:u w:val="single"/>
                  <w:lang w:eastAsia="el-GR"/>
                </w:rPr>
                <w:t>Bionersis</w:t>
              </w:r>
              <w:proofErr w:type="spellEnd"/>
            </w:hyperlink>
          </w:p>
        </w:tc>
        <w:tc>
          <w:tcPr>
            <w:tcW w:w="1842" w:type="dxa"/>
            <w:shd w:val="clear" w:color="auto" w:fill="auto"/>
            <w:vAlign w:val="center"/>
            <w:hideMark/>
          </w:tcPr>
          <w:p w14:paraId="49B8893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France</w:t>
            </w:r>
          </w:p>
        </w:tc>
        <w:tc>
          <w:tcPr>
            <w:tcW w:w="2977" w:type="dxa"/>
            <w:shd w:val="clear" w:color="auto" w:fill="auto"/>
            <w:vAlign w:val="center"/>
            <w:hideMark/>
          </w:tcPr>
          <w:p w14:paraId="477423B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4C91083" w14:textId="77777777" w:rsidTr="0022057B">
        <w:trPr>
          <w:trHeight w:val="287"/>
        </w:trPr>
        <w:tc>
          <w:tcPr>
            <w:tcW w:w="4390" w:type="dxa"/>
            <w:shd w:val="clear" w:color="auto" w:fill="auto"/>
            <w:vAlign w:val="center"/>
            <w:hideMark/>
          </w:tcPr>
          <w:p w14:paraId="16E949D2" w14:textId="77777777" w:rsidR="00AE5054" w:rsidRPr="00AE5054" w:rsidRDefault="003B0DE2" w:rsidP="00AE5054">
            <w:pPr>
              <w:spacing w:before="0" w:after="0"/>
              <w:jc w:val="left"/>
              <w:rPr>
                <w:rFonts w:eastAsia="Times New Roman" w:cs="Arial"/>
                <w:color w:val="0563C1"/>
                <w:u w:val="single"/>
                <w:lang w:eastAsia="el-GR"/>
              </w:rPr>
            </w:pPr>
            <w:hyperlink r:id="rId388" w:history="1">
              <w:r w:rsidR="00AE5054" w:rsidRPr="00AE5054">
                <w:rPr>
                  <w:rFonts w:eastAsia="Times New Roman" w:cs="Arial"/>
                  <w:color w:val="0563C1"/>
                  <w:u w:val="single"/>
                  <w:lang w:eastAsia="el-GR"/>
                </w:rPr>
                <w:t>Blue Green Carbon Offsetting</w:t>
              </w:r>
            </w:hyperlink>
          </w:p>
        </w:tc>
        <w:tc>
          <w:tcPr>
            <w:tcW w:w="1842" w:type="dxa"/>
            <w:shd w:val="clear" w:color="auto" w:fill="auto"/>
            <w:vAlign w:val="center"/>
            <w:hideMark/>
          </w:tcPr>
          <w:p w14:paraId="0EC1C6D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AF71AB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5719F8F3" w14:textId="77777777" w:rsidTr="0022057B">
        <w:trPr>
          <w:trHeight w:val="574"/>
        </w:trPr>
        <w:tc>
          <w:tcPr>
            <w:tcW w:w="4390" w:type="dxa"/>
            <w:shd w:val="clear" w:color="auto" w:fill="auto"/>
            <w:vAlign w:val="center"/>
            <w:hideMark/>
          </w:tcPr>
          <w:p w14:paraId="208B3B3F" w14:textId="77777777" w:rsidR="00AE5054" w:rsidRPr="00AE5054" w:rsidRDefault="003B0DE2" w:rsidP="00AE5054">
            <w:pPr>
              <w:spacing w:before="0" w:after="0"/>
              <w:jc w:val="left"/>
              <w:rPr>
                <w:rFonts w:eastAsia="Times New Roman" w:cs="Arial"/>
                <w:color w:val="0563C1"/>
                <w:u w:val="single"/>
                <w:lang w:eastAsia="el-GR"/>
              </w:rPr>
            </w:pPr>
            <w:hyperlink r:id="rId389" w:history="1">
              <w:r w:rsidR="00AE5054" w:rsidRPr="00AE5054">
                <w:rPr>
                  <w:rFonts w:eastAsia="Times New Roman" w:cs="Arial"/>
                  <w:color w:val="0563C1"/>
                  <w:u w:val="single"/>
                  <w:lang w:eastAsia="el-GR"/>
                </w:rPr>
                <w:t>Blue Source</w:t>
              </w:r>
            </w:hyperlink>
          </w:p>
        </w:tc>
        <w:tc>
          <w:tcPr>
            <w:tcW w:w="1842" w:type="dxa"/>
            <w:shd w:val="clear" w:color="auto" w:fill="auto"/>
            <w:vAlign w:val="center"/>
            <w:hideMark/>
          </w:tcPr>
          <w:p w14:paraId="186CA89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B8BA3D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w:t>
            </w:r>
          </w:p>
        </w:tc>
      </w:tr>
      <w:tr w:rsidR="00AE5054" w:rsidRPr="00AE5054" w14:paraId="016A680B" w14:textId="77777777" w:rsidTr="0022057B">
        <w:trPr>
          <w:trHeight w:val="574"/>
        </w:trPr>
        <w:tc>
          <w:tcPr>
            <w:tcW w:w="4390" w:type="dxa"/>
            <w:shd w:val="clear" w:color="auto" w:fill="auto"/>
            <w:vAlign w:val="center"/>
            <w:hideMark/>
          </w:tcPr>
          <w:p w14:paraId="1A706DCD" w14:textId="77777777" w:rsidR="00AE5054" w:rsidRPr="00AE5054" w:rsidRDefault="003B0DE2" w:rsidP="00AE5054">
            <w:pPr>
              <w:spacing w:before="0" w:after="0"/>
              <w:jc w:val="left"/>
              <w:rPr>
                <w:rFonts w:eastAsia="Times New Roman" w:cs="Arial"/>
                <w:color w:val="0563C1"/>
                <w:u w:val="single"/>
                <w:lang w:eastAsia="el-GR"/>
              </w:rPr>
            </w:pPr>
            <w:hyperlink r:id="rId390" w:history="1">
              <w:r w:rsidR="00AE5054" w:rsidRPr="00AE5054">
                <w:rPr>
                  <w:rFonts w:eastAsia="Times New Roman" w:cs="Arial"/>
                  <w:color w:val="0563C1"/>
                  <w:u w:val="single"/>
                  <w:lang w:eastAsia="el-GR"/>
                </w:rPr>
                <w:t>Blue Source Canada</w:t>
              </w:r>
            </w:hyperlink>
          </w:p>
        </w:tc>
        <w:tc>
          <w:tcPr>
            <w:tcW w:w="1842" w:type="dxa"/>
            <w:shd w:val="clear" w:color="auto" w:fill="auto"/>
            <w:vAlign w:val="center"/>
            <w:hideMark/>
          </w:tcPr>
          <w:p w14:paraId="66311E0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055AA4A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w:t>
            </w:r>
          </w:p>
        </w:tc>
      </w:tr>
      <w:tr w:rsidR="00AE5054" w:rsidRPr="00AE5054" w14:paraId="42C033EF" w14:textId="77777777" w:rsidTr="0022057B">
        <w:trPr>
          <w:trHeight w:val="287"/>
        </w:trPr>
        <w:tc>
          <w:tcPr>
            <w:tcW w:w="4390" w:type="dxa"/>
            <w:shd w:val="clear" w:color="auto" w:fill="auto"/>
            <w:vAlign w:val="center"/>
            <w:hideMark/>
          </w:tcPr>
          <w:p w14:paraId="6A262045" w14:textId="77777777" w:rsidR="00AE5054" w:rsidRPr="00AE5054" w:rsidRDefault="003B0DE2" w:rsidP="00AE5054">
            <w:pPr>
              <w:spacing w:before="0" w:after="0"/>
              <w:jc w:val="left"/>
              <w:rPr>
                <w:rFonts w:eastAsia="Times New Roman" w:cs="Arial"/>
                <w:color w:val="0563C1"/>
                <w:u w:val="single"/>
                <w:lang w:eastAsia="el-GR"/>
              </w:rPr>
            </w:pPr>
            <w:hyperlink r:id="rId391" w:history="1">
              <w:r w:rsidR="00AE5054" w:rsidRPr="00AE5054">
                <w:rPr>
                  <w:rFonts w:eastAsia="Times New Roman" w:cs="Arial"/>
                  <w:color w:val="0563C1"/>
                  <w:u w:val="single"/>
                  <w:lang w:eastAsia="el-GR"/>
                </w:rPr>
                <w:t>Blue Ventures Carbon Offset</w:t>
              </w:r>
            </w:hyperlink>
          </w:p>
        </w:tc>
        <w:tc>
          <w:tcPr>
            <w:tcW w:w="1842" w:type="dxa"/>
            <w:shd w:val="clear" w:color="auto" w:fill="auto"/>
            <w:vAlign w:val="center"/>
            <w:hideMark/>
          </w:tcPr>
          <w:p w14:paraId="53B0F2B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465B9717" w14:textId="77777777" w:rsidR="00AE5054" w:rsidRPr="00AE5054" w:rsidRDefault="00AE5054" w:rsidP="00AE5054">
            <w:pPr>
              <w:spacing w:before="0" w:after="0"/>
              <w:jc w:val="left"/>
              <w:rPr>
                <w:rFonts w:eastAsia="Times New Roman" w:cs="Arial"/>
                <w:color w:val="000000"/>
                <w:lang w:eastAsia="el-GR"/>
              </w:rPr>
            </w:pPr>
          </w:p>
        </w:tc>
      </w:tr>
      <w:tr w:rsidR="00AE5054" w:rsidRPr="00AE5054" w14:paraId="05087140" w14:textId="77777777" w:rsidTr="0022057B">
        <w:trPr>
          <w:trHeight w:val="574"/>
        </w:trPr>
        <w:tc>
          <w:tcPr>
            <w:tcW w:w="4390" w:type="dxa"/>
            <w:shd w:val="clear" w:color="auto" w:fill="auto"/>
            <w:vAlign w:val="center"/>
            <w:hideMark/>
          </w:tcPr>
          <w:p w14:paraId="629524D9" w14:textId="77777777" w:rsidR="00AE5054" w:rsidRPr="00AE5054" w:rsidRDefault="003B0DE2" w:rsidP="00AE5054">
            <w:pPr>
              <w:spacing w:before="0" w:after="0"/>
              <w:jc w:val="left"/>
              <w:rPr>
                <w:rFonts w:eastAsia="Times New Roman" w:cs="Arial"/>
                <w:color w:val="0563C1"/>
                <w:u w:val="single"/>
                <w:lang w:eastAsia="el-GR"/>
              </w:rPr>
            </w:pPr>
            <w:hyperlink r:id="rId392" w:history="1">
              <w:r w:rsidR="00AE5054" w:rsidRPr="00AE5054">
                <w:rPr>
                  <w:rFonts w:eastAsia="Times New Roman" w:cs="Arial"/>
                  <w:color w:val="0563C1"/>
                  <w:u w:val="single"/>
                  <w:lang w:eastAsia="el-GR"/>
                </w:rPr>
                <w:t>Bonneville Environment Foundation</w:t>
              </w:r>
            </w:hyperlink>
          </w:p>
        </w:tc>
        <w:tc>
          <w:tcPr>
            <w:tcW w:w="1842" w:type="dxa"/>
            <w:shd w:val="clear" w:color="auto" w:fill="auto"/>
            <w:vAlign w:val="center"/>
            <w:hideMark/>
          </w:tcPr>
          <w:p w14:paraId="0EB38E8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970520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66083480" w14:textId="77777777" w:rsidTr="0022057B">
        <w:trPr>
          <w:trHeight w:val="287"/>
        </w:trPr>
        <w:tc>
          <w:tcPr>
            <w:tcW w:w="4390" w:type="dxa"/>
            <w:shd w:val="clear" w:color="auto" w:fill="auto"/>
            <w:vAlign w:val="center"/>
            <w:hideMark/>
          </w:tcPr>
          <w:p w14:paraId="2FED6464" w14:textId="77777777" w:rsidR="00AE5054" w:rsidRPr="00AE5054" w:rsidRDefault="003B0DE2" w:rsidP="00AE5054">
            <w:pPr>
              <w:spacing w:before="0" w:after="0"/>
              <w:jc w:val="left"/>
              <w:rPr>
                <w:rFonts w:eastAsia="Times New Roman" w:cs="Arial"/>
                <w:color w:val="0563C1"/>
                <w:u w:val="single"/>
                <w:lang w:eastAsia="el-GR"/>
              </w:rPr>
            </w:pPr>
            <w:hyperlink r:id="rId393" w:history="1">
              <w:r w:rsidR="00AE5054" w:rsidRPr="00AE5054">
                <w:rPr>
                  <w:rFonts w:eastAsia="Times New Roman" w:cs="Arial"/>
                  <w:color w:val="0563C1"/>
                  <w:u w:val="single"/>
                  <w:lang w:eastAsia="el-GR"/>
                </w:rPr>
                <w:t>Breathe Easy Now</w:t>
              </w:r>
            </w:hyperlink>
          </w:p>
        </w:tc>
        <w:tc>
          <w:tcPr>
            <w:tcW w:w="1842" w:type="dxa"/>
            <w:shd w:val="clear" w:color="auto" w:fill="auto"/>
            <w:vAlign w:val="center"/>
            <w:hideMark/>
          </w:tcPr>
          <w:p w14:paraId="4131166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1334A77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3AD3EDAB" w14:textId="77777777" w:rsidTr="0022057B">
        <w:trPr>
          <w:trHeight w:val="287"/>
        </w:trPr>
        <w:tc>
          <w:tcPr>
            <w:tcW w:w="4390" w:type="dxa"/>
            <w:shd w:val="clear" w:color="auto" w:fill="auto"/>
            <w:vAlign w:val="center"/>
            <w:hideMark/>
          </w:tcPr>
          <w:p w14:paraId="63D2F0E8" w14:textId="77777777" w:rsidR="00AE5054" w:rsidRPr="00AE5054" w:rsidRDefault="003B0DE2" w:rsidP="00AE5054">
            <w:pPr>
              <w:spacing w:before="0" w:after="0"/>
              <w:jc w:val="left"/>
              <w:rPr>
                <w:rFonts w:eastAsia="Times New Roman" w:cs="Arial"/>
                <w:color w:val="0563C1"/>
                <w:u w:val="single"/>
                <w:lang w:eastAsia="el-GR"/>
              </w:rPr>
            </w:pPr>
            <w:hyperlink r:id="rId394" w:history="1">
              <w:r w:rsidR="00AE5054" w:rsidRPr="00AE5054">
                <w:rPr>
                  <w:rFonts w:eastAsia="Times New Roman" w:cs="Arial"/>
                  <w:color w:val="0563C1"/>
                  <w:u w:val="single"/>
                  <w:lang w:eastAsia="el-GR"/>
                </w:rPr>
                <w:t>Brighter Planet</w:t>
              </w:r>
            </w:hyperlink>
          </w:p>
        </w:tc>
        <w:tc>
          <w:tcPr>
            <w:tcW w:w="1842" w:type="dxa"/>
            <w:shd w:val="clear" w:color="auto" w:fill="auto"/>
            <w:vAlign w:val="center"/>
            <w:hideMark/>
          </w:tcPr>
          <w:p w14:paraId="2E70EF6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3D9C938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1E6B7DBA" w14:textId="77777777" w:rsidTr="0022057B">
        <w:trPr>
          <w:trHeight w:val="574"/>
        </w:trPr>
        <w:tc>
          <w:tcPr>
            <w:tcW w:w="4390" w:type="dxa"/>
            <w:shd w:val="clear" w:color="auto" w:fill="auto"/>
            <w:vAlign w:val="center"/>
            <w:hideMark/>
          </w:tcPr>
          <w:p w14:paraId="6F51943B" w14:textId="77777777" w:rsidR="00AE5054" w:rsidRPr="00AE5054" w:rsidRDefault="003B0DE2" w:rsidP="00AE5054">
            <w:pPr>
              <w:spacing w:before="0" w:after="0"/>
              <w:jc w:val="left"/>
              <w:rPr>
                <w:rFonts w:eastAsia="Times New Roman" w:cs="Arial"/>
                <w:color w:val="0563C1"/>
                <w:u w:val="single"/>
                <w:lang w:eastAsia="el-GR"/>
              </w:rPr>
            </w:pPr>
            <w:hyperlink r:id="rId395" w:history="1">
              <w:r w:rsidR="00AE5054" w:rsidRPr="00AE5054">
                <w:rPr>
                  <w:rFonts w:eastAsia="Times New Roman" w:cs="Arial"/>
                  <w:color w:val="0563C1"/>
                  <w:u w:val="single"/>
                  <w:lang w:eastAsia="el-GR"/>
                </w:rPr>
                <w:t>C Level</w:t>
              </w:r>
            </w:hyperlink>
          </w:p>
        </w:tc>
        <w:tc>
          <w:tcPr>
            <w:tcW w:w="1842" w:type="dxa"/>
            <w:shd w:val="clear" w:color="auto" w:fill="auto"/>
            <w:vAlign w:val="center"/>
            <w:hideMark/>
          </w:tcPr>
          <w:p w14:paraId="27B096D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C97963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4D6BE442" w14:textId="77777777" w:rsidTr="0022057B">
        <w:trPr>
          <w:trHeight w:val="860"/>
        </w:trPr>
        <w:tc>
          <w:tcPr>
            <w:tcW w:w="4390" w:type="dxa"/>
            <w:shd w:val="clear" w:color="auto" w:fill="auto"/>
            <w:vAlign w:val="center"/>
            <w:hideMark/>
          </w:tcPr>
          <w:p w14:paraId="1CC2FAB3" w14:textId="77777777" w:rsidR="00AE5054" w:rsidRPr="00AE5054" w:rsidRDefault="003B0DE2" w:rsidP="00AE5054">
            <w:pPr>
              <w:spacing w:before="0" w:after="0"/>
              <w:jc w:val="left"/>
              <w:rPr>
                <w:rFonts w:eastAsia="Times New Roman" w:cs="Arial"/>
                <w:color w:val="0563C1"/>
                <w:u w:val="single"/>
                <w:lang w:eastAsia="el-GR"/>
              </w:rPr>
            </w:pPr>
            <w:hyperlink r:id="rId396" w:history="1">
              <w:proofErr w:type="spellStart"/>
              <w:r w:rsidR="00AE5054" w:rsidRPr="00AE5054">
                <w:rPr>
                  <w:rFonts w:eastAsia="Times New Roman" w:cs="Arial"/>
                  <w:color w:val="0563C1"/>
                  <w:u w:val="single"/>
                  <w:lang w:eastAsia="el-GR"/>
                </w:rPr>
                <w:t>Camco</w:t>
              </w:r>
              <w:proofErr w:type="spellEnd"/>
            </w:hyperlink>
          </w:p>
        </w:tc>
        <w:tc>
          <w:tcPr>
            <w:tcW w:w="1842" w:type="dxa"/>
            <w:shd w:val="clear" w:color="auto" w:fill="auto"/>
            <w:vAlign w:val="center"/>
            <w:hideMark/>
          </w:tcPr>
          <w:p w14:paraId="7F186C5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6701DC4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Trader and/or broker, Retailer, Consultant</w:t>
            </w:r>
          </w:p>
        </w:tc>
      </w:tr>
      <w:tr w:rsidR="00AE5054" w:rsidRPr="00AE5054" w14:paraId="133D3D25" w14:textId="77777777" w:rsidTr="0022057B">
        <w:trPr>
          <w:trHeight w:val="287"/>
        </w:trPr>
        <w:tc>
          <w:tcPr>
            <w:tcW w:w="4390" w:type="dxa"/>
            <w:shd w:val="clear" w:color="auto" w:fill="auto"/>
            <w:vAlign w:val="center"/>
            <w:hideMark/>
          </w:tcPr>
          <w:p w14:paraId="3F20A3B9" w14:textId="77777777" w:rsidR="00AE5054" w:rsidRPr="00AE5054" w:rsidRDefault="003B0DE2" w:rsidP="00AE5054">
            <w:pPr>
              <w:spacing w:before="0" w:after="0"/>
              <w:jc w:val="left"/>
              <w:rPr>
                <w:rFonts w:eastAsia="Times New Roman" w:cs="Arial"/>
                <w:color w:val="0563C1"/>
                <w:u w:val="single"/>
                <w:lang w:eastAsia="el-GR"/>
              </w:rPr>
            </w:pPr>
            <w:hyperlink r:id="rId397" w:history="1">
              <w:r w:rsidR="00AE5054" w:rsidRPr="00AE5054">
                <w:rPr>
                  <w:rFonts w:eastAsia="Times New Roman" w:cs="Arial"/>
                  <w:color w:val="0563C1"/>
                  <w:u w:val="single"/>
                  <w:lang w:eastAsia="el-GR"/>
                </w:rPr>
                <w:t>Canopy</w:t>
              </w:r>
            </w:hyperlink>
          </w:p>
        </w:tc>
        <w:tc>
          <w:tcPr>
            <w:tcW w:w="1842" w:type="dxa"/>
            <w:shd w:val="clear" w:color="auto" w:fill="auto"/>
            <w:vAlign w:val="center"/>
            <w:hideMark/>
          </w:tcPr>
          <w:p w14:paraId="6235D1B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45BA32D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9BE132D" w14:textId="77777777" w:rsidTr="0022057B">
        <w:trPr>
          <w:trHeight w:val="860"/>
        </w:trPr>
        <w:tc>
          <w:tcPr>
            <w:tcW w:w="4390" w:type="dxa"/>
            <w:shd w:val="clear" w:color="auto" w:fill="auto"/>
            <w:vAlign w:val="center"/>
            <w:hideMark/>
          </w:tcPr>
          <w:p w14:paraId="2F5F8285" w14:textId="77777777" w:rsidR="00AE5054" w:rsidRPr="00AE5054" w:rsidRDefault="003B0DE2" w:rsidP="00AE5054">
            <w:pPr>
              <w:spacing w:before="0" w:after="0"/>
              <w:jc w:val="left"/>
              <w:rPr>
                <w:rFonts w:eastAsia="Times New Roman" w:cs="Arial"/>
                <w:color w:val="0563C1"/>
                <w:u w:val="single"/>
                <w:lang w:eastAsia="el-GR"/>
              </w:rPr>
            </w:pPr>
            <w:hyperlink r:id="rId398" w:history="1">
              <w:r w:rsidR="00AE5054" w:rsidRPr="00AE5054">
                <w:rPr>
                  <w:rFonts w:eastAsia="Times New Roman" w:cs="Arial"/>
                  <w:color w:val="0563C1"/>
                  <w:u w:val="single"/>
                  <w:lang w:eastAsia="el-GR"/>
                </w:rPr>
                <w:t>Cantor CO2e</w:t>
              </w:r>
            </w:hyperlink>
          </w:p>
        </w:tc>
        <w:tc>
          <w:tcPr>
            <w:tcW w:w="1842" w:type="dxa"/>
            <w:shd w:val="clear" w:color="auto" w:fill="auto"/>
            <w:vAlign w:val="center"/>
            <w:hideMark/>
          </w:tcPr>
          <w:p w14:paraId="7E1EE62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26F7A9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Trader and/or broker, Retailer</w:t>
            </w:r>
          </w:p>
        </w:tc>
      </w:tr>
      <w:tr w:rsidR="00AE5054" w:rsidRPr="00AE5054" w14:paraId="0DB91FB5" w14:textId="77777777" w:rsidTr="0022057B">
        <w:trPr>
          <w:trHeight w:val="287"/>
        </w:trPr>
        <w:tc>
          <w:tcPr>
            <w:tcW w:w="4390" w:type="dxa"/>
            <w:shd w:val="clear" w:color="auto" w:fill="auto"/>
            <w:vAlign w:val="center"/>
            <w:hideMark/>
          </w:tcPr>
          <w:p w14:paraId="5BF25A8C" w14:textId="77777777" w:rsidR="00AE5054" w:rsidRPr="00AE5054" w:rsidRDefault="003B0DE2" w:rsidP="00AE5054">
            <w:pPr>
              <w:spacing w:before="0" w:after="0"/>
              <w:jc w:val="left"/>
              <w:rPr>
                <w:rFonts w:eastAsia="Times New Roman" w:cs="Arial"/>
                <w:color w:val="0563C1"/>
                <w:u w:val="single"/>
                <w:lang w:eastAsia="el-GR"/>
              </w:rPr>
            </w:pPr>
            <w:hyperlink r:id="rId399" w:history="1">
              <w:r w:rsidR="00AE5054" w:rsidRPr="00AE5054">
                <w:rPr>
                  <w:rFonts w:eastAsia="Times New Roman" w:cs="Arial"/>
                  <w:color w:val="0563C1"/>
                  <w:u w:val="single"/>
                  <w:lang w:eastAsia="el-GR"/>
                </w:rPr>
                <w:t>Carbon Angel</w:t>
              </w:r>
            </w:hyperlink>
          </w:p>
        </w:tc>
        <w:tc>
          <w:tcPr>
            <w:tcW w:w="1842" w:type="dxa"/>
            <w:shd w:val="clear" w:color="auto" w:fill="auto"/>
            <w:vAlign w:val="center"/>
            <w:hideMark/>
          </w:tcPr>
          <w:p w14:paraId="7B889C5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42E2B15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771D729F" w14:textId="77777777" w:rsidTr="0022057B">
        <w:trPr>
          <w:trHeight w:val="287"/>
        </w:trPr>
        <w:tc>
          <w:tcPr>
            <w:tcW w:w="4390" w:type="dxa"/>
            <w:shd w:val="clear" w:color="auto" w:fill="auto"/>
            <w:vAlign w:val="center"/>
            <w:hideMark/>
          </w:tcPr>
          <w:p w14:paraId="12022DD6" w14:textId="77777777" w:rsidR="00AE5054" w:rsidRPr="00AE5054" w:rsidRDefault="003B0DE2" w:rsidP="00AE5054">
            <w:pPr>
              <w:spacing w:before="0" w:after="0"/>
              <w:jc w:val="left"/>
              <w:rPr>
                <w:rFonts w:eastAsia="Times New Roman" w:cs="Arial"/>
                <w:color w:val="0563C1"/>
                <w:u w:val="single"/>
                <w:lang w:eastAsia="el-GR"/>
              </w:rPr>
            </w:pPr>
            <w:hyperlink r:id="rId400" w:history="1">
              <w:r w:rsidR="00AE5054" w:rsidRPr="00AE5054">
                <w:rPr>
                  <w:rFonts w:eastAsia="Times New Roman" w:cs="Arial"/>
                  <w:color w:val="0563C1"/>
                  <w:u w:val="single"/>
                  <w:lang w:eastAsia="el-GR"/>
                </w:rPr>
                <w:t>Carbon Bank USA</w:t>
              </w:r>
            </w:hyperlink>
          </w:p>
        </w:tc>
        <w:tc>
          <w:tcPr>
            <w:tcW w:w="1842" w:type="dxa"/>
            <w:shd w:val="clear" w:color="auto" w:fill="auto"/>
            <w:vAlign w:val="center"/>
            <w:hideMark/>
          </w:tcPr>
          <w:p w14:paraId="78A51E5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718ADBC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5754B61E" w14:textId="77777777" w:rsidTr="0022057B">
        <w:trPr>
          <w:trHeight w:val="287"/>
        </w:trPr>
        <w:tc>
          <w:tcPr>
            <w:tcW w:w="4390" w:type="dxa"/>
            <w:shd w:val="clear" w:color="auto" w:fill="auto"/>
            <w:vAlign w:val="center"/>
            <w:hideMark/>
          </w:tcPr>
          <w:p w14:paraId="3FC3332D" w14:textId="77777777" w:rsidR="00AE5054" w:rsidRPr="00AE5054" w:rsidRDefault="003B0DE2" w:rsidP="00AE5054">
            <w:pPr>
              <w:spacing w:before="0" w:after="0"/>
              <w:jc w:val="left"/>
              <w:rPr>
                <w:rFonts w:eastAsia="Times New Roman" w:cs="Arial"/>
                <w:color w:val="0563C1"/>
                <w:u w:val="single"/>
                <w:lang w:eastAsia="el-GR"/>
              </w:rPr>
            </w:pPr>
            <w:hyperlink r:id="rId401" w:history="1">
              <w:r w:rsidR="00AE5054" w:rsidRPr="00AE5054">
                <w:rPr>
                  <w:rFonts w:eastAsia="Times New Roman" w:cs="Arial"/>
                  <w:color w:val="0563C1"/>
                  <w:u w:val="single"/>
                  <w:lang w:eastAsia="el-GR"/>
                </w:rPr>
                <w:t>Carbon Brake</w:t>
              </w:r>
            </w:hyperlink>
          </w:p>
        </w:tc>
        <w:tc>
          <w:tcPr>
            <w:tcW w:w="1842" w:type="dxa"/>
            <w:shd w:val="clear" w:color="auto" w:fill="auto"/>
            <w:vAlign w:val="center"/>
            <w:hideMark/>
          </w:tcPr>
          <w:p w14:paraId="3E8F111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18FDE6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21D6F6E6" w14:textId="77777777" w:rsidTr="0022057B">
        <w:trPr>
          <w:trHeight w:val="287"/>
        </w:trPr>
        <w:tc>
          <w:tcPr>
            <w:tcW w:w="4390" w:type="dxa"/>
            <w:shd w:val="clear" w:color="auto" w:fill="auto"/>
            <w:vAlign w:val="center"/>
            <w:hideMark/>
          </w:tcPr>
          <w:p w14:paraId="67DB716A" w14:textId="77777777" w:rsidR="00AE5054" w:rsidRPr="00AE5054" w:rsidRDefault="003B0DE2" w:rsidP="00AE5054">
            <w:pPr>
              <w:spacing w:before="0" w:after="0"/>
              <w:jc w:val="left"/>
              <w:rPr>
                <w:rFonts w:eastAsia="Times New Roman" w:cs="Arial"/>
                <w:color w:val="0563C1"/>
                <w:u w:val="single"/>
                <w:lang w:eastAsia="el-GR"/>
              </w:rPr>
            </w:pPr>
            <w:hyperlink r:id="rId402" w:history="1">
              <w:r w:rsidR="00AE5054" w:rsidRPr="00AE5054">
                <w:rPr>
                  <w:rFonts w:eastAsia="Times New Roman" w:cs="Arial"/>
                  <w:color w:val="0563C1"/>
                  <w:u w:val="single"/>
                  <w:lang w:eastAsia="el-GR"/>
                </w:rPr>
                <w:t>Carbon Clear</w:t>
              </w:r>
            </w:hyperlink>
          </w:p>
        </w:tc>
        <w:tc>
          <w:tcPr>
            <w:tcW w:w="1842" w:type="dxa"/>
            <w:shd w:val="clear" w:color="auto" w:fill="auto"/>
            <w:vAlign w:val="center"/>
            <w:hideMark/>
          </w:tcPr>
          <w:p w14:paraId="689AEB8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A49F20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6ABC485E" w14:textId="77777777" w:rsidTr="0022057B">
        <w:trPr>
          <w:trHeight w:val="287"/>
        </w:trPr>
        <w:tc>
          <w:tcPr>
            <w:tcW w:w="4390" w:type="dxa"/>
            <w:shd w:val="clear" w:color="auto" w:fill="auto"/>
            <w:vAlign w:val="center"/>
            <w:hideMark/>
          </w:tcPr>
          <w:p w14:paraId="4ECA8ECD" w14:textId="77777777" w:rsidR="00AE5054" w:rsidRPr="00AE5054" w:rsidRDefault="003B0DE2" w:rsidP="00AE5054">
            <w:pPr>
              <w:spacing w:before="0" w:after="0"/>
              <w:jc w:val="left"/>
              <w:rPr>
                <w:rFonts w:eastAsia="Times New Roman" w:cs="Arial"/>
                <w:color w:val="0563C1"/>
                <w:u w:val="single"/>
                <w:lang w:eastAsia="el-GR"/>
              </w:rPr>
            </w:pPr>
            <w:hyperlink r:id="rId403" w:history="1">
              <w:r w:rsidR="00AE5054" w:rsidRPr="00AE5054">
                <w:rPr>
                  <w:rFonts w:eastAsia="Times New Roman" w:cs="Arial"/>
                  <w:color w:val="0563C1"/>
                  <w:u w:val="single"/>
                  <w:lang w:eastAsia="el-GR"/>
                </w:rPr>
                <w:t>Carbon Company</w:t>
              </w:r>
            </w:hyperlink>
          </w:p>
        </w:tc>
        <w:tc>
          <w:tcPr>
            <w:tcW w:w="1842" w:type="dxa"/>
            <w:shd w:val="clear" w:color="auto" w:fill="auto"/>
            <w:vAlign w:val="center"/>
            <w:hideMark/>
          </w:tcPr>
          <w:p w14:paraId="4BD51F9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4A2AE5B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08DE64B" w14:textId="77777777" w:rsidTr="0022057B">
        <w:trPr>
          <w:trHeight w:val="287"/>
        </w:trPr>
        <w:tc>
          <w:tcPr>
            <w:tcW w:w="4390" w:type="dxa"/>
            <w:shd w:val="clear" w:color="auto" w:fill="auto"/>
            <w:vAlign w:val="center"/>
            <w:hideMark/>
          </w:tcPr>
          <w:p w14:paraId="54312DA4" w14:textId="77777777" w:rsidR="00AE5054" w:rsidRPr="00AE5054" w:rsidRDefault="003B0DE2" w:rsidP="00AE5054">
            <w:pPr>
              <w:spacing w:before="0" w:after="0"/>
              <w:jc w:val="left"/>
              <w:rPr>
                <w:rFonts w:eastAsia="Times New Roman" w:cs="Arial"/>
                <w:color w:val="0563C1"/>
                <w:u w:val="single"/>
                <w:lang w:eastAsia="el-GR"/>
              </w:rPr>
            </w:pPr>
            <w:hyperlink r:id="rId404" w:history="1">
              <w:r w:rsidR="00AE5054" w:rsidRPr="00AE5054">
                <w:rPr>
                  <w:rFonts w:eastAsia="Times New Roman" w:cs="Arial"/>
                  <w:color w:val="0563C1"/>
                  <w:u w:val="single"/>
                  <w:lang w:eastAsia="el-GR"/>
                </w:rPr>
                <w:t>Carbon Control</w:t>
              </w:r>
            </w:hyperlink>
          </w:p>
        </w:tc>
        <w:tc>
          <w:tcPr>
            <w:tcW w:w="1842" w:type="dxa"/>
            <w:shd w:val="clear" w:color="auto" w:fill="auto"/>
            <w:vAlign w:val="center"/>
            <w:hideMark/>
          </w:tcPr>
          <w:p w14:paraId="7DB0D13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0356B5E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5D21DAD" w14:textId="77777777" w:rsidTr="0022057B">
        <w:trPr>
          <w:trHeight w:val="287"/>
        </w:trPr>
        <w:tc>
          <w:tcPr>
            <w:tcW w:w="4390" w:type="dxa"/>
            <w:shd w:val="clear" w:color="auto" w:fill="auto"/>
            <w:vAlign w:val="center"/>
            <w:hideMark/>
          </w:tcPr>
          <w:p w14:paraId="4EC890A1" w14:textId="77777777" w:rsidR="00AE5054" w:rsidRPr="00AE5054" w:rsidRDefault="003B0DE2" w:rsidP="00AE5054">
            <w:pPr>
              <w:spacing w:before="0" w:after="0"/>
              <w:jc w:val="left"/>
              <w:rPr>
                <w:rFonts w:eastAsia="Times New Roman" w:cs="Arial"/>
                <w:color w:val="0563C1"/>
                <w:u w:val="single"/>
                <w:lang w:eastAsia="el-GR"/>
              </w:rPr>
            </w:pPr>
            <w:hyperlink r:id="rId405" w:history="1">
              <w:r w:rsidR="00AE5054" w:rsidRPr="00AE5054">
                <w:rPr>
                  <w:rFonts w:eastAsia="Times New Roman" w:cs="Arial"/>
                  <w:color w:val="0563C1"/>
                  <w:u w:val="single"/>
                  <w:lang w:eastAsia="el-GR"/>
                </w:rPr>
                <w:t>Carbon Credit Capital</w:t>
              </w:r>
            </w:hyperlink>
          </w:p>
        </w:tc>
        <w:tc>
          <w:tcPr>
            <w:tcW w:w="1842" w:type="dxa"/>
            <w:shd w:val="clear" w:color="auto" w:fill="auto"/>
            <w:vAlign w:val="center"/>
            <w:hideMark/>
          </w:tcPr>
          <w:p w14:paraId="7F6151F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53927CF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Wholesaler, Retailer</w:t>
            </w:r>
          </w:p>
        </w:tc>
      </w:tr>
      <w:tr w:rsidR="00AE5054" w:rsidRPr="00AE5054" w14:paraId="40A01A34" w14:textId="77777777" w:rsidTr="0022057B">
        <w:trPr>
          <w:trHeight w:val="287"/>
        </w:trPr>
        <w:tc>
          <w:tcPr>
            <w:tcW w:w="4390" w:type="dxa"/>
            <w:shd w:val="clear" w:color="auto" w:fill="auto"/>
            <w:vAlign w:val="center"/>
            <w:hideMark/>
          </w:tcPr>
          <w:p w14:paraId="58C943EC" w14:textId="77777777" w:rsidR="00AE5054" w:rsidRPr="00AE5054" w:rsidRDefault="003B0DE2" w:rsidP="00AE5054">
            <w:pPr>
              <w:spacing w:before="0" w:after="0"/>
              <w:jc w:val="left"/>
              <w:rPr>
                <w:rFonts w:eastAsia="Times New Roman" w:cs="Arial"/>
                <w:color w:val="0563C1"/>
                <w:u w:val="single"/>
                <w:lang w:eastAsia="el-GR"/>
              </w:rPr>
            </w:pPr>
            <w:hyperlink r:id="rId406" w:history="1">
              <w:r w:rsidR="00AE5054" w:rsidRPr="00AE5054">
                <w:rPr>
                  <w:rFonts w:eastAsia="Times New Roman" w:cs="Arial"/>
                  <w:color w:val="0563C1"/>
                  <w:u w:val="single"/>
                  <w:lang w:eastAsia="el-GR"/>
                </w:rPr>
                <w:t>Carbon Earth</w:t>
              </w:r>
            </w:hyperlink>
          </w:p>
        </w:tc>
        <w:tc>
          <w:tcPr>
            <w:tcW w:w="1842" w:type="dxa"/>
            <w:shd w:val="clear" w:color="auto" w:fill="auto"/>
            <w:vAlign w:val="center"/>
            <w:hideMark/>
          </w:tcPr>
          <w:p w14:paraId="3C3F98E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6EDA1D3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44BA4A1E" w14:textId="77777777" w:rsidTr="0022057B">
        <w:trPr>
          <w:trHeight w:val="287"/>
        </w:trPr>
        <w:tc>
          <w:tcPr>
            <w:tcW w:w="4390" w:type="dxa"/>
            <w:shd w:val="clear" w:color="auto" w:fill="auto"/>
            <w:vAlign w:val="center"/>
            <w:hideMark/>
          </w:tcPr>
          <w:p w14:paraId="591A1887" w14:textId="77777777" w:rsidR="00AE5054" w:rsidRPr="00AE5054" w:rsidRDefault="003B0DE2" w:rsidP="00AE5054">
            <w:pPr>
              <w:spacing w:before="0" w:after="0"/>
              <w:jc w:val="left"/>
              <w:rPr>
                <w:rFonts w:eastAsia="Times New Roman" w:cs="Arial"/>
                <w:color w:val="0563C1"/>
                <w:u w:val="single"/>
                <w:lang w:eastAsia="el-GR"/>
              </w:rPr>
            </w:pPr>
            <w:hyperlink r:id="rId407" w:history="1">
              <w:r w:rsidR="00AE5054" w:rsidRPr="00AE5054">
                <w:rPr>
                  <w:rFonts w:eastAsia="Times New Roman" w:cs="Arial"/>
                  <w:color w:val="0563C1"/>
                  <w:u w:val="single"/>
                  <w:lang w:eastAsia="el-GR"/>
                </w:rPr>
                <w:t>Carbon Fix</w:t>
              </w:r>
            </w:hyperlink>
          </w:p>
        </w:tc>
        <w:tc>
          <w:tcPr>
            <w:tcW w:w="1842" w:type="dxa"/>
            <w:shd w:val="clear" w:color="auto" w:fill="auto"/>
            <w:vAlign w:val="center"/>
            <w:hideMark/>
          </w:tcPr>
          <w:p w14:paraId="592BD28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Germany</w:t>
            </w:r>
          </w:p>
        </w:tc>
        <w:tc>
          <w:tcPr>
            <w:tcW w:w="2977" w:type="dxa"/>
            <w:shd w:val="clear" w:color="auto" w:fill="auto"/>
            <w:vAlign w:val="center"/>
            <w:hideMark/>
          </w:tcPr>
          <w:p w14:paraId="0137621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78253F2B" w14:textId="77777777" w:rsidTr="0022057B">
        <w:trPr>
          <w:trHeight w:val="287"/>
        </w:trPr>
        <w:tc>
          <w:tcPr>
            <w:tcW w:w="4390" w:type="dxa"/>
            <w:shd w:val="clear" w:color="auto" w:fill="auto"/>
            <w:vAlign w:val="center"/>
            <w:hideMark/>
          </w:tcPr>
          <w:p w14:paraId="39BA4B39" w14:textId="77777777" w:rsidR="00AE5054" w:rsidRPr="00AE5054" w:rsidRDefault="003B0DE2" w:rsidP="00AE5054">
            <w:pPr>
              <w:spacing w:before="0" w:after="0"/>
              <w:jc w:val="left"/>
              <w:rPr>
                <w:rFonts w:eastAsia="Times New Roman" w:cs="Arial"/>
                <w:color w:val="0563C1"/>
                <w:u w:val="single"/>
                <w:lang w:eastAsia="el-GR"/>
              </w:rPr>
            </w:pPr>
            <w:hyperlink r:id="rId408" w:history="1">
              <w:r w:rsidR="00AE5054" w:rsidRPr="00AE5054">
                <w:rPr>
                  <w:rFonts w:eastAsia="Times New Roman" w:cs="Arial"/>
                  <w:color w:val="0563C1"/>
                  <w:u w:val="single"/>
                  <w:lang w:eastAsia="el-GR"/>
                </w:rPr>
                <w:t>Carbon Footprint 360</w:t>
              </w:r>
            </w:hyperlink>
          </w:p>
        </w:tc>
        <w:tc>
          <w:tcPr>
            <w:tcW w:w="1842" w:type="dxa"/>
            <w:shd w:val="clear" w:color="auto" w:fill="auto"/>
            <w:vAlign w:val="center"/>
            <w:hideMark/>
          </w:tcPr>
          <w:p w14:paraId="3AE4A55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70A8006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34497EB8" w14:textId="77777777" w:rsidTr="0022057B">
        <w:trPr>
          <w:trHeight w:val="287"/>
        </w:trPr>
        <w:tc>
          <w:tcPr>
            <w:tcW w:w="4390" w:type="dxa"/>
            <w:shd w:val="clear" w:color="auto" w:fill="auto"/>
            <w:vAlign w:val="center"/>
            <w:hideMark/>
          </w:tcPr>
          <w:p w14:paraId="47F55247" w14:textId="77777777" w:rsidR="00AE5054" w:rsidRPr="00AE5054" w:rsidRDefault="003B0DE2" w:rsidP="00AE5054">
            <w:pPr>
              <w:spacing w:before="0" w:after="0"/>
              <w:jc w:val="left"/>
              <w:rPr>
                <w:rFonts w:eastAsia="Times New Roman" w:cs="Arial"/>
                <w:color w:val="0563C1"/>
                <w:u w:val="single"/>
                <w:lang w:eastAsia="el-GR"/>
              </w:rPr>
            </w:pPr>
            <w:hyperlink r:id="rId409" w:history="1">
              <w:r w:rsidR="00AE5054" w:rsidRPr="00AE5054">
                <w:rPr>
                  <w:rFonts w:eastAsia="Times New Roman" w:cs="Arial"/>
                  <w:color w:val="0563C1"/>
                  <w:u w:val="single"/>
                  <w:lang w:eastAsia="el-GR"/>
                </w:rPr>
                <w:t>Carbon Forestry</w:t>
              </w:r>
            </w:hyperlink>
          </w:p>
        </w:tc>
        <w:tc>
          <w:tcPr>
            <w:tcW w:w="1842" w:type="dxa"/>
            <w:shd w:val="clear" w:color="auto" w:fill="auto"/>
            <w:vAlign w:val="center"/>
            <w:hideMark/>
          </w:tcPr>
          <w:p w14:paraId="296238C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829BD2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2DBD1F7D" w14:textId="77777777" w:rsidTr="0022057B">
        <w:trPr>
          <w:trHeight w:val="287"/>
        </w:trPr>
        <w:tc>
          <w:tcPr>
            <w:tcW w:w="4390" w:type="dxa"/>
            <w:shd w:val="clear" w:color="auto" w:fill="auto"/>
            <w:vAlign w:val="center"/>
            <w:hideMark/>
          </w:tcPr>
          <w:p w14:paraId="028F299F" w14:textId="77777777" w:rsidR="00AE5054" w:rsidRPr="00AE5054" w:rsidRDefault="003B0DE2" w:rsidP="00AE5054">
            <w:pPr>
              <w:spacing w:before="0" w:after="0"/>
              <w:jc w:val="left"/>
              <w:rPr>
                <w:rFonts w:eastAsia="Times New Roman" w:cs="Arial"/>
                <w:color w:val="0563C1"/>
                <w:u w:val="single"/>
                <w:lang w:eastAsia="el-GR"/>
              </w:rPr>
            </w:pPr>
            <w:hyperlink r:id="rId410" w:history="1">
              <w:r w:rsidR="00AE5054" w:rsidRPr="00AE5054">
                <w:rPr>
                  <w:rFonts w:eastAsia="Times New Roman" w:cs="Arial"/>
                  <w:color w:val="0563C1"/>
                  <w:u w:val="single"/>
                  <w:lang w:eastAsia="el-GR"/>
                </w:rPr>
                <w:t>Carbon Friendly</w:t>
              </w:r>
            </w:hyperlink>
          </w:p>
        </w:tc>
        <w:tc>
          <w:tcPr>
            <w:tcW w:w="1842" w:type="dxa"/>
            <w:shd w:val="clear" w:color="auto" w:fill="auto"/>
            <w:vAlign w:val="center"/>
            <w:hideMark/>
          </w:tcPr>
          <w:p w14:paraId="493C64E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2CF77E8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74CE15A" w14:textId="77777777" w:rsidTr="0022057B">
        <w:trPr>
          <w:trHeight w:val="287"/>
        </w:trPr>
        <w:tc>
          <w:tcPr>
            <w:tcW w:w="4390" w:type="dxa"/>
            <w:shd w:val="clear" w:color="auto" w:fill="auto"/>
            <w:vAlign w:val="center"/>
            <w:hideMark/>
          </w:tcPr>
          <w:p w14:paraId="4B6DC538" w14:textId="77777777" w:rsidR="00AE5054" w:rsidRPr="00AE5054" w:rsidRDefault="003B0DE2" w:rsidP="00AE5054">
            <w:pPr>
              <w:spacing w:before="0" w:after="0"/>
              <w:jc w:val="left"/>
              <w:rPr>
                <w:rFonts w:eastAsia="Times New Roman" w:cs="Arial"/>
                <w:color w:val="0563C1"/>
                <w:u w:val="single"/>
                <w:lang w:eastAsia="el-GR"/>
              </w:rPr>
            </w:pPr>
            <w:hyperlink r:id="rId411" w:history="1">
              <w:r w:rsidR="00AE5054" w:rsidRPr="00AE5054">
                <w:rPr>
                  <w:rFonts w:eastAsia="Times New Roman" w:cs="Arial"/>
                  <w:color w:val="0563C1"/>
                  <w:u w:val="single"/>
                  <w:lang w:eastAsia="el-GR"/>
                </w:rPr>
                <w:t>Carbon Impacts</w:t>
              </w:r>
            </w:hyperlink>
          </w:p>
        </w:tc>
        <w:tc>
          <w:tcPr>
            <w:tcW w:w="1842" w:type="dxa"/>
            <w:shd w:val="clear" w:color="auto" w:fill="auto"/>
            <w:vAlign w:val="center"/>
            <w:hideMark/>
          </w:tcPr>
          <w:p w14:paraId="4D33C1C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559D86E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56211830" w14:textId="77777777" w:rsidTr="0022057B">
        <w:trPr>
          <w:trHeight w:val="574"/>
        </w:trPr>
        <w:tc>
          <w:tcPr>
            <w:tcW w:w="4390" w:type="dxa"/>
            <w:shd w:val="clear" w:color="auto" w:fill="auto"/>
            <w:vAlign w:val="center"/>
            <w:hideMark/>
          </w:tcPr>
          <w:p w14:paraId="7B6DEB38" w14:textId="77777777" w:rsidR="00AE5054" w:rsidRPr="00AE5054" w:rsidRDefault="003B0DE2" w:rsidP="00AE5054">
            <w:pPr>
              <w:spacing w:before="0" w:after="0"/>
              <w:jc w:val="left"/>
              <w:rPr>
                <w:rFonts w:eastAsia="Times New Roman" w:cs="Arial"/>
                <w:color w:val="0563C1"/>
                <w:u w:val="single"/>
                <w:lang w:eastAsia="el-GR"/>
              </w:rPr>
            </w:pPr>
            <w:hyperlink r:id="rId412" w:history="1">
              <w:r w:rsidR="00AE5054" w:rsidRPr="00AE5054">
                <w:rPr>
                  <w:rFonts w:eastAsia="Times New Roman" w:cs="Arial"/>
                  <w:color w:val="0563C1"/>
                  <w:u w:val="single"/>
                  <w:lang w:eastAsia="el-GR"/>
                </w:rPr>
                <w:t>Carbon Life</w:t>
              </w:r>
            </w:hyperlink>
          </w:p>
        </w:tc>
        <w:tc>
          <w:tcPr>
            <w:tcW w:w="1842" w:type="dxa"/>
            <w:shd w:val="clear" w:color="auto" w:fill="auto"/>
            <w:vAlign w:val="center"/>
            <w:hideMark/>
          </w:tcPr>
          <w:p w14:paraId="42E5C60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3EA7F4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688DA603" w14:textId="77777777" w:rsidTr="0022057B">
        <w:trPr>
          <w:trHeight w:val="287"/>
        </w:trPr>
        <w:tc>
          <w:tcPr>
            <w:tcW w:w="4390" w:type="dxa"/>
            <w:shd w:val="clear" w:color="auto" w:fill="auto"/>
            <w:vAlign w:val="center"/>
            <w:hideMark/>
          </w:tcPr>
          <w:p w14:paraId="4EA9C406" w14:textId="77777777" w:rsidR="00AE5054" w:rsidRPr="00AE5054" w:rsidRDefault="003B0DE2" w:rsidP="00AE5054">
            <w:pPr>
              <w:spacing w:before="0" w:after="0"/>
              <w:jc w:val="left"/>
              <w:rPr>
                <w:rFonts w:eastAsia="Times New Roman" w:cs="Arial"/>
                <w:color w:val="0563C1"/>
                <w:u w:val="single"/>
                <w:lang w:eastAsia="el-GR"/>
              </w:rPr>
            </w:pPr>
            <w:hyperlink r:id="rId413" w:history="1">
              <w:r w:rsidR="00AE5054" w:rsidRPr="00AE5054">
                <w:rPr>
                  <w:rFonts w:eastAsia="Times New Roman" w:cs="Arial"/>
                  <w:color w:val="0563C1"/>
                  <w:u w:val="single"/>
                  <w:lang w:eastAsia="el-GR"/>
                </w:rPr>
                <w:t>Carbon Managers</w:t>
              </w:r>
            </w:hyperlink>
          </w:p>
        </w:tc>
        <w:tc>
          <w:tcPr>
            <w:tcW w:w="1842" w:type="dxa"/>
            <w:shd w:val="clear" w:color="auto" w:fill="auto"/>
            <w:vAlign w:val="center"/>
            <w:hideMark/>
          </w:tcPr>
          <w:p w14:paraId="61D20B2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52036D8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223CDC8A" w14:textId="77777777" w:rsidTr="0022057B">
        <w:trPr>
          <w:trHeight w:val="287"/>
        </w:trPr>
        <w:tc>
          <w:tcPr>
            <w:tcW w:w="4390" w:type="dxa"/>
            <w:shd w:val="clear" w:color="auto" w:fill="auto"/>
            <w:vAlign w:val="center"/>
            <w:hideMark/>
          </w:tcPr>
          <w:p w14:paraId="1D26B65B" w14:textId="77777777" w:rsidR="00AE5054" w:rsidRPr="00AE5054" w:rsidRDefault="003B0DE2" w:rsidP="00AE5054">
            <w:pPr>
              <w:spacing w:before="0" w:after="0"/>
              <w:jc w:val="left"/>
              <w:rPr>
                <w:rFonts w:eastAsia="Times New Roman" w:cs="Arial"/>
                <w:color w:val="0563C1"/>
                <w:u w:val="single"/>
                <w:lang w:eastAsia="el-GR"/>
              </w:rPr>
            </w:pPr>
            <w:hyperlink r:id="rId414" w:history="1">
              <w:r w:rsidR="00AE5054" w:rsidRPr="00AE5054">
                <w:rPr>
                  <w:rFonts w:eastAsia="Times New Roman" w:cs="Arial"/>
                  <w:color w:val="0563C1"/>
                  <w:u w:val="single"/>
                  <w:lang w:eastAsia="el-GR"/>
                </w:rPr>
                <w:t>Carbon Me</w:t>
              </w:r>
            </w:hyperlink>
          </w:p>
        </w:tc>
        <w:tc>
          <w:tcPr>
            <w:tcW w:w="1842" w:type="dxa"/>
            <w:shd w:val="clear" w:color="auto" w:fill="auto"/>
            <w:vAlign w:val="center"/>
            <w:hideMark/>
          </w:tcPr>
          <w:p w14:paraId="712E7EC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FC34BB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3F46628" w14:textId="77777777" w:rsidTr="0022057B">
        <w:trPr>
          <w:trHeight w:val="287"/>
        </w:trPr>
        <w:tc>
          <w:tcPr>
            <w:tcW w:w="4390" w:type="dxa"/>
            <w:shd w:val="clear" w:color="auto" w:fill="auto"/>
            <w:vAlign w:val="center"/>
            <w:hideMark/>
          </w:tcPr>
          <w:p w14:paraId="13E555EE" w14:textId="77777777" w:rsidR="00AE5054" w:rsidRPr="00AE5054" w:rsidRDefault="003B0DE2" w:rsidP="00AE5054">
            <w:pPr>
              <w:spacing w:before="0" w:after="0"/>
              <w:jc w:val="left"/>
              <w:rPr>
                <w:rFonts w:eastAsia="Times New Roman" w:cs="Arial"/>
                <w:color w:val="0563C1"/>
                <w:u w:val="single"/>
                <w:lang w:eastAsia="el-GR"/>
              </w:rPr>
            </w:pPr>
            <w:hyperlink r:id="rId415" w:history="1">
              <w:r w:rsidR="00AE5054" w:rsidRPr="00AE5054">
                <w:rPr>
                  <w:rFonts w:eastAsia="Times New Roman" w:cs="Arial"/>
                  <w:color w:val="0563C1"/>
                  <w:u w:val="single"/>
                  <w:lang w:eastAsia="el-GR"/>
                </w:rPr>
                <w:t>Carbon Negative Worldwide</w:t>
              </w:r>
            </w:hyperlink>
          </w:p>
        </w:tc>
        <w:tc>
          <w:tcPr>
            <w:tcW w:w="1842" w:type="dxa"/>
            <w:shd w:val="clear" w:color="auto" w:fill="auto"/>
            <w:vAlign w:val="center"/>
            <w:hideMark/>
          </w:tcPr>
          <w:p w14:paraId="601E3CF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316923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52EFA62D" w14:textId="77777777" w:rsidTr="0022057B">
        <w:trPr>
          <w:trHeight w:val="574"/>
        </w:trPr>
        <w:tc>
          <w:tcPr>
            <w:tcW w:w="4390" w:type="dxa"/>
            <w:shd w:val="clear" w:color="auto" w:fill="auto"/>
            <w:vAlign w:val="center"/>
            <w:hideMark/>
          </w:tcPr>
          <w:p w14:paraId="21FFD105" w14:textId="77777777" w:rsidR="00AE5054" w:rsidRPr="00AE5054" w:rsidRDefault="003B0DE2" w:rsidP="00AE5054">
            <w:pPr>
              <w:spacing w:before="0" w:after="0"/>
              <w:jc w:val="left"/>
              <w:rPr>
                <w:rFonts w:eastAsia="Times New Roman" w:cs="Arial"/>
                <w:color w:val="0563C1"/>
                <w:u w:val="single"/>
                <w:lang w:eastAsia="el-GR"/>
              </w:rPr>
            </w:pPr>
            <w:hyperlink r:id="rId416" w:history="1">
              <w:r w:rsidR="00AE5054" w:rsidRPr="00AE5054">
                <w:rPr>
                  <w:rFonts w:eastAsia="Times New Roman" w:cs="Arial"/>
                  <w:color w:val="0563C1"/>
                  <w:u w:val="single"/>
                  <w:lang w:eastAsia="el-GR"/>
                </w:rPr>
                <w:t>Carbon Neutral</w:t>
              </w:r>
            </w:hyperlink>
          </w:p>
        </w:tc>
        <w:tc>
          <w:tcPr>
            <w:tcW w:w="1842" w:type="dxa"/>
            <w:shd w:val="clear" w:color="auto" w:fill="auto"/>
            <w:vAlign w:val="center"/>
            <w:hideMark/>
          </w:tcPr>
          <w:p w14:paraId="6E02780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6FC425E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15E1781B" w14:textId="77777777" w:rsidTr="0022057B">
        <w:trPr>
          <w:trHeight w:val="287"/>
        </w:trPr>
        <w:tc>
          <w:tcPr>
            <w:tcW w:w="4390" w:type="dxa"/>
            <w:shd w:val="clear" w:color="auto" w:fill="auto"/>
            <w:vAlign w:val="center"/>
            <w:hideMark/>
          </w:tcPr>
          <w:p w14:paraId="4EC6E549" w14:textId="77777777" w:rsidR="00AE5054" w:rsidRPr="00AE5054" w:rsidRDefault="003B0DE2" w:rsidP="00AE5054">
            <w:pPr>
              <w:spacing w:before="0" w:after="0"/>
              <w:jc w:val="left"/>
              <w:rPr>
                <w:rFonts w:eastAsia="Times New Roman" w:cs="Arial"/>
                <w:color w:val="0563C1"/>
                <w:u w:val="single"/>
                <w:lang w:eastAsia="el-GR"/>
              </w:rPr>
            </w:pPr>
            <w:hyperlink r:id="rId417" w:history="1">
              <w:r w:rsidR="00AE5054" w:rsidRPr="00AE5054">
                <w:rPr>
                  <w:rFonts w:eastAsia="Times New Roman" w:cs="Arial"/>
                  <w:color w:val="0563C1"/>
                  <w:u w:val="single"/>
                  <w:lang w:eastAsia="el-GR"/>
                </w:rPr>
                <w:t>Carbon Offset Scotland</w:t>
              </w:r>
            </w:hyperlink>
          </w:p>
        </w:tc>
        <w:tc>
          <w:tcPr>
            <w:tcW w:w="1842" w:type="dxa"/>
            <w:shd w:val="clear" w:color="auto" w:fill="auto"/>
            <w:vAlign w:val="center"/>
            <w:hideMark/>
          </w:tcPr>
          <w:p w14:paraId="3F5712A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A73C1E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748DC443" w14:textId="77777777" w:rsidTr="0022057B">
        <w:trPr>
          <w:trHeight w:val="287"/>
        </w:trPr>
        <w:tc>
          <w:tcPr>
            <w:tcW w:w="4390" w:type="dxa"/>
            <w:shd w:val="clear" w:color="auto" w:fill="auto"/>
            <w:vAlign w:val="center"/>
            <w:hideMark/>
          </w:tcPr>
          <w:p w14:paraId="05C97376" w14:textId="77777777" w:rsidR="00AE5054" w:rsidRPr="00AE5054" w:rsidRDefault="003B0DE2" w:rsidP="00AE5054">
            <w:pPr>
              <w:spacing w:before="0" w:after="0"/>
              <w:jc w:val="left"/>
              <w:rPr>
                <w:rFonts w:eastAsia="Times New Roman" w:cs="Arial"/>
                <w:color w:val="0563C1"/>
                <w:u w:val="single"/>
                <w:lang w:eastAsia="el-GR"/>
              </w:rPr>
            </w:pPr>
            <w:hyperlink r:id="rId418" w:history="1">
              <w:r w:rsidR="00AE5054" w:rsidRPr="00AE5054">
                <w:rPr>
                  <w:rFonts w:eastAsia="Times New Roman" w:cs="Arial"/>
                  <w:color w:val="0563C1"/>
                  <w:u w:val="single"/>
                  <w:lang w:eastAsia="el-GR"/>
                </w:rPr>
                <w:t>Carbon Offset Solutions</w:t>
              </w:r>
            </w:hyperlink>
          </w:p>
        </w:tc>
        <w:tc>
          <w:tcPr>
            <w:tcW w:w="1842" w:type="dxa"/>
            <w:shd w:val="clear" w:color="auto" w:fill="auto"/>
            <w:vAlign w:val="center"/>
            <w:hideMark/>
          </w:tcPr>
          <w:p w14:paraId="1C5F2C9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A3D811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7833223D" w14:textId="77777777" w:rsidTr="0022057B">
        <w:trPr>
          <w:trHeight w:val="287"/>
        </w:trPr>
        <w:tc>
          <w:tcPr>
            <w:tcW w:w="4390" w:type="dxa"/>
            <w:shd w:val="clear" w:color="auto" w:fill="auto"/>
            <w:vAlign w:val="center"/>
            <w:hideMark/>
          </w:tcPr>
          <w:p w14:paraId="7DAF4309" w14:textId="77777777" w:rsidR="00AE5054" w:rsidRPr="00AE5054" w:rsidRDefault="003B0DE2" w:rsidP="00AE5054">
            <w:pPr>
              <w:spacing w:before="0" w:after="0"/>
              <w:jc w:val="left"/>
              <w:rPr>
                <w:rFonts w:eastAsia="Times New Roman" w:cs="Arial"/>
                <w:color w:val="0563C1"/>
                <w:u w:val="single"/>
                <w:lang w:eastAsia="el-GR"/>
              </w:rPr>
            </w:pPr>
            <w:hyperlink r:id="rId419" w:history="1">
              <w:r w:rsidR="00AE5054" w:rsidRPr="00AE5054">
                <w:rPr>
                  <w:rFonts w:eastAsia="Times New Roman" w:cs="Arial"/>
                  <w:color w:val="0563C1"/>
                  <w:u w:val="single"/>
                  <w:lang w:eastAsia="el-GR"/>
                </w:rPr>
                <w:t>Carbon Offsets Ltd</w:t>
              </w:r>
            </w:hyperlink>
          </w:p>
        </w:tc>
        <w:tc>
          <w:tcPr>
            <w:tcW w:w="1842" w:type="dxa"/>
            <w:shd w:val="clear" w:color="auto" w:fill="auto"/>
            <w:vAlign w:val="center"/>
            <w:hideMark/>
          </w:tcPr>
          <w:p w14:paraId="47ABA47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ED1F86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0F8B2826" w14:textId="77777777" w:rsidTr="0022057B">
        <w:trPr>
          <w:trHeight w:val="287"/>
        </w:trPr>
        <w:tc>
          <w:tcPr>
            <w:tcW w:w="4390" w:type="dxa"/>
            <w:shd w:val="clear" w:color="auto" w:fill="auto"/>
            <w:vAlign w:val="center"/>
            <w:hideMark/>
          </w:tcPr>
          <w:p w14:paraId="5CB57F69" w14:textId="77777777" w:rsidR="00AE5054" w:rsidRPr="00AE5054" w:rsidRDefault="003B0DE2" w:rsidP="00AE5054">
            <w:pPr>
              <w:spacing w:before="0" w:after="0"/>
              <w:jc w:val="left"/>
              <w:rPr>
                <w:rFonts w:eastAsia="Times New Roman" w:cs="Arial"/>
                <w:color w:val="0563C1"/>
                <w:u w:val="single"/>
                <w:lang w:eastAsia="el-GR"/>
              </w:rPr>
            </w:pPr>
            <w:hyperlink r:id="rId420" w:history="1">
              <w:r w:rsidR="00AE5054" w:rsidRPr="00AE5054">
                <w:rPr>
                  <w:rFonts w:eastAsia="Times New Roman" w:cs="Arial"/>
                  <w:color w:val="0563C1"/>
                  <w:u w:val="single"/>
                  <w:lang w:eastAsia="el-GR"/>
                </w:rPr>
                <w:t>Carbon Passport</w:t>
              </w:r>
            </w:hyperlink>
          </w:p>
        </w:tc>
        <w:tc>
          <w:tcPr>
            <w:tcW w:w="1842" w:type="dxa"/>
            <w:shd w:val="clear" w:color="auto" w:fill="auto"/>
            <w:vAlign w:val="center"/>
            <w:hideMark/>
          </w:tcPr>
          <w:p w14:paraId="39E5C5B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EDF173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2042731D" w14:textId="77777777" w:rsidTr="0022057B">
        <w:trPr>
          <w:trHeight w:val="574"/>
        </w:trPr>
        <w:tc>
          <w:tcPr>
            <w:tcW w:w="4390" w:type="dxa"/>
            <w:shd w:val="clear" w:color="auto" w:fill="auto"/>
            <w:vAlign w:val="center"/>
            <w:hideMark/>
          </w:tcPr>
          <w:p w14:paraId="688FFAFD" w14:textId="77777777" w:rsidR="00AE5054" w:rsidRPr="00AE5054" w:rsidRDefault="003B0DE2" w:rsidP="00AE5054">
            <w:pPr>
              <w:spacing w:before="0" w:after="0"/>
              <w:jc w:val="left"/>
              <w:rPr>
                <w:rFonts w:eastAsia="Times New Roman" w:cs="Arial"/>
                <w:color w:val="0563C1"/>
                <w:u w:val="single"/>
                <w:lang w:eastAsia="el-GR"/>
              </w:rPr>
            </w:pPr>
            <w:hyperlink r:id="rId421" w:history="1">
              <w:r w:rsidR="00AE5054" w:rsidRPr="00AE5054">
                <w:rPr>
                  <w:rFonts w:eastAsia="Times New Roman" w:cs="Arial"/>
                  <w:color w:val="0563C1"/>
                  <w:u w:val="single"/>
                  <w:lang w:eastAsia="el-GR"/>
                </w:rPr>
                <w:t>Carbon Planet</w:t>
              </w:r>
            </w:hyperlink>
          </w:p>
        </w:tc>
        <w:tc>
          <w:tcPr>
            <w:tcW w:w="1842" w:type="dxa"/>
            <w:shd w:val="clear" w:color="auto" w:fill="auto"/>
            <w:vAlign w:val="center"/>
            <w:hideMark/>
          </w:tcPr>
          <w:p w14:paraId="769CBD2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7611B46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 Retailer, Consultant</w:t>
            </w:r>
          </w:p>
        </w:tc>
      </w:tr>
      <w:tr w:rsidR="00AE5054" w:rsidRPr="00AE5054" w14:paraId="2F78C972" w14:textId="77777777" w:rsidTr="0022057B">
        <w:trPr>
          <w:trHeight w:val="574"/>
        </w:trPr>
        <w:tc>
          <w:tcPr>
            <w:tcW w:w="4390" w:type="dxa"/>
            <w:shd w:val="clear" w:color="auto" w:fill="auto"/>
            <w:vAlign w:val="center"/>
            <w:hideMark/>
          </w:tcPr>
          <w:p w14:paraId="3046F315" w14:textId="77777777" w:rsidR="00AE5054" w:rsidRPr="00AE5054" w:rsidRDefault="003B0DE2" w:rsidP="00AE5054">
            <w:pPr>
              <w:spacing w:before="0" w:after="0"/>
              <w:jc w:val="left"/>
              <w:rPr>
                <w:rFonts w:eastAsia="Times New Roman" w:cs="Arial"/>
                <w:color w:val="0563C1"/>
                <w:u w:val="single"/>
                <w:lang w:eastAsia="el-GR"/>
              </w:rPr>
            </w:pPr>
            <w:hyperlink r:id="rId422" w:history="1">
              <w:r w:rsidR="00AE5054" w:rsidRPr="00AE5054">
                <w:rPr>
                  <w:rFonts w:eastAsia="Times New Roman" w:cs="Arial"/>
                  <w:color w:val="0563C1"/>
                  <w:u w:val="single"/>
                  <w:lang w:eastAsia="el-GR"/>
                </w:rPr>
                <w:t>Carbon Pool</w:t>
              </w:r>
            </w:hyperlink>
          </w:p>
        </w:tc>
        <w:tc>
          <w:tcPr>
            <w:tcW w:w="1842" w:type="dxa"/>
            <w:shd w:val="clear" w:color="auto" w:fill="auto"/>
            <w:vAlign w:val="center"/>
            <w:hideMark/>
          </w:tcPr>
          <w:p w14:paraId="2CE8346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632F7A6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Consultant</w:t>
            </w:r>
          </w:p>
        </w:tc>
      </w:tr>
      <w:tr w:rsidR="00AE5054" w:rsidRPr="00AE5054" w14:paraId="259284BE" w14:textId="77777777" w:rsidTr="0022057B">
        <w:trPr>
          <w:trHeight w:val="287"/>
        </w:trPr>
        <w:tc>
          <w:tcPr>
            <w:tcW w:w="4390" w:type="dxa"/>
            <w:shd w:val="clear" w:color="auto" w:fill="auto"/>
            <w:vAlign w:val="center"/>
            <w:hideMark/>
          </w:tcPr>
          <w:p w14:paraId="47D4DB14" w14:textId="77777777" w:rsidR="00AE5054" w:rsidRPr="00AE5054" w:rsidRDefault="003B0DE2" w:rsidP="00AE5054">
            <w:pPr>
              <w:spacing w:before="0" w:after="0"/>
              <w:jc w:val="left"/>
              <w:rPr>
                <w:rFonts w:eastAsia="Times New Roman" w:cs="Arial"/>
                <w:color w:val="0563C1"/>
                <w:u w:val="single"/>
                <w:lang w:eastAsia="el-GR"/>
              </w:rPr>
            </w:pPr>
            <w:hyperlink r:id="rId423" w:history="1">
              <w:r w:rsidR="00AE5054" w:rsidRPr="00AE5054">
                <w:rPr>
                  <w:rFonts w:eastAsia="Times New Roman" w:cs="Arial"/>
                  <w:color w:val="0563C1"/>
                  <w:u w:val="single"/>
                  <w:lang w:eastAsia="el-GR"/>
                </w:rPr>
                <w:t>Carbon Reduction Institute</w:t>
              </w:r>
            </w:hyperlink>
          </w:p>
        </w:tc>
        <w:tc>
          <w:tcPr>
            <w:tcW w:w="1842" w:type="dxa"/>
            <w:shd w:val="clear" w:color="auto" w:fill="auto"/>
            <w:vAlign w:val="center"/>
            <w:hideMark/>
          </w:tcPr>
          <w:p w14:paraId="4BE55EB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397055A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7AB55B09" w14:textId="77777777" w:rsidTr="0022057B">
        <w:trPr>
          <w:trHeight w:val="860"/>
        </w:trPr>
        <w:tc>
          <w:tcPr>
            <w:tcW w:w="4390" w:type="dxa"/>
            <w:shd w:val="clear" w:color="auto" w:fill="auto"/>
            <w:vAlign w:val="center"/>
            <w:hideMark/>
          </w:tcPr>
          <w:p w14:paraId="00FB32C9" w14:textId="77777777" w:rsidR="00AE5054" w:rsidRPr="00AE5054" w:rsidRDefault="003B0DE2" w:rsidP="00AE5054">
            <w:pPr>
              <w:spacing w:before="0" w:after="0"/>
              <w:jc w:val="left"/>
              <w:rPr>
                <w:rFonts w:eastAsia="Times New Roman" w:cs="Arial"/>
                <w:color w:val="0563C1"/>
                <w:u w:val="single"/>
                <w:lang w:eastAsia="el-GR"/>
              </w:rPr>
            </w:pPr>
            <w:hyperlink r:id="rId424" w:history="1">
              <w:r w:rsidR="00AE5054" w:rsidRPr="00AE5054">
                <w:rPr>
                  <w:rFonts w:eastAsia="Times New Roman" w:cs="Arial"/>
                  <w:color w:val="0563C1"/>
                  <w:u w:val="single"/>
                  <w:lang w:eastAsia="el-GR"/>
                </w:rPr>
                <w:t>Carbon Resource Management</w:t>
              </w:r>
            </w:hyperlink>
          </w:p>
        </w:tc>
        <w:tc>
          <w:tcPr>
            <w:tcW w:w="1842" w:type="dxa"/>
            <w:shd w:val="clear" w:color="auto" w:fill="auto"/>
            <w:vAlign w:val="center"/>
            <w:hideMark/>
          </w:tcPr>
          <w:p w14:paraId="3FD8009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5C9C7EB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Trader and/or broker, Retailer, Consultant</w:t>
            </w:r>
          </w:p>
        </w:tc>
      </w:tr>
      <w:tr w:rsidR="00AE5054" w:rsidRPr="00AE5054" w14:paraId="2EA2E09A" w14:textId="77777777" w:rsidTr="0022057B">
        <w:trPr>
          <w:trHeight w:val="287"/>
        </w:trPr>
        <w:tc>
          <w:tcPr>
            <w:tcW w:w="4390" w:type="dxa"/>
            <w:shd w:val="clear" w:color="auto" w:fill="auto"/>
            <w:vAlign w:val="center"/>
            <w:hideMark/>
          </w:tcPr>
          <w:p w14:paraId="1A726973" w14:textId="77777777" w:rsidR="00AE5054" w:rsidRPr="00AE5054" w:rsidRDefault="003B0DE2" w:rsidP="00AE5054">
            <w:pPr>
              <w:spacing w:before="0" w:after="0"/>
              <w:jc w:val="left"/>
              <w:rPr>
                <w:rFonts w:eastAsia="Times New Roman" w:cs="Arial"/>
                <w:color w:val="0563C1"/>
                <w:u w:val="single"/>
                <w:lang w:eastAsia="el-GR"/>
              </w:rPr>
            </w:pPr>
            <w:hyperlink r:id="rId425" w:history="1">
              <w:r w:rsidR="00AE5054" w:rsidRPr="00AE5054">
                <w:rPr>
                  <w:rFonts w:eastAsia="Times New Roman" w:cs="Arial"/>
                  <w:color w:val="0563C1"/>
                  <w:u w:val="single"/>
                  <w:lang w:eastAsia="el-GR"/>
                </w:rPr>
                <w:t>Carbon Retirement</w:t>
              </w:r>
            </w:hyperlink>
          </w:p>
        </w:tc>
        <w:tc>
          <w:tcPr>
            <w:tcW w:w="1842" w:type="dxa"/>
            <w:shd w:val="clear" w:color="auto" w:fill="auto"/>
            <w:vAlign w:val="center"/>
            <w:hideMark/>
          </w:tcPr>
          <w:p w14:paraId="324419F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79A4497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44282E89" w14:textId="77777777" w:rsidTr="0022057B">
        <w:trPr>
          <w:trHeight w:val="287"/>
        </w:trPr>
        <w:tc>
          <w:tcPr>
            <w:tcW w:w="4390" w:type="dxa"/>
            <w:shd w:val="clear" w:color="auto" w:fill="auto"/>
            <w:vAlign w:val="center"/>
            <w:hideMark/>
          </w:tcPr>
          <w:p w14:paraId="398F385B" w14:textId="77777777" w:rsidR="00AE5054" w:rsidRPr="00AE5054" w:rsidRDefault="003B0DE2" w:rsidP="00AE5054">
            <w:pPr>
              <w:spacing w:before="0" w:after="0"/>
              <w:jc w:val="left"/>
              <w:rPr>
                <w:rFonts w:eastAsia="Times New Roman" w:cs="Arial"/>
                <w:color w:val="0563C1"/>
                <w:u w:val="single"/>
                <w:lang w:eastAsia="el-GR"/>
              </w:rPr>
            </w:pPr>
            <w:hyperlink r:id="rId426" w:history="1">
              <w:r w:rsidR="00AE5054" w:rsidRPr="00AE5054">
                <w:rPr>
                  <w:rFonts w:eastAsia="Times New Roman" w:cs="Arial"/>
                  <w:color w:val="0563C1"/>
                  <w:u w:val="single"/>
                  <w:lang w:eastAsia="el-GR"/>
                </w:rPr>
                <w:t>Carbon Ventures</w:t>
              </w:r>
            </w:hyperlink>
          </w:p>
        </w:tc>
        <w:tc>
          <w:tcPr>
            <w:tcW w:w="1842" w:type="dxa"/>
            <w:shd w:val="clear" w:color="auto" w:fill="auto"/>
            <w:vAlign w:val="center"/>
            <w:hideMark/>
          </w:tcPr>
          <w:p w14:paraId="4671CEA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712B7F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05AF65E4" w14:textId="77777777" w:rsidTr="0022057B">
        <w:trPr>
          <w:trHeight w:val="287"/>
        </w:trPr>
        <w:tc>
          <w:tcPr>
            <w:tcW w:w="4390" w:type="dxa"/>
            <w:shd w:val="clear" w:color="auto" w:fill="auto"/>
            <w:vAlign w:val="center"/>
            <w:hideMark/>
          </w:tcPr>
          <w:p w14:paraId="548E1343" w14:textId="77777777" w:rsidR="00AE5054" w:rsidRPr="00AE5054" w:rsidRDefault="003B0DE2" w:rsidP="00AE5054">
            <w:pPr>
              <w:spacing w:before="0" w:after="0"/>
              <w:jc w:val="left"/>
              <w:rPr>
                <w:rFonts w:eastAsia="Times New Roman" w:cs="Arial"/>
                <w:color w:val="0563C1"/>
                <w:u w:val="single"/>
                <w:lang w:eastAsia="el-GR"/>
              </w:rPr>
            </w:pPr>
            <w:hyperlink r:id="rId427" w:history="1">
              <w:r w:rsidR="00AE5054" w:rsidRPr="00AE5054">
                <w:rPr>
                  <w:rFonts w:eastAsia="Times New Roman" w:cs="Arial"/>
                  <w:color w:val="0563C1"/>
                  <w:u w:val="single"/>
                  <w:lang w:eastAsia="el-GR"/>
                </w:rPr>
                <w:t>Carbon Zero Canada</w:t>
              </w:r>
            </w:hyperlink>
          </w:p>
        </w:tc>
        <w:tc>
          <w:tcPr>
            <w:tcW w:w="1842" w:type="dxa"/>
            <w:shd w:val="clear" w:color="auto" w:fill="auto"/>
            <w:vAlign w:val="center"/>
            <w:hideMark/>
          </w:tcPr>
          <w:p w14:paraId="6985D4D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4E4344B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6B5413A9" w14:textId="77777777" w:rsidTr="0022057B">
        <w:trPr>
          <w:trHeight w:val="287"/>
        </w:trPr>
        <w:tc>
          <w:tcPr>
            <w:tcW w:w="4390" w:type="dxa"/>
            <w:shd w:val="clear" w:color="auto" w:fill="auto"/>
            <w:vAlign w:val="center"/>
            <w:hideMark/>
          </w:tcPr>
          <w:p w14:paraId="34E48DA8" w14:textId="77777777" w:rsidR="00AE5054" w:rsidRPr="00AE5054" w:rsidRDefault="003B0DE2" w:rsidP="00AE5054">
            <w:pPr>
              <w:spacing w:before="0" w:after="0"/>
              <w:jc w:val="left"/>
              <w:rPr>
                <w:rFonts w:eastAsia="Times New Roman" w:cs="Arial"/>
                <w:color w:val="0563C1"/>
                <w:u w:val="single"/>
                <w:lang w:eastAsia="el-GR"/>
              </w:rPr>
            </w:pPr>
            <w:hyperlink r:id="rId428" w:history="1">
              <w:proofErr w:type="spellStart"/>
              <w:r w:rsidR="00AE5054" w:rsidRPr="00AE5054">
                <w:rPr>
                  <w:rFonts w:eastAsia="Times New Roman" w:cs="Arial"/>
                  <w:color w:val="0563C1"/>
                  <w:u w:val="single"/>
                  <w:lang w:eastAsia="el-GR"/>
                </w:rPr>
                <w:t>CarbonAided</w:t>
              </w:r>
              <w:proofErr w:type="spellEnd"/>
            </w:hyperlink>
          </w:p>
        </w:tc>
        <w:tc>
          <w:tcPr>
            <w:tcW w:w="1842" w:type="dxa"/>
            <w:shd w:val="clear" w:color="auto" w:fill="auto"/>
            <w:vAlign w:val="center"/>
            <w:hideMark/>
          </w:tcPr>
          <w:p w14:paraId="3F1B37D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23A8D8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58D68E63" w14:textId="77777777" w:rsidTr="0022057B">
        <w:trPr>
          <w:trHeight w:val="287"/>
        </w:trPr>
        <w:tc>
          <w:tcPr>
            <w:tcW w:w="4390" w:type="dxa"/>
            <w:shd w:val="clear" w:color="auto" w:fill="auto"/>
            <w:vAlign w:val="center"/>
            <w:hideMark/>
          </w:tcPr>
          <w:p w14:paraId="13832D43" w14:textId="77777777" w:rsidR="00AE5054" w:rsidRPr="00AE5054" w:rsidRDefault="003B0DE2" w:rsidP="00AE5054">
            <w:pPr>
              <w:spacing w:before="0" w:after="0"/>
              <w:jc w:val="left"/>
              <w:rPr>
                <w:rFonts w:eastAsia="Times New Roman" w:cs="Arial"/>
                <w:color w:val="0563C1"/>
                <w:u w:val="single"/>
                <w:lang w:eastAsia="el-GR"/>
              </w:rPr>
            </w:pPr>
            <w:hyperlink r:id="rId429" w:history="1">
              <w:r w:rsidR="00AE5054" w:rsidRPr="00AE5054">
                <w:rPr>
                  <w:rFonts w:eastAsia="Times New Roman" w:cs="Arial"/>
                  <w:color w:val="0563C1"/>
                  <w:u w:val="single"/>
                  <w:lang w:eastAsia="el-GR"/>
                </w:rPr>
                <w:t>Carbonfootprint.com</w:t>
              </w:r>
            </w:hyperlink>
          </w:p>
        </w:tc>
        <w:tc>
          <w:tcPr>
            <w:tcW w:w="1842" w:type="dxa"/>
            <w:shd w:val="clear" w:color="auto" w:fill="auto"/>
            <w:vAlign w:val="center"/>
            <w:hideMark/>
          </w:tcPr>
          <w:p w14:paraId="2A6C285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254C35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0A77B6CD" w14:textId="77777777" w:rsidTr="0022057B">
        <w:trPr>
          <w:trHeight w:val="287"/>
        </w:trPr>
        <w:tc>
          <w:tcPr>
            <w:tcW w:w="4390" w:type="dxa"/>
            <w:shd w:val="clear" w:color="auto" w:fill="auto"/>
            <w:vAlign w:val="center"/>
            <w:hideMark/>
          </w:tcPr>
          <w:p w14:paraId="3A214521" w14:textId="77777777" w:rsidR="00AE5054" w:rsidRPr="00AE5054" w:rsidRDefault="003B0DE2" w:rsidP="00AE5054">
            <w:pPr>
              <w:spacing w:before="0" w:after="0"/>
              <w:jc w:val="left"/>
              <w:rPr>
                <w:rFonts w:eastAsia="Times New Roman" w:cs="Arial"/>
                <w:color w:val="0563C1"/>
                <w:u w:val="single"/>
                <w:lang w:eastAsia="el-GR"/>
              </w:rPr>
            </w:pPr>
            <w:hyperlink r:id="rId430" w:history="1">
              <w:r w:rsidR="00AE5054" w:rsidRPr="00AE5054">
                <w:rPr>
                  <w:rFonts w:eastAsia="Times New Roman" w:cs="Arial"/>
                  <w:color w:val="0563C1"/>
                  <w:u w:val="single"/>
                  <w:lang w:eastAsia="el-GR"/>
                </w:rPr>
                <w:t>Carbonfund.org</w:t>
              </w:r>
            </w:hyperlink>
          </w:p>
        </w:tc>
        <w:tc>
          <w:tcPr>
            <w:tcW w:w="1842" w:type="dxa"/>
            <w:shd w:val="clear" w:color="auto" w:fill="auto"/>
            <w:vAlign w:val="center"/>
            <w:hideMark/>
          </w:tcPr>
          <w:p w14:paraId="2965E2A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44B5B89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24A86500" w14:textId="77777777" w:rsidTr="0022057B">
        <w:trPr>
          <w:trHeight w:val="287"/>
        </w:trPr>
        <w:tc>
          <w:tcPr>
            <w:tcW w:w="4390" w:type="dxa"/>
            <w:shd w:val="clear" w:color="auto" w:fill="auto"/>
            <w:vAlign w:val="center"/>
            <w:hideMark/>
          </w:tcPr>
          <w:p w14:paraId="2DAC9B8F" w14:textId="77777777" w:rsidR="00AE5054" w:rsidRPr="00AE5054" w:rsidRDefault="003B0DE2" w:rsidP="00AE5054">
            <w:pPr>
              <w:spacing w:before="0" w:after="0"/>
              <w:jc w:val="left"/>
              <w:rPr>
                <w:rFonts w:eastAsia="Times New Roman" w:cs="Arial"/>
                <w:color w:val="0563C1"/>
                <w:u w:val="single"/>
                <w:lang w:eastAsia="el-GR"/>
              </w:rPr>
            </w:pPr>
            <w:hyperlink r:id="rId431" w:history="1">
              <w:proofErr w:type="spellStart"/>
              <w:r w:rsidR="00AE5054" w:rsidRPr="00AE5054">
                <w:rPr>
                  <w:rFonts w:eastAsia="Times New Roman" w:cs="Arial"/>
                  <w:color w:val="0563C1"/>
                  <w:u w:val="single"/>
                  <w:lang w:eastAsia="el-GR"/>
                </w:rPr>
                <w:t>Carbonica</w:t>
              </w:r>
              <w:proofErr w:type="spellEnd"/>
            </w:hyperlink>
          </w:p>
        </w:tc>
        <w:tc>
          <w:tcPr>
            <w:tcW w:w="1842" w:type="dxa"/>
            <w:shd w:val="clear" w:color="auto" w:fill="auto"/>
            <w:vAlign w:val="center"/>
            <w:hideMark/>
          </w:tcPr>
          <w:p w14:paraId="51D8828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7A1577F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26DF4837" w14:textId="77777777" w:rsidTr="0022057B">
        <w:trPr>
          <w:trHeight w:val="287"/>
        </w:trPr>
        <w:tc>
          <w:tcPr>
            <w:tcW w:w="4390" w:type="dxa"/>
            <w:shd w:val="clear" w:color="auto" w:fill="auto"/>
            <w:vAlign w:val="center"/>
            <w:hideMark/>
          </w:tcPr>
          <w:p w14:paraId="6B3766DF" w14:textId="77777777" w:rsidR="00AE5054" w:rsidRPr="00AE5054" w:rsidRDefault="003B0DE2" w:rsidP="00AE5054">
            <w:pPr>
              <w:spacing w:before="0" w:after="0"/>
              <w:jc w:val="left"/>
              <w:rPr>
                <w:rFonts w:eastAsia="Times New Roman" w:cs="Arial"/>
                <w:color w:val="0563C1"/>
                <w:u w:val="single"/>
                <w:lang w:eastAsia="el-GR"/>
              </w:rPr>
            </w:pPr>
            <w:hyperlink r:id="rId432" w:history="1">
              <w:r w:rsidR="00AE5054" w:rsidRPr="00AE5054">
                <w:rPr>
                  <w:rFonts w:eastAsia="Times New Roman" w:cs="Arial"/>
                  <w:color w:val="0563C1"/>
                  <w:u w:val="single"/>
                  <w:lang w:eastAsia="el-GR"/>
                </w:rPr>
                <w:t>Carbonless Promise</w:t>
              </w:r>
            </w:hyperlink>
          </w:p>
        </w:tc>
        <w:tc>
          <w:tcPr>
            <w:tcW w:w="1842" w:type="dxa"/>
            <w:shd w:val="clear" w:color="auto" w:fill="auto"/>
            <w:vAlign w:val="center"/>
            <w:hideMark/>
          </w:tcPr>
          <w:p w14:paraId="477269D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0B53BF5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773F34C3" w14:textId="77777777" w:rsidTr="0022057B">
        <w:trPr>
          <w:trHeight w:val="287"/>
        </w:trPr>
        <w:tc>
          <w:tcPr>
            <w:tcW w:w="4390" w:type="dxa"/>
            <w:shd w:val="clear" w:color="auto" w:fill="auto"/>
            <w:vAlign w:val="center"/>
            <w:hideMark/>
          </w:tcPr>
          <w:p w14:paraId="5EE22BE3" w14:textId="77777777" w:rsidR="00AE5054" w:rsidRPr="00AE5054" w:rsidRDefault="003B0DE2" w:rsidP="00AE5054">
            <w:pPr>
              <w:spacing w:before="0" w:after="0"/>
              <w:jc w:val="left"/>
              <w:rPr>
                <w:rFonts w:eastAsia="Times New Roman" w:cs="Arial"/>
                <w:color w:val="0563C1"/>
                <w:u w:val="single"/>
                <w:lang w:eastAsia="el-GR"/>
              </w:rPr>
            </w:pPr>
            <w:hyperlink r:id="rId433" w:history="1">
              <w:proofErr w:type="spellStart"/>
              <w:r w:rsidR="00AE5054" w:rsidRPr="00AE5054">
                <w:rPr>
                  <w:rFonts w:eastAsia="Times New Roman" w:cs="Arial"/>
                  <w:color w:val="0563C1"/>
                  <w:u w:val="single"/>
                  <w:lang w:eastAsia="el-GR"/>
                </w:rPr>
                <w:t>Carbonza</w:t>
              </w:r>
              <w:proofErr w:type="spellEnd"/>
            </w:hyperlink>
          </w:p>
        </w:tc>
        <w:tc>
          <w:tcPr>
            <w:tcW w:w="1842" w:type="dxa"/>
            <w:shd w:val="clear" w:color="auto" w:fill="auto"/>
            <w:vAlign w:val="center"/>
            <w:hideMark/>
          </w:tcPr>
          <w:p w14:paraId="25BA8F5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011AABD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4589A724" w14:textId="77777777" w:rsidTr="0022057B">
        <w:trPr>
          <w:trHeight w:val="287"/>
        </w:trPr>
        <w:tc>
          <w:tcPr>
            <w:tcW w:w="4390" w:type="dxa"/>
            <w:shd w:val="clear" w:color="auto" w:fill="auto"/>
            <w:vAlign w:val="center"/>
            <w:hideMark/>
          </w:tcPr>
          <w:p w14:paraId="4ED81EFE" w14:textId="77777777" w:rsidR="00AE5054" w:rsidRPr="00AE5054" w:rsidRDefault="003B0DE2" w:rsidP="00AE5054">
            <w:pPr>
              <w:spacing w:before="0" w:after="0"/>
              <w:jc w:val="left"/>
              <w:rPr>
                <w:rFonts w:eastAsia="Times New Roman" w:cs="Arial"/>
                <w:color w:val="0563C1"/>
                <w:u w:val="single"/>
                <w:lang w:eastAsia="el-GR"/>
              </w:rPr>
            </w:pPr>
            <w:hyperlink r:id="rId434" w:history="1">
              <w:proofErr w:type="spellStart"/>
              <w:r w:rsidR="00AE5054" w:rsidRPr="00AE5054">
                <w:rPr>
                  <w:rFonts w:eastAsia="Times New Roman" w:cs="Arial"/>
                  <w:color w:val="0563C1"/>
                  <w:u w:val="single"/>
                  <w:lang w:eastAsia="el-GR"/>
                </w:rPr>
                <w:t>CarboNZero</w:t>
              </w:r>
              <w:proofErr w:type="spellEnd"/>
            </w:hyperlink>
          </w:p>
        </w:tc>
        <w:tc>
          <w:tcPr>
            <w:tcW w:w="1842" w:type="dxa"/>
            <w:shd w:val="clear" w:color="auto" w:fill="auto"/>
            <w:vAlign w:val="center"/>
            <w:hideMark/>
          </w:tcPr>
          <w:p w14:paraId="5429C8E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New Zealand</w:t>
            </w:r>
          </w:p>
        </w:tc>
        <w:tc>
          <w:tcPr>
            <w:tcW w:w="2977" w:type="dxa"/>
            <w:shd w:val="clear" w:color="auto" w:fill="auto"/>
            <w:vAlign w:val="center"/>
            <w:hideMark/>
          </w:tcPr>
          <w:p w14:paraId="620DC69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7048DC66" w14:textId="77777777" w:rsidTr="0022057B">
        <w:trPr>
          <w:trHeight w:val="574"/>
        </w:trPr>
        <w:tc>
          <w:tcPr>
            <w:tcW w:w="4390" w:type="dxa"/>
            <w:shd w:val="clear" w:color="auto" w:fill="auto"/>
            <w:vAlign w:val="center"/>
            <w:hideMark/>
          </w:tcPr>
          <w:p w14:paraId="4CDDE0B3" w14:textId="77777777" w:rsidR="00AE5054" w:rsidRPr="00AE5054" w:rsidRDefault="003B0DE2" w:rsidP="00AE5054">
            <w:pPr>
              <w:spacing w:before="0" w:after="0"/>
              <w:jc w:val="left"/>
              <w:rPr>
                <w:rFonts w:eastAsia="Times New Roman" w:cs="Arial"/>
                <w:color w:val="0563C1"/>
                <w:u w:val="single"/>
                <w:lang w:eastAsia="el-GR"/>
              </w:rPr>
            </w:pPr>
            <w:hyperlink r:id="rId435" w:history="1">
              <w:r w:rsidR="00AE5054" w:rsidRPr="00AE5054">
                <w:rPr>
                  <w:rFonts w:eastAsia="Times New Roman" w:cs="Arial"/>
                  <w:color w:val="0563C1"/>
                  <w:u w:val="single"/>
                  <w:lang w:eastAsia="el-GR"/>
                </w:rPr>
                <w:t>CERPD Inc</w:t>
              </w:r>
            </w:hyperlink>
          </w:p>
        </w:tc>
        <w:tc>
          <w:tcPr>
            <w:tcW w:w="1842" w:type="dxa"/>
            <w:shd w:val="clear" w:color="auto" w:fill="auto"/>
            <w:vAlign w:val="center"/>
            <w:hideMark/>
          </w:tcPr>
          <w:p w14:paraId="77021DF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743D4D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 Consultant</w:t>
            </w:r>
          </w:p>
        </w:tc>
      </w:tr>
      <w:tr w:rsidR="00AE5054" w:rsidRPr="00AE5054" w14:paraId="151A4FAA" w14:textId="77777777" w:rsidTr="0022057B">
        <w:trPr>
          <w:trHeight w:val="860"/>
        </w:trPr>
        <w:tc>
          <w:tcPr>
            <w:tcW w:w="4390" w:type="dxa"/>
            <w:shd w:val="clear" w:color="auto" w:fill="auto"/>
            <w:vAlign w:val="center"/>
            <w:hideMark/>
          </w:tcPr>
          <w:p w14:paraId="363C19E9" w14:textId="77777777" w:rsidR="00AE5054" w:rsidRPr="00AE5054" w:rsidRDefault="003B0DE2" w:rsidP="00AE5054">
            <w:pPr>
              <w:spacing w:before="0" w:after="0"/>
              <w:jc w:val="left"/>
              <w:rPr>
                <w:rFonts w:eastAsia="Times New Roman" w:cs="Arial"/>
                <w:color w:val="0563C1"/>
                <w:u w:val="single"/>
                <w:lang w:eastAsia="el-GR"/>
              </w:rPr>
            </w:pPr>
            <w:hyperlink r:id="rId436" w:history="1">
              <w:r w:rsidR="00AE5054" w:rsidRPr="00AE5054">
                <w:rPr>
                  <w:rFonts w:eastAsia="Times New Roman" w:cs="Arial"/>
                  <w:color w:val="0563C1"/>
                  <w:u w:val="single"/>
                  <w:lang w:eastAsia="el-GR"/>
                </w:rPr>
                <w:t>City Project Group</w:t>
              </w:r>
            </w:hyperlink>
          </w:p>
        </w:tc>
        <w:tc>
          <w:tcPr>
            <w:tcW w:w="1842" w:type="dxa"/>
            <w:shd w:val="clear" w:color="auto" w:fill="auto"/>
            <w:vAlign w:val="center"/>
            <w:hideMark/>
          </w:tcPr>
          <w:p w14:paraId="3ABAC60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A4ADD5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Trader and/or broker, Retailer, Consultant</w:t>
            </w:r>
          </w:p>
        </w:tc>
      </w:tr>
      <w:tr w:rsidR="00AE5054" w:rsidRPr="00AE5054" w14:paraId="051FDD33" w14:textId="77777777" w:rsidTr="0022057B">
        <w:trPr>
          <w:trHeight w:val="574"/>
        </w:trPr>
        <w:tc>
          <w:tcPr>
            <w:tcW w:w="4390" w:type="dxa"/>
            <w:shd w:val="clear" w:color="auto" w:fill="auto"/>
            <w:vAlign w:val="center"/>
            <w:hideMark/>
          </w:tcPr>
          <w:p w14:paraId="2D6EE64E" w14:textId="77777777" w:rsidR="00AE5054" w:rsidRPr="00AE5054" w:rsidRDefault="003B0DE2" w:rsidP="00AE5054">
            <w:pPr>
              <w:spacing w:before="0" w:after="0"/>
              <w:jc w:val="left"/>
              <w:rPr>
                <w:rFonts w:eastAsia="Times New Roman" w:cs="Arial"/>
                <w:color w:val="0563C1"/>
                <w:u w:val="single"/>
                <w:lang w:eastAsia="el-GR"/>
              </w:rPr>
            </w:pPr>
            <w:hyperlink r:id="rId437" w:history="1">
              <w:r w:rsidR="00AE5054" w:rsidRPr="00AE5054">
                <w:rPr>
                  <w:rFonts w:eastAsia="Times New Roman" w:cs="Arial"/>
                  <w:color w:val="0563C1"/>
                  <w:u w:val="single"/>
                  <w:lang w:eastAsia="el-GR"/>
                </w:rPr>
                <w:t>Cleaner Climate</w:t>
              </w:r>
            </w:hyperlink>
          </w:p>
        </w:tc>
        <w:tc>
          <w:tcPr>
            <w:tcW w:w="1842" w:type="dxa"/>
            <w:shd w:val="clear" w:color="auto" w:fill="auto"/>
            <w:vAlign w:val="center"/>
            <w:hideMark/>
          </w:tcPr>
          <w:p w14:paraId="128604F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3A7A692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4530CD19" w14:textId="77777777" w:rsidTr="0022057B">
        <w:trPr>
          <w:trHeight w:val="287"/>
        </w:trPr>
        <w:tc>
          <w:tcPr>
            <w:tcW w:w="4390" w:type="dxa"/>
            <w:shd w:val="clear" w:color="auto" w:fill="auto"/>
            <w:vAlign w:val="center"/>
            <w:hideMark/>
          </w:tcPr>
          <w:p w14:paraId="3275A892" w14:textId="77777777" w:rsidR="00AE5054" w:rsidRPr="00AE5054" w:rsidRDefault="003B0DE2" w:rsidP="00AE5054">
            <w:pPr>
              <w:spacing w:before="0" w:after="0"/>
              <w:jc w:val="left"/>
              <w:rPr>
                <w:rFonts w:eastAsia="Times New Roman" w:cs="Arial"/>
                <w:color w:val="0563C1"/>
                <w:u w:val="single"/>
                <w:lang w:eastAsia="el-GR"/>
              </w:rPr>
            </w:pPr>
            <w:hyperlink r:id="rId438" w:history="1">
              <w:r w:rsidR="00AE5054" w:rsidRPr="00AE5054">
                <w:rPr>
                  <w:rFonts w:eastAsia="Times New Roman" w:cs="Arial"/>
                  <w:color w:val="0563C1"/>
                  <w:u w:val="single"/>
                  <w:lang w:eastAsia="el-GR"/>
                </w:rPr>
                <w:t>Clear</w:t>
              </w:r>
            </w:hyperlink>
          </w:p>
        </w:tc>
        <w:tc>
          <w:tcPr>
            <w:tcW w:w="1842" w:type="dxa"/>
            <w:shd w:val="clear" w:color="auto" w:fill="auto"/>
            <w:vAlign w:val="center"/>
            <w:hideMark/>
          </w:tcPr>
          <w:p w14:paraId="66D0C7F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72947A9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14413AED" w14:textId="77777777" w:rsidTr="0022057B">
        <w:trPr>
          <w:trHeight w:val="574"/>
        </w:trPr>
        <w:tc>
          <w:tcPr>
            <w:tcW w:w="4390" w:type="dxa"/>
            <w:shd w:val="clear" w:color="auto" w:fill="auto"/>
            <w:vAlign w:val="center"/>
            <w:hideMark/>
          </w:tcPr>
          <w:p w14:paraId="7C391FDB" w14:textId="77777777" w:rsidR="00AE5054" w:rsidRPr="00AE5054" w:rsidRDefault="003B0DE2" w:rsidP="00AE5054">
            <w:pPr>
              <w:spacing w:before="0" w:after="0"/>
              <w:jc w:val="left"/>
              <w:rPr>
                <w:rFonts w:eastAsia="Times New Roman" w:cs="Arial"/>
                <w:color w:val="0563C1"/>
                <w:u w:val="single"/>
                <w:lang w:eastAsia="el-GR"/>
              </w:rPr>
            </w:pPr>
            <w:hyperlink r:id="rId439" w:history="1">
              <w:proofErr w:type="spellStart"/>
              <w:r w:rsidR="00AE5054" w:rsidRPr="00AE5054">
                <w:rPr>
                  <w:rFonts w:eastAsia="Times New Roman" w:cs="Arial"/>
                  <w:color w:val="0563C1"/>
                  <w:u w:val="single"/>
                  <w:lang w:eastAsia="el-GR"/>
                </w:rPr>
                <w:t>ClearSky</w:t>
              </w:r>
              <w:proofErr w:type="spellEnd"/>
              <w:r w:rsidR="00AE5054" w:rsidRPr="00AE5054">
                <w:rPr>
                  <w:rFonts w:eastAsia="Times New Roman" w:cs="Arial"/>
                  <w:color w:val="0563C1"/>
                  <w:u w:val="single"/>
                  <w:lang w:eastAsia="el-GR"/>
                </w:rPr>
                <w:t xml:space="preserve"> Climate Solutions</w:t>
              </w:r>
            </w:hyperlink>
          </w:p>
        </w:tc>
        <w:tc>
          <w:tcPr>
            <w:tcW w:w="1842" w:type="dxa"/>
            <w:shd w:val="clear" w:color="auto" w:fill="auto"/>
            <w:vAlign w:val="center"/>
            <w:hideMark/>
          </w:tcPr>
          <w:p w14:paraId="3688045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B1BCAD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728A1D89" w14:textId="77777777" w:rsidTr="0022057B">
        <w:trPr>
          <w:trHeight w:val="287"/>
        </w:trPr>
        <w:tc>
          <w:tcPr>
            <w:tcW w:w="4390" w:type="dxa"/>
            <w:shd w:val="clear" w:color="auto" w:fill="auto"/>
            <w:vAlign w:val="center"/>
            <w:hideMark/>
          </w:tcPr>
          <w:p w14:paraId="257E5F01" w14:textId="77777777" w:rsidR="00AE5054" w:rsidRPr="00AE5054" w:rsidRDefault="003B0DE2" w:rsidP="00AE5054">
            <w:pPr>
              <w:spacing w:before="0" w:after="0"/>
              <w:jc w:val="left"/>
              <w:rPr>
                <w:rFonts w:eastAsia="Times New Roman" w:cs="Arial"/>
                <w:color w:val="0563C1"/>
                <w:u w:val="single"/>
                <w:lang w:eastAsia="el-GR"/>
              </w:rPr>
            </w:pPr>
            <w:hyperlink r:id="rId440" w:history="1">
              <w:proofErr w:type="spellStart"/>
              <w:r w:rsidR="00AE5054" w:rsidRPr="00AE5054">
                <w:rPr>
                  <w:rFonts w:eastAsia="Times New Roman" w:cs="Arial"/>
                  <w:color w:val="0563C1"/>
                  <w:u w:val="single"/>
                  <w:lang w:eastAsia="el-GR"/>
                </w:rPr>
                <w:t>Climact</w:t>
              </w:r>
              <w:proofErr w:type="spellEnd"/>
            </w:hyperlink>
          </w:p>
        </w:tc>
        <w:tc>
          <w:tcPr>
            <w:tcW w:w="1842" w:type="dxa"/>
            <w:shd w:val="clear" w:color="auto" w:fill="auto"/>
            <w:vAlign w:val="center"/>
            <w:hideMark/>
          </w:tcPr>
          <w:p w14:paraId="7C0F791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Belgium</w:t>
            </w:r>
          </w:p>
        </w:tc>
        <w:tc>
          <w:tcPr>
            <w:tcW w:w="2977" w:type="dxa"/>
            <w:shd w:val="clear" w:color="auto" w:fill="auto"/>
            <w:vAlign w:val="center"/>
            <w:hideMark/>
          </w:tcPr>
          <w:p w14:paraId="78A5250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0E375516" w14:textId="77777777" w:rsidTr="0022057B">
        <w:trPr>
          <w:trHeight w:val="287"/>
        </w:trPr>
        <w:tc>
          <w:tcPr>
            <w:tcW w:w="4390" w:type="dxa"/>
            <w:shd w:val="clear" w:color="auto" w:fill="auto"/>
            <w:vAlign w:val="center"/>
            <w:hideMark/>
          </w:tcPr>
          <w:p w14:paraId="379C0030" w14:textId="77777777" w:rsidR="00AE5054" w:rsidRPr="00AE5054" w:rsidRDefault="003B0DE2" w:rsidP="00AE5054">
            <w:pPr>
              <w:spacing w:before="0" w:after="0"/>
              <w:jc w:val="left"/>
              <w:rPr>
                <w:rFonts w:eastAsia="Times New Roman" w:cs="Arial"/>
                <w:color w:val="0563C1"/>
                <w:u w:val="single"/>
                <w:lang w:eastAsia="el-GR"/>
              </w:rPr>
            </w:pPr>
            <w:hyperlink r:id="rId441" w:history="1">
              <w:proofErr w:type="spellStart"/>
              <w:r w:rsidR="00AE5054" w:rsidRPr="00AE5054">
                <w:rPr>
                  <w:rFonts w:eastAsia="Times New Roman" w:cs="Arial"/>
                  <w:color w:val="0563C1"/>
                  <w:u w:val="single"/>
                  <w:lang w:eastAsia="el-GR"/>
                </w:rPr>
                <w:t>Climat</w:t>
              </w:r>
              <w:proofErr w:type="spellEnd"/>
              <w:r w:rsidR="00AE5054" w:rsidRPr="00AE5054">
                <w:rPr>
                  <w:rFonts w:eastAsia="Times New Roman" w:cs="Arial"/>
                  <w:color w:val="0563C1"/>
                  <w:u w:val="single"/>
                  <w:lang w:eastAsia="el-GR"/>
                </w:rPr>
                <w:t xml:space="preserve"> Mundi</w:t>
              </w:r>
            </w:hyperlink>
          </w:p>
        </w:tc>
        <w:tc>
          <w:tcPr>
            <w:tcW w:w="1842" w:type="dxa"/>
            <w:shd w:val="clear" w:color="auto" w:fill="auto"/>
            <w:vAlign w:val="center"/>
            <w:hideMark/>
          </w:tcPr>
          <w:p w14:paraId="76C00F2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France</w:t>
            </w:r>
          </w:p>
        </w:tc>
        <w:tc>
          <w:tcPr>
            <w:tcW w:w="2977" w:type="dxa"/>
            <w:shd w:val="clear" w:color="auto" w:fill="auto"/>
            <w:vAlign w:val="center"/>
            <w:hideMark/>
          </w:tcPr>
          <w:p w14:paraId="4112EDB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4B1C68D2" w14:textId="77777777" w:rsidTr="0022057B">
        <w:trPr>
          <w:trHeight w:val="287"/>
        </w:trPr>
        <w:tc>
          <w:tcPr>
            <w:tcW w:w="4390" w:type="dxa"/>
            <w:shd w:val="clear" w:color="auto" w:fill="auto"/>
            <w:vAlign w:val="center"/>
            <w:hideMark/>
          </w:tcPr>
          <w:p w14:paraId="7BC7F645" w14:textId="77777777" w:rsidR="00AE5054" w:rsidRPr="00AE5054" w:rsidRDefault="003B0DE2" w:rsidP="00AE5054">
            <w:pPr>
              <w:spacing w:before="0" w:after="0"/>
              <w:jc w:val="left"/>
              <w:rPr>
                <w:rFonts w:eastAsia="Times New Roman" w:cs="Arial"/>
                <w:color w:val="0563C1"/>
                <w:u w:val="single"/>
                <w:lang w:eastAsia="el-GR"/>
              </w:rPr>
            </w:pPr>
            <w:hyperlink r:id="rId442" w:history="1">
              <w:r w:rsidR="00AE5054" w:rsidRPr="00AE5054">
                <w:rPr>
                  <w:rFonts w:eastAsia="Times New Roman" w:cs="Arial"/>
                  <w:color w:val="0563C1"/>
                  <w:u w:val="single"/>
                  <w:lang w:eastAsia="el-GR"/>
                </w:rPr>
                <w:t>Climate Action</w:t>
              </w:r>
            </w:hyperlink>
          </w:p>
        </w:tc>
        <w:tc>
          <w:tcPr>
            <w:tcW w:w="1842" w:type="dxa"/>
            <w:shd w:val="clear" w:color="auto" w:fill="auto"/>
            <w:vAlign w:val="center"/>
            <w:hideMark/>
          </w:tcPr>
          <w:p w14:paraId="413FA7A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China</w:t>
            </w:r>
          </w:p>
        </w:tc>
        <w:tc>
          <w:tcPr>
            <w:tcW w:w="2977" w:type="dxa"/>
            <w:shd w:val="clear" w:color="auto" w:fill="auto"/>
            <w:vAlign w:val="center"/>
            <w:hideMark/>
          </w:tcPr>
          <w:p w14:paraId="420EC15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3ED272C8" w14:textId="77777777" w:rsidTr="0022057B">
        <w:trPr>
          <w:trHeight w:val="574"/>
        </w:trPr>
        <w:tc>
          <w:tcPr>
            <w:tcW w:w="4390" w:type="dxa"/>
            <w:shd w:val="clear" w:color="auto" w:fill="auto"/>
            <w:vAlign w:val="center"/>
            <w:hideMark/>
          </w:tcPr>
          <w:p w14:paraId="1BEE12F0" w14:textId="77777777" w:rsidR="00AE5054" w:rsidRPr="00AE5054" w:rsidRDefault="003B0DE2" w:rsidP="00AE5054">
            <w:pPr>
              <w:spacing w:before="0" w:after="0"/>
              <w:jc w:val="left"/>
              <w:rPr>
                <w:rFonts w:eastAsia="Times New Roman" w:cs="Arial"/>
                <w:color w:val="0563C1"/>
                <w:u w:val="single"/>
                <w:lang w:eastAsia="el-GR"/>
              </w:rPr>
            </w:pPr>
            <w:hyperlink r:id="rId443" w:history="1">
              <w:r w:rsidR="00AE5054" w:rsidRPr="00AE5054">
                <w:rPr>
                  <w:rFonts w:eastAsia="Times New Roman" w:cs="Arial"/>
                  <w:color w:val="0563C1"/>
                  <w:u w:val="single"/>
                  <w:lang w:eastAsia="el-GR"/>
                </w:rPr>
                <w:t>Climate Bridge</w:t>
              </w:r>
            </w:hyperlink>
          </w:p>
        </w:tc>
        <w:tc>
          <w:tcPr>
            <w:tcW w:w="1842" w:type="dxa"/>
            <w:shd w:val="clear" w:color="auto" w:fill="auto"/>
            <w:vAlign w:val="center"/>
            <w:hideMark/>
          </w:tcPr>
          <w:p w14:paraId="1759421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5648B84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Consultant</w:t>
            </w:r>
          </w:p>
        </w:tc>
      </w:tr>
      <w:tr w:rsidR="00AE5054" w:rsidRPr="00AE5054" w14:paraId="5227A87F" w14:textId="77777777" w:rsidTr="0022057B">
        <w:trPr>
          <w:trHeight w:val="574"/>
        </w:trPr>
        <w:tc>
          <w:tcPr>
            <w:tcW w:w="4390" w:type="dxa"/>
            <w:shd w:val="clear" w:color="auto" w:fill="auto"/>
            <w:vAlign w:val="center"/>
            <w:hideMark/>
          </w:tcPr>
          <w:p w14:paraId="2A8A2738" w14:textId="77777777" w:rsidR="00AE5054" w:rsidRPr="00AE5054" w:rsidRDefault="003B0DE2" w:rsidP="00AE5054">
            <w:pPr>
              <w:spacing w:before="0" w:after="0"/>
              <w:jc w:val="left"/>
              <w:rPr>
                <w:rFonts w:eastAsia="Times New Roman" w:cs="Arial"/>
                <w:color w:val="0563C1"/>
                <w:u w:val="single"/>
                <w:lang w:eastAsia="el-GR"/>
              </w:rPr>
            </w:pPr>
            <w:hyperlink r:id="rId444" w:history="1">
              <w:r w:rsidR="00AE5054" w:rsidRPr="00AE5054">
                <w:rPr>
                  <w:rFonts w:eastAsia="Times New Roman" w:cs="Arial"/>
                  <w:color w:val="0563C1"/>
                  <w:u w:val="single"/>
                  <w:lang w:eastAsia="el-GR"/>
                </w:rPr>
                <w:t xml:space="preserve">Climate Care </w:t>
              </w:r>
            </w:hyperlink>
          </w:p>
        </w:tc>
        <w:tc>
          <w:tcPr>
            <w:tcW w:w="1842" w:type="dxa"/>
            <w:shd w:val="clear" w:color="auto" w:fill="auto"/>
            <w:vAlign w:val="center"/>
            <w:hideMark/>
          </w:tcPr>
          <w:p w14:paraId="110F4A8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2AB56A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4FA30126" w14:textId="77777777" w:rsidTr="0022057B">
        <w:trPr>
          <w:trHeight w:val="287"/>
        </w:trPr>
        <w:tc>
          <w:tcPr>
            <w:tcW w:w="9209" w:type="dxa"/>
            <w:gridSpan w:val="3"/>
            <w:shd w:val="clear" w:color="auto" w:fill="auto"/>
            <w:vAlign w:val="center"/>
            <w:hideMark/>
          </w:tcPr>
          <w:p w14:paraId="5677DE9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 xml:space="preserve">ClimateCare is an independent ‘profit for purpose’ </w:t>
            </w:r>
            <w:proofErr w:type="spellStart"/>
            <w:r w:rsidRPr="00AE5054">
              <w:rPr>
                <w:rFonts w:eastAsia="Times New Roman" w:cs="Arial"/>
                <w:color w:val="000000"/>
                <w:lang w:eastAsia="el-GR"/>
              </w:rPr>
              <w:t>organisation</w:t>
            </w:r>
            <w:proofErr w:type="spellEnd"/>
            <w:r w:rsidRPr="00AE5054">
              <w:rPr>
                <w:rFonts w:eastAsia="Times New Roman" w:cs="Arial"/>
                <w:color w:val="000000"/>
                <w:lang w:eastAsia="el-GR"/>
              </w:rPr>
              <w:t xml:space="preserve"> committed...</w:t>
            </w:r>
          </w:p>
        </w:tc>
      </w:tr>
      <w:tr w:rsidR="00AE5054" w:rsidRPr="00AE5054" w14:paraId="7F676FAB" w14:textId="77777777" w:rsidTr="0022057B">
        <w:trPr>
          <w:trHeight w:val="574"/>
        </w:trPr>
        <w:tc>
          <w:tcPr>
            <w:tcW w:w="4390" w:type="dxa"/>
            <w:shd w:val="clear" w:color="auto" w:fill="auto"/>
            <w:vAlign w:val="center"/>
            <w:hideMark/>
          </w:tcPr>
          <w:p w14:paraId="3B6FF4C8" w14:textId="77777777" w:rsidR="00AE5054" w:rsidRPr="00AE5054" w:rsidRDefault="003B0DE2" w:rsidP="00AE5054">
            <w:pPr>
              <w:spacing w:before="0" w:after="0"/>
              <w:jc w:val="left"/>
              <w:rPr>
                <w:rFonts w:eastAsia="Times New Roman" w:cs="Arial"/>
                <w:color w:val="0563C1"/>
                <w:u w:val="single"/>
                <w:lang w:eastAsia="el-GR"/>
              </w:rPr>
            </w:pPr>
            <w:hyperlink r:id="rId445" w:history="1">
              <w:r w:rsidR="00AE5054" w:rsidRPr="00AE5054">
                <w:rPr>
                  <w:rFonts w:eastAsia="Times New Roman" w:cs="Arial"/>
                  <w:color w:val="0563C1"/>
                  <w:u w:val="single"/>
                  <w:lang w:eastAsia="el-GR"/>
                </w:rPr>
                <w:t>Climate Change Capital</w:t>
              </w:r>
            </w:hyperlink>
          </w:p>
        </w:tc>
        <w:tc>
          <w:tcPr>
            <w:tcW w:w="1842" w:type="dxa"/>
            <w:shd w:val="clear" w:color="auto" w:fill="auto"/>
            <w:vAlign w:val="center"/>
            <w:hideMark/>
          </w:tcPr>
          <w:p w14:paraId="510E7EA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41E09B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w:t>
            </w:r>
          </w:p>
        </w:tc>
      </w:tr>
      <w:tr w:rsidR="00AE5054" w:rsidRPr="00AE5054" w14:paraId="709B055F" w14:textId="77777777" w:rsidTr="0022057B">
        <w:trPr>
          <w:trHeight w:val="287"/>
        </w:trPr>
        <w:tc>
          <w:tcPr>
            <w:tcW w:w="4390" w:type="dxa"/>
            <w:shd w:val="clear" w:color="auto" w:fill="auto"/>
            <w:vAlign w:val="center"/>
            <w:hideMark/>
          </w:tcPr>
          <w:p w14:paraId="3E33EA2F" w14:textId="77777777" w:rsidR="00AE5054" w:rsidRPr="00AE5054" w:rsidRDefault="003B0DE2" w:rsidP="00AE5054">
            <w:pPr>
              <w:spacing w:before="0" w:after="0"/>
              <w:jc w:val="left"/>
              <w:rPr>
                <w:rFonts w:eastAsia="Times New Roman" w:cs="Arial"/>
                <w:color w:val="0563C1"/>
                <w:u w:val="single"/>
                <w:lang w:eastAsia="el-GR"/>
              </w:rPr>
            </w:pPr>
            <w:hyperlink r:id="rId446" w:history="1">
              <w:r w:rsidR="00AE5054" w:rsidRPr="00AE5054">
                <w:rPr>
                  <w:rFonts w:eastAsia="Times New Roman" w:cs="Arial"/>
                  <w:color w:val="0563C1"/>
                  <w:u w:val="single"/>
                  <w:lang w:eastAsia="el-GR"/>
                </w:rPr>
                <w:t>Climate Clean</w:t>
              </w:r>
            </w:hyperlink>
          </w:p>
        </w:tc>
        <w:tc>
          <w:tcPr>
            <w:tcW w:w="1842" w:type="dxa"/>
            <w:shd w:val="clear" w:color="auto" w:fill="auto"/>
            <w:vAlign w:val="center"/>
            <w:hideMark/>
          </w:tcPr>
          <w:p w14:paraId="68ABD8A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3A4494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Wholesaler, Consultant</w:t>
            </w:r>
          </w:p>
        </w:tc>
      </w:tr>
      <w:tr w:rsidR="00AE5054" w:rsidRPr="00AE5054" w14:paraId="02F2EB89" w14:textId="77777777" w:rsidTr="0022057B">
        <w:trPr>
          <w:trHeight w:val="574"/>
        </w:trPr>
        <w:tc>
          <w:tcPr>
            <w:tcW w:w="4390" w:type="dxa"/>
            <w:shd w:val="clear" w:color="auto" w:fill="auto"/>
            <w:vAlign w:val="center"/>
            <w:hideMark/>
          </w:tcPr>
          <w:p w14:paraId="062A07A6" w14:textId="77777777" w:rsidR="00AE5054" w:rsidRPr="00AE5054" w:rsidRDefault="003B0DE2" w:rsidP="00AE5054">
            <w:pPr>
              <w:spacing w:before="0" w:after="0"/>
              <w:jc w:val="left"/>
              <w:rPr>
                <w:rFonts w:eastAsia="Times New Roman" w:cs="Arial"/>
                <w:color w:val="0563C1"/>
                <w:u w:val="single"/>
                <w:lang w:eastAsia="el-GR"/>
              </w:rPr>
            </w:pPr>
            <w:hyperlink r:id="rId447" w:history="1">
              <w:r w:rsidR="00AE5054" w:rsidRPr="00AE5054">
                <w:rPr>
                  <w:rFonts w:eastAsia="Times New Roman" w:cs="Arial"/>
                  <w:color w:val="0563C1"/>
                  <w:u w:val="single"/>
                  <w:lang w:eastAsia="el-GR"/>
                </w:rPr>
                <w:t>Climate Company</w:t>
              </w:r>
            </w:hyperlink>
          </w:p>
        </w:tc>
        <w:tc>
          <w:tcPr>
            <w:tcW w:w="1842" w:type="dxa"/>
            <w:shd w:val="clear" w:color="auto" w:fill="auto"/>
            <w:vAlign w:val="center"/>
            <w:hideMark/>
          </w:tcPr>
          <w:p w14:paraId="157421C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Germany</w:t>
            </w:r>
          </w:p>
        </w:tc>
        <w:tc>
          <w:tcPr>
            <w:tcW w:w="2977" w:type="dxa"/>
            <w:shd w:val="clear" w:color="auto" w:fill="auto"/>
            <w:vAlign w:val="center"/>
            <w:hideMark/>
          </w:tcPr>
          <w:p w14:paraId="2340AB2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Wholesaler, Trader and/or broker, Retailer, Consultant</w:t>
            </w:r>
          </w:p>
        </w:tc>
      </w:tr>
      <w:tr w:rsidR="00AE5054" w:rsidRPr="00AE5054" w14:paraId="39C50841" w14:textId="77777777" w:rsidTr="0022057B">
        <w:trPr>
          <w:trHeight w:val="574"/>
        </w:trPr>
        <w:tc>
          <w:tcPr>
            <w:tcW w:w="4390" w:type="dxa"/>
            <w:shd w:val="clear" w:color="auto" w:fill="auto"/>
            <w:vAlign w:val="center"/>
            <w:hideMark/>
          </w:tcPr>
          <w:p w14:paraId="3C429D9E" w14:textId="77777777" w:rsidR="00AE5054" w:rsidRPr="00AE5054" w:rsidRDefault="003B0DE2" w:rsidP="00AE5054">
            <w:pPr>
              <w:spacing w:before="0" w:after="0"/>
              <w:jc w:val="left"/>
              <w:rPr>
                <w:rFonts w:eastAsia="Times New Roman" w:cs="Arial"/>
                <w:color w:val="0563C1"/>
                <w:u w:val="single"/>
                <w:lang w:eastAsia="el-GR"/>
              </w:rPr>
            </w:pPr>
            <w:hyperlink r:id="rId448" w:history="1">
              <w:r w:rsidR="00AE5054" w:rsidRPr="00AE5054">
                <w:rPr>
                  <w:rFonts w:eastAsia="Times New Roman" w:cs="Arial"/>
                  <w:color w:val="0563C1"/>
                  <w:u w:val="single"/>
                  <w:lang w:eastAsia="el-GR"/>
                </w:rPr>
                <w:t>Climate Corporation</w:t>
              </w:r>
            </w:hyperlink>
          </w:p>
        </w:tc>
        <w:tc>
          <w:tcPr>
            <w:tcW w:w="1842" w:type="dxa"/>
            <w:shd w:val="clear" w:color="auto" w:fill="auto"/>
            <w:vAlign w:val="center"/>
            <w:hideMark/>
          </w:tcPr>
          <w:p w14:paraId="62A58EB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Austria</w:t>
            </w:r>
          </w:p>
        </w:tc>
        <w:tc>
          <w:tcPr>
            <w:tcW w:w="2977" w:type="dxa"/>
            <w:shd w:val="clear" w:color="auto" w:fill="auto"/>
            <w:vAlign w:val="center"/>
            <w:hideMark/>
          </w:tcPr>
          <w:p w14:paraId="0461DF6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 Consultant</w:t>
            </w:r>
          </w:p>
        </w:tc>
      </w:tr>
      <w:tr w:rsidR="00AE5054" w:rsidRPr="00AE5054" w14:paraId="13E3E765" w14:textId="77777777" w:rsidTr="0022057B">
        <w:trPr>
          <w:trHeight w:val="287"/>
        </w:trPr>
        <w:tc>
          <w:tcPr>
            <w:tcW w:w="4390" w:type="dxa"/>
            <w:shd w:val="clear" w:color="auto" w:fill="auto"/>
            <w:vAlign w:val="center"/>
            <w:hideMark/>
          </w:tcPr>
          <w:p w14:paraId="56DA6D2B" w14:textId="77777777" w:rsidR="00AE5054" w:rsidRPr="00AE5054" w:rsidRDefault="003B0DE2" w:rsidP="00AE5054">
            <w:pPr>
              <w:spacing w:before="0" w:after="0"/>
              <w:jc w:val="left"/>
              <w:rPr>
                <w:rFonts w:eastAsia="Times New Roman" w:cs="Arial"/>
                <w:color w:val="0563C1"/>
                <w:u w:val="single"/>
                <w:lang w:eastAsia="el-GR"/>
              </w:rPr>
            </w:pPr>
            <w:hyperlink r:id="rId449" w:history="1">
              <w:r w:rsidR="00AE5054" w:rsidRPr="00AE5054">
                <w:rPr>
                  <w:rFonts w:eastAsia="Times New Roman" w:cs="Arial"/>
                  <w:color w:val="0563C1"/>
                  <w:u w:val="single"/>
                  <w:lang w:eastAsia="el-GR"/>
                </w:rPr>
                <w:t>Climate Friendly</w:t>
              </w:r>
            </w:hyperlink>
          </w:p>
        </w:tc>
        <w:tc>
          <w:tcPr>
            <w:tcW w:w="1842" w:type="dxa"/>
            <w:shd w:val="clear" w:color="auto" w:fill="auto"/>
            <w:vAlign w:val="center"/>
            <w:hideMark/>
          </w:tcPr>
          <w:p w14:paraId="149AF65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17EA55A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2A409CB0" w14:textId="77777777" w:rsidTr="0022057B">
        <w:trPr>
          <w:trHeight w:val="574"/>
        </w:trPr>
        <w:tc>
          <w:tcPr>
            <w:tcW w:w="4390" w:type="dxa"/>
            <w:shd w:val="clear" w:color="auto" w:fill="auto"/>
            <w:vAlign w:val="center"/>
            <w:hideMark/>
          </w:tcPr>
          <w:p w14:paraId="2930C25E" w14:textId="77777777" w:rsidR="00AE5054" w:rsidRPr="00AE5054" w:rsidRDefault="003B0DE2" w:rsidP="00AE5054">
            <w:pPr>
              <w:spacing w:before="0" w:after="0"/>
              <w:jc w:val="left"/>
              <w:rPr>
                <w:rFonts w:eastAsia="Times New Roman" w:cs="Arial"/>
                <w:color w:val="0563C1"/>
                <w:u w:val="single"/>
                <w:lang w:eastAsia="el-GR"/>
              </w:rPr>
            </w:pPr>
            <w:hyperlink r:id="rId450" w:history="1">
              <w:r w:rsidR="00AE5054" w:rsidRPr="00AE5054">
                <w:rPr>
                  <w:rFonts w:eastAsia="Times New Roman" w:cs="Arial"/>
                  <w:color w:val="0563C1"/>
                  <w:u w:val="single"/>
                  <w:lang w:eastAsia="el-GR"/>
                </w:rPr>
                <w:t>Climate Neutral Group</w:t>
              </w:r>
            </w:hyperlink>
          </w:p>
        </w:tc>
        <w:tc>
          <w:tcPr>
            <w:tcW w:w="1842" w:type="dxa"/>
            <w:shd w:val="clear" w:color="auto" w:fill="auto"/>
            <w:vAlign w:val="center"/>
            <w:hideMark/>
          </w:tcPr>
          <w:p w14:paraId="4E9D5E3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Netherlands</w:t>
            </w:r>
          </w:p>
        </w:tc>
        <w:tc>
          <w:tcPr>
            <w:tcW w:w="2977" w:type="dxa"/>
            <w:shd w:val="clear" w:color="auto" w:fill="auto"/>
            <w:vAlign w:val="center"/>
            <w:hideMark/>
          </w:tcPr>
          <w:p w14:paraId="063494E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700719B3" w14:textId="77777777" w:rsidTr="0022057B">
        <w:trPr>
          <w:trHeight w:val="287"/>
        </w:trPr>
        <w:tc>
          <w:tcPr>
            <w:tcW w:w="4390" w:type="dxa"/>
            <w:shd w:val="clear" w:color="auto" w:fill="auto"/>
            <w:vAlign w:val="center"/>
            <w:hideMark/>
          </w:tcPr>
          <w:p w14:paraId="0BC7C5B6" w14:textId="77777777" w:rsidR="00AE5054" w:rsidRPr="00AE5054" w:rsidRDefault="003B0DE2" w:rsidP="00AE5054">
            <w:pPr>
              <w:spacing w:before="0" w:after="0"/>
              <w:jc w:val="left"/>
              <w:rPr>
                <w:rFonts w:eastAsia="Times New Roman" w:cs="Arial"/>
                <w:color w:val="0563C1"/>
                <w:u w:val="single"/>
                <w:lang w:eastAsia="el-GR"/>
              </w:rPr>
            </w:pPr>
            <w:hyperlink r:id="rId451" w:history="1">
              <w:r w:rsidR="00AE5054" w:rsidRPr="00AE5054">
                <w:rPr>
                  <w:rFonts w:eastAsia="Times New Roman" w:cs="Arial"/>
                  <w:color w:val="0563C1"/>
                  <w:u w:val="single"/>
                  <w:lang w:eastAsia="el-GR"/>
                </w:rPr>
                <w:t xml:space="preserve">Climate </w:t>
              </w:r>
              <w:proofErr w:type="spellStart"/>
              <w:r w:rsidR="00AE5054" w:rsidRPr="00AE5054">
                <w:rPr>
                  <w:rFonts w:eastAsia="Times New Roman" w:cs="Arial"/>
                  <w:color w:val="0563C1"/>
                  <w:u w:val="single"/>
                  <w:lang w:eastAsia="el-GR"/>
                </w:rPr>
                <w:t>Postive</w:t>
              </w:r>
              <w:proofErr w:type="spellEnd"/>
            </w:hyperlink>
          </w:p>
        </w:tc>
        <w:tc>
          <w:tcPr>
            <w:tcW w:w="1842" w:type="dxa"/>
            <w:shd w:val="clear" w:color="auto" w:fill="auto"/>
            <w:vAlign w:val="center"/>
            <w:hideMark/>
          </w:tcPr>
          <w:p w14:paraId="09F88C5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1F2BD7E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33CFBE89" w14:textId="77777777" w:rsidTr="0022057B">
        <w:trPr>
          <w:trHeight w:val="287"/>
        </w:trPr>
        <w:tc>
          <w:tcPr>
            <w:tcW w:w="4390" w:type="dxa"/>
            <w:shd w:val="clear" w:color="auto" w:fill="auto"/>
            <w:vAlign w:val="center"/>
            <w:hideMark/>
          </w:tcPr>
          <w:p w14:paraId="5B71E53B" w14:textId="77777777" w:rsidR="00AE5054" w:rsidRPr="00AE5054" w:rsidRDefault="003B0DE2" w:rsidP="00AE5054">
            <w:pPr>
              <w:spacing w:before="0" w:after="0"/>
              <w:jc w:val="left"/>
              <w:rPr>
                <w:rFonts w:eastAsia="Times New Roman" w:cs="Arial"/>
                <w:color w:val="0563C1"/>
                <w:u w:val="single"/>
                <w:lang w:eastAsia="el-GR"/>
              </w:rPr>
            </w:pPr>
            <w:hyperlink r:id="rId452" w:history="1">
              <w:r w:rsidR="00AE5054" w:rsidRPr="00AE5054">
                <w:rPr>
                  <w:rFonts w:eastAsia="Times New Roman" w:cs="Arial"/>
                  <w:color w:val="0563C1"/>
                  <w:u w:val="single"/>
                  <w:lang w:eastAsia="el-GR"/>
                </w:rPr>
                <w:t>Climate Save</w:t>
              </w:r>
            </w:hyperlink>
          </w:p>
        </w:tc>
        <w:tc>
          <w:tcPr>
            <w:tcW w:w="1842" w:type="dxa"/>
            <w:shd w:val="clear" w:color="auto" w:fill="auto"/>
            <w:vAlign w:val="center"/>
            <w:hideMark/>
          </w:tcPr>
          <w:p w14:paraId="3B73F65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6ABEC67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52142A7A" w14:textId="77777777" w:rsidTr="0022057B">
        <w:trPr>
          <w:trHeight w:val="287"/>
        </w:trPr>
        <w:tc>
          <w:tcPr>
            <w:tcW w:w="4390" w:type="dxa"/>
            <w:shd w:val="clear" w:color="auto" w:fill="auto"/>
            <w:vAlign w:val="center"/>
            <w:hideMark/>
          </w:tcPr>
          <w:p w14:paraId="43CD4D4F" w14:textId="77777777" w:rsidR="00AE5054" w:rsidRPr="00AE5054" w:rsidRDefault="003B0DE2" w:rsidP="00AE5054">
            <w:pPr>
              <w:spacing w:before="0" w:after="0"/>
              <w:jc w:val="left"/>
              <w:rPr>
                <w:rFonts w:eastAsia="Times New Roman" w:cs="Arial"/>
                <w:color w:val="0563C1"/>
                <w:u w:val="single"/>
                <w:lang w:eastAsia="el-GR"/>
              </w:rPr>
            </w:pPr>
            <w:hyperlink r:id="rId453" w:history="1">
              <w:r w:rsidR="00AE5054" w:rsidRPr="00AE5054">
                <w:rPr>
                  <w:rFonts w:eastAsia="Times New Roman" w:cs="Arial"/>
                  <w:color w:val="0563C1"/>
                  <w:u w:val="single"/>
                  <w:lang w:eastAsia="el-GR"/>
                </w:rPr>
                <w:t>Climate Stewards</w:t>
              </w:r>
            </w:hyperlink>
          </w:p>
        </w:tc>
        <w:tc>
          <w:tcPr>
            <w:tcW w:w="1842" w:type="dxa"/>
            <w:shd w:val="clear" w:color="auto" w:fill="auto"/>
            <w:vAlign w:val="center"/>
            <w:hideMark/>
          </w:tcPr>
          <w:p w14:paraId="361BAAB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5E71E2B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2C44B932" w14:textId="77777777" w:rsidTr="0022057B">
        <w:trPr>
          <w:trHeight w:val="574"/>
        </w:trPr>
        <w:tc>
          <w:tcPr>
            <w:tcW w:w="4390" w:type="dxa"/>
            <w:shd w:val="clear" w:color="auto" w:fill="auto"/>
            <w:vAlign w:val="center"/>
            <w:hideMark/>
          </w:tcPr>
          <w:p w14:paraId="6AAE5E8A" w14:textId="77777777" w:rsidR="00AE5054" w:rsidRPr="00AE5054" w:rsidRDefault="003B0DE2" w:rsidP="00AE5054">
            <w:pPr>
              <w:spacing w:before="0" w:after="0"/>
              <w:jc w:val="left"/>
              <w:rPr>
                <w:rFonts w:eastAsia="Times New Roman" w:cs="Arial"/>
                <w:color w:val="0563C1"/>
                <w:u w:val="single"/>
                <w:lang w:eastAsia="el-GR"/>
              </w:rPr>
            </w:pPr>
            <w:hyperlink r:id="rId454" w:history="1">
              <w:r w:rsidR="00AE5054" w:rsidRPr="00AE5054">
                <w:rPr>
                  <w:rFonts w:eastAsia="Times New Roman" w:cs="Arial"/>
                  <w:color w:val="0563C1"/>
                  <w:u w:val="single"/>
                  <w:lang w:eastAsia="el-GR"/>
                </w:rPr>
                <w:t>Climate Warehouse</w:t>
              </w:r>
            </w:hyperlink>
          </w:p>
        </w:tc>
        <w:tc>
          <w:tcPr>
            <w:tcW w:w="1842" w:type="dxa"/>
            <w:shd w:val="clear" w:color="auto" w:fill="auto"/>
            <w:vAlign w:val="center"/>
            <w:hideMark/>
          </w:tcPr>
          <w:p w14:paraId="3E6DB44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1A9704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Wholesaler, Trader and/or broker, Retailer</w:t>
            </w:r>
          </w:p>
        </w:tc>
      </w:tr>
      <w:tr w:rsidR="00AE5054" w:rsidRPr="00AE5054" w14:paraId="130F62B0" w14:textId="77777777" w:rsidTr="0022057B">
        <w:trPr>
          <w:trHeight w:val="574"/>
        </w:trPr>
        <w:tc>
          <w:tcPr>
            <w:tcW w:w="4390" w:type="dxa"/>
            <w:shd w:val="clear" w:color="auto" w:fill="auto"/>
            <w:vAlign w:val="center"/>
            <w:hideMark/>
          </w:tcPr>
          <w:p w14:paraId="63817A7E" w14:textId="77777777" w:rsidR="00AE5054" w:rsidRPr="00AE5054" w:rsidRDefault="003B0DE2" w:rsidP="00AE5054">
            <w:pPr>
              <w:spacing w:before="0" w:after="0"/>
              <w:jc w:val="left"/>
              <w:rPr>
                <w:rFonts w:eastAsia="Times New Roman" w:cs="Arial"/>
                <w:color w:val="0563C1"/>
                <w:u w:val="single"/>
                <w:lang w:eastAsia="el-GR"/>
              </w:rPr>
            </w:pPr>
            <w:hyperlink r:id="rId455" w:history="1">
              <w:r w:rsidR="00AE5054" w:rsidRPr="00AE5054">
                <w:rPr>
                  <w:rFonts w:eastAsia="Times New Roman" w:cs="Arial"/>
                  <w:color w:val="0563C1"/>
                  <w:u w:val="single"/>
                  <w:lang w:eastAsia="el-GR"/>
                </w:rPr>
                <w:t>Climate Wedge</w:t>
              </w:r>
            </w:hyperlink>
          </w:p>
        </w:tc>
        <w:tc>
          <w:tcPr>
            <w:tcW w:w="1842" w:type="dxa"/>
            <w:shd w:val="clear" w:color="auto" w:fill="auto"/>
            <w:vAlign w:val="center"/>
            <w:hideMark/>
          </w:tcPr>
          <w:p w14:paraId="794530F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Finland</w:t>
            </w:r>
          </w:p>
        </w:tc>
        <w:tc>
          <w:tcPr>
            <w:tcW w:w="2977" w:type="dxa"/>
            <w:shd w:val="clear" w:color="auto" w:fill="auto"/>
            <w:vAlign w:val="center"/>
            <w:hideMark/>
          </w:tcPr>
          <w:p w14:paraId="6E74D4A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 Consultant</w:t>
            </w:r>
          </w:p>
        </w:tc>
      </w:tr>
      <w:tr w:rsidR="00AE5054" w:rsidRPr="00AE5054" w14:paraId="4C02346C" w14:textId="77777777" w:rsidTr="0022057B">
        <w:trPr>
          <w:trHeight w:val="287"/>
        </w:trPr>
        <w:tc>
          <w:tcPr>
            <w:tcW w:w="4390" w:type="dxa"/>
            <w:shd w:val="clear" w:color="auto" w:fill="auto"/>
            <w:vAlign w:val="center"/>
            <w:hideMark/>
          </w:tcPr>
          <w:p w14:paraId="5049C730" w14:textId="77777777" w:rsidR="00AE5054" w:rsidRPr="00AE5054" w:rsidRDefault="003B0DE2" w:rsidP="00AE5054">
            <w:pPr>
              <w:spacing w:before="0" w:after="0"/>
              <w:jc w:val="left"/>
              <w:rPr>
                <w:rFonts w:eastAsia="Times New Roman" w:cs="Arial"/>
                <w:color w:val="0563C1"/>
                <w:u w:val="single"/>
                <w:lang w:eastAsia="el-GR"/>
              </w:rPr>
            </w:pPr>
            <w:hyperlink r:id="rId456" w:history="1">
              <w:r w:rsidR="00AE5054" w:rsidRPr="00AE5054">
                <w:rPr>
                  <w:rFonts w:eastAsia="Times New Roman" w:cs="Arial"/>
                  <w:color w:val="0563C1"/>
                  <w:u w:val="single"/>
                  <w:lang w:eastAsia="el-GR"/>
                </w:rPr>
                <w:t>CO2 Australia</w:t>
              </w:r>
            </w:hyperlink>
          </w:p>
        </w:tc>
        <w:tc>
          <w:tcPr>
            <w:tcW w:w="1842" w:type="dxa"/>
            <w:shd w:val="clear" w:color="auto" w:fill="auto"/>
            <w:vAlign w:val="center"/>
            <w:hideMark/>
          </w:tcPr>
          <w:p w14:paraId="396B60B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6769417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88F7AA6" w14:textId="77777777" w:rsidTr="0022057B">
        <w:trPr>
          <w:trHeight w:val="574"/>
        </w:trPr>
        <w:tc>
          <w:tcPr>
            <w:tcW w:w="4390" w:type="dxa"/>
            <w:shd w:val="clear" w:color="auto" w:fill="auto"/>
            <w:vAlign w:val="center"/>
            <w:hideMark/>
          </w:tcPr>
          <w:p w14:paraId="0BA1EF2D" w14:textId="77777777" w:rsidR="00AE5054" w:rsidRPr="00AE5054" w:rsidRDefault="003B0DE2" w:rsidP="00AE5054">
            <w:pPr>
              <w:spacing w:before="0" w:after="0"/>
              <w:jc w:val="left"/>
              <w:rPr>
                <w:rFonts w:eastAsia="Times New Roman" w:cs="Arial"/>
                <w:color w:val="0563C1"/>
                <w:u w:val="single"/>
                <w:lang w:eastAsia="el-GR"/>
              </w:rPr>
            </w:pPr>
            <w:hyperlink r:id="rId457" w:history="1">
              <w:r w:rsidR="00AE5054" w:rsidRPr="00AE5054">
                <w:rPr>
                  <w:rFonts w:eastAsia="Times New Roman" w:cs="Arial"/>
                  <w:color w:val="0563C1"/>
                  <w:u w:val="single"/>
                  <w:lang w:eastAsia="el-GR"/>
                </w:rPr>
                <w:t>CO2 Balance</w:t>
              </w:r>
            </w:hyperlink>
          </w:p>
        </w:tc>
        <w:tc>
          <w:tcPr>
            <w:tcW w:w="1842" w:type="dxa"/>
            <w:shd w:val="clear" w:color="auto" w:fill="auto"/>
            <w:vAlign w:val="center"/>
            <w:hideMark/>
          </w:tcPr>
          <w:p w14:paraId="5E613FF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53DF4CB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109E26A1" w14:textId="77777777" w:rsidTr="0022057B">
        <w:trPr>
          <w:trHeight w:val="574"/>
        </w:trPr>
        <w:tc>
          <w:tcPr>
            <w:tcW w:w="4390" w:type="dxa"/>
            <w:shd w:val="clear" w:color="auto" w:fill="auto"/>
            <w:vAlign w:val="center"/>
            <w:hideMark/>
          </w:tcPr>
          <w:p w14:paraId="73610E8A" w14:textId="77777777" w:rsidR="00AE5054" w:rsidRPr="00AE5054" w:rsidRDefault="003B0DE2" w:rsidP="00AE5054">
            <w:pPr>
              <w:spacing w:before="0" w:after="0"/>
              <w:jc w:val="left"/>
              <w:rPr>
                <w:rFonts w:eastAsia="Times New Roman" w:cs="Arial"/>
                <w:color w:val="0563C1"/>
                <w:u w:val="single"/>
                <w:lang w:eastAsia="el-GR"/>
              </w:rPr>
            </w:pPr>
            <w:hyperlink r:id="rId458" w:history="1">
              <w:r w:rsidR="00AE5054" w:rsidRPr="00AE5054">
                <w:rPr>
                  <w:rFonts w:eastAsia="Times New Roman" w:cs="Arial"/>
                  <w:color w:val="0563C1"/>
                  <w:u w:val="single"/>
                  <w:lang w:eastAsia="el-GR"/>
                </w:rPr>
                <w:t>CO2 Impact</w:t>
              </w:r>
            </w:hyperlink>
          </w:p>
        </w:tc>
        <w:tc>
          <w:tcPr>
            <w:tcW w:w="1842" w:type="dxa"/>
            <w:shd w:val="clear" w:color="auto" w:fill="auto"/>
            <w:vAlign w:val="center"/>
            <w:hideMark/>
          </w:tcPr>
          <w:p w14:paraId="6D77B4F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2466A39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Wholesaler, Trader and/or broker, Retailer</w:t>
            </w:r>
          </w:p>
        </w:tc>
      </w:tr>
      <w:tr w:rsidR="00AE5054" w:rsidRPr="00AE5054" w14:paraId="3C88922A" w14:textId="77777777" w:rsidTr="0022057B">
        <w:trPr>
          <w:trHeight w:val="287"/>
        </w:trPr>
        <w:tc>
          <w:tcPr>
            <w:tcW w:w="4390" w:type="dxa"/>
            <w:shd w:val="clear" w:color="auto" w:fill="auto"/>
            <w:vAlign w:val="center"/>
            <w:hideMark/>
          </w:tcPr>
          <w:p w14:paraId="1E3CBB5E" w14:textId="77777777" w:rsidR="00AE5054" w:rsidRPr="00AE5054" w:rsidRDefault="003B0DE2" w:rsidP="00AE5054">
            <w:pPr>
              <w:spacing w:before="0" w:after="0"/>
              <w:jc w:val="left"/>
              <w:rPr>
                <w:rFonts w:eastAsia="Times New Roman" w:cs="Arial"/>
                <w:color w:val="0563C1"/>
                <w:u w:val="single"/>
                <w:lang w:eastAsia="el-GR"/>
              </w:rPr>
            </w:pPr>
            <w:hyperlink r:id="rId459" w:history="1">
              <w:r w:rsidR="00AE5054" w:rsidRPr="00AE5054">
                <w:rPr>
                  <w:rFonts w:eastAsia="Times New Roman" w:cs="Arial"/>
                  <w:color w:val="0563C1"/>
                  <w:u w:val="single"/>
                  <w:lang w:eastAsia="el-GR"/>
                </w:rPr>
                <w:t>CO2 Logic</w:t>
              </w:r>
            </w:hyperlink>
          </w:p>
        </w:tc>
        <w:tc>
          <w:tcPr>
            <w:tcW w:w="1842" w:type="dxa"/>
            <w:shd w:val="clear" w:color="auto" w:fill="auto"/>
            <w:vAlign w:val="center"/>
            <w:hideMark/>
          </w:tcPr>
          <w:p w14:paraId="1AECC69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Belgium</w:t>
            </w:r>
          </w:p>
        </w:tc>
        <w:tc>
          <w:tcPr>
            <w:tcW w:w="2977" w:type="dxa"/>
            <w:shd w:val="clear" w:color="auto" w:fill="auto"/>
            <w:vAlign w:val="center"/>
            <w:hideMark/>
          </w:tcPr>
          <w:p w14:paraId="088A4BB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7B26AC99" w14:textId="77777777" w:rsidTr="0022057B">
        <w:trPr>
          <w:trHeight w:val="287"/>
        </w:trPr>
        <w:tc>
          <w:tcPr>
            <w:tcW w:w="4390" w:type="dxa"/>
            <w:shd w:val="clear" w:color="auto" w:fill="auto"/>
            <w:vAlign w:val="center"/>
            <w:hideMark/>
          </w:tcPr>
          <w:p w14:paraId="5E5C1C70" w14:textId="77777777" w:rsidR="00AE5054" w:rsidRPr="00AE5054" w:rsidRDefault="003B0DE2" w:rsidP="00AE5054">
            <w:pPr>
              <w:spacing w:before="0" w:after="0"/>
              <w:jc w:val="left"/>
              <w:rPr>
                <w:rFonts w:eastAsia="Times New Roman" w:cs="Arial"/>
                <w:color w:val="0563C1"/>
                <w:u w:val="single"/>
                <w:lang w:eastAsia="el-GR"/>
              </w:rPr>
            </w:pPr>
            <w:hyperlink r:id="rId460" w:history="1">
              <w:r w:rsidR="00AE5054" w:rsidRPr="00AE5054">
                <w:rPr>
                  <w:rFonts w:eastAsia="Times New Roman" w:cs="Arial"/>
                  <w:color w:val="0563C1"/>
                  <w:u w:val="single"/>
                  <w:lang w:eastAsia="el-GR"/>
                </w:rPr>
                <w:t xml:space="preserve">CO2 </w:t>
              </w:r>
              <w:proofErr w:type="spellStart"/>
              <w:r w:rsidR="00AE5054" w:rsidRPr="00AE5054">
                <w:rPr>
                  <w:rFonts w:eastAsia="Times New Roman" w:cs="Arial"/>
                  <w:color w:val="0563C1"/>
                  <w:u w:val="single"/>
                  <w:lang w:eastAsia="el-GR"/>
                </w:rPr>
                <w:t>Neutraal</w:t>
              </w:r>
              <w:proofErr w:type="spellEnd"/>
            </w:hyperlink>
          </w:p>
        </w:tc>
        <w:tc>
          <w:tcPr>
            <w:tcW w:w="1842" w:type="dxa"/>
            <w:shd w:val="clear" w:color="auto" w:fill="auto"/>
            <w:vAlign w:val="center"/>
            <w:hideMark/>
          </w:tcPr>
          <w:p w14:paraId="0EBBE3F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Netherlands</w:t>
            </w:r>
          </w:p>
        </w:tc>
        <w:tc>
          <w:tcPr>
            <w:tcW w:w="2977" w:type="dxa"/>
            <w:shd w:val="clear" w:color="auto" w:fill="auto"/>
            <w:vAlign w:val="center"/>
            <w:hideMark/>
          </w:tcPr>
          <w:p w14:paraId="5924FDBA" w14:textId="77777777" w:rsidR="00AE5054" w:rsidRPr="00AE5054" w:rsidRDefault="00AE5054" w:rsidP="00AE5054">
            <w:pPr>
              <w:spacing w:before="0" w:after="0"/>
              <w:jc w:val="left"/>
              <w:rPr>
                <w:rFonts w:eastAsia="Times New Roman" w:cs="Arial"/>
                <w:color w:val="000000"/>
                <w:lang w:eastAsia="el-GR"/>
              </w:rPr>
            </w:pPr>
          </w:p>
        </w:tc>
      </w:tr>
      <w:tr w:rsidR="00AE5054" w:rsidRPr="00AE5054" w14:paraId="71D66362" w14:textId="77777777" w:rsidTr="0022057B">
        <w:trPr>
          <w:trHeight w:val="287"/>
        </w:trPr>
        <w:tc>
          <w:tcPr>
            <w:tcW w:w="4390" w:type="dxa"/>
            <w:shd w:val="clear" w:color="auto" w:fill="auto"/>
            <w:vAlign w:val="center"/>
            <w:hideMark/>
          </w:tcPr>
          <w:p w14:paraId="15B8563B" w14:textId="77777777" w:rsidR="00AE5054" w:rsidRPr="00AE5054" w:rsidRDefault="003B0DE2" w:rsidP="00AE5054">
            <w:pPr>
              <w:spacing w:before="0" w:after="0"/>
              <w:jc w:val="left"/>
              <w:rPr>
                <w:rFonts w:eastAsia="Times New Roman" w:cs="Arial"/>
                <w:color w:val="0563C1"/>
                <w:u w:val="single"/>
                <w:lang w:eastAsia="el-GR"/>
              </w:rPr>
            </w:pPr>
            <w:hyperlink r:id="rId461" w:history="1">
              <w:r w:rsidR="00AE5054" w:rsidRPr="00AE5054">
                <w:rPr>
                  <w:rFonts w:eastAsia="Times New Roman" w:cs="Arial"/>
                  <w:color w:val="0563C1"/>
                  <w:u w:val="single"/>
                  <w:lang w:eastAsia="el-GR"/>
                </w:rPr>
                <w:t xml:space="preserve">CO2 </w:t>
              </w:r>
              <w:proofErr w:type="spellStart"/>
              <w:r w:rsidR="00AE5054" w:rsidRPr="00AE5054">
                <w:rPr>
                  <w:rFonts w:eastAsia="Times New Roman" w:cs="Arial"/>
                  <w:color w:val="0563C1"/>
                  <w:u w:val="single"/>
                  <w:lang w:eastAsia="el-GR"/>
                </w:rPr>
                <w:t>Solidaire</w:t>
              </w:r>
              <w:proofErr w:type="spellEnd"/>
            </w:hyperlink>
          </w:p>
        </w:tc>
        <w:tc>
          <w:tcPr>
            <w:tcW w:w="1842" w:type="dxa"/>
            <w:shd w:val="clear" w:color="auto" w:fill="auto"/>
            <w:vAlign w:val="center"/>
            <w:hideMark/>
          </w:tcPr>
          <w:p w14:paraId="5BD0D79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France</w:t>
            </w:r>
          </w:p>
        </w:tc>
        <w:tc>
          <w:tcPr>
            <w:tcW w:w="2977" w:type="dxa"/>
            <w:shd w:val="clear" w:color="auto" w:fill="auto"/>
            <w:vAlign w:val="center"/>
            <w:hideMark/>
          </w:tcPr>
          <w:p w14:paraId="75EBCAF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0F6CF5F" w14:textId="77777777" w:rsidTr="0022057B">
        <w:trPr>
          <w:trHeight w:val="287"/>
        </w:trPr>
        <w:tc>
          <w:tcPr>
            <w:tcW w:w="4390" w:type="dxa"/>
            <w:shd w:val="clear" w:color="auto" w:fill="auto"/>
            <w:vAlign w:val="center"/>
            <w:hideMark/>
          </w:tcPr>
          <w:p w14:paraId="48AF97F8" w14:textId="77777777" w:rsidR="00AE5054" w:rsidRPr="00AE5054" w:rsidRDefault="003B0DE2" w:rsidP="00AE5054">
            <w:pPr>
              <w:spacing w:before="0" w:after="0"/>
              <w:jc w:val="left"/>
              <w:rPr>
                <w:rFonts w:eastAsia="Times New Roman" w:cs="Arial"/>
                <w:color w:val="0563C1"/>
                <w:u w:val="single"/>
                <w:lang w:eastAsia="el-GR"/>
              </w:rPr>
            </w:pPr>
            <w:hyperlink r:id="rId462" w:history="1">
              <w:r w:rsidR="00AE5054" w:rsidRPr="00AE5054">
                <w:rPr>
                  <w:rFonts w:eastAsia="Times New Roman" w:cs="Arial"/>
                  <w:color w:val="0563C1"/>
                  <w:u w:val="single"/>
                  <w:lang w:eastAsia="el-GR"/>
                </w:rPr>
                <w:t>CO2NTRA</w:t>
              </w:r>
            </w:hyperlink>
          </w:p>
        </w:tc>
        <w:tc>
          <w:tcPr>
            <w:tcW w:w="1842" w:type="dxa"/>
            <w:shd w:val="clear" w:color="auto" w:fill="auto"/>
            <w:vAlign w:val="center"/>
            <w:hideMark/>
          </w:tcPr>
          <w:p w14:paraId="1365D83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Hungary</w:t>
            </w:r>
          </w:p>
        </w:tc>
        <w:tc>
          <w:tcPr>
            <w:tcW w:w="2977" w:type="dxa"/>
            <w:shd w:val="clear" w:color="auto" w:fill="auto"/>
            <w:vAlign w:val="center"/>
            <w:hideMark/>
          </w:tcPr>
          <w:p w14:paraId="4523942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5880ABCB" w14:textId="77777777" w:rsidTr="0022057B">
        <w:trPr>
          <w:trHeight w:val="287"/>
        </w:trPr>
        <w:tc>
          <w:tcPr>
            <w:tcW w:w="4390" w:type="dxa"/>
            <w:shd w:val="clear" w:color="auto" w:fill="auto"/>
            <w:vAlign w:val="center"/>
            <w:hideMark/>
          </w:tcPr>
          <w:p w14:paraId="177E1C06" w14:textId="77777777" w:rsidR="00AE5054" w:rsidRPr="00AE5054" w:rsidRDefault="003B0DE2" w:rsidP="00AE5054">
            <w:pPr>
              <w:spacing w:before="0" w:after="0"/>
              <w:jc w:val="left"/>
              <w:rPr>
                <w:rFonts w:eastAsia="Times New Roman" w:cs="Arial"/>
                <w:color w:val="0563C1"/>
                <w:u w:val="single"/>
                <w:lang w:eastAsia="el-GR"/>
              </w:rPr>
            </w:pPr>
            <w:hyperlink r:id="rId463" w:history="1">
              <w:r w:rsidR="00AE5054" w:rsidRPr="00AE5054">
                <w:rPr>
                  <w:rFonts w:eastAsia="Times New Roman" w:cs="Arial"/>
                  <w:color w:val="0563C1"/>
                  <w:u w:val="single"/>
                  <w:lang w:eastAsia="el-GR"/>
                </w:rPr>
                <w:t>Community Energy</w:t>
              </w:r>
            </w:hyperlink>
          </w:p>
        </w:tc>
        <w:tc>
          <w:tcPr>
            <w:tcW w:w="1842" w:type="dxa"/>
            <w:shd w:val="clear" w:color="auto" w:fill="auto"/>
            <w:vAlign w:val="center"/>
            <w:hideMark/>
          </w:tcPr>
          <w:p w14:paraId="5C05C19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63E1623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58E3FFD7" w14:textId="77777777" w:rsidTr="0022057B">
        <w:trPr>
          <w:trHeight w:val="287"/>
        </w:trPr>
        <w:tc>
          <w:tcPr>
            <w:tcW w:w="4390" w:type="dxa"/>
            <w:shd w:val="clear" w:color="auto" w:fill="auto"/>
            <w:vAlign w:val="center"/>
            <w:hideMark/>
          </w:tcPr>
          <w:p w14:paraId="5B4B7B36" w14:textId="77777777" w:rsidR="00AE5054" w:rsidRPr="00AE5054" w:rsidRDefault="003B0DE2" w:rsidP="00AE5054">
            <w:pPr>
              <w:spacing w:before="0" w:after="0"/>
              <w:jc w:val="left"/>
              <w:rPr>
                <w:rFonts w:eastAsia="Times New Roman" w:cs="Arial"/>
                <w:color w:val="0563C1"/>
                <w:u w:val="single"/>
                <w:lang w:eastAsia="el-GR"/>
              </w:rPr>
            </w:pPr>
            <w:hyperlink r:id="rId464" w:history="1">
              <w:r w:rsidR="00AE5054" w:rsidRPr="00AE5054">
                <w:rPr>
                  <w:rFonts w:eastAsia="Times New Roman" w:cs="Arial"/>
                  <w:color w:val="0563C1"/>
                  <w:u w:val="single"/>
                  <w:lang w:eastAsia="el-GR"/>
                </w:rPr>
                <w:t>CompenCO2</w:t>
              </w:r>
            </w:hyperlink>
          </w:p>
        </w:tc>
        <w:tc>
          <w:tcPr>
            <w:tcW w:w="1842" w:type="dxa"/>
            <w:shd w:val="clear" w:color="auto" w:fill="auto"/>
            <w:vAlign w:val="center"/>
            <w:hideMark/>
          </w:tcPr>
          <w:p w14:paraId="79C2B91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Belgium</w:t>
            </w:r>
          </w:p>
        </w:tc>
        <w:tc>
          <w:tcPr>
            <w:tcW w:w="2977" w:type="dxa"/>
            <w:shd w:val="clear" w:color="auto" w:fill="auto"/>
            <w:vAlign w:val="center"/>
            <w:hideMark/>
          </w:tcPr>
          <w:p w14:paraId="3E442FA1" w14:textId="77777777" w:rsidR="00AE5054" w:rsidRPr="00AE5054" w:rsidRDefault="00AE5054" w:rsidP="00AE5054">
            <w:pPr>
              <w:spacing w:before="0" w:after="0"/>
              <w:jc w:val="left"/>
              <w:rPr>
                <w:rFonts w:eastAsia="Times New Roman" w:cs="Arial"/>
                <w:color w:val="000000"/>
                <w:lang w:eastAsia="el-GR"/>
              </w:rPr>
            </w:pPr>
          </w:p>
        </w:tc>
      </w:tr>
      <w:tr w:rsidR="00AE5054" w:rsidRPr="00AE5054" w14:paraId="7F488DDA" w14:textId="77777777" w:rsidTr="0022057B">
        <w:trPr>
          <w:trHeight w:val="287"/>
        </w:trPr>
        <w:tc>
          <w:tcPr>
            <w:tcW w:w="4390" w:type="dxa"/>
            <w:shd w:val="clear" w:color="auto" w:fill="auto"/>
            <w:vAlign w:val="center"/>
            <w:hideMark/>
          </w:tcPr>
          <w:p w14:paraId="3DDAB877" w14:textId="77777777" w:rsidR="00AE5054" w:rsidRPr="00AE5054" w:rsidRDefault="003B0DE2" w:rsidP="00AE5054">
            <w:pPr>
              <w:spacing w:before="0" w:after="0"/>
              <w:jc w:val="left"/>
              <w:rPr>
                <w:rFonts w:eastAsia="Times New Roman" w:cs="Arial"/>
                <w:color w:val="0563C1"/>
                <w:u w:val="single"/>
                <w:lang w:eastAsia="el-GR"/>
              </w:rPr>
            </w:pPr>
            <w:hyperlink r:id="rId465" w:history="1">
              <w:r w:rsidR="00AE5054" w:rsidRPr="00AE5054">
                <w:rPr>
                  <w:rFonts w:eastAsia="Times New Roman" w:cs="Arial"/>
                  <w:color w:val="0563C1"/>
                  <w:u w:val="single"/>
                  <w:lang w:eastAsia="el-GR"/>
                </w:rPr>
                <w:t>Conservation Fund</w:t>
              </w:r>
            </w:hyperlink>
          </w:p>
        </w:tc>
        <w:tc>
          <w:tcPr>
            <w:tcW w:w="1842" w:type="dxa"/>
            <w:shd w:val="clear" w:color="auto" w:fill="auto"/>
            <w:vAlign w:val="center"/>
            <w:hideMark/>
          </w:tcPr>
          <w:p w14:paraId="0AE3938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579EB9B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A254693" w14:textId="77777777" w:rsidTr="0022057B">
        <w:trPr>
          <w:trHeight w:val="287"/>
        </w:trPr>
        <w:tc>
          <w:tcPr>
            <w:tcW w:w="4390" w:type="dxa"/>
            <w:shd w:val="clear" w:color="auto" w:fill="auto"/>
            <w:vAlign w:val="center"/>
            <w:hideMark/>
          </w:tcPr>
          <w:p w14:paraId="1D76F09D" w14:textId="77777777" w:rsidR="00AE5054" w:rsidRPr="00AE5054" w:rsidRDefault="003B0DE2" w:rsidP="00AE5054">
            <w:pPr>
              <w:spacing w:before="0" w:after="0"/>
              <w:jc w:val="left"/>
              <w:rPr>
                <w:rFonts w:eastAsia="Times New Roman" w:cs="Arial"/>
                <w:color w:val="0563C1"/>
                <w:u w:val="single"/>
                <w:lang w:eastAsia="el-GR"/>
              </w:rPr>
            </w:pPr>
            <w:hyperlink r:id="rId466" w:history="1">
              <w:r w:rsidR="00AE5054" w:rsidRPr="00AE5054">
                <w:rPr>
                  <w:rFonts w:eastAsia="Times New Roman" w:cs="Arial"/>
                  <w:color w:val="0563C1"/>
                  <w:u w:val="single"/>
                  <w:lang w:eastAsia="el-GR"/>
                </w:rPr>
                <w:t>Conservation International</w:t>
              </w:r>
            </w:hyperlink>
          </w:p>
        </w:tc>
        <w:tc>
          <w:tcPr>
            <w:tcW w:w="1842" w:type="dxa"/>
            <w:shd w:val="clear" w:color="auto" w:fill="auto"/>
            <w:vAlign w:val="center"/>
            <w:hideMark/>
          </w:tcPr>
          <w:p w14:paraId="76F979C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5BC25AE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C92AD49" w14:textId="77777777" w:rsidTr="0022057B">
        <w:trPr>
          <w:trHeight w:val="287"/>
        </w:trPr>
        <w:tc>
          <w:tcPr>
            <w:tcW w:w="4390" w:type="dxa"/>
            <w:shd w:val="clear" w:color="auto" w:fill="auto"/>
            <w:vAlign w:val="center"/>
            <w:hideMark/>
          </w:tcPr>
          <w:p w14:paraId="13115144" w14:textId="77777777" w:rsidR="00AE5054" w:rsidRPr="00AE5054" w:rsidRDefault="003B0DE2" w:rsidP="00AE5054">
            <w:pPr>
              <w:spacing w:before="0" w:after="0"/>
              <w:jc w:val="left"/>
              <w:rPr>
                <w:rFonts w:eastAsia="Times New Roman" w:cs="Arial"/>
                <w:color w:val="0563C1"/>
                <w:u w:val="single"/>
                <w:lang w:eastAsia="el-GR"/>
              </w:rPr>
            </w:pPr>
            <w:hyperlink r:id="rId467" w:history="1">
              <w:r w:rsidR="00AE5054" w:rsidRPr="00AE5054">
                <w:rPr>
                  <w:rFonts w:eastAsia="Times New Roman" w:cs="Arial"/>
                  <w:color w:val="0563C1"/>
                  <w:u w:val="single"/>
                  <w:lang w:eastAsia="el-GR"/>
                </w:rPr>
                <w:t>Cool Earth</w:t>
              </w:r>
            </w:hyperlink>
          </w:p>
        </w:tc>
        <w:tc>
          <w:tcPr>
            <w:tcW w:w="1842" w:type="dxa"/>
            <w:shd w:val="clear" w:color="auto" w:fill="auto"/>
            <w:vAlign w:val="center"/>
            <w:hideMark/>
          </w:tcPr>
          <w:p w14:paraId="1A676BB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C9BB59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9770C6B" w14:textId="77777777" w:rsidTr="0022057B">
        <w:trPr>
          <w:trHeight w:val="287"/>
        </w:trPr>
        <w:tc>
          <w:tcPr>
            <w:tcW w:w="4390" w:type="dxa"/>
            <w:shd w:val="clear" w:color="auto" w:fill="auto"/>
            <w:vAlign w:val="center"/>
            <w:hideMark/>
          </w:tcPr>
          <w:p w14:paraId="320EA947" w14:textId="77777777" w:rsidR="00AE5054" w:rsidRPr="00AE5054" w:rsidRDefault="003B0DE2" w:rsidP="00AE5054">
            <w:pPr>
              <w:spacing w:before="0" w:after="0"/>
              <w:jc w:val="left"/>
              <w:rPr>
                <w:rFonts w:eastAsia="Times New Roman" w:cs="Arial"/>
                <w:color w:val="0563C1"/>
                <w:u w:val="single"/>
                <w:lang w:eastAsia="el-GR"/>
              </w:rPr>
            </w:pPr>
            <w:hyperlink r:id="rId468" w:history="1">
              <w:proofErr w:type="spellStart"/>
              <w:r w:rsidR="00AE5054" w:rsidRPr="00AE5054">
                <w:rPr>
                  <w:rFonts w:eastAsia="Times New Roman" w:cs="Arial"/>
                  <w:color w:val="0563C1"/>
                  <w:u w:val="single"/>
                  <w:lang w:eastAsia="el-GR"/>
                </w:rPr>
                <w:t>Coolaction</w:t>
              </w:r>
              <w:proofErr w:type="spellEnd"/>
            </w:hyperlink>
          </w:p>
        </w:tc>
        <w:tc>
          <w:tcPr>
            <w:tcW w:w="1842" w:type="dxa"/>
            <w:shd w:val="clear" w:color="auto" w:fill="auto"/>
            <w:vAlign w:val="center"/>
            <w:hideMark/>
          </w:tcPr>
          <w:p w14:paraId="7780E7E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274C697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D6354E2" w14:textId="77777777" w:rsidTr="0022057B">
        <w:trPr>
          <w:trHeight w:val="287"/>
        </w:trPr>
        <w:tc>
          <w:tcPr>
            <w:tcW w:w="4390" w:type="dxa"/>
            <w:shd w:val="clear" w:color="auto" w:fill="auto"/>
            <w:vAlign w:val="center"/>
            <w:hideMark/>
          </w:tcPr>
          <w:p w14:paraId="272426F6" w14:textId="77777777" w:rsidR="00AE5054" w:rsidRPr="00AE5054" w:rsidRDefault="003B0DE2" w:rsidP="00AE5054">
            <w:pPr>
              <w:spacing w:before="0" w:after="0"/>
              <w:jc w:val="left"/>
              <w:rPr>
                <w:rFonts w:eastAsia="Times New Roman" w:cs="Arial"/>
                <w:color w:val="0563C1"/>
                <w:u w:val="single"/>
                <w:lang w:eastAsia="el-GR"/>
              </w:rPr>
            </w:pPr>
            <w:hyperlink r:id="rId469" w:history="1">
              <w:r w:rsidR="00AE5054" w:rsidRPr="00AE5054">
                <w:rPr>
                  <w:rFonts w:eastAsia="Times New Roman" w:cs="Arial"/>
                  <w:color w:val="0563C1"/>
                  <w:u w:val="single"/>
                  <w:lang w:eastAsia="el-GR"/>
                </w:rPr>
                <w:t>Corporate Carbon Offset</w:t>
              </w:r>
            </w:hyperlink>
          </w:p>
        </w:tc>
        <w:tc>
          <w:tcPr>
            <w:tcW w:w="1842" w:type="dxa"/>
            <w:shd w:val="clear" w:color="auto" w:fill="auto"/>
            <w:vAlign w:val="center"/>
            <w:hideMark/>
          </w:tcPr>
          <w:p w14:paraId="30F766C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E2F086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4DDA5BB6" w14:textId="77777777" w:rsidTr="0022057B">
        <w:trPr>
          <w:trHeight w:val="574"/>
        </w:trPr>
        <w:tc>
          <w:tcPr>
            <w:tcW w:w="4390" w:type="dxa"/>
            <w:shd w:val="clear" w:color="auto" w:fill="auto"/>
            <w:vAlign w:val="center"/>
            <w:hideMark/>
          </w:tcPr>
          <w:p w14:paraId="36BC0B50" w14:textId="77777777" w:rsidR="00AE5054" w:rsidRPr="00AE5054" w:rsidRDefault="003B0DE2" w:rsidP="00AE5054">
            <w:pPr>
              <w:spacing w:before="0" w:after="0"/>
              <w:jc w:val="left"/>
              <w:rPr>
                <w:rFonts w:eastAsia="Times New Roman" w:cs="Arial"/>
                <w:color w:val="0563C1"/>
                <w:u w:val="single"/>
                <w:lang w:eastAsia="el-GR"/>
              </w:rPr>
            </w:pPr>
            <w:hyperlink r:id="rId470" w:history="1">
              <w:r w:rsidR="00AE5054" w:rsidRPr="00AE5054">
                <w:rPr>
                  <w:rFonts w:eastAsia="Times New Roman" w:cs="Arial"/>
                  <w:color w:val="0563C1"/>
                  <w:u w:val="single"/>
                  <w:lang w:eastAsia="el-GR"/>
                </w:rPr>
                <w:t>Cred</w:t>
              </w:r>
            </w:hyperlink>
          </w:p>
        </w:tc>
        <w:tc>
          <w:tcPr>
            <w:tcW w:w="1842" w:type="dxa"/>
            <w:shd w:val="clear" w:color="auto" w:fill="auto"/>
            <w:vAlign w:val="center"/>
            <w:hideMark/>
          </w:tcPr>
          <w:p w14:paraId="670AD22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52D170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 Consultant</w:t>
            </w:r>
          </w:p>
        </w:tc>
      </w:tr>
      <w:tr w:rsidR="00AE5054" w:rsidRPr="00AE5054" w14:paraId="34A31415" w14:textId="77777777" w:rsidTr="0022057B">
        <w:trPr>
          <w:trHeight w:val="287"/>
        </w:trPr>
        <w:tc>
          <w:tcPr>
            <w:tcW w:w="4390" w:type="dxa"/>
            <w:shd w:val="clear" w:color="auto" w:fill="auto"/>
            <w:vAlign w:val="center"/>
            <w:hideMark/>
          </w:tcPr>
          <w:p w14:paraId="4CFD36F9" w14:textId="77777777" w:rsidR="00AE5054" w:rsidRPr="00AE5054" w:rsidRDefault="003B0DE2" w:rsidP="00AE5054">
            <w:pPr>
              <w:spacing w:before="0" w:after="0"/>
              <w:jc w:val="left"/>
              <w:rPr>
                <w:rFonts w:eastAsia="Times New Roman" w:cs="Arial"/>
                <w:color w:val="0563C1"/>
                <w:u w:val="single"/>
                <w:lang w:eastAsia="el-GR"/>
              </w:rPr>
            </w:pPr>
            <w:hyperlink r:id="rId471" w:history="1">
              <w:r w:rsidR="00AE5054" w:rsidRPr="00AE5054">
                <w:rPr>
                  <w:rFonts w:eastAsia="Times New Roman" w:cs="Arial"/>
                  <w:color w:val="0563C1"/>
                  <w:u w:val="single"/>
                  <w:lang w:eastAsia="el-GR"/>
                </w:rPr>
                <w:t>Delta-Institute</w:t>
              </w:r>
            </w:hyperlink>
          </w:p>
        </w:tc>
        <w:tc>
          <w:tcPr>
            <w:tcW w:w="1842" w:type="dxa"/>
            <w:shd w:val="clear" w:color="auto" w:fill="auto"/>
            <w:vAlign w:val="center"/>
            <w:hideMark/>
          </w:tcPr>
          <w:p w14:paraId="2932D0D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D828E8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6342C938" w14:textId="77777777" w:rsidTr="0022057B">
        <w:trPr>
          <w:trHeight w:val="287"/>
        </w:trPr>
        <w:tc>
          <w:tcPr>
            <w:tcW w:w="4390" w:type="dxa"/>
            <w:shd w:val="clear" w:color="auto" w:fill="auto"/>
            <w:vAlign w:val="center"/>
            <w:hideMark/>
          </w:tcPr>
          <w:p w14:paraId="6F463C33" w14:textId="77777777" w:rsidR="00AE5054" w:rsidRPr="00AE5054" w:rsidRDefault="003B0DE2" w:rsidP="00AE5054">
            <w:pPr>
              <w:spacing w:before="0" w:after="0"/>
              <w:jc w:val="left"/>
              <w:rPr>
                <w:rFonts w:eastAsia="Times New Roman" w:cs="Arial"/>
                <w:color w:val="0563C1"/>
                <w:u w:val="single"/>
                <w:lang w:eastAsia="el-GR"/>
              </w:rPr>
            </w:pPr>
            <w:hyperlink r:id="rId472" w:history="1">
              <w:r w:rsidR="00AE5054" w:rsidRPr="00AE5054">
                <w:rPr>
                  <w:rFonts w:eastAsia="Times New Roman" w:cs="Arial"/>
                  <w:color w:val="0563C1"/>
                  <w:u w:val="single"/>
                  <w:lang w:eastAsia="el-GR"/>
                </w:rPr>
                <w:t>Drive Greener</w:t>
              </w:r>
            </w:hyperlink>
          </w:p>
        </w:tc>
        <w:tc>
          <w:tcPr>
            <w:tcW w:w="1842" w:type="dxa"/>
            <w:shd w:val="clear" w:color="auto" w:fill="auto"/>
            <w:vAlign w:val="center"/>
            <w:hideMark/>
          </w:tcPr>
          <w:p w14:paraId="748050C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79A8FEC5" w14:textId="77777777" w:rsidR="00AE5054" w:rsidRPr="00AE5054" w:rsidRDefault="00AE5054" w:rsidP="00AE5054">
            <w:pPr>
              <w:spacing w:before="0" w:after="0"/>
              <w:jc w:val="left"/>
              <w:rPr>
                <w:rFonts w:eastAsia="Times New Roman" w:cs="Arial"/>
                <w:color w:val="000000"/>
                <w:lang w:eastAsia="el-GR"/>
              </w:rPr>
            </w:pPr>
          </w:p>
        </w:tc>
      </w:tr>
      <w:tr w:rsidR="00AE5054" w:rsidRPr="00AE5054" w14:paraId="7EE8A32F" w14:textId="77777777" w:rsidTr="0022057B">
        <w:trPr>
          <w:trHeight w:val="287"/>
        </w:trPr>
        <w:tc>
          <w:tcPr>
            <w:tcW w:w="4390" w:type="dxa"/>
            <w:shd w:val="clear" w:color="auto" w:fill="auto"/>
            <w:vAlign w:val="center"/>
            <w:hideMark/>
          </w:tcPr>
          <w:p w14:paraId="142E5AB7" w14:textId="77777777" w:rsidR="00AE5054" w:rsidRPr="00AE5054" w:rsidRDefault="003B0DE2" w:rsidP="00AE5054">
            <w:pPr>
              <w:spacing w:before="0" w:after="0"/>
              <w:jc w:val="left"/>
              <w:rPr>
                <w:rFonts w:eastAsia="Times New Roman" w:cs="Arial"/>
                <w:color w:val="0563C1"/>
                <w:u w:val="single"/>
                <w:lang w:eastAsia="el-GR"/>
              </w:rPr>
            </w:pPr>
            <w:hyperlink r:id="rId473" w:history="1">
              <w:r w:rsidR="00AE5054" w:rsidRPr="00AE5054">
                <w:rPr>
                  <w:rFonts w:eastAsia="Times New Roman" w:cs="Arial"/>
                  <w:color w:val="0563C1"/>
                  <w:u w:val="single"/>
                  <w:lang w:eastAsia="el-GR"/>
                </w:rPr>
                <w:t>Ducks Unlimited</w:t>
              </w:r>
            </w:hyperlink>
          </w:p>
        </w:tc>
        <w:tc>
          <w:tcPr>
            <w:tcW w:w="1842" w:type="dxa"/>
            <w:shd w:val="clear" w:color="auto" w:fill="auto"/>
            <w:vAlign w:val="center"/>
            <w:hideMark/>
          </w:tcPr>
          <w:p w14:paraId="515ACB2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32FE17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6677B501" w14:textId="77777777" w:rsidTr="0022057B">
        <w:trPr>
          <w:trHeight w:val="287"/>
        </w:trPr>
        <w:tc>
          <w:tcPr>
            <w:tcW w:w="4390" w:type="dxa"/>
            <w:shd w:val="clear" w:color="auto" w:fill="auto"/>
            <w:vAlign w:val="center"/>
            <w:hideMark/>
          </w:tcPr>
          <w:p w14:paraId="3DC93AEF" w14:textId="77777777" w:rsidR="00AE5054" w:rsidRPr="00AE5054" w:rsidRDefault="003B0DE2" w:rsidP="00AE5054">
            <w:pPr>
              <w:spacing w:before="0" w:after="0"/>
              <w:jc w:val="left"/>
              <w:rPr>
                <w:rFonts w:eastAsia="Times New Roman" w:cs="Arial"/>
                <w:color w:val="0563C1"/>
                <w:u w:val="single"/>
                <w:lang w:eastAsia="el-GR"/>
              </w:rPr>
            </w:pPr>
            <w:hyperlink r:id="rId474" w:history="1">
              <w:proofErr w:type="spellStart"/>
              <w:r w:rsidR="00AE5054" w:rsidRPr="00AE5054">
                <w:rPr>
                  <w:rFonts w:eastAsia="Times New Roman" w:cs="Arial"/>
                  <w:color w:val="0563C1"/>
                  <w:u w:val="single"/>
                  <w:lang w:eastAsia="el-GR"/>
                </w:rPr>
                <w:t>E+Co</w:t>
              </w:r>
              <w:proofErr w:type="spellEnd"/>
            </w:hyperlink>
          </w:p>
        </w:tc>
        <w:tc>
          <w:tcPr>
            <w:tcW w:w="1842" w:type="dxa"/>
            <w:shd w:val="clear" w:color="auto" w:fill="auto"/>
            <w:vAlign w:val="center"/>
            <w:hideMark/>
          </w:tcPr>
          <w:p w14:paraId="6BE6BC3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0DCF583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487B13EC" w14:textId="77777777" w:rsidTr="0022057B">
        <w:trPr>
          <w:trHeight w:val="287"/>
        </w:trPr>
        <w:tc>
          <w:tcPr>
            <w:tcW w:w="4390" w:type="dxa"/>
            <w:shd w:val="clear" w:color="auto" w:fill="auto"/>
            <w:vAlign w:val="center"/>
            <w:hideMark/>
          </w:tcPr>
          <w:p w14:paraId="1967D9B5" w14:textId="77777777" w:rsidR="00AE5054" w:rsidRPr="00AE5054" w:rsidRDefault="003B0DE2" w:rsidP="00AE5054">
            <w:pPr>
              <w:spacing w:before="0" w:after="0"/>
              <w:jc w:val="left"/>
              <w:rPr>
                <w:rFonts w:eastAsia="Times New Roman" w:cs="Arial"/>
                <w:color w:val="0563C1"/>
                <w:u w:val="single"/>
                <w:lang w:eastAsia="el-GR"/>
              </w:rPr>
            </w:pPr>
            <w:hyperlink r:id="rId475" w:history="1">
              <w:r w:rsidR="00AE5054" w:rsidRPr="00AE5054">
                <w:rPr>
                  <w:rFonts w:eastAsia="Times New Roman" w:cs="Arial"/>
                  <w:color w:val="0563C1"/>
                  <w:u w:val="single"/>
                  <w:lang w:eastAsia="el-GR"/>
                </w:rPr>
                <w:t>E-</w:t>
              </w:r>
              <w:proofErr w:type="spellStart"/>
              <w:r w:rsidR="00AE5054" w:rsidRPr="00AE5054">
                <w:rPr>
                  <w:rFonts w:eastAsia="Times New Roman" w:cs="Arial"/>
                  <w:color w:val="0563C1"/>
                  <w:u w:val="single"/>
                  <w:lang w:eastAsia="el-GR"/>
                </w:rPr>
                <w:t>BlueHorizons</w:t>
              </w:r>
              <w:proofErr w:type="spellEnd"/>
            </w:hyperlink>
          </w:p>
        </w:tc>
        <w:tc>
          <w:tcPr>
            <w:tcW w:w="1842" w:type="dxa"/>
            <w:shd w:val="clear" w:color="auto" w:fill="auto"/>
            <w:vAlign w:val="center"/>
            <w:hideMark/>
          </w:tcPr>
          <w:p w14:paraId="4017AF4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67ABE4F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4317F487" w14:textId="77777777" w:rsidTr="0022057B">
        <w:trPr>
          <w:trHeight w:val="574"/>
        </w:trPr>
        <w:tc>
          <w:tcPr>
            <w:tcW w:w="4390" w:type="dxa"/>
            <w:shd w:val="clear" w:color="auto" w:fill="auto"/>
            <w:vAlign w:val="center"/>
            <w:hideMark/>
          </w:tcPr>
          <w:p w14:paraId="34B80FD0" w14:textId="77777777" w:rsidR="00AE5054" w:rsidRPr="00AE5054" w:rsidRDefault="003B0DE2" w:rsidP="00AE5054">
            <w:pPr>
              <w:spacing w:before="0" w:after="0"/>
              <w:jc w:val="left"/>
              <w:rPr>
                <w:rFonts w:eastAsia="Times New Roman" w:cs="Arial"/>
                <w:color w:val="0563C1"/>
                <w:u w:val="single"/>
                <w:lang w:eastAsia="el-GR"/>
              </w:rPr>
            </w:pPr>
            <w:hyperlink r:id="rId476" w:history="1">
              <w:r w:rsidR="00AE5054" w:rsidRPr="00AE5054">
                <w:rPr>
                  <w:rFonts w:eastAsia="Times New Roman" w:cs="Arial"/>
                  <w:color w:val="0563C1"/>
                  <w:u w:val="single"/>
                  <w:lang w:eastAsia="el-GR"/>
                </w:rPr>
                <w:t>Easy Carbon</w:t>
              </w:r>
            </w:hyperlink>
          </w:p>
        </w:tc>
        <w:tc>
          <w:tcPr>
            <w:tcW w:w="1842" w:type="dxa"/>
            <w:shd w:val="clear" w:color="auto" w:fill="auto"/>
            <w:vAlign w:val="center"/>
            <w:hideMark/>
          </w:tcPr>
          <w:p w14:paraId="1443788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China</w:t>
            </w:r>
          </w:p>
        </w:tc>
        <w:tc>
          <w:tcPr>
            <w:tcW w:w="2977" w:type="dxa"/>
            <w:shd w:val="clear" w:color="auto" w:fill="auto"/>
            <w:vAlign w:val="center"/>
            <w:hideMark/>
          </w:tcPr>
          <w:p w14:paraId="7B7498D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w:t>
            </w:r>
          </w:p>
        </w:tc>
      </w:tr>
      <w:tr w:rsidR="00AE5054" w:rsidRPr="00AE5054" w14:paraId="13364AD2" w14:textId="77777777" w:rsidTr="0022057B">
        <w:trPr>
          <w:trHeight w:val="287"/>
        </w:trPr>
        <w:tc>
          <w:tcPr>
            <w:tcW w:w="4390" w:type="dxa"/>
            <w:shd w:val="clear" w:color="auto" w:fill="auto"/>
            <w:vAlign w:val="center"/>
            <w:hideMark/>
          </w:tcPr>
          <w:p w14:paraId="090CAE19" w14:textId="77777777" w:rsidR="00AE5054" w:rsidRPr="00AE5054" w:rsidRDefault="003B0DE2" w:rsidP="00AE5054">
            <w:pPr>
              <w:spacing w:before="0" w:after="0"/>
              <w:jc w:val="left"/>
              <w:rPr>
                <w:rFonts w:eastAsia="Times New Roman" w:cs="Arial"/>
                <w:color w:val="0563C1"/>
                <w:u w:val="single"/>
                <w:lang w:eastAsia="el-GR"/>
              </w:rPr>
            </w:pPr>
            <w:hyperlink r:id="rId477" w:history="1">
              <w:r w:rsidR="00AE5054" w:rsidRPr="00AE5054">
                <w:rPr>
                  <w:rFonts w:eastAsia="Times New Roman" w:cs="Arial"/>
                  <w:color w:val="0563C1"/>
                  <w:u w:val="single"/>
                  <w:lang w:eastAsia="el-GR"/>
                </w:rPr>
                <w:t>Eco-Libris</w:t>
              </w:r>
            </w:hyperlink>
          </w:p>
        </w:tc>
        <w:tc>
          <w:tcPr>
            <w:tcW w:w="1842" w:type="dxa"/>
            <w:shd w:val="clear" w:color="auto" w:fill="auto"/>
            <w:vAlign w:val="center"/>
            <w:hideMark/>
          </w:tcPr>
          <w:p w14:paraId="467F9A6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853001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6F37D104" w14:textId="77777777" w:rsidTr="0022057B">
        <w:trPr>
          <w:trHeight w:val="574"/>
        </w:trPr>
        <w:tc>
          <w:tcPr>
            <w:tcW w:w="4390" w:type="dxa"/>
            <w:shd w:val="clear" w:color="auto" w:fill="auto"/>
            <w:vAlign w:val="center"/>
            <w:hideMark/>
          </w:tcPr>
          <w:p w14:paraId="24E10812" w14:textId="77777777" w:rsidR="00AE5054" w:rsidRPr="00AE5054" w:rsidRDefault="003B0DE2" w:rsidP="00AE5054">
            <w:pPr>
              <w:spacing w:before="0" w:after="0"/>
              <w:jc w:val="left"/>
              <w:rPr>
                <w:rFonts w:eastAsia="Times New Roman" w:cs="Arial"/>
                <w:color w:val="0563C1"/>
                <w:u w:val="single"/>
                <w:lang w:eastAsia="el-GR"/>
              </w:rPr>
            </w:pPr>
            <w:hyperlink r:id="rId478" w:history="1">
              <w:proofErr w:type="spellStart"/>
              <w:r w:rsidR="00AE5054" w:rsidRPr="00AE5054">
                <w:rPr>
                  <w:rFonts w:eastAsia="Times New Roman" w:cs="Arial"/>
                  <w:color w:val="0563C1"/>
                  <w:u w:val="single"/>
                  <w:lang w:eastAsia="el-GR"/>
                </w:rPr>
                <w:t>EcoAct</w:t>
              </w:r>
              <w:proofErr w:type="spellEnd"/>
            </w:hyperlink>
          </w:p>
        </w:tc>
        <w:tc>
          <w:tcPr>
            <w:tcW w:w="1842" w:type="dxa"/>
            <w:shd w:val="clear" w:color="auto" w:fill="auto"/>
            <w:vAlign w:val="center"/>
            <w:hideMark/>
          </w:tcPr>
          <w:p w14:paraId="67FF73B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France</w:t>
            </w:r>
          </w:p>
        </w:tc>
        <w:tc>
          <w:tcPr>
            <w:tcW w:w="2977" w:type="dxa"/>
            <w:shd w:val="clear" w:color="auto" w:fill="auto"/>
            <w:vAlign w:val="center"/>
            <w:hideMark/>
          </w:tcPr>
          <w:p w14:paraId="4E06A01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3F44DE38" w14:textId="77777777" w:rsidTr="0022057B">
        <w:trPr>
          <w:trHeight w:val="287"/>
        </w:trPr>
        <w:tc>
          <w:tcPr>
            <w:tcW w:w="4390" w:type="dxa"/>
            <w:shd w:val="clear" w:color="auto" w:fill="auto"/>
            <w:vAlign w:val="center"/>
            <w:hideMark/>
          </w:tcPr>
          <w:p w14:paraId="4B5A77AB" w14:textId="77777777" w:rsidR="00AE5054" w:rsidRPr="00AE5054" w:rsidRDefault="003B0DE2" w:rsidP="00AE5054">
            <w:pPr>
              <w:spacing w:before="0" w:after="0"/>
              <w:jc w:val="left"/>
              <w:rPr>
                <w:rFonts w:eastAsia="Times New Roman" w:cs="Arial"/>
                <w:color w:val="0563C1"/>
                <w:u w:val="single"/>
                <w:lang w:eastAsia="el-GR"/>
              </w:rPr>
            </w:pPr>
            <w:hyperlink r:id="rId479" w:history="1">
              <w:proofErr w:type="spellStart"/>
              <w:r w:rsidR="00AE5054" w:rsidRPr="00AE5054">
                <w:rPr>
                  <w:rFonts w:eastAsia="Times New Roman" w:cs="Arial"/>
                  <w:color w:val="0563C1"/>
                  <w:u w:val="single"/>
                  <w:lang w:eastAsia="el-GR"/>
                </w:rPr>
                <w:t>EcoNeutral</w:t>
              </w:r>
              <w:proofErr w:type="spellEnd"/>
            </w:hyperlink>
          </w:p>
        </w:tc>
        <w:tc>
          <w:tcPr>
            <w:tcW w:w="1842" w:type="dxa"/>
            <w:shd w:val="clear" w:color="auto" w:fill="auto"/>
            <w:vAlign w:val="center"/>
            <w:hideMark/>
          </w:tcPr>
          <w:p w14:paraId="68ADC6A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6DAA748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E0D08ED" w14:textId="77777777" w:rsidTr="0022057B">
        <w:trPr>
          <w:trHeight w:val="860"/>
        </w:trPr>
        <w:tc>
          <w:tcPr>
            <w:tcW w:w="4390" w:type="dxa"/>
            <w:shd w:val="clear" w:color="auto" w:fill="auto"/>
            <w:vAlign w:val="center"/>
            <w:hideMark/>
          </w:tcPr>
          <w:p w14:paraId="500DE455" w14:textId="77777777" w:rsidR="00AE5054" w:rsidRPr="00AE5054" w:rsidRDefault="003B0DE2" w:rsidP="00AE5054">
            <w:pPr>
              <w:spacing w:before="0" w:after="0"/>
              <w:jc w:val="left"/>
              <w:rPr>
                <w:rFonts w:eastAsia="Times New Roman" w:cs="Arial"/>
                <w:color w:val="0563C1"/>
                <w:u w:val="single"/>
                <w:lang w:eastAsia="el-GR"/>
              </w:rPr>
            </w:pPr>
            <w:hyperlink r:id="rId480" w:history="1">
              <w:proofErr w:type="spellStart"/>
              <w:r w:rsidR="00AE5054" w:rsidRPr="00AE5054">
                <w:rPr>
                  <w:rFonts w:eastAsia="Times New Roman" w:cs="Arial"/>
                  <w:color w:val="0563C1"/>
                  <w:u w:val="single"/>
                  <w:lang w:eastAsia="el-GR"/>
                </w:rPr>
                <w:t>EcoSecurities</w:t>
              </w:r>
              <w:proofErr w:type="spellEnd"/>
              <w:r w:rsidR="00AE5054" w:rsidRPr="00AE5054">
                <w:rPr>
                  <w:rFonts w:eastAsia="Times New Roman" w:cs="Arial"/>
                  <w:color w:val="0563C1"/>
                  <w:u w:val="single"/>
                  <w:lang w:eastAsia="el-GR"/>
                </w:rPr>
                <w:t xml:space="preserve"> </w:t>
              </w:r>
            </w:hyperlink>
          </w:p>
        </w:tc>
        <w:tc>
          <w:tcPr>
            <w:tcW w:w="1842" w:type="dxa"/>
            <w:shd w:val="clear" w:color="auto" w:fill="auto"/>
            <w:vAlign w:val="center"/>
            <w:hideMark/>
          </w:tcPr>
          <w:p w14:paraId="3FFD707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78D13C8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Retailer, Consultant</w:t>
            </w:r>
          </w:p>
        </w:tc>
      </w:tr>
      <w:tr w:rsidR="00AE5054" w:rsidRPr="00AE5054" w14:paraId="458EFE12" w14:textId="77777777" w:rsidTr="0022057B">
        <w:trPr>
          <w:trHeight w:val="287"/>
        </w:trPr>
        <w:tc>
          <w:tcPr>
            <w:tcW w:w="9209" w:type="dxa"/>
            <w:gridSpan w:val="3"/>
            <w:shd w:val="clear" w:color="auto" w:fill="auto"/>
            <w:vAlign w:val="center"/>
            <w:hideMark/>
          </w:tcPr>
          <w:p w14:paraId="251C30F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 xml:space="preserve">About </w:t>
            </w:r>
            <w:proofErr w:type="spellStart"/>
            <w:r w:rsidRPr="00AE5054">
              <w:rPr>
                <w:rFonts w:eastAsia="Times New Roman" w:cs="Arial"/>
                <w:color w:val="000000"/>
                <w:lang w:eastAsia="el-GR"/>
              </w:rPr>
              <w:t>EcoSecurities</w:t>
            </w:r>
            <w:proofErr w:type="spellEnd"/>
            <w:r w:rsidRPr="00AE5054">
              <w:rPr>
                <w:rFonts w:eastAsia="Times New Roman" w:cs="Arial"/>
                <w:color w:val="000000"/>
                <w:lang w:eastAsia="el-GR"/>
              </w:rPr>
              <w:t xml:space="preserve">: </w:t>
            </w:r>
            <w:proofErr w:type="spellStart"/>
            <w:r w:rsidRPr="00AE5054">
              <w:rPr>
                <w:rFonts w:eastAsia="Times New Roman" w:cs="Arial"/>
                <w:color w:val="000000"/>
                <w:lang w:eastAsia="el-GR"/>
              </w:rPr>
              <w:t>EcoSecurities</w:t>
            </w:r>
            <w:proofErr w:type="spellEnd"/>
            <w:r w:rsidRPr="00AE5054">
              <w:rPr>
                <w:rFonts w:eastAsia="Times New Roman" w:cs="Arial"/>
                <w:color w:val="000000"/>
                <w:lang w:eastAsia="el-GR"/>
              </w:rPr>
              <w:t xml:space="preserve"> has spent the last 11 years focusing on...</w:t>
            </w:r>
          </w:p>
        </w:tc>
      </w:tr>
      <w:tr w:rsidR="00AE5054" w:rsidRPr="00AE5054" w14:paraId="452BC677" w14:textId="77777777" w:rsidTr="0022057B">
        <w:trPr>
          <w:trHeight w:val="287"/>
        </w:trPr>
        <w:tc>
          <w:tcPr>
            <w:tcW w:w="4390" w:type="dxa"/>
            <w:shd w:val="clear" w:color="auto" w:fill="auto"/>
            <w:vAlign w:val="center"/>
            <w:hideMark/>
          </w:tcPr>
          <w:p w14:paraId="19B5D4EE" w14:textId="77777777" w:rsidR="00AE5054" w:rsidRPr="00AE5054" w:rsidRDefault="003B0DE2" w:rsidP="00AE5054">
            <w:pPr>
              <w:spacing w:before="0" w:after="0"/>
              <w:jc w:val="left"/>
              <w:rPr>
                <w:rFonts w:eastAsia="Times New Roman" w:cs="Arial"/>
                <w:color w:val="0563C1"/>
                <w:u w:val="single"/>
                <w:lang w:eastAsia="el-GR"/>
              </w:rPr>
            </w:pPr>
            <w:hyperlink r:id="rId481" w:history="1">
              <w:proofErr w:type="spellStart"/>
              <w:r w:rsidR="00AE5054" w:rsidRPr="00AE5054">
                <w:rPr>
                  <w:rFonts w:eastAsia="Times New Roman" w:cs="Arial"/>
                  <w:color w:val="0563C1"/>
                  <w:u w:val="single"/>
                  <w:lang w:eastAsia="el-GR"/>
                </w:rPr>
                <w:t>EcoVoom</w:t>
              </w:r>
              <w:proofErr w:type="spellEnd"/>
            </w:hyperlink>
          </w:p>
        </w:tc>
        <w:tc>
          <w:tcPr>
            <w:tcW w:w="1842" w:type="dxa"/>
            <w:shd w:val="clear" w:color="auto" w:fill="auto"/>
            <w:vAlign w:val="center"/>
            <w:hideMark/>
          </w:tcPr>
          <w:p w14:paraId="6FB6608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42A1685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9FC2D1E" w14:textId="77777777" w:rsidTr="0022057B">
        <w:trPr>
          <w:trHeight w:val="574"/>
        </w:trPr>
        <w:tc>
          <w:tcPr>
            <w:tcW w:w="4390" w:type="dxa"/>
            <w:shd w:val="clear" w:color="auto" w:fill="auto"/>
            <w:vAlign w:val="center"/>
            <w:hideMark/>
          </w:tcPr>
          <w:p w14:paraId="3B69914E" w14:textId="77777777" w:rsidR="00AE5054" w:rsidRPr="00AE5054" w:rsidRDefault="003B0DE2" w:rsidP="00AE5054">
            <w:pPr>
              <w:spacing w:before="0" w:after="0"/>
              <w:jc w:val="left"/>
              <w:rPr>
                <w:rFonts w:eastAsia="Times New Roman" w:cs="Arial"/>
                <w:color w:val="0563C1"/>
                <w:u w:val="single"/>
                <w:lang w:eastAsia="el-GR"/>
              </w:rPr>
            </w:pPr>
            <w:hyperlink r:id="rId482" w:history="1">
              <w:r w:rsidR="00AE5054" w:rsidRPr="00AE5054">
                <w:rPr>
                  <w:rFonts w:eastAsia="Times New Roman" w:cs="Arial"/>
                  <w:color w:val="0563C1"/>
                  <w:u w:val="single"/>
                  <w:lang w:eastAsia="el-GR"/>
                </w:rPr>
                <w:t>Emergent Ventures India</w:t>
              </w:r>
            </w:hyperlink>
          </w:p>
        </w:tc>
        <w:tc>
          <w:tcPr>
            <w:tcW w:w="1842" w:type="dxa"/>
            <w:shd w:val="clear" w:color="auto" w:fill="auto"/>
            <w:vAlign w:val="center"/>
            <w:hideMark/>
          </w:tcPr>
          <w:p w14:paraId="5BF8418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India</w:t>
            </w:r>
          </w:p>
        </w:tc>
        <w:tc>
          <w:tcPr>
            <w:tcW w:w="2977" w:type="dxa"/>
            <w:shd w:val="clear" w:color="auto" w:fill="auto"/>
            <w:vAlign w:val="center"/>
            <w:hideMark/>
          </w:tcPr>
          <w:p w14:paraId="5DF6392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Consultant</w:t>
            </w:r>
          </w:p>
        </w:tc>
      </w:tr>
      <w:tr w:rsidR="00AE5054" w:rsidRPr="00AE5054" w14:paraId="337590F5" w14:textId="77777777" w:rsidTr="0022057B">
        <w:trPr>
          <w:trHeight w:val="287"/>
        </w:trPr>
        <w:tc>
          <w:tcPr>
            <w:tcW w:w="4390" w:type="dxa"/>
            <w:shd w:val="clear" w:color="auto" w:fill="auto"/>
            <w:vAlign w:val="center"/>
            <w:hideMark/>
          </w:tcPr>
          <w:p w14:paraId="6A5BB375" w14:textId="77777777" w:rsidR="00AE5054" w:rsidRPr="00AE5054" w:rsidRDefault="003B0DE2" w:rsidP="00AE5054">
            <w:pPr>
              <w:spacing w:before="0" w:after="0"/>
              <w:jc w:val="left"/>
              <w:rPr>
                <w:rFonts w:eastAsia="Times New Roman" w:cs="Arial"/>
                <w:color w:val="0563C1"/>
                <w:u w:val="single"/>
                <w:lang w:eastAsia="el-GR"/>
              </w:rPr>
            </w:pPr>
            <w:hyperlink r:id="rId483" w:history="1">
              <w:r w:rsidR="00AE5054" w:rsidRPr="00AE5054">
                <w:rPr>
                  <w:rFonts w:eastAsia="Times New Roman" w:cs="Arial"/>
                  <w:color w:val="0563C1"/>
                  <w:u w:val="single"/>
                  <w:lang w:eastAsia="el-GR"/>
                </w:rPr>
                <w:t>Enviro Friendly</w:t>
              </w:r>
            </w:hyperlink>
          </w:p>
        </w:tc>
        <w:tc>
          <w:tcPr>
            <w:tcW w:w="1842" w:type="dxa"/>
            <w:shd w:val="clear" w:color="auto" w:fill="auto"/>
            <w:vAlign w:val="center"/>
            <w:hideMark/>
          </w:tcPr>
          <w:p w14:paraId="5B008E5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3F6226C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1379E24" w14:textId="77777777" w:rsidTr="0022057B">
        <w:trPr>
          <w:trHeight w:val="574"/>
        </w:trPr>
        <w:tc>
          <w:tcPr>
            <w:tcW w:w="4390" w:type="dxa"/>
            <w:shd w:val="clear" w:color="auto" w:fill="auto"/>
            <w:vAlign w:val="center"/>
            <w:hideMark/>
          </w:tcPr>
          <w:p w14:paraId="4046CE7C" w14:textId="77777777" w:rsidR="00AE5054" w:rsidRPr="00AE5054" w:rsidRDefault="003B0DE2" w:rsidP="00AE5054">
            <w:pPr>
              <w:spacing w:before="0" w:after="0"/>
              <w:jc w:val="left"/>
              <w:rPr>
                <w:rFonts w:eastAsia="Times New Roman" w:cs="Arial"/>
                <w:color w:val="0563C1"/>
                <w:u w:val="single"/>
                <w:lang w:eastAsia="el-GR"/>
              </w:rPr>
            </w:pPr>
            <w:hyperlink r:id="rId484" w:history="1">
              <w:r w:rsidR="00AE5054" w:rsidRPr="00AE5054">
                <w:rPr>
                  <w:rFonts w:eastAsia="Times New Roman" w:cs="Arial"/>
                  <w:color w:val="0563C1"/>
                  <w:u w:val="single"/>
                  <w:lang w:eastAsia="el-GR"/>
                </w:rPr>
                <w:t>Environmental Credit Corporation</w:t>
              </w:r>
            </w:hyperlink>
          </w:p>
        </w:tc>
        <w:tc>
          <w:tcPr>
            <w:tcW w:w="1842" w:type="dxa"/>
            <w:shd w:val="clear" w:color="auto" w:fill="auto"/>
            <w:vAlign w:val="center"/>
            <w:hideMark/>
          </w:tcPr>
          <w:p w14:paraId="776C4FD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13F374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Retailer</w:t>
            </w:r>
          </w:p>
        </w:tc>
      </w:tr>
      <w:tr w:rsidR="00AE5054" w:rsidRPr="00AE5054" w14:paraId="2D22C8F7" w14:textId="77777777" w:rsidTr="0022057B">
        <w:trPr>
          <w:trHeight w:val="287"/>
        </w:trPr>
        <w:tc>
          <w:tcPr>
            <w:tcW w:w="4390" w:type="dxa"/>
            <w:shd w:val="clear" w:color="auto" w:fill="auto"/>
            <w:vAlign w:val="center"/>
            <w:hideMark/>
          </w:tcPr>
          <w:p w14:paraId="0DBAA9A4" w14:textId="77777777" w:rsidR="00AE5054" w:rsidRPr="00AE5054" w:rsidRDefault="003B0DE2" w:rsidP="00AE5054">
            <w:pPr>
              <w:spacing w:before="0" w:after="0"/>
              <w:jc w:val="left"/>
              <w:rPr>
                <w:rFonts w:eastAsia="Times New Roman" w:cs="Arial"/>
                <w:color w:val="0563C1"/>
                <w:u w:val="single"/>
                <w:lang w:eastAsia="el-GR"/>
              </w:rPr>
            </w:pPr>
            <w:hyperlink r:id="rId485" w:history="1">
              <w:r w:rsidR="00AE5054" w:rsidRPr="00AE5054">
                <w:rPr>
                  <w:rFonts w:eastAsia="Times New Roman" w:cs="Arial"/>
                  <w:color w:val="0563C1"/>
                  <w:u w:val="single"/>
                  <w:lang w:eastAsia="el-GR"/>
                </w:rPr>
                <w:t>Environmental Synergy</w:t>
              </w:r>
            </w:hyperlink>
          </w:p>
        </w:tc>
        <w:tc>
          <w:tcPr>
            <w:tcW w:w="1842" w:type="dxa"/>
            <w:shd w:val="clear" w:color="auto" w:fill="auto"/>
            <w:vAlign w:val="center"/>
            <w:hideMark/>
          </w:tcPr>
          <w:p w14:paraId="4D0AB4E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ECA978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247FC7D7" w14:textId="77777777" w:rsidTr="0022057B">
        <w:trPr>
          <w:trHeight w:val="287"/>
        </w:trPr>
        <w:tc>
          <w:tcPr>
            <w:tcW w:w="4390" w:type="dxa"/>
            <w:shd w:val="clear" w:color="auto" w:fill="auto"/>
            <w:vAlign w:val="center"/>
            <w:hideMark/>
          </w:tcPr>
          <w:p w14:paraId="2A847FCD" w14:textId="77777777" w:rsidR="00AE5054" w:rsidRPr="00AE5054" w:rsidRDefault="003B0DE2" w:rsidP="00AE5054">
            <w:pPr>
              <w:spacing w:before="0" w:after="0"/>
              <w:jc w:val="left"/>
              <w:rPr>
                <w:rFonts w:eastAsia="Times New Roman" w:cs="Arial"/>
                <w:color w:val="0563C1"/>
                <w:u w:val="single"/>
                <w:lang w:eastAsia="el-GR"/>
              </w:rPr>
            </w:pPr>
            <w:hyperlink r:id="rId486" w:history="1">
              <w:proofErr w:type="spellStart"/>
              <w:r w:rsidR="00AE5054" w:rsidRPr="00AE5054">
                <w:rPr>
                  <w:rFonts w:eastAsia="Times New Roman" w:cs="Arial"/>
                  <w:color w:val="0563C1"/>
                  <w:u w:val="single"/>
                  <w:lang w:eastAsia="el-GR"/>
                </w:rPr>
                <w:t>Envirotrade</w:t>
              </w:r>
              <w:proofErr w:type="spellEnd"/>
            </w:hyperlink>
          </w:p>
        </w:tc>
        <w:tc>
          <w:tcPr>
            <w:tcW w:w="1842" w:type="dxa"/>
            <w:shd w:val="clear" w:color="auto" w:fill="auto"/>
            <w:vAlign w:val="center"/>
            <w:hideMark/>
          </w:tcPr>
          <w:p w14:paraId="3827ADA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653E5CE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53502D4D" w14:textId="77777777" w:rsidTr="0022057B">
        <w:trPr>
          <w:trHeight w:val="574"/>
        </w:trPr>
        <w:tc>
          <w:tcPr>
            <w:tcW w:w="4390" w:type="dxa"/>
            <w:shd w:val="clear" w:color="auto" w:fill="auto"/>
            <w:vAlign w:val="center"/>
            <w:hideMark/>
          </w:tcPr>
          <w:p w14:paraId="5522517B" w14:textId="77777777" w:rsidR="00AE5054" w:rsidRPr="00AE5054" w:rsidRDefault="003B0DE2" w:rsidP="00AE5054">
            <w:pPr>
              <w:spacing w:before="0" w:after="0"/>
              <w:jc w:val="left"/>
              <w:rPr>
                <w:rFonts w:eastAsia="Times New Roman" w:cs="Arial"/>
                <w:color w:val="0563C1"/>
                <w:u w:val="single"/>
                <w:lang w:eastAsia="el-GR"/>
              </w:rPr>
            </w:pPr>
            <w:hyperlink r:id="rId487" w:history="1">
              <w:proofErr w:type="spellStart"/>
              <w:r w:rsidR="00AE5054" w:rsidRPr="00AE5054">
                <w:rPr>
                  <w:rFonts w:eastAsia="Times New Roman" w:cs="Arial"/>
                  <w:color w:val="0563C1"/>
                  <w:u w:val="single"/>
                  <w:lang w:eastAsia="el-GR"/>
                </w:rPr>
                <w:t>Equiclimate</w:t>
              </w:r>
              <w:proofErr w:type="spellEnd"/>
            </w:hyperlink>
          </w:p>
        </w:tc>
        <w:tc>
          <w:tcPr>
            <w:tcW w:w="1842" w:type="dxa"/>
            <w:shd w:val="clear" w:color="auto" w:fill="auto"/>
            <w:vAlign w:val="center"/>
            <w:hideMark/>
          </w:tcPr>
          <w:p w14:paraId="209CB56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6E6E79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 Retailer</w:t>
            </w:r>
          </w:p>
        </w:tc>
      </w:tr>
      <w:tr w:rsidR="00AE5054" w:rsidRPr="00AE5054" w14:paraId="4F122206" w14:textId="77777777" w:rsidTr="0022057B">
        <w:trPr>
          <w:trHeight w:val="574"/>
        </w:trPr>
        <w:tc>
          <w:tcPr>
            <w:tcW w:w="4390" w:type="dxa"/>
            <w:shd w:val="clear" w:color="auto" w:fill="auto"/>
            <w:vAlign w:val="center"/>
            <w:hideMark/>
          </w:tcPr>
          <w:p w14:paraId="45E6D6D0" w14:textId="77777777" w:rsidR="00AE5054" w:rsidRPr="00AE5054" w:rsidRDefault="003B0DE2" w:rsidP="00AE5054">
            <w:pPr>
              <w:spacing w:before="0" w:after="0"/>
              <w:jc w:val="left"/>
              <w:rPr>
                <w:rFonts w:eastAsia="Times New Roman" w:cs="Arial"/>
                <w:color w:val="0563C1"/>
                <w:u w:val="single"/>
                <w:lang w:eastAsia="el-GR"/>
              </w:rPr>
            </w:pPr>
            <w:hyperlink r:id="rId488" w:history="1">
              <w:r w:rsidR="00AE5054" w:rsidRPr="00AE5054">
                <w:rPr>
                  <w:rFonts w:eastAsia="Times New Roman" w:cs="Arial"/>
                  <w:color w:val="0563C1"/>
                  <w:u w:val="single"/>
                  <w:lang w:eastAsia="el-GR"/>
                </w:rPr>
                <w:t>Essent Trading</w:t>
              </w:r>
            </w:hyperlink>
          </w:p>
        </w:tc>
        <w:tc>
          <w:tcPr>
            <w:tcW w:w="1842" w:type="dxa"/>
            <w:shd w:val="clear" w:color="auto" w:fill="auto"/>
            <w:vAlign w:val="center"/>
            <w:hideMark/>
          </w:tcPr>
          <w:p w14:paraId="43CBBC5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Switzerland</w:t>
            </w:r>
          </w:p>
        </w:tc>
        <w:tc>
          <w:tcPr>
            <w:tcW w:w="2977" w:type="dxa"/>
            <w:shd w:val="clear" w:color="auto" w:fill="auto"/>
            <w:vAlign w:val="center"/>
            <w:hideMark/>
          </w:tcPr>
          <w:p w14:paraId="7A05E43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 Consultant</w:t>
            </w:r>
          </w:p>
        </w:tc>
      </w:tr>
      <w:tr w:rsidR="00AE5054" w:rsidRPr="00AE5054" w14:paraId="43AD8EFD" w14:textId="77777777" w:rsidTr="0022057B">
        <w:trPr>
          <w:trHeight w:val="574"/>
        </w:trPr>
        <w:tc>
          <w:tcPr>
            <w:tcW w:w="4390" w:type="dxa"/>
            <w:shd w:val="clear" w:color="auto" w:fill="auto"/>
            <w:vAlign w:val="center"/>
            <w:hideMark/>
          </w:tcPr>
          <w:p w14:paraId="05B011A1" w14:textId="77777777" w:rsidR="00AE5054" w:rsidRPr="00AE5054" w:rsidRDefault="003B0DE2" w:rsidP="00AE5054">
            <w:pPr>
              <w:spacing w:before="0" w:after="0"/>
              <w:jc w:val="left"/>
              <w:rPr>
                <w:rFonts w:eastAsia="Times New Roman" w:cs="Arial"/>
                <w:color w:val="0563C1"/>
                <w:u w:val="single"/>
                <w:lang w:eastAsia="el-GR"/>
              </w:rPr>
            </w:pPr>
            <w:hyperlink r:id="rId489" w:history="1">
              <w:r w:rsidR="00AE5054" w:rsidRPr="00AE5054">
                <w:rPr>
                  <w:rFonts w:eastAsia="Times New Roman" w:cs="Arial"/>
                  <w:color w:val="0563C1"/>
                  <w:u w:val="single"/>
                  <w:lang w:eastAsia="el-GR"/>
                </w:rPr>
                <w:t>Evolution Markets</w:t>
              </w:r>
            </w:hyperlink>
          </w:p>
        </w:tc>
        <w:tc>
          <w:tcPr>
            <w:tcW w:w="1842" w:type="dxa"/>
            <w:shd w:val="clear" w:color="auto" w:fill="auto"/>
            <w:vAlign w:val="center"/>
            <w:hideMark/>
          </w:tcPr>
          <w:p w14:paraId="4EA111F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43B580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w:t>
            </w:r>
          </w:p>
        </w:tc>
      </w:tr>
      <w:tr w:rsidR="00AE5054" w:rsidRPr="00AE5054" w14:paraId="2213F32C" w14:textId="77777777" w:rsidTr="0022057B">
        <w:trPr>
          <w:trHeight w:val="574"/>
        </w:trPr>
        <w:tc>
          <w:tcPr>
            <w:tcW w:w="4390" w:type="dxa"/>
            <w:shd w:val="clear" w:color="auto" w:fill="auto"/>
            <w:vAlign w:val="center"/>
            <w:hideMark/>
          </w:tcPr>
          <w:p w14:paraId="74535673" w14:textId="77777777" w:rsidR="00AE5054" w:rsidRPr="00AE5054" w:rsidRDefault="003B0DE2" w:rsidP="00AE5054">
            <w:pPr>
              <w:spacing w:before="0" w:after="0"/>
              <w:jc w:val="left"/>
              <w:rPr>
                <w:rFonts w:eastAsia="Times New Roman" w:cs="Arial"/>
                <w:color w:val="0563C1"/>
                <w:u w:val="single"/>
                <w:lang w:eastAsia="el-GR"/>
              </w:rPr>
            </w:pPr>
            <w:hyperlink r:id="rId490" w:history="1">
              <w:r w:rsidR="00AE5054" w:rsidRPr="00AE5054">
                <w:rPr>
                  <w:rFonts w:eastAsia="Times New Roman" w:cs="Arial"/>
                  <w:color w:val="0563C1"/>
                  <w:u w:val="single"/>
                  <w:lang w:eastAsia="el-GR"/>
                </w:rPr>
                <w:t>First Climate</w:t>
              </w:r>
            </w:hyperlink>
          </w:p>
        </w:tc>
        <w:tc>
          <w:tcPr>
            <w:tcW w:w="1842" w:type="dxa"/>
            <w:shd w:val="clear" w:color="auto" w:fill="auto"/>
            <w:vAlign w:val="center"/>
            <w:hideMark/>
          </w:tcPr>
          <w:p w14:paraId="3C28721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Germany</w:t>
            </w:r>
          </w:p>
        </w:tc>
        <w:tc>
          <w:tcPr>
            <w:tcW w:w="2977" w:type="dxa"/>
            <w:shd w:val="clear" w:color="auto" w:fill="auto"/>
            <w:vAlign w:val="center"/>
            <w:hideMark/>
          </w:tcPr>
          <w:p w14:paraId="76AE919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 Retailer</w:t>
            </w:r>
          </w:p>
        </w:tc>
      </w:tr>
      <w:tr w:rsidR="00AE5054" w:rsidRPr="00AE5054" w14:paraId="6E31F77F" w14:textId="77777777" w:rsidTr="0022057B">
        <w:trPr>
          <w:trHeight w:val="287"/>
        </w:trPr>
        <w:tc>
          <w:tcPr>
            <w:tcW w:w="4390" w:type="dxa"/>
            <w:shd w:val="clear" w:color="auto" w:fill="auto"/>
            <w:vAlign w:val="center"/>
            <w:hideMark/>
          </w:tcPr>
          <w:p w14:paraId="7264A424" w14:textId="77777777" w:rsidR="00AE5054" w:rsidRPr="00AE5054" w:rsidRDefault="003B0DE2" w:rsidP="00AE5054">
            <w:pPr>
              <w:spacing w:before="0" w:after="0"/>
              <w:jc w:val="left"/>
              <w:rPr>
                <w:rFonts w:eastAsia="Times New Roman" w:cs="Arial"/>
                <w:color w:val="0563C1"/>
                <w:u w:val="single"/>
                <w:lang w:eastAsia="el-GR"/>
              </w:rPr>
            </w:pPr>
            <w:hyperlink r:id="rId491" w:history="1">
              <w:r w:rsidR="00AE5054" w:rsidRPr="00AE5054">
                <w:rPr>
                  <w:rFonts w:eastAsia="Times New Roman" w:cs="Arial"/>
                  <w:color w:val="0563C1"/>
                  <w:u w:val="single"/>
                  <w:lang w:eastAsia="el-GR"/>
                </w:rPr>
                <w:t>Flying Forests</w:t>
              </w:r>
            </w:hyperlink>
          </w:p>
        </w:tc>
        <w:tc>
          <w:tcPr>
            <w:tcW w:w="1842" w:type="dxa"/>
            <w:shd w:val="clear" w:color="auto" w:fill="auto"/>
            <w:vAlign w:val="center"/>
            <w:hideMark/>
          </w:tcPr>
          <w:p w14:paraId="19F9EC0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3E047D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17E8F4A5" w14:textId="77777777" w:rsidTr="0022057B">
        <w:trPr>
          <w:trHeight w:val="574"/>
        </w:trPr>
        <w:tc>
          <w:tcPr>
            <w:tcW w:w="4390" w:type="dxa"/>
            <w:shd w:val="clear" w:color="auto" w:fill="auto"/>
            <w:vAlign w:val="center"/>
            <w:hideMark/>
          </w:tcPr>
          <w:p w14:paraId="0DF0B9E7" w14:textId="77777777" w:rsidR="00AE5054" w:rsidRPr="00AE5054" w:rsidRDefault="003B0DE2" w:rsidP="00AE5054">
            <w:pPr>
              <w:spacing w:before="0" w:after="0"/>
              <w:jc w:val="left"/>
              <w:rPr>
                <w:rFonts w:eastAsia="Times New Roman" w:cs="Arial"/>
                <w:color w:val="0563C1"/>
                <w:u w:val="single"/>
                <w:lang w:eastAsia="el-GR"/>
              </w:rPr>
            </w:pPr>
            <w:hyperlink r:id="rId492" w:history="1">
              <w:r w:rsidR="00AE5054" w:rsidRPr="00AE5054">
                <w:rPr>
                  <w:rFonts w:eastAsia="Times New Roman" w:cs="Arial"/>
                  <w:color w:val="0563C1"/>
                  <w:u w:val="single"/>
                  <w:lang w:eastAsia="el-GR"/>
                </w:rPr>
                <w:t>Future Camp</w:t>
              </w:r>
            </w:hyperlink>
          </w:p>
        </w:tc>
        <w:tc>
          <w:tcPr>
            <w:tcW w:w="1842" w:type="dxa"/>
            <w:shd w:val="clear" w:color="auto" w:fill="auto"/>
            <w:vAlign w:val="center"/>
            <w:hideMark/>
          </w:tcPr>
          <w:p w14:paraId="671882A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Germany</w:t>
            </w:r>
          </w:p>
        </w:tc>
        <w:tc>
          <w:tcPr>
            <w:tcW w:w="2977" w:type="dxa"/>
            <w:shd w:val="clear" w:color="auto" w:fill="auto"/>
            <w:vAlign w:val="center"/>
            <w:hideMark/>
          </w:tcPr>
          <w:p w14:paraId="3258E8D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 Retailer, Consultant</w:t>
            </w:r>
          </w:p>
        </w:tc>
      </w:tr>
      <w:tr w:rsidR="00AE5054" w:rsidRPr="00AE5054" w14:paraId="6ED5B062" w14:textId="77777777" w:rsidTr="0022057B">
        <w:trPr>
          <w:trHeight w:val="287"/>
        </w:trPr>
        <w:tc>
          <w:tcPr>
            <w:tcW w:w="4390" w:type="dxa"/>
            <w:shd w:val="clear" w:color="auto" w:fill="auto"/>
            <w:vAlign w:val="center"/>
            <w:hideMark/>
          </w:tcPr>
          <w:p w14:paraId="5EFE196F" w14:textId="77777777" w:rsidR="00AE5054" w:rsidRPr="00AE5054" w:rsidRDefault="003B0DE2" w:rsidP="00AE5054">
            <w:pPr>
              <w:spacing w:before="0" w:after="0"/>
              <w:jc w:val="left"/>
              <w:rPr>
                <w:rFonts w:eastAsia="Times New Roman" w:cs="Arial"/>
                <w:color w:val="0563C1"/>
                <w:u w:val="single"/>
                <w:lang w:eastAsia="el-GR"/>
              </w:rPr>
            </w:pPr>
            <w:hyperlink r:id="rId493" w:history="1">
              <w:r w:rsidR="00AE5054" w:rsidRPr="00AE5054">
                <w:rPr>
                  <w:rFonts w:eastAsia="Times New Roman" w:cs="Arial"/>
                  <w:color w:val="0563C1"/>
                  <w:u w:val="single"/>
                  <w:lang w:eastAsia="el-GR"/>
                </w:rPr>
                <w:t>Future Forests</w:t>
              </w:r>
            </w:hyperlink>
          </w:p>
        </w:tc>
        <w:tc>
          <w:tcPr>
            <w:tcW w:w="1842" w:type="dxa"/>
            <w:shd w:val="clear" w:color="auto" w:fill="auto"/>
            <w:vAlign w:val="center"/>
            <w:hideMark/>
          </w:tcPr>
          <w:p w14:paraId="552299B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B6F7B3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20C1BABD" w14:textId="77777777" w:rsidTr="0022057B">
        <w:trPr>
          <w:trHeight w:val="287"/>
        </w:trPr>
        <w:tc>
          <w:tcPr>
            <w:tcW w:w="4390" w:type="dxa"/>
            <w:shd w:val="clear" w:color="auto" w:fill="auto"/>
            <w:vAlign w:val="center"/>
            <w:hideMark/>
          </w:tcPr>
          <w:p w14:paraId="16DC988A" w14:textId="77777777" w:rsidR="00AE5054" w:rsidRPr="00AE5054" w:rsidRDefault="003B0DE2" w:rsidP="00AE5054">
            <w:pPr>
              <w:spacing w:before="0" w:after="0"/>
              <w:jc w:val="left"/>
              <w:rPr>
                <w:rFonts w:eastAsia="Times New Roman" w:cs="Arial"/>
                <w:color w:val="0563C1"/>
                <w:u w:val="single"/>
                <w:lang w:eastAsia="el-GR"/>
              </w:rPr>
            </w:pPr>
            <w:hyperlink r:id="rId494" w:history="1">
              <w:proofErr w:type="spellStart"/>
              <w:r w:rsidR="00AE5054" w:rsidRPr="00AE5054">
                <w:rPr>
                  <w:rFonts w:eastAsia="Times New Roman" w:cs="Arial"/>
                  <w:color w:val="0563C1"/>
                  <w:u w:val="single"/>
                  <w:lang w:eastAsia="el-GR"/>
                </w:rPr>
                <w:t>Futuro</w:t>
              </w:r>
              <w:proofErr w:type="spellEnd"/>
              <w:r w:rsidR="00AE5054" w:rsidRPr="00AE5054">
                <w:rPr>
                  <w:rFonts w:eastAsia="Times New Roman" w:cs="Arial"/>
                  <w:color w:val="0563C1"/>
                  <w:u w:val="single"/>
                  <w:lang w:eastAsia="el-GR"/>
                </w:rPr>
                <w:t xml:space="preserve"> </w:t>
              </w:r>
              <w:proofErr w:type="spellStart"/>
              <w:r w:rsidR="00AE5054" w:rsidRPr="00AE5054">
                <w:rPr>
                  <w:rFonts w:eastAsia="Times New Roman" w:cs="Arial"/>
                  <w:color w:val="0563C1"/>
                  <w:u w:val="single"/>
                  <w:lang w:eastAsia="el-GR"/>
                </w:rPr>
                <w:t>Forestal</w:t>
              </w:r>
              <w:proofErr w:type="spellEnd"/>
            </w:hyperlink>
          </w:p>
        </w:tc>
        <w:tc>
          <w:tcPr>
            <w:tcW w:w="1842" w:type="dxa"/>
            <w:shd w:val="clear" w:color="auto" w:fill="auto"/>
            <w:vAlign w:val="center"/>
            <w:hideMark/>
          </w:tcPr>
          <w:p w14:paraId="27D4A03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Panama</w:t>
            </w:r>
          </w:p>
        </w:tc>
        <w:tc>
          <w:tcPr>
            <w:tcW w:w="2977" w:type="dxa"/>
            <w:shd w:val="clear" w:color="auto" w:fill="auto"/>
            <w:vAlign w:val="center"/>
            <w:hideMark/>
          </w:tcPr>
          <w:p w14:paraId="2312BBF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3992D613" w14:textId="77777777" w:rsidTr="0022057B">
        <w:trPr>
          <w:trHeight w:val="860"/>
        </w:trPr>
        <w:tc>
          <w:tcPr>
            <w:tcW w:w="4390" w:type="dxa"/>
            <w:shd w:val="clear" w:color="auto" w:fill="auto"/>
            <w:vAlign w:val="center"/>
            <w:hideMark/>
          </w:tcPr>
          <w:p w14:paraId="4325AD7E" w14:textId="77777777" w:rsidR="00AE5054" w:rsidRPr="00AE5054" w:rsidRDefault="003B0DE2" w:rsidP="00AE5054">
            <w:pPr>
              <w:spacing w:before="0" w:after="0"/>
              <w:jc w:val="left"/>
              <w:rPr>
                <w:rFonts w:eastAsia="Times New Roman" w:cs="Arial"/>
                <w:color w:val="0563C1"/>
                <w:u w:val="single"/>
                <w:lang w:eastAsia="el-GR"/>
              </w:rPr>
            </w:pPr>
            <w:hyperlink r:id="rId495" w:history="1">
              <w:r w:rsidR="00AE5054" w:rsidRPr="00AE5054">
                <w:rPr>
                  <w:rFonts w:eastAsia="Times New Roman" w:cs="Arial"/>
                  <w:color w:val="0563C1"/>
                  <w:u w:val="single"/>
                  <w:lang w:eastAsia="el-GR"/>
                </w:rPr>
                <w:t>General-Carbon</w:t>
              </w:r>
            </w:hyperlink>
          </w:p>
        </w:tc>
        <w:tc>
          <w:tcPr>
            <w:tcW w:w="1842" w:type="dxa"/>
            <w:shd w:val="clear" w:color="auto" w:fill="auto"/>
            <w:vAlign w:val="center"/>
            <w:hideMark/>
          </w:tcPr>
          <w:p w14:paraId="177D838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Singapore</w:t>
            </w:r>
          </w:p>
        </w:tc>
        <w:tc>
          <w:tcPr>
            <w:tcW w:w="2977" w:type="dxa"/>
            <w:shd w:val="clear" w:color="auto" w:fill="auto"/>
            <w:vAlign w:val="center"/>
            <w:hideMark/>
          </w:tcPr>
          <w:p w14:paraId="452BBA3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 Retailer, Consultant</w:t>
            </w:r>
          </w:p>
        </w:tc>
      </w:tr>
      <w:tr w:rsidR="00AE5054" w:rsidRPr="00AE5054" w14:paraId="32EBF85D" w14:textId="77777777" w:rsidTr="0022057B">
        <w:trPr>
          <w:trHeight w:val="287"/>
        </w:trPr>
        <w:tc>
          <w:tcPr>
            <w:tcW w:w="4390" w:type="dxa"/>
            <w:shd w:val="clear" w:color="auto" w:fill="auto"/>
            <w:vAlign w:val="center"/>
            <w:hideMark/>
          </w:tcPr>
          <w:p w14:paraId="512B5C6F" w14:textId="77777777" w:rsidR="00AE5054" w:rsidRPr="00AE5054" w:rsidRDefault="003B0DE2" w:rsidP="00AE5054">
            <w:pPr>
              <w:spacing w:before="0" w:after="0"/>
              <w:jc w:val="left"/>
              <w:rPr>
                <w:rFonts w:eastAsia="Times New Roman" w:cs="Arial"/>
                <w:color w:val="0563C1"/>
                <w:u w:val="single"/>
                <w:lang w:eastAsia="el-GR"/>
              </w:rPr>
            </w:pPr>
            <w:hyperlink r:id="rId496" w:history="1">
              <w:r w:rsidR="00AE5054" w:rsidRPr="00AE5054">
                <w:rPr>
                  <w:rFonts w:eastAsia="Times New Roman" w:cs="Arial"/>
                  <w:color w:val="0563C1"/>
                  <w:u w:val="single"/>
                  <w:lang w:eastAsia="el-GR"/>
                </w:rPr>
                <w:t>Go Carbon Free</w:t>
              </w:r>
            </w:hyperlink>
          </w:p>
        </w:tc>
        <w:tc>
          <w:tcPr>
            <w:tcW w:w="1842" w:type="dxa"/>
            <w:shd w:val="clear" w:color="auto" w:fill="auto"/>
            <w:vAlign w:val="center"/>
            <w:hideMark/>
          </w:tcPr>
          <w:p w14:paraId="0785FDB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A643FA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41B300D5" w14:textId="77777777" w:rsidTr="0022057B">
        <w:trPr>
          <w:trHeight w:val="287"/>
        </w:trPr>
        <w:tc>
          <w:tcPr>
            <w:tcW w:w="4390" w:type="dxa"/>
            <w:shd w:val="clear" w:color="auto" w:fill="auto"/>
            <w:vAlign w:val="center"/>
            <w:hideMark/>
          </w:tcPr>
          <w:p w14:paraId="21A3CED2" w14:textId="77777777" w:rsidR="00AE5054" w:rsidRPr="00AE5054" w:rsidRDefault="003B0DE2" w:rsidP="00AE5054">
            <w:pPr>
              <w:spacing w:before="0" w:after="0"/>
              <w:jc w:val="left"/>
              <w:rPr>
                <w:rFonts w:eastAsia="Times New Roman" w:cs="Arial"/>
                <w:color w:val="0563C1"/>
                <w:u w:val="single"/>
                <w:lang w:eastAsia="el-GR"/>
              </w:rPr>
            </w:pPr>
            <w:hyperlink r:id="rId497" w:history="1">
              <w:r w:rsidR="00AE5054" w:rsidRPr="00AE5054">
                <w:rPr>
                  <w:rFonts w:eastAsia="Times New Roman" w:cs="Arial"/>
                  <w:color w:val="0563C1"/>
                  <w:u w:val="single"/>
                  <w:lang w:eastAsia="el-GR"/>
                </w:rPr>
                <w:t>Go Neutral</w:t>
              </w:r>
            </w:hyperlink>
          </w:p>
        </w:tc>
        <w:tc>
          <w:tcPr>
            <w:tcW w:w="1842" w:type="dxa"/>
            <w:shd w:val="clear" w:color="auto" w:fill="auto"/>
            <w:vAlign w:val="center"/>
            <w:hideMark/>
          </w:tcPr>
          <w:p w14:paraId="2442094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46A00F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6A383D6" w14:textId="77777777" w:rsidTr="0022057B">
        <w:trPr>
          <w:trHeight w:val="287"/>
        </w:trPr>
        <w:tc>
          <w:tcPr>
            <w:tcW w:w="4390" w:type="dxa"/>
            <w:shd w:val="clear" w:color="auto" w:fill="auto"/>
            <w:vAlign w:val="center"/>
            <w:hideMark/>
          </w:tcPr>
          <w:p w14:paraId="0B33B8B5" w14:textId="77777777" w:rsidR="00AE5054" w:rsidRPr="00AE5054" w:rsidRDefault="003B0DE2" w:rsidP="00AE5054">
            <w:pPr>
              <w:spacing w:before="0" w:after="0"/>
              <w:jc w:val="left"/>
              <w:rPr>
                <w:rFonts w:eastAsia="Times New Roman" w:cs="Arial"/>
                <w:color w:val="0563C1"/>
                <w:u w:val="single"/>
                <w:lang w:eastAsia="el-GR"/>
              </w:rPr>
            </w:pPr>
            <w:hyperlink r:id="rId498" w:history="1">
              <w:r w:rsidR="00AE5054" w:rsidRPr="00AE5054">
                <w:rPr>
                  <w:rFonts w:eastAsia="Times New Roman" w:cs="Arial"/>
                  <w:color w:val="0563C1"/>
                  <w:u w:val="single"/>
                  <w:lang w:eastAsia="el-GR"/>
                </w:rPr>
                <w:t>Good Energy Initiative</w:t>
              </w:r>
            </w:hyperlink>
          </w:p>
        </w:tc>
        <w:tc>
          <w:tcPr>
            <w:tcW w:w="1842" w:type="dxa"/>
            <w:shd w:val="clear" w:color="auto" w:fill="auto"/>
            <w:vAlign w:val="center"/>
            <w:hideMark/>
          </w:tcPr>
          <w:p w14:paraId="5A41BC9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Israel</w:t>
            </w:r>
          </w:p>
        </w:tc>
        <w:tc>
          <w:tcPr>
            <w:tcW w:w="2977" w:type="dxa"/>
            <w:shd w:val="clear" w:color="auto" w:fill="auto"/>
            <w:vAlign w:val="center"/>
            <w:hideMark/>
          </w:tcPr>
          <w:p w14:paraId="26EDAA1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5BD1D4D7" w14:textId="77777777" w:rsidTr="0022057B">
        <w:trPr>
          <w:trHeight w:val="574"/>
        </w:trPr>
        <w:tc>
          <w:tcPr>
            <w:tcW w:w="4390" w:type="dxa"/>
            <w:shd w:val="clear" w:color="auto" w:fill="auto"/>
            <w:vAlign w:val="center"/>
            <w:hideMark/>
          </w:tcPr>
          <w:p w14:paraId="4A055ACB" w14:textId="77777777" w:rsidR="00AE5054" w:rsidRPr="00AE5054" w:rsidRDefault="003B0DE2" w:rsidP="00AE5054">
            <w:pPr>
              <w:spacing w:before="0" w:after="0"/>
              <w:jc w:val="left"/>
              <w:rPr>
                <w:rFonts w:eastAsia="Times New Roman" w:cs="Arial"/>
                <w:color w:val="0563C1"/>
                <w:u w:val="single"/>
                <w:lang w:eastAsia="el-GR"/>
              </w:rPr>
            </w:pPr>
            <w:hyperlink r:id="rId499" w:history="1">
              <w:r w:rsidR="00AE5054" w:rsidRPr="00AE5054">
                <w:rPr>
                  <w:rFonts w:eastAsia="Times New Roman" w:cs="Arial"/>
                  <w:color w:val="0563C1"/>
                  <w:u w:val="single"/>
                  <w:lang w:eastAsia="el-GR"/>
                </w:rPr>
                <w:t>Green Mountain Energy Company</w:t>
              </w:r>
            </w:hyperlink>
          </w:p>
        </w:tc>
        <w:tc>
          <w:tcPr>
            <w:tcW w:w="1842" w:type="dxa"/>
            <w:shd w:val="clear" w:color="auto" w:fill="auto"/>
            <w:vAlign w:val="center"/>
            <w:hideMark/>
          </w:tcPr>
          <w:p w14:paraId="4A79047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FAD70E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Wholesaler, Trader and/or broker, Retailer, Consultant</w:t>
            </w:r>
          </w:p>
        </w:tc>
      </w:tr>
      <w:tr w:rsidR="00AE5054" w:rsidRPr="00AE5054" w14:paraId="15AC3077" w14:textId="77777777" w:rsidTr="0022057B">
        <w:trPr>
          <w:trHeight w:val="287"/>
        </w:trPr>
        <w:tc>
          <w:tcPr>
            <w:tcW w:w="4390" w:type="dxa"/>
            <w:shd w:val="clear" w:color="auto" w:fill="auto"/>
            <w:vAlign w:val="center"/>
            <w:hideMark/>
          </w:tcPr>
          <w:p w14:paraId="1BDF2468" w14:textId="77777777" w:rsidR="00AE5054" w:rsidRPr="00AE5054" w:rsidRDefault="003B0DE2" w:rsidP="00AE5054">
            <w:pPr>
              <w:spacing w:before="0" w:after="0"/>
              <w:jc w:val="left"/>
              <w:rPr>
                <w:rFonts w:eastAsia="Times New Roman" w:cs="Arial"/>
                <w:color w:val="0563C1"/>
                <w:u w:val="single"/>
                <w:lang w:eastAsia="el-GR"/>
              </w:rPr>
            </w:pPr>
            <w:hyperlink r:id="rId500" w:history="1">
              <w:r w:rsidR="00AE5054" w:rsidRPr="00AE5054">
                <w:rPr>
                  <w:rFonts w:eastAsia="Times New Roman" w:cs="Arial"/>
                  <w:color w:val="0563C1"/>
                  <w:u w:val="single"/>
                  <w:lang w:eastAsia="el-GR"/>
                </w:rPr>
                <w:t>Green Pass</w:t>
              </w:r>
            </w:hyperlink>
          </w:p>
        </w:tc>
        <w:tc>
          <w:tcPr>
            <w:tcW w:w="1842" w:type="dxa"/>
            <w:shd w:val="clear" w:color="auto" w:fill="auto"/>
            <w:vAlign w:val="center"/>
            <w:hideMark/>
          </w:tcPr>
          <w:p w14:paraId="5A847DA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27D446C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4CD40691" w14:textId="77777777" w:rsidTr="0022057B">
        <w:trPr>
          <w:trHeight w:val="287"/>
        </w:trPr>
        <w:tc>
          <w:tcPr>
            <w:tcW w:w="4390" w:type="dxa"/>
            <w:shd w:val="clear" w:color="auto" w:fill="auto"/>
            <w:vAlign w:val="center"/>
            <w:hideMark/>
          </w:tcPr>
          <w:p w14:paraId="09CBF57D" w14:textId="77777777" w:rsidR="00AE5054" w:rsidRPr="00AE5054" w:rsidRDefault="003B0DE2" w:rsidP="00AE5054">
            <w:pPr>
              <w:spacing w:before="0" w:after="0"/>
              <w:jc w:val="left"/>
              <w:rPr>
                <w:rFonts w:eastAsia="Times New Roman" w:cs="Arial"/>
                <w:color w:val="0563C1"/>
                <w:u w:val="single"/>
                <w:lang w:eastAsia="el-GR"/>
              </w:rPr>
            </w:pPr>
            <w:hyperlink r:id="rId501" w:history="1">
              <w:proofErr w:type="spellStart"/>
              <w:r w:rsidR="00AE5054" w:rsidRPr="00AE5054">
                <w:rPr>
                  <w:rFonts w:eastAsia="Times New Roman" w:cs="Arial"/>
                  <w:color w:val="0563C1"/>
                  <w:u w:val="single"/>
                  <w:lang w:eastAsia="el-GR"/>
                </w:rPr>
                <w:t>Greenfleet</w:t>
              </w:r>
              <w:proofErr w:type="spellEnd"/>
            </w:hyperlink>
          </w:p>
        </w:tc>
        <w:tc>
          <w:tcPr>
            <w:tcW w:w="1842" w:type="dxa"/>
            <w:shd w:val="clear" w:color="auto" w:fill="auto"/>
            <w:vAlign w:val="center"/>
            <w:hideMark/>
          </w:tcPr>
          <w:p w14:paraId="70956EF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2FCFAAB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628DF23E" w14:textId="77777777" w:rsidTr="0022057B">
        <w:trPr>
          <w:trHeight w:val="287"/>
        </w:trPr>
        <w:tc>
          <w:tcPr>
            <w:tcW w:w="4390" w:type="dxa"/>
            <w:shd w:val="clear" w:color="auto" w:fill="auto"/>
            <w:vAlign w:val="center"/>
            <w:hideMark/>
          </w:tcPr>
          <w:p w14:paraId="7D0CC057" w14:textId="77777777" w:rsidR="00AE5054" w:rsidRPr="00AE5054" w:rsidRDefault="003B0DE2" w:rsidP="00AE5054">
            <w:pPr>
              <w:spacing w:before="0" w:after="0"/>
              <w:jc w:val="left"/>
              <w:rPr>
                <w:rFonts w:eastAsia="Times New Roman" w:cs="Arial"/>
                <w:color w:val="0563C1"/>
                <w:u w:val="single"/>
                <w:lang w:eastAsia="el-GR"/>
              </w:rPr>
            </w:pPr>
            <w:hyperlink r:id="rId502" w:history="1">
              <w:r w:rsidR="00AE5054" w:rsidRPr="00AE5054">
                <w:rPr>
                  <w:rFonts w:eastAsia="Times New Roman" w:cs="Arial"/>
                  <w:color w:val="0563C1"/>
                  <w:u w:val="single"/>
                  <w:lang w:eastAsia="el-GR"/>
                </w:rPr>
                <w:t>Greenhouse Balanced</w:t>
              </w:r>
            </w:hyperlink>
          </w:p>
        </w:tc>
        <w:tc>
          <w:tcPr>
            <w:tcW w:w="1842" w:type="dxa"/>
            <w:shd w:val="clear" w:color="auto" w:fill="auto"/>
            <w:vAlign w:val="center"/>
            <w:hideMark/>
          </w:tcPr>
          <w:p w14:paraId="6D3BB75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26F6BBC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404641AF" w14:textId="77777777" w:rsidTr="0022057B">
        <w:trPr>
          <w:trHeight w:val="574"/>
        </w:trPr>
        <w:tc>
          <w:tcPr>
            <w:tcW w:w="4390" w:type="dxa"/>
            <w:shd w:val="clear" w:color="auto" w:fill="auto"/>
            <w:vAlign w:val="center"/>
            <w:hideMark/>
          </w:tcPr>
          <w:p w14:paraId="7A931C85" w14:textId="77777777" w:rsidR="00AE5054" w:rsidRPr="00AE5054" w:rsidRDefault="003B0DE2" w:rsidP="00AE5054">
            <w:pPr>
              <w:spacing w:before="0" w:after="0"/>
              <w:jc w:val="left"/>
              <w:rPr>
                <w:rFonts w:eastAsia="Times New Roman" w:cs="Arial"/>
                <w:color w:val="0563C1"/>
                <w:u w:val="single"/>
                <w:lang w:eastAsia="el-GR"/>
              </w:rPr>
            </w:pPr>
            <w:hyperlink r:id="rId503" w:history="1">
              <w:r w:rsidR="00AE5054" w:rsidRPr="00AE5054">
                <w:rPr>
                  <w:rFonts w:eastAsia="Times New Roman" w:cs="Arial"/>
                  <w:color w:val="0563C1"/>
                  <w:u w:val="single"/>
                  <w:lang w:eastAsia="el-GR"/>
                </w:rPr>
                <w:t>Greenhouse Gas Services</w:t>
              </w:r>
            </w:hyperlink>
          </w:p>
        </w:tc>
        <w:tc>
          <w:tcPr>
            <w:tcW w:w="1842" w:type="dxa"/>
            <w:shd w:val="clear" w:color="auto" w:fill="auto"/>
            <w:vAlign w:val="center"/>
            <w:hideMark/>
          </w:tcPr>
          <w:p w14:paraId="78BA1F0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744AA4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Retailer</w:t>
            </w:r>
          </w:p>
        </w:tc>
      </w:tr>
      <w:tr w:rsidR="00AE5054" w:rsidRPr="00AE5054" w14:paraId="1688D2C8" w14:textId="77777777" w:rsidTr="0022057B">
        <w:trPr>
          <w:trHeight w:val="574"/>
        </w:trPr>
        <w:tc>
          <w:tcPr>
            <w:tcW w:w="4390" w:type="dxa"/>
            <w:shd w:val="clear" w:color="auto" w:fill="auto"/>
            <w:vAlign w:val="center"/>
            <w:hideMark/>
          </w:tcPr>
          <w:p w14:paraId="6252BE20" w14:textId="77777777" w:rsidR="00AE5054" w:rsidRPr="00AE5054" w:rsidRDefault="003B0DE2" w:rsidP="00AE5054">
            <w:pPr>
              <w:spacing w:before="0" w:after="0"/>
              <w:jc w:val="left"/>
              <w:rPr>
                <w:rFonts w:eastAsia="Times New Roman" w:cs="Arial"/>
                <w:color w:val="0563C1"/>
                <w:u w:val="single"/>
                <w:lang w:eastAsia="el-GR"/>
              </w:rPr>
            </w:pPr>
            <w:hyperlink r:id="rId504" w:history="1">
              <w:r w:rsidR="00AE5054" w:rsidRPr="00AE5054">
                <w:rPr>
                  <w:rFonts w:eastAsia="Times New Roman" w:cs="Arial"/>
                  <w:color w:val="0563C1"/>
                  <w:u w:val="single"/>
                  <w:lang w:eastAsia="el-GR"/>
                </w:rPr>
                <w:t>Greenstone Carbon Management</w:t>
              </w:r>
            </w:hyperlink>
          </w:p>
        </w:tc>
        <w:tc>
          <w:tcPr>
            <w:tcW w:w="1842" w:type="dxa"/>
            <w:shd w:val="clear" w:color="auto" w:fill="auto"/>
            <w:vAlign w:val="center"/>
            <w:hideMark/>
          </w:tcPr>
          <w:p w14:paraId="1B54AC8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A6B041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465DF907" w14:textId="77777777" w:rsidTr="0022057B">
        <w:trPr>
          <w:trHeight w:val="287"/>
        </w:trPr>
        <w:tc>
          <w:tcPr>
            <w:tcW w:w="4390" w:type="dxa"/>
            <w:shd w:val="clear" w:color="auto" w:fill="auto"/>
            <w:vAlign w:val="center"/>
            <w:hideMark/>
          </w:tcPr>
          <w:p w14:paraId="1A0AEFC4" w14:textId="77777777" w:rsidR="00AE5054" w:rsidRPr="00AE5054" w:rsidRDefault="003B0DE2" w:rsidP="00AE5054">
            <w:pPr>
              <w:spacing w:before="0" w:after="0"/>
              <w:jc w:val="left"/>
              <w:rPr>
                <w:rFonts w:eastAsia="Times New Roman" w:cs="Arial"/>
                <w:color w:val="0563C1"/>
                <w:u w:val="single"/>
                <w:lang w:eastAsia="el-GR"/>
              </w:rPr>
            </w:pPr>
            <w:hyperlink r:id="rId505" w:history="1">
              <w:proofErr w:type="spellStart"/>
              <w:r w:rsidR="00AE5054" w:rsidRPr="00AE5054">
                <w:rPr>
                  <w:rFonts w:eastAsia="Times New Roman" w:cs="Arial"/>
                  <w:color w:val="0563C1"/>
                  <w:u w:val="single"/>
                  <w:lang w:eastAsia="el-GR"/>
                </w:rPr>
                <w:t>GroPower</w:t>
              </w:r>
              <w:proofErr w:type="spellEnd"/>
            </w:hyperlink>
          </w:p>
        </w:tc>
        <w:tc>
          <w:tcPr>
            <w:tcW w:w="1842" w:type="dxa"/>
            <w:shd w:val="clear" w:color="auto" w:fill="auto"/>
            <w:vAlign w:val="center"/>
            <w:hideMark/>
          </w:tcPr>
          <w:p w14:paraId="309CF30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023BED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759671BA" w14:textId="77777777" w:rsidTr="0022057B">
        <w:trPr>
          <w:trHeight w:val="287"/>
        </w:trPr>
        <w:tc>
          <w:tcPr>
            <w:tcW w:w="4390" w:type="dxa"/>
            <w:shd w:val="clear" w:color="auto" w:fill="auto"/>
            <w:vAlign w:val="center"/>
            <w:hideMark/>
          </w:tcPr>
          <w:p w14:paraId="1E276C18" w14:textId="77777777" w:rsidR="00AE5054" w:rsidRPr="00AE5054" w:rsidRDefault="003B0DE2" w:rsidP="00AE5054">
            <w:pPr>
              <w:spacing w:before="0" w:after="0"/>
              <w:jc w:val="left"/>
              <w:rPr>
                <w:rFonts w:eastAsia="Times New Roman" w:cs="Arial"/>
                <w:color w:val="0563C1"/>
                <w:u w:val="single"/>
                <w:lang w:eastAsia="el-GR"/>
              </w:rPr>
            </w:pPr>
            <w:hyperlink r:id="rId506" w:history="1">
              <w:proofErr w:type="spellStart"/>
              <w:r w:rsidR="00AE5054" w:rsidRPr="00AE5054">
                <w:rPr>
                  <w:rFonts w:eastAsia="Times New Roman" w:cs="Arial"/>
                  <w:color w:val="0563C1"/>
                  <w:u w:val="single"/>
                  <w:lang w:eastAsia="el-GR"/>
                </w:rPr>
                <w:t>Growaforest</w:t>
              </w:r>
              <w:proofErr w:type="spellEnd"/>
            </w:hyperlink>
          </w:p>
        </w:tc>
        <w:tc>
          <w:tcPr>
            <w:tcW w:w="1842" w:type="dxa"/>
            <w:shd w:val="clear" w:color="auto" w:fill="auto"/>
            <w:vAlign w:val="center"/>
            <w:hideMark/>
          </w:tcPr>
          <w:p w14:paraId="696A936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8A6E47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A926015" w14:textId="77777777" w:rsidTr="0022057B">
        <w:trPr>
          <w:trHeight w:val="287"/>
        </w:trPr>
        <w:tc>
          <w:tcPr>
            <w:tcW w:w="4390" w:type="dxa"/>
            <w:shd w:val="clear" w:color="auto" w:fill="auto"/>
            <w:vAlign w:val="center"/>
            <w:hideMark/>
          </w:tcPr>
          <w:p w14:paraId="2795F2FE" w14:textId="77777777" w:rsidR="00AE5054" w:rsidRPr="00AE5054" w:rsidRDefault="003B0DE2" w:rsidP="00AE5054">
            <w:pPr>
              <w:spacing w:before="0" w:after="0"/>
              <w:jc w:val="left"/>
              <w:rPr>
                <w:rFonts w:eastAsia="Times New Roman" w:cs="Arial"/>
                <w:color w:val="0563C1"/>
                <w:u w:val="single"/>
                <w:lang w:eastAsia="el-GR"/>
              </w:rPr>
            </w:pPr>
            <w:hyperlink r:id="rId507" w:history="1">
              <w:proofErr w:type="spellStart"/>
              <w:r w:rsidR="00AE5054" w:rsidRPr="00AE5054">
                <w:rPr>
                  <w:rFonts w:eastAsia="Times New Roman" w:cs="Arial"/>
                  <w:color w:val="0563C1"/>
                  <w:u w:val="single"/>
                  <w:lang w:eastAsia="el-GR"/>
                </w:rPr>
                <w:t>Impatto</w:t>
              </w:r>
              <w:proofErr w:type="spellEnd"/>
              <w:r w:rsidR="00AE5054" w:rsidRPr="00AE5054">
                <w:rPr>
                  <w:rFonts w:eastAsia="Times New Roman" w:cs="Arial"/>
                  <w:color w:val="0563C1"/>
                  <w:u w:val="single"/>
                  <w:lang w:eastAsia="el-GR"/>
                </w:rPr>
                <w:t xml:space="preserve"> Zero</w:t>
              </w:r>
            </w:hyperlink>
          </w:p>
        </w:tc>
        <w:tc>
          <w:tcPr>
            <w:tcW w:w="1842" w:type="dxa"/>
            <w:shd w:val="clear" w:color="auto" w:fill="auto"/>
            <w:vAlign w:val="center"/>
            <w:hideMark/>
          </w:tcPr>
          <w:p w14:paraId="3E97CF0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Italy</w:t>
            </w:r>
          </w:p>
        </w:tc>
        <w:tc>
          <w:tcPr>
            <w:tcW w:w="2977" w:type="dxa"/>
            <w:shd w:val="clear" w:color="auto" w:fill="auto"/>
            <w:vAlign w:val="center"/>
            <w:hideMark/>
          </w:tcPr>
          <w:p w14:paraId="60EDB70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428F2472" w14:textId="77777777" w:rsidTr="0022057B">
        <w:trPr>
          <w:trHeight w:val="574"/>
        </w:trPr>
        <w:tc>
          <w:tcPr>
            <w:tcW w:w="4390" w:type="dxa"/>
            <w:shd w:val="clear" w:color="auto" w:fill="auto"/>
            <w:vAlign w:val="center"/>
            <w:hideMark/>
          </w:tcPr>
          <w:p w14:paraId="7C7CBA60" w14:textId="77777777" w:rsidR="00AE5054" w:rsidRPr="00AE5054" w:rsidRDefault="003B0DE2" w:rsidP="00AE5054">
            <w:pPr>
              <w:spacing w:before="0" w:after="0"/>
              <w:jc w:val="left"/>
              <w:rPr>
                <w:rFonts w:eastAsia="Times New Roman" w:cs="Arial"/>
                <w:color w:val="0563C1"/>
                <w:u w:val="single"/>
                <w:lang w:eastAsia="el-GR"/>
              </w:rPr>
            </w:pPr>
            <w:hyperlink r:id="rId508" w:history="1">
              <w:proofErr w:type="spellStart"/>
              <w:r w:rsidR="00AE5054" w:rsidRPr="00AE5054">
                <w:rPr>
                  <w:rFonts w:eastAsia="Times New Roman" w:cs="Arial"/>
                  <w:color w:val="0563C1"/>
                  <w:u w:val="single"/>
                  <w:lang w:eastAsia="el-GR"/>
                </w:rPr>
                <w:t>Iniciativa</w:t>
              </w:r>
              <w:proofErr w:type="spellEnd"/>
              <w:r w:rsidR="00AE5054" w:rsidRPr="00AE5054">
                <w:rPr>
                  <w:rFonts w:eastAsia="Times New Roman" w:cs="Arial"/>
                  <w:color w:val="0563C1"/>
                  <w:u w:val="single"/>
                  <w:lang w:eastAsia="el-GR"/>
                </w:rPr>
                <w:t xml:space="preserve"> Verde</w:t>
              </w:r>
            </w:hyperlink>
          </w:p>
        </w:tc>
        <w:tc>
          <w:tcPr>
            <w:tcW w:w="1842" w:type="dxa"/>
            <w:shd w:val="clear" w:color="auto" w:fill="auto"/>
            <w:vAlign w:val="center"/>
            <w:hideMark/>
          </w:tcPr>
          <w:p w14:paraId="5806F04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Brazil</w:t>
            </w:r>
          </w:p>
        </w:tc>
        <w:tc>
          <w:tcPr>
            <w:tcW w:w="2977" w:type="dxa"/>
            <w:shd w:val="clear" w:color="auto" w:fill="auto"/>
            <w:vAlign w:val="center"/>
            <w:hideMark/>
          </w:tcPr>
          <w:p w14:paraId="1D3CDA4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323B7039" w14:textId="77777777" w:rsidTr="0022057B">
        <w:trPr>
          <w:trHeight w:val="574"/>
        </w:trPr>
        <w:tc>
          <w:tcPr>
            <w:tcW w:w="4390" w:type="dxa"/>
            <w:shd w:val="clear" w:color="auto" w:fill="auto"/>
            <w:vAlign w:val="center"/>
            <w:hideMark/>
          </w:tcPr>
          <w:p w14:paraId="087601E8" w14:textId="77777777" w:rsidR="00AE5054" w:rsidRPr="00AE5054" w:rsidRDefault="003B0DE2" w:rsidP="00AE5054">
            <w:pPr>
              <w:spacing w:before="0" w:after="0"/>
              <w:jc w:val="left"/>
              <w:rPr>
                <w:rFonts w:eastAsia="Times New Roman" w:cs="Arial"/>
                <w:color w:val="0563C1"/>
                <w:u w:val="single"/>
                <w:lang w:eastAsia="el-GR"/>
              </w:rPr>
            </w:pPr>
            <w:hyperlink r:id="rId509" w:history="1">
              <w:r w:rsidR="00AE5054" w:rsidRPr="00AE5054">
                <w:rPr>
                  <w:rFonts w:eastAsia="Times New Roman" w:cs="Arial"/>
                  <w:color w:val="0563C1"/>
                  <w:u w:val="single"/>
                  <w:lang w:eastAsia="el-GR"/>
                </w:rPr>
                <w:t xml:space="preserve">Klima </w:t>
              </w:r>
              <w:proofErr w:type="spellStart"/>
              <w:r w:rsidR="00AE5054" w:rsidRPr="00AE5054">
                <w:rPr>
                  <w:rFonts w:eastAsia="Times New Roman" w:cs="Arial"/>
                  <w:color w:val="0563C1"/>
                  <w:u w:val="single"/>
                  <w:lang w:eastAsia="el-GR"/>
                </w:rPr>
                <w:t>ohne</w:t>
              </w:r>
              <w:proofErr w:type="spellEnd"/>
              <w:r w:rsidR="00AE5054" w:rsidRPr="00AE5054">
                <w:rPr>
                  <w:rFonts w:eastAsia="Times New Roman" w:cs="Arial"/>
                  <w:color w:val="0563C1"/>
                  <w:u w:val="single"/>
                  <w:lang w:eastAsia="el-GR"/>
                </w:rPr>
                <w:t xml:space="preserve"> </w:t>
              </w:r>
              <w:proofErr w:type="spellStart"/>
              <w:r w:rsidR="00AE5054" w:rsidRPr="00AE5054">
                <w:rPr>
                  <w:rFonts w:eastAsia="Times New Roman" w:cs="Arial"/>
                  <w:color w:val="0563C1"/>
                  <w:u w:val="single"/>
                  <w:lang w:eastAsia="el-GR"/>
                </w:rPr>
                <w:t>Grenzen</w:t>
              </w:r>
              <w:proofErr w:type="spellEnd"/>
            </w:hyperlink>
          </w:p>
        </w:tc>
        <w:tc>
          <w:tcPr>
            <w:tcW w:w="1842" w:type="dxa"/>
            <w:shd w:val="clear" w:color="auto" w:fill="auto"/>
            <w:vAlign w:val="center"/>
            <w:hideMark/>
          </w:tcPr>
          <w:p w14:paraId="3233E89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Germany</w:t>
            </w:r>
          </w:p>
        </w:tc>
        <w:tc>
          <w:tcPr>
            <w:tcW w:w="2977" w:type="dxa"/>
            <w:shd w:val="clear" w:color="auto" w:fill="auto"/>
            <w:vAlign w:val="center"/>
            <w:hideMark/>
          </w:tcPr>
          <w:p w14:paraId="0C6FA5E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39055833" w14:textId="77777777" w:rsidTr="0022057B">
        <w:trPr>
          <w:trHeight w:val="287"/>
        </w:trPr>
        <w:tc>
          <w:tcPr>
            <w:tcW w:w="4390" w:type="dxa"/>
            <w:shd w:val="clear" w:color="auto" w:fill="auto"/>
            <w:vAlign w:val="center"/>
            <w:hideMark/>
          </w:tcPr>
          <w:p w14:paraId="2D4CF920" w14:textId="77777777" w:rsidR="00AE5054" w:rsidRPr="00AE5054" w:rsidRDefault="003B0DE2" w:rsidP="00AE5054">
            <w:pPr>
              <w:spacing w:before="0" w:after="0"/>
              <w:jc w:val="left"/>
              <w:rPr>
                <w:rFonts w:eastAsia="Times New Roman" w:cs="Arial"/>
                <w:color w:val="0563C1"/>
                <w:u w:val="single"/>
                <w:lang w:eastAsia="el-GR"/>
              </w:rPr>
            </w:pPr>
            <w:hyperlink r:id="rId510" w:history="1">
              <w:proofErr w:type="spellStart"/>
              <w:r w:rsidR="00AE5054" w:rsidRPr="00AE5054">
                <w:rPr>
                  <w:rFonts w:eastAsia="Times New Roman" w:cs="Arial"/>
                  <w:color w:val="0563C1"/>
                  <w:u w:val="single"/>
                  <w:lang w:eastAsia="el-GR"/>
                </w:rPr>
                <w:t>KlimaFa</w:t>
              </w:r>
              <w:proofErr w:type="spellEnd"/>
            </w:hyperlink>
          </w:p>
        </w:tc>
        <w:tc>
          <w:tcPr>
            <w:tcW w:w="1842" w:type="dxa"/>
            <w:shd w:val="clear" w:color="auto" w:fill="auto"/>
            <w:vAlign w:val="center"/>
            <w:hideMark/>
          </w:tcPr>
          <w:p w14:paraId="7CFDFFD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Hungary</w:t>
            </w:r>
          </w:p>
        </w:tc>
        <w:tc>
          <w:tcPr>
            <w:tcW w:w="2977" w:type="dxa"/>
            <w:shd w:val="clear" w:color="auto" w:fill="auto"/>
            <w:vAlign w:val="center"/>
            <w:hideMark/>
          </w:tcPr>
          <w:p w14:paraId="374DA6D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42D1AE67" w14:textId="77777777" w:rsidTr="0022057B">
        <w:trPr>
          <w:trHeight w:val="287"/>
        </w:trPr>
        <w:tc>
          <w:tcPr>
            <w:tcW w:w="4390" w:type="dxa"/>
            <w:shd w:val="clear" w:color="auto" w:fill="auto"/>
            <w:vAlign w:val="center"/>
            <w:hideMark/>
          </w:tcPr>
          <w:p w14:paraId="1D155FD1" w14:textId="77777777" w:rsidR="00AE5054" w:rsidRPr="00AE5054" w:rsidRDefault="003B0DE2" w:rsidP="00AE5054">
            <w:pPr>
              <w:spacing w:before="0" w:after="0"/>
              <w:jc w:val="left"/>
              <w:rPr>
                <w:rFonts w:eastAsia="Times New Roman" w:cs="Arial"/>
                <w:color w:val="0563C1"/>
                <w:u w:val="single"/>
                <w:lang w:eastAsia="el-GR"/>
              </w:rPr>
            </w:pPr>
            <w:hyperlink r:id="rId511" w:history="1">
              <w:proofErr w:type="spellStart"/>
              <w:r w:rsidR="00AE5054" w:rsidRPr="00AE5054">
                <w:rPr>
                  <w:rFonts w:eastAsia="Times New Roman" w:cs="Arial"/>
                  <w:color w:val="0563C1"/>
                  <w:u w:val="single"/>
                  <w:lang w:eastAsia="el-GR"/>
                </w:rPr>
                <w:t>LandcareCarbonSMART</w:t>
              </w:r>
              <w:proofErr w:type="spellEnd"/>
            </w:hyperlink>
          </w:p>
        </w:tc>
        <w:tc>
          <w:tcPr>
            <w:tcW w:w="1842" w:type="dxa"/>
            <w:shd w:val="clear" w:color="auto" w:fill="auto"/>
            <w:vAlign w:val="center"/>
            <w:hideMark/>
          </w:tcPr>
          <w:p w14:paraId="58098CB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0169619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FE0E800" w14:textId="77777777" w:rsidTr="0022057B">
        <w:trPr>
          <w:trHeight w:val="287"/>
        </w:trPr>
        <w:tc>
          <w:tcPr>
            <w:tcW w:w="4390" w:type="dxa"/>
            <w:shd w:val="clear" w:color="auto" w:fill="auto"/>
            <w:vAlign w:val="center"/>
            <w:hideMark/>
          </w:tcPr>
          <w:p w14:paraId="011C8961" w14:textId="77777777" w:rsidR="00AE5054" w:rsidRPr="00AE5054" w:rsidRDefault="003B0DE2" w:rsidP="00AE5054">
            <w:pPr>
              <w:spacing w:before="0" w:after="0"/>
              <w:jc w:val="left"/>
              <w:rPr>
                <w:rFonts w:eastAsia="Times New Roman" w:cs="Arial"/>
                <w:color w:val="0563C1"/>
                <w:u w:val="single"/>
                <w:lang w:eastAsia="el-GR"/>
              </w:rPr>
            </w:pPr>
            <w:hyperlink r:id="rId512" w:history="1">
              <w:r w:rsidR="00AE5054" w:rsidRPr="00AE5054">
                <w:rPr>
                  <w:rFonts w:eastAsia="Times New Roman" w:cs="Arial"/>
                  <w:color w:val="0563C1"/>
                  <w:u w:val="single"/>
                  <w:lang w:eastAsia="el-GR"/>
                </w:rPr>
                <w:t>Less</w:t>
              </w:r>
            </w:hyperlink>
          </w:p>
        </w:tc>
        <w:tc>
          <w:tcPr>
            <w:tcW w:w="1842" w:type="dxa"/>
            <w:shd w:val="clear" w:color="auto" w:fill="auto"/>
            <w:vAlign w:val="center"/>
            <w:hideMark/>
          </w:tcPr>
          <w:p w14:paraId="3ECEF2A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243FD52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0A57BB88" w14:textId="77777777" w:rsidTr="0022057B">
        <w:trPr>
          <w:trHeight w:val="287"/>
        </w:trPr>
        <w:tc>
          <w:tcPr>
            <w:tcW w:w="4390" w:type="dxa"/>
            <w:shd w:val="clear" w:color="auto" w:fill="auto"/>
            <w:vAlign w:val="center"/>
            <w:hideMark/>
          </w:tcPr>
          <w:p w14:paraId="32310FA2" w14:textId="77777777" w:rsidR="00AE5054" w:rsidRPr="00AE5054" w:rsidRDefault="003B0DE2" w:rsidP="00AE5054">
            <w:pPr>
              <w:spacing w:before="0" w:after="0"/>
              <w:jc w:val="left"/>
              <w:rPr>
                <w:rFonts w:eastAsia="Times New Roman" w:cs="Arial"/>
                <w:color w:val="0563C1"/>
                <w:u w:val="single"/>
                <w:lang w:eastAsia="el-GR"/>
              </w:rPr>
            </w:pPr>
            <w:hyperlink r:id="rId513" w:history="1">
              <w:proofErr w:type="spellStart"/>
              <w:r w:rsidR="00AE5054" w:rsidRPr="00AE5054">
                <w:rPr>
                  <w:rFonts w:eastAsia="Times New Roman" w:cs="Arial"/>
                  <w:color w:val="0563C1"/>
                  <w:u w:val="single"/>
                  <w:lang w:eastAsia="el-GR"/>
                </w:rPr>
                <w:t>LivClean</w:t>
              </w:r>
              <w:proofErr w:type="spellEnd"/>
            </w:hyperlink>
          </w:p>
        </w:tc>
        <w:tc>
          <w:tcPr>
            <w:tcW w:w="1842" w:type="dxa"/>
            <w:shd w:val="clear" w:color="auto" w:fill="auto"/>
            <w:vAlign w:val="center"/>
            <w:hideMark/>
          </w:tcPr>
          <w:p w14:paraId="1F31863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49F6564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3C0828BB" w14:textId="77777777" w:rsidTr="0022057B">
        <w:trPr>
          <w:trHeight w:val="287"/>
        </w:trPr>
        <w:tc>
          <w:tcPr>
            <w:tcW w:w="4390" w:type="dxa"/>
            <w:shd w:val="clear" w:color="auto" w:fill="auto"/>
            <w:vAlign w:val="center"/>
            <w:hideMark/>
          </w:tcPr>
          <w:p w14:paraId="62C2018F" w14:textId="77777777" w:rsidR="00AE5054" w:rsidRPr="00AE5054" w:rsidRDefault="003B0DE2" w:rsidP="00AE5054">
            <w:pPr>
              <w:spacing w:before="0" w:after="0"/>
              <w:jc w:val="left"/>
              <w:rPr>
                <w:rFonts w:eastAsia="Times New Roman" w:cs="Arial"/>
                <w:color w:val="0563C1"/>
                <w:u w:val="single"/>
                <w:lang w:eastAsia="el-GR"/>
              </w:rPr>
            </w:pPr>
            <w:hyperlink r:id="rId514" w:history="1">
              <w:r w:rsidR="00AE5054" w:rsidRPr="00AE5054">
                <w:rPr>
                  <w:rFonts w:eastAsia="Times New Roman" w:cs="Arial"/>
                  <w:color w:val="0563C1"/>
                  <w:u w:val="single"/>
                  <w:lang w:eastAsia="el-GR"/>
                </w:rPr>
                <w:t>Live Climate</w:t>
              </w:r>
            </w:hyperlink>
          </w:p>
        </w:tc>
        <w:tc>
          <w:tcPr>
            <w:tcW w:w="1842" w:type="dxa"/>
            <w:shd w:val="clear" w:color="auto" w:fill="auto"/>
            <w:vAlign w:val="center"/>
            <w:hideMark/>
          </w:tcPr>
          <w:p w14:paraId="47C2AAC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21EA0B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5F274C54" w14:textId="77777777" w:rsidTr="0022057B">
        <w:trPr>
          <w:trHeight w:val="287"/>
        </w:trPr>
        <w:tc>
          <w:tcPr>
            <w:tcW w:w="4390" w:type="dxa"/>
            <w:shd w:val="clear" w:color="auto" w:fill="auto"/>
            <w:vAlign w:val="center"/>
            <w:hideMark/>
          </w:tcPr>
          <w:p w14:paraId="200F53C5" w14:textId="77777777" w:rsidR="00AE5054" w:rsidRPr="00AE5054" w:rsidRDefault="003B0DE2" w:rsidP="00AE5054">
            <w:pPr>
              <w:spacing w:before="0" w:after="0"/>
              <w:jc w:val="left"/>
              <w:rPr>
                <w:rFonts w:eastAsia="Times New Roman" w:cs="Arial"/>
                <w:color w:val="0563C1"/>
                <w:u w:val="single"/>
                <w:lang w:eastAsia="el-GR"/>
              </w:rPr>
            </w:pPr>
            <w:hyperlink r:id="rId515" w:history="1">
              <w:proofErr w:type="spellStart"/>
              <w:r w:rsidR="00AE5054" w:rsidRPr="00AE5054">
                <w:rPr>
                  <w:rFonts w:eastAsia="Times New Roman" w:cs="Arial"/>
                  <w:color w:val="0563C1"/>
                  <w:u w:val="single"/>
                  <w:lang w:eastAsia="el-GR"/>
                </w:rPr>
                <w:t>LiveCooler</w:t>
              </w:r>
              <w:proofErr w:type="spellEnd"/>
            </w:hyperlink>
          </w:p>
        </w:tc>
        <w:tc>
          <w:tcPr>
            <w:tcW w:w="1842" w:type="dxa"/>
            <w:shd w:val="clear" w:color="auto" w:fill="auto"/>
            <w:vAlign w:val="center"/>
            <w:hideMark/>
          </w:tcPr>
          <w:p w14:paraId="070D6B2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8D3C48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BE07BAF" w14:textId="77777777" w:rsidTr="0022057B">
        <w:trPr>
          <w:trHeight w:val="287"/>
        </w:trPr>
        <w:tc>
          <w:tcPr>
            <w:tcW w:w="4390" w:type="dxa"/>
            <w:shd w:val="clear" w:color="auto" w:fill="auto"/>
            <w:vAlign w:val="center"/>
            <w:hideMark/>
          </w:tcPr>
          <w:p w14:paraId="01A811D4" w14:textId="77777777" w:rsidR="00AE5054" w:rsidRPr="00AE5054" w:rsidRDefault="003B0DE2" w:rsidP="00AE5054">
            <w:pPr>
              <w:spacing w:before="0" w:after="0"/>
              <w:jc w:val="left"/>
              <w:rPr>
                <w:rFonts w:eastAsia="Times New Roman" w:cs="Arial"/>
                <w:color w:val="0563C1"/>
                <w:u w:val="single"/>
                <w:lang w:eastAsia="el-GR"/>
              </w:rPr>
            </w:pPr>
            <w:hyperlink r:id="rId516" w:history="1">
              <w:proofErr w:type="spellStart"/>
              <w:r w:rsidR="00AE5054" w:rsidRPr="00AE5054">
                <w:rPr>
                  <w:rFonts w:eastAsia="Times New Roman" w:cs="Arial"/>
                  <w:color w:val="0563C1"/>
                  <w:u w:val="single"/>
                  <w:lang w:eastAsia="el-GR"/>
                </w:rPr>
                <w:t>LiveNeutral</w:t>
              </w:r>
              <w:proofErr w:type="spellEnd"/>
            </w:hyperlink>
          </w:p>
        </w:tc>
        <w:tc>
          <w:tcPr>
            <w:tcW w:w="1842" w:type="dxa"/>
            <w:shd w:val="clear" w:color="auto" w:fill="auto"/>
            <w:vAlign w:val="center"/>
            <w:hideMark/>
          </w:tcPr>
          <w:p w14:paraId="27C0A74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4DEA15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79F42855" w14:textId="77777777" w:rsidTr="0022057B">
        <w:trPr>
          <w:trHeight w:val="574"/>
        </w:trPr>
        <w:tc>
          <w:tcPr>
            <w:tcW w:w="4390" w:type="dxa"/>
            <w:shd w:val="clear" w:color="auto" w:fill="auto"/>
            <w:vAlign w:val="center"/>
            <w:hideMark/>
          </w:tcPr>
          <w:p w14:paraId="3DF5A814" w14:textId="77777777" w:rsidR="00AE5054" w:rsidRPr="00AE5054" w:rsidRDefault="003B0DE2" w:rsidP="00AE5054">
            <w:pPr>
              <w:spacing w:before="0" w:after="0"/>
              <w:jc w:val="left"/>
              <w:rPr>
                <w:rFonts w:eastAsia="Times New Roman" w:cs="Arial"/>
                <w:color w:val="0563C1"/>
                <w:u w:val="single"/>
                <w:lang w:eastAsia="el-GR"/>
              </w:rPr>
            </w:pPr>
            <w:hyperlink r:id="rId517" w:history="1">
              <w:r w:rsidR="00AE5054" w:rsidRPr="00AE5054">
                <w:rPr>
                  <w:rFonts w:eastAsia="Times New Roman" w:cs="Arial"/>
                  <w:color w:val="0563C1"/>
                  <w:u w:val="single"/>
                  <w:lang w:eastAsia="el-GR"/>
                </w:rPr>
                <w:t>LMS Generation</w:t>
              </w:r>
            </w:hyperlink>
          </w:p>
        </w:tc>
        <w:tc>
          <w:tcPr>
            <w:tcW w:w="1842" w:type="dxa"/>
            <w:shd w:val="clear" w:color="auto" w:fill="auto"/>
            <w:vAlign w:val="center"/>
            <w:hideMark/>
          </w:tcPr>
          <w:p w14:paraId="143DCBA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21BA0F9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w:t>
            </w:r>
          </w:p>
        </w:tc>
      </w:tr>
      <w:tr w:rsidR="00AE5054" w:rsidRPr="00AE5054" w14:paraId="49450915" w14:textId="77777777" w:rsidTr="0022057B">
        <w:trPr>
          <w:trHeight w:val="287"/>
        </w:trPr>
        <w:tc>
          <w:tcPr>
            <w:tcW w:w="4390" w:type="dxa"/>
            <w:shd w:val="clear" w:color="auto" w:fill="auto"/>
            <w:vAlign w:val="center"/>
            <w:hideMark/>
          </w:tcPr>
          <w:p w14:paraId="26BC2BFB" w14:textId="77777777" w:rsidR="00AE5054" w:rsidRPr="00AE5054" w:rsidRDefault="003B0DE2" w:rsidP="00AE5054">
            <w:pPr>
              <w:spacing w:before="0" w:after="0"/>
              <w:jc w:val="left"/>
              <w:rPr>
                <w:rFonts w:eastAsia="Times New Roman" w:cs="Arial"/>
                <w:color w:val="0563C1"/>
                <w:u w:val="single"/>
                <w:lang w:eastAsia="el-GR"/>
              </w:rPr>
            </w:pPr>
            <w:hyperlink r:id="rId518" w:history="1">
              <w:r w:rsidR="00AE5054" w:rsidRPr="00AE5054">
                <w:rPr>
                  <w:rFonts w:eastAsia="Times New Roman" w:cs="Arial"/>
                  <w:color w:val="0563C1"/>
                  <w:u w:val="single"/>
                  <w:lang w:eastAsia="el-GR"/>
                </w:rPr>
                <w:t>London Social Carbon Offset</w:t>
              </w:r>
            </w:hyperlink>
          </w:p>
        </w:tc>
        <w:tc>
          <w:tcPr>
            <w:tcW w:w="1842" w:type="dxa"/>
            <w:shd w:val="clear" w:color="auto" w:fill="auto"/>
            <w:vAlign w:val="center"/>
            <w:hideMark/>
          </w:tcPr>
          <w:p w14:paraId="1BF013A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642DB9F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EB2E9C2" w14:textId="77777777" w:rsidTr="0022057B">
        <w:trPr>
          <w:trHeight w:val="287"/>
        </w:trPr>
        <w:tc>
          <w:tcPr>
            <w:tcW w:w="4390" w:type="dxa"/>
            <w:shd w:val="clear" w:color="auto" w:fill="auto"/>
            <w:vAlign w:val="center"/>
            <w:hideMark/>
          </w:tcPr>
          <w:p w14:paraId="787A533A" w14:textId="77777777" w:rsidR="00AE5054" w:rsidRPr="00AE5054" w:rsidRDefault="003B0DE2" w:rsidP="00AE5054">
            <w:pPr>
              <w:spacing w:before="0" w:after="0"/>
              <w:jc w:val="left"/>
              <w:rPr>
                <w:rFonts w:eastAsia="Times New Roman" w:cs="Arial"/>
                <w:color w:val="0563C1"/>
                <w:u w:val="single"/>
                <w:lang w:eastAsia="el-GR"/>
              </w:rPr>
            </w:pPr>
            <w:hyperlink r:id="rId519" w:history="1">
              <w:r w:rsidR="00AE5054" w:rsidRPr="00AE5054">
                <w:rPr>
                  <w:rFonts w:eastAsia="Times New Roman" w:cs="Arial"/>
                  <w:color w:val="0563C1"/>
                  <w:u w:val="single"/>
                  <w:lang w:eastAsia="el-GR"/>
                </w:rPr>
                <w:t>Love Trees</w:t>
              </w:r>
            </w:hyperlink>
          </w:p>
        </w:tc>
        <w:tc>
          <w:tcPr>
            <w:tcW w:w="1842" w:type="dxa"/>
            <w:shd w:val="clear" w:color="auto" w:fill="auto"/>
            <w:vAlign w:val="center"/>
            <w:hideMark/>
          </w:tcPr>
          <w:p w14:paraId="07D7C7C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7C1863A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7D27C87C" w14:textId="77777777" w:rsidTr="0022057B">
        <w:trPr>
          <w:trHeight w:val="287"/>
        </w:trPr>
        <w:tc>
          <w:tcPr>
            <w:tcW w:w="4390" w:type="dxa"/>
            <w:shd w:val="clear" w:color="auto" w:fill="auto"/>
            <w:vAlign w:val="center"/>
            <w:hideMark/>
          </w:tcPr>
          <w:p w14:paraId="40BEA266" w14:textId="77777777" w:rsidR="00AE5054" w:rsidRPr="00AE5054" w:rsidRDefault="003B0DE2" w:rsidP="00AE5054">
            <w:pPr>
              <w:spacing w:before="0" w:after="0"/>
              <w:jc w:val="left"/>
              <w:rPr>
                <w:rFonts w:eastAsia="Times New Roman" w:cs="Arial"/>
                <w:color w:val="0563C1"/>
                <w:u w:val="single"/>
                <w:lang w:eastAsia="el-GR"/>
              </w:rPr>
            </w:pPr>
            <w:hyperlink r:id="rId520" w:history="1">
              <w:r w:rsidR="00AE5054" w:rsidRPr="00AE5054">
                <w:rPr>
                  <w:rFonts w:eastAsia="Times New Roman" w:cs="Arial"/>
                  <w:color w:val="0563C1"/>
                  <w:u w:val="single"/>
                  <w:lang w:eastAsia="el-GR"/>
                </w:rPr>
                <w:t>Mercy Corps - Cool Climate</w:t>
              </w:r>
            </w:hyperlink>
          </w:p>
        </w:tc>
        <w:tc>
          <w:tcPr>
            <w:tcW w:w="1842" w:type="dxa"/>
            <w:shd w:val="clear" w:color="auto" w:fill="auto"/>
            <w:vAlign w:val="center"/>
            <w:hideMark/>
          </w:tcPr>
          <w:p w14:paraId="6C69049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3E2C18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7A83D1D4" w14:textId="77777777" w:rsidTr="0022057B">
        <w:trPr>
          <w:trHeight w:val="860"/>
        </w:trPr>
        <w:tc>
          <w:tcPr>
            <w:tcW w:w="4390" w:type="dxa"/>
            <w:shd w:val="clear" w:color="auto" w:fill="auto"/>
            <w:vAlign w:val="center"/>
            <w:hideMark/>
          </w:tcPr>
          <w:p w14:paraId="7A4338D3" w14:textId="77777777" w:rsidR="00AE5054" w:rsidRPr="00AE5054" w:rsidRDefault="003B0DE2" w:rsidP="00AE5054">
            <w:pPr>
              <w:spacing w:before="0" w:after="0"/>
              <w:jc w:val="left"/>
              <w:rPr>
                <w:rFonts w:eastAsia="Times New Roman" w:cs="Arial"/>
                <w:color w:val="0563C1"/>
                <w:u w:val="single"/>
                <w:lang w:eastAsia="el-GR"/>
              </w:rPr>
            </w:pPr>
            <w:hyperlink r:id="rId521" w:history="1">
              <w:r w:rsidR="00AE5054" w:rsidRPr="00AE5054">
                <w:rPr>
                  <w:rFonts w:eastAsia="Times New Roman" w:cs="Arial"/>
                  <w:color w:val="0563C1"/>
                  <w:u w:val="single"/>
                  <w:lang w:eastAsia="el-GR"/>
                </w:rPr>
                <w:t>MGM International</w:t>
              </w:r>
            </w:hyperlink>
          </w:p>
        </w:tc>
        <w:tc>
          <w:tcPr>
            <w:tcW w:w="1842" w:type="dxa"/>
            <w:shd w:val="clear" w:color="auto" w:fill="auto"/>
            <w:vAlign w:val="center"/>
            <w:hideMark/>
          </w:tcPr>
          <w:p w14:paraId="7FE7F98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015D7CA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 Retailer, Consultant</w:t>
            </w:r>
          </w:p>
        </w:tc>
      </w:tr>
      <w:tr w:rsidR="00AE5054" w:rsidRPr="00AE5054" w14:paraId="5A20E6A1" w14:textId="77777777" w:rsidTr="0022057B">
        <w:trPr>
          <w:trHeight w:val="287"/>
        </w:trPr>
        <w:tc>
          <w:tcPr>
            <w:tcW w:w="4390" w:type="dxa"/>
            <w:shd w:val="clear" w:color="auto" w:fill="auto"/>
            <w:vAlign w:val="center"/>
            <w:hideMark/>
          </w:tcPr>
          <w:p w14:paraId="2E15B6F1" w14:textId="77777777" w:rsidR="00AE5054" w:rsidRPr="00AE5054" w:rsidRDefault="003B0DE2" w:rsidP="00AE5054">
            <w:pPr>
              <w:spacing w:before="0" w:after="0"/>
              <w:jc w:val="left"/>
              <w:rPr>
                <w:rFonts w:eastAsia="Times New Roman" w:cs="Arial"/>
                <w:color w:val="0563C1"/>
                <w:u w:val="single"/>
                <w:lang w:eastAsia="el-GR"/>
              </w:rPr>
            </w:pPr>
            <w:hyperlink r:id="rId522" w:history="1">
              <w:r w:rsidR="00AE5054" w:rsidRPr="00AE5054">
                <w:rPr>
                  <w:rFonts w:eastAsia="Times New Roman" w:cs="Arial"/>
                  <w:color w:val="0563C1"/>
                  <w:u w:val="single"/>
                  <w:lang w:eastAsia="el-GR"/>
                </w:rPr>
                <w:t>MMA Renewable Ventures</w:t>
              </w:r>
            </w:hyperlink>
          </w:p>
        </w:tc>
        <w:tc>
          <w:tcPr>
            <w:tcW w:w="1842" w:type="dxa"/>
            <w:shd w:val="clear" w:color="auto" w:fill="auto"/>
            <w:vAlign w:val="center"/>
            <w:hideMark/>
          </w:tcPr>
          <w:p w14:paraId="1218036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3E478E0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6B0E39F0" w14:textId="77777777" w:rsidTr="0022057B">
        <w:trPr>
          <w:trHeight w:val="287"/>
        </w:trPr>
        <w:tc>
          <w:tcPr>
            <w:tcW w:w="4390" w:type="dxa"/>
            <w:shd w:val="clear" w:color="auto" w:fill="auto"/>
            <w:vAlign w:val="center"/>
            <w:hideMark/>
          </w:tcPr>
          <w:p w14:paraId="3B3C95E4" w14:textId="77777777" w:rsidR="00AE5054" w:rsidRPr="00AE5054" w:rsidRDefault="003B0DE2" w:rsidP="00AE5054">
            <w:pPr>
              <w:spacing w:before="0" w:after="0"/>
              <w:jc w:val="left"/>
              <w:rPr>
                <w:rFonts w:eastAsia="Times New Roman" w:cs="Arial"/>
                <w:color w:val="0563C1"/>
                <w:u w:val="single"/>
                <w:lang w:eastAsia="el-GR"/>
              </w:rPr>
            </w:pPr>
            <w:hyperlink r:id="rId523" w:history="1">
              <w:r w:rsidR="00AE5054" w:rsidRPr="00AE5054">
                <w:rPr>
                  <w:rFonts w:eastAsia="Times New Roman" w:cs="Arial"/>
                  <w:color w:val="0563C1"/>
                  <w:u w:val="single"/>
                  <w:lang w:eastAsia="el-GR"/>
                </w:rPr>
                <w:t>Moor Trees</w:t>
              </w:r>
            </w:hyperlink>
          </w:p>
        </w:tc>
        <w:tc>
          <w:tcPr>
            <w:tcW w:w="1842" w:type="dxa"/>
            <w:shd w:val="clear" w:color="auto" w:fill="auto"/>
            <w:vAlign w:val="center"/>
            <w:hideMark/>
          </w:tcPr>
          <w:p w14:paraId="1E4F18C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5B76790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40E8B62" w14:textId="77777777" w:rsidTr="0022057B">
        <w:trPr>
          <w:trHeight w:val="287"/>
        </w:trPr>
        <w:tc>
          <w:tcPr>
            <w:tcW w:w="4390" w:type="dxa"/>
            <w:shd w:val="clear" w:color="auto" w:fill="auto"/>
            <w:vAlign w:val="center"/>
            <w:hideMark/>
          </w:tcPr>
          <w:p w14:paraId="1BD1AD11" w14:textId="77777777" w:rsidR="00AE5054" w:rsidRPr="00AE5054" w:rsidRDefault="003B0DE2" w:rsidP="00AE5054">
            <w:pPr>
              <w:spacing w:before="0" w:after="0"/>
              <w:jc w:val="left"/>
              <w:rPr>
                <w:rFonts w:eastAsia="Times New Roman" w:cs="Arial"/>
                <w:color w:val="0563C1"/>
                <w:u w:val="single"/>
                <w:lang w:eastAsia="el-GR"/>
              </w:rPr>
            </w:pPr>
            <w:hyperlink r:id="rId524" w:history="1">
              <w:r w:rsidR="00AE5054" w:rsidRPr="00AE5054">
                <w:rPr>
                  <w:rFonts w:eastAsia="Times New Roman" w:cs="Arial"/>
                  <w:color w:val="0563C1"/>
                  <w:u w:val="single"/>
                  <w:lang w:eastAsia="el-GR"/>
                </w:rPr>
                <w:t>My Clean Sky</w:t>
              </w:r>
            </w:hyperlink>
          </w:p>
        </w:tc>
        <w:tc>
          <w:tcPr>
            <w:tcW w:w="1842" w:type="dxa"/>
            <w:shd w:val="clear" w:color="auto" w:fill="auto"/>
            <w:vAlign w:val="center"/>
            <w:hideMark/>
          </w:tcPr>
          <w:p w14:paraId="55E928D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6CD0746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32F921F" w14:textId="77777777" w:rsidTr="0022057B">
        <w:trPr>
          <w:trHeight w:val="287"/>
        </w:trPr>
        <w:tc>
          <w:tcPr>
            <w:tcW w:w="4390" w:type="dxa"/>
            <w:shd w:val="clear" w:color="auto" w:fill="auto"/>
            <w:vAlign w:val="center"/>
            <w:hideMark/>
          </w:tcPr>
          <w:p w14:paraId="0D05DABD" w14:textId="77777777" w:rsidR="00AE5054" w:rsidRPr="00AE5054" w:rsidRDefault="003B0DE2" w:rsidP="00AE5054">
            <w:pPr>
              <w:spacing w:before="0" w:after="0"/>
              <w:jc w:val="left"/>
              <w:rPr>
                <w:rFonts w:eastAsia="Times New Roman" w:cs="Arial"/>
                <w:color w:val="0563C1"/>
                <w:u w:val="single"/>
                <w:lang w:eastAsia="el-GR"/>
              </w:rPr>
            </w:pPr>
            <w:hyperlink r:id="rId525" w:history="1">
              <w:proofErr w:type="spellStart"/>
              <w:r w:rsidR="00AE5054" w:rsidRPr="00AE5054">
                <w:rPr>
                  <w:rFonts w:eastAsia="Times New Roman" w:cs="Arial"/>
                  <w:color w:val="0563C1"/>
                  <w:u w:val="single"/>
                  <w:lang w:eastAsia="el-GR"/>
                </w:rPr>
                <w:t>MyClimate</w:t>
              </w:r>
              <w:proofErr w:type="spellEnd"/>
            </w:hyperlink>
          </w:p>
        </w:tc>
        <w:tc>
          <w:tcPr>
            <w:tcW w:w="1842" w:type="dxa"/>
            <w:shd w:val="clear" w:color="auto" w:fill="auto"/>
            <w:vAlign w:val="center"/>
            <w:hideMark/>
          </w:tcPr>
          <w:p w14:paraId="34A5379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Switzerland</w:t>
            </w:r>
          </w:p>
        </w:tc>
        <w:tc>
          <w:tcPr>
            <w:tcW w:w="2977" w:type="dxa"/>
            <w:shd w:val="clear" w:color="auto" w:fill="auto"/>
            <w:vAlign w:val="center"/>
            <w:hideMark/>
          </w:tcPr>
          <w:p w14:paraId="4153494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E2FB295" w14:textId="77777777" w:rsidTr="0022057B">
        <w:trPr>
          <w:trHeight w:val="287"/>
        </w:trPr>
        <w:tc>
          <w:tcPr>
            <w:tcW w:w="4390" w:type="dxa"/>
            <w:shd w:val="clear" w:color="auto" w:fill="auto"/>
            <w:vAlign w:val="center"/>
            <w:hideMark/>
          </w:tcPr>
          <w:p w14:paraId="43057ADD" w14:textId="77777777" w:rsidR="00AE5054" w:rsidRPr="00AE5054" w:rsidRDefault="003B0DE2" w:rsidP="00AE5054">
            <w:pPr>
              <w:spacing w:before="0" w:after="0"/>
              <w:jc w:val="left"/>
              <w:rPr>
                <w:rFonts w:eastAsia="Times New Roman" w:cs="Arial"/>
                <w:color w:val="0563C1"/>
                <w:u w:val="single"/>
                <w:lang w:eastAsia="el-GR"/>
              </w:rPr>
            </w:pPr>
            <w:hyperlink r:id="rId526" w:history="1">
              <w:r w:rsidR="00AE5054" w:rsidRPr="00AE5054">
                <w:rPr>
                  <w:rFonts w:eastAsia="Times New Roman" w:cs="Arial"/>
                  <w:color w:val="0563C1"/>
                  <w:u w:val="single"/>
                  <w:lang w:eastAsia="el-GR"/>
                </w:rPr>
                <w:t>Native Energy</w:t>
              </w:r>
            </w:hyperlink>
          </w:p>
        </w:tc>
        <w:tc>
          <w:tcPr>
            <w:tcW w:w="1842" w:type="dxa"/>
            <w:shd w:val="clear" w:color="auto" w:fill="auto"/>
            <w:vAlign w:val="center"/>
            <w:hideMark/>
          </w:tcPr>
          <w:p w14:paraId="444754B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7F88CD0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6A9BB8F" w14:textId="77777777" w:rsidTr="0022057B">
        <w:trPr>
          <w:trHeight w:val="574"/>
        </w:trPr>
        <w:tc>
          <w:tcPr>
            <w:tcW w:w="4390" w:type="dxa"/>
            <w:shd w:val="clear" w:color="auto" w:fill="auto"/>
            <w:vAlign w:val="center"/>
            <w:hideMark/>
          </w:tcPr>
          <w:p w14:paraId="46E2DAF7" w14:textId="77777777" w:rsidR="00AE5054" w:rsidRPr="00AE5054" w:rsidRDefault="003B0DE2" w:rsidP="00AE5054">
            <w:pPr>
              <w:spacing w:before="0" w:after="0"/>
              <w:jc w:val="left"/>
              <w:rPr>
                <w:rFonts w:eastAsia="Times New Roman" w:cs="Arial"/>
                <w:color w:val="0563C1"/>
                <w:u w:val="single"/>
                <w:lang w:eastAsia="el-GR"/>
              </w:rPr>
            </w:pPr>
            <w:hyperlink r:id="rId527" w:history="1">
              <w:proofErr w:type="spellStart"/>
              <w:r w:rsidR="00AE5054" w:rsidRPr="00AE5054">
                <w:rPr>
                  <w:rFonts w:eastAsia="Times New Roman" w:cs="Arial"/>
                  <w:color w:val="0563C1"/>
                  <w:u w:val="single"/>
                  <w:lang w:eastAsia="el-GR"/>
                </w:rPr>
                <w:t>Natsource</w:t>
              </w:r>
              <w:proofErr w:type="spellEnd"/>
            </w:hyperlink>
          </w:p>
        </w:tc>
        <w:tc>
          <w:tcPr>
            <w:tcW w:w="1842" w:type="dxa"/>
            <w:shd w:val="clear" w:color="auto" w:fill="auto"/>
            <w:vAlign w:val="center"/>
            <w:hideMark/>
          </w:tcPr>
          <w:p w14:paraId="07F7119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C6AC23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w:t>
            </w:r>
          </w:p>
        </w:tc>
      </w:tr>
      <w:tr w:rsidR="00AE5054" w:rsidRPr="00AE5054" w14:paraId="19A471AD" w14:textId="77777777" w:rsidTr="0022057B">
        <w:trPr>
          <w:trHeight w:val="287"/>
        </w:trPr>
        <w:tc>
          <w:tcPr>
            <w:tcW w:w="4390" w:type="dxa"/>
            <w:shd w:val="clear" w:color="auto" w:fill="auto"/>
            <w:vAlign w:val="center"/>
            <w:hideMark/>
          </w:tcPr>
          <w:p w14:paraId="088D0EEE" w14:textId="77777777" w:rsidR="00AE5054" w:rsidRPr="00AE5054" w:rsidRDefault="003B0DE2" w:rsidP="00AE5054">
            <w:pPr>
              <w:spacing w:before="0" w:after="0"/>
              <w:jc w:val="left"/>
              <w:rPr>
                <w:rFonts w:eastAsia="Times New Roman" w:cs="Arial"/>
                <w:color w:val="0563C1"/>
                <w:u w:val="single"/>
                <w:lang w:eastAsia="el-GR"/>
              </w:rPr>
            </w:pPr>
            <w:hyperlink r:id="rId528" w:history="1">
              <w:proofErr w:type="spellStart"/>
              <w:r w:rsidR="00AE5054" w:rsidRPr="00AE5054">
                <w:rPr>
                  <w:rFonts w:eastAsia="Times New Roman" w:cs="Arial"/>
                  <w:color w:val="0563C1"/>
                  <w:u w:val="single"/>
                  <w:lang w:eastAsia="el-GR"/>
                </w:rPr>
                <w:t>Neco</w:t>
              </w:r>
              <w:proofErr w:type="spellEnd"/>
            </w:hyperlink>
          </w:p>
        </w:tc>
        <w:tc>
          <w:tcPr>
            <w:tcW w:w="1842" w:type="dxa"/>
            <w:shd w:val="clear" w:color="auto" w:fill="auto"/>
            <w:vAlign w:val="center"/>
            <w:hideMark/>
          </w:tcPr>
          <w:p w14:paraId="268279D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7689A5A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63DAA6E2" w14:textId="77777777" w:rsidTr="0022057B">
        <w:trPr>
          <w:trHeight w:val="287"/>
        </w:trPr>
        <w:tc>
          <w:tcPr>
            <w:tcW w:w="4390" w:type="dxa"/>
            <w:shd w:val="clear" w:color="auto" w:fill="auto"/>
            <w:vAlign w:val="center"/>
            <w:hideMark/>
          </w:tcPr>
          <w:p w14:paraId="54A9BF4E" w14:textId="77777777" w:rsidR="00AE5054" w:rsidRPr="00AE5054" w:rsidRDefault="003B0DE2" w:rsidP="00AE5054">
            <w:pPr>
              <w:spacing w:before="0" w:after="0"/>
              <w:jc w:val="left"/>
              <w:rPr>
                <w:rFonts w:eastAsia="Times New Roman" w:cs="Arial"/>
                <w:color w:val="0563C1"/>
                <w:u w:val="single"/>
                <w:lang w:eastAsia="el-GR"/>
              </w:rPr>
            </w:pPr>
            <w:hyperlink r:id="rId529" w:history="1">
              <w:r w:rsidR="00AE5054" w:rsidRPr="00AE5054">
                <w:rPr>
                  <w:rFonts w:eastAsia="Times New Roman" w:cs="Arial"/>
                  <w:color w:val="0563C1"/>
                  <w:u w:val="single"/>
                  <w:lang w:eastAsia="el-GR"/>
                </w:rPr>
                <w:t>Neutral Gator</w:t>
              </w:r>
            </w:hyperlink>
          </w:p>
        </w:tc>
        <w:tc>
          <w:tcPr>
            <w:tcW w:w="1842" w:type="dxa"/>
            <w:shd w:val="clear" w:color="auto" w:fill="auto"/>
            <w:vAlign w:val="center"/>
            <w:hideMark/>
          </w:tcPr>
          <w:p w14:paraId="0F1CFBC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65F42FC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7B8A1FC2" w14:textId="77777777" w:rsidTr="0022057B">
        <w:trPr>
          <w:trHeight w:val="574"/>
        </w:trPr>
        <w:tc>
          <w:tcPr>
            <w:tcW w:w="4390" w:type="dxa"/>
            <w:shd w:val="clear" w:color="auto" w:fill="auto"/>
            <w:vAlign w:val="center"/>
            <w:hideMark/>
          </w:tcPr>
          <w:p w14:paraId="56411D04" w14:textId="77777777" w:rsidR="00AE5054" w:rsidRPr="00AE5054" w:rsidRDefault="003B0DE2" w:rsidP="00AE5054">
            <w:pPr>
              <w:spacing w:before="0" w:after="0"/>
              <w:jc w:val="left"/>
              <w:rPr>
                <w:rFonts w:eastAsia="Times New Roman" w:cs="Arial"/>
                <w:color w:val="0563C1"/>
                <w:u w:val="single"/>
                <w:lang w:eastAsia="el-GR"/>
              </w:rPr>
            </w:pPr>
            <w:hyperlink r:id="rId530" w:history="1">
              <w:r w:rsidR="00AE5054" w:rsidRPr="00AE5054">
                <w:rPr>
                  <w:rFonts w:eastAsia="Times New Roman" w:cs="Arial"/>
                  <w:color w:val="0563C1"/>
                  <w:u w:val="single"/>
                  <w:lang w:eastAsia="el-GR"/>
                </w:rPr>
                <w:t>New Forests</w:t>
              </w:r>
            </w:hyperlink>
          </w:p>
        </w:tc>
        <w:tc>
          <w:tcPr>
            <w:tcW w:w="1842" w:type="dxa"/>
            <w:shd w:val="clear" w:color="auto" w:fill="auto"/>
            <w:vAlign w:val="center"/>
            <w:hideMark/>
          </w:tcPr>
          <w:p w14:paraId="1B03186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60CB8A6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 Consultant</w:t>
            </w:r>
          </w:p>
        </w:tc>
      </w:tr>
      <w:tr w:rsidR="00AE5054" w:rsidRPr="00AE5054" w14:paraId="4CC05F41" w14:textId="77777777" w:rsidTr="0022057B">
        <w:trPr>
          <w:trHeight w:val="287"/>
        </w:trPr>
        <w:tc>
          <w:tcPr>
            <w:tcW w:w="4390" w:type="dxa"/>
            <w:shd w:val="clear" w:color="auto" w:fill="auto"/>
            <w:vAlign w:val="center"/>
            <w:hideMark/>
          </w:tcPr>
          <w:p w14:paraId="7CF13D19" w14:textId="77777777" w:rsidR="00AE5054" w:rsidRPr="00AE5054" w:rsidRDefault="003B0DE2" w:rsidP="00AE5054">
            <w:pPr>
              <w:spacing w:before="0" w:after="0"/>
              <w:jc w:val="left"/>
              <w:rPr>
                <w:rFonts w:eastAsia="Times New Roman" w:cs="Arial"/>
                <w:color w:val="0563C1"/>
                <w:u w:val="single"/>
                <w:lang w:eastAsia="el-GR"/>
              </w:rPr>
            </w:pPr>
            <w:hyperlink r:id="rId531" w:history="1">
              <w:r w:rsidR="00AE5054" w:rsidRPr="00AE5054">
                <w:rPr>
                  <w:rFonts w:eastAsia="Times New Roman" w:cs="Arial"/>
                  <w:color w:val="0563C1"/>
                  <w:u w:val="single"/>
                  <w:lang w:eastAsia="el-GR"/>
                </w:rPr>
                <w:t>Offset Carbon Company</w:t>
              </w:r>
            </w:hyperlink>
          </w:p>
        </w:tc>
        <w:tc>
          <w:tcPr>
            <w:tcW w:w="1842" w:type="dxa"/>
            <w:shd w:val="clear" w:color="auto" w:fill="auto"/>
            <w:vAlign w:val="center"/>
            <w:hideMark/>
          </w:tcPr>
          <w:p w14:paraId="4DC1F06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42F7C4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5F925B09" w14:textId="77777777" w:rsidTr="0022057B">
        <w:trPr>
          <w:trHeight w:val="287"/>
        </w:trPr>
        <w:tc>
          <w:tcPr>
            <w:tcW w:w="4390" w:type="dxa"/>
            <w:shd w:val="clear" w:color="auto" w:fill="auto"/>
            <w:vAlign w:val="center"/>
            <w:hideMark/>
          </w:tcPr>
          <w:p w14:paraId="0B130CD2" w14:textId="77777777" w:rsidR="00AE5054" w:rsidRPr="00AE5054" w:rsidRDefault="003B0DE2" w:rsidP="00AE5054">
            <w:pPr>
              <w:spacing w:before="0" w:after="0"/>
              <w:jc w:val="left"/>
              <w:rPr>
                <w:rFonts w:eastAsia="Times New Roman" w:cs="Arial"/>
                <w:color w:val="0563C1"/>
                <w:u w:val="single"/>
                <w:lang w:eastAsia="el-GR"/>
              </w:rPr>
            </w:pPr>
            <w:hyperlink r:id="rId532" w:history="1">
              <w:r w:rsidR="00AE5054" w:rsidRPr="00AE5054">
                <w:rPr>
                  <w:rFonts w:eastAsia="Times New Roman" w:cs="Arial"/>
                  <w:color w:val="0563C1"/>
                  <w:u w:val="single"/>
                  <w:lang w:eastAsia="el-GR"/>
                </w:rPr>
                <w:t>Offset My Carbon Footprint</w:t>
              </w:r>
            </w:hyperlink>
          </w:p>
        </w:tc>
        <w:tc>
          <w:tcPr>
            <w:tcW w:w="1842" w:type="dxa"/>
            <w:shd w:val="clear" w:color="auto" w:fill="auto"/>
            <w:vAlign w:val="center"/>
            <w:hideMark/>
          </w:tcPr>
          <w:p w14:paraId="74DF7D5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CD8ADD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F270C4A" w14:textId="77777777" w:rsidTr="0022057B">
        <w:trPr>
          <w:trHeight w:val="287"/>
        </w:trPr>
        <w:tc>
          <w:tcPr>
            <w:tcW w:w="4390" w:type="dxa"/>
            <w:shd w:val="clear" w:color="auto" w:fill="auto"/>
            <w:vAlign w:val="center"/>
            <w:hideMark/>
          </w:tcPr>
          <w:p w14:paraId="0CBB561E" w14:textId="77777777" w:rsidR="00AE5054" w:rsidRPr="00AE5054" w:rsidRDefault="003B0DE2" w:rsidP="00AE5054">
            <w:pPr>
              <w:spacing w:before="0" w:after="0"/>
              <w:jc w:val="left"/>
              <w:rPr>
                <w:rFonts w:eastAsia="Times New Roman" w:cs="Arial"/>
                <w:color w:val="0563C1"/>
                <w:u w:val="single"/>
                <w:lang w:eastAsia="el-GR"/>
              </w:rPr>
            </w:pPr>
            <w:hyperlink r:id="rId533" w:history="1">
              <w:r w:rsidR="00AE5054" w:rsidRPr="00AE5054">
                <w:rPr>
                  <w:rFonts w:eastAsia="Times New Roman" w:cs="Arial"/>
                  <w:color w:val="0563C1"/>
                  <w:u w:val="single"/>
                  <w:lang w:eastAsia="el-GR"/>
                </w:rPr>
                <w:t>Offset the Rest</w:t>
              </w:r>
            </w:hyperlink>
          </w:p>
        </w:tc>
        <w:tc>
          <w:tcPr>
            <w:tcW w:w="1842" w:type="dxa"/>
            <w:shd w:val="clear" w:color="auto" w:fill="auto"/>
            <w:vAlign w:val="center"/>
            <w:hideMark/>
          </w:tcPr>
          <w:p w14:paraId="09E37B5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New Zealand</w:t>
            </w:r>
          </w:p>
        </w:tc>
        <w:tc>
          <w:tcPr>
            <w:tcW w:w="2977" w:type="dxa"/>
            <w:shd w:val="clear" w:color="auto" w:fill="auto"/>
            <w:vAlign w:val="center"/>
            <w:hideMark/>
          </w:tcPr>
          <w:p w14:paraId="76FE91A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0558E861" w14:textId="77777777" w:rsidTr="0022057B">
        <w:trPr>
          <w:trHeight w:val="574"/>
        </w:trPr>
        <w:tc>
          <w:tcPr>
            <w:tcW w:w="4390" w:type="dxa"/>
            <w:shd w:val="clear" w:color="auto" w:fill="auto"/>
            <w:vAlign w:val="center"/>
            <w:hideMark/>
          </w:tcPr>
          <w:p w14:paraId="380F2B28" w14:textId="77777777" w:rsidR="00AE5054" w:rsidRPr="00AE5054" w:rsidRDefault="003B0DE2" w:rsidP="00AE5054">
            <w:pPr>
              <w:spacing w:before="0" w:after="0"/>
              <w:jc w:val="left"/>
              <w:rPr>
                <w:rFonts w:eastAsia="Times New Roman" w:cs="Arial"/>
                <w:color w:val="0563C1"/>
                <w:u w:val="single"/>
                <w:lang w:eastAsia="el-GR"/>
              </w:rPr>
            </w:pPr>
            <w:hyperlink r:id="rId534" w:history="1">
              <w:proofErr w:type="spellStart"/>
              <w:r w:rsidR="00AE5054" w:rsidRPr="00AE5054">
                <w:rPr>
                  <w:rFonts w:eastAsia="Times New Roman" w:cs="Arial"/>
                  <w:color w:val="0563C1"/>
                  <w:u w:val="single"/>
                  <w:lang w:eastAsia="el-GR"/>
                </w:rPr>
                <w:t>Offsetters</w:t>
              </w:r>
              <w:proofErr w:type="spellEnd"/>
              <w:r w:rsidR="00AE5054" w:rsidRPr="00AE5054">
                <w:rPr>
                  <w:rFonts w:eastAsia="Times New Roman" w:cs="Arial"/>
                  <w:color w:val="0563C1"/>
                  <w:u w:val="single"/>
                  <w:lang w:eastAsia="el-GR"/>
                </w:rPr>
                <w:t xml:space="preserve"> (CA)</w:t>
              </w:r>
            </w:hyperlink>
          </w:p>
        </w:tc>
        <w:tc>
          <w:tcPr>
            <w:tcW w:w="1842" w:type="dxa"/>
            <w:shd w:val="clear" w:color="auto" w:fill="auto"/>
            <w:vAlign w:val="center"/>
            <w:hideMark/>
          </w:tcPr>
          <w:p w14:paraId="38F760D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054A101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4DEFF21B" w14:textId="77777777" w:rsidTr="0022057B">
        <w:trPr>
          <w:trHeight w:val="287"/>
        </w:trPr>
        <w:tc>
          <w:tcPr>
            <w:tcW w:w="4390" w:type="dxa"/>
            <w:shd w:val="clear" w:color="auto" w:fill="auto"/>
            <w:vAlign w:val="center"/>
            <w:hideMark/>
          </w:tcPr>
          <w:p w14:paraId="3ED77B6C" w14:textId="77777777" w:rsidR="00AE5054" w:rsidRPr="00AE5054" w:rsidRDefault="003B0DE2" w:rsidP="00AE5054">
            <w:pPr>
              <w:spacing w:before="0" w:after="0"/>
              <w:jc w:val="left"/>
              <w:rPr>
                <w:rFonts w:eastAsia="Times New Roman" w:cs="Arial"/>
                <w:color w:val="0563C1"/>
                <w:u w:val="single"/>
                <w:lang w:eastAsia="el-GR"/>
              </w:rPr>
            </w:pPr>
            <w:hyperlink r:id="rId535" w:history="1">
              <w:r w:rsidR="00AE5054" w:rsidRPr="00AE5054">
                <w:rPr>
                  <w:rFonts w:eastAsia="Times New Roman" w:cs="Arial"/>
                  <w:color w:val="0563C1"/>
                  <w:u w:val="single"/>
                  <w:lang w:eastAsia="el-GR"/>
                </w:rPr>
                <w:t>One Dollar Carbon Credits</w:t>
              </w:r>
            </w:hyperlink>
          </w:p>
        </w:tc>
        <w:tc>
          <w:tcPr>
            <w:tcW w:w="1842" w:type="dxa"/>
            <w:shd w:val="clear" w:color="auto" w:fill="auto"/>
            <w:vAlign w:val="center"/>
            <w:hideMark/>
          </w:tcPr>
          <w:p w14:paraId="6BA6C23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7774911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5C67EE86" w14:textId="77777777" w:rsidTr="0022057B">
        <w:trPr>
          <w:trHeight w:val="287"/>
        </w:trPr>
        <w:tc>
          <w:tcPr>
            <w:tcW w:w="4390" w:type="dxa"/>
            <w:shd w:val="clear" w:color="auto" w:fill="auto"/>
            <w:vAlign w:val="center"/>
            <w:hideMark/>
          </w:tcPr>
          <w:p w14:paraId="0927D74B" w14:textId="77777777" w:rsidR="00AE5054" w:rsidRPr="00AE5054" w:rsidRDefault="003B0DE2" w:rsidP="00AE5054">
            <w:pPr>
              <w:spacing w:before="0" w:after="0"/>
              <w:jc w:val="left"/>
              <w:rPr>
                <w:rFonts w:eastAsia="Times New Roman" w:cs="Arial"/>
                <w:color w:val="0563C1"/>
                <w:u w:val="single"/>
                <w:lang w:eastAsia="el-GR"/>
              </w:rPr>
            </w:pPr>
            <w:hyperlink r:id="rId536" w:history="1">
              <w:r w:rsidR="00AE5054" w:rsidRPr="00AE5054">
                <w:rPr>
                  <w:rFonts w:eastAsia="Times New Roman" w:cs="Arial"/>
                  <w:color w:val="0563C1"/>
                  <w:u w:val="single"/>
                  <w:lang w:eastAsia="el-GR"/>
                </w:rPr>
                <w:t>One Penny Per Mile</w:t>
              </w:r>
            </w:hyperlink>
          </w:p>
        </w:tc>
        <w:tc>
          <w:tcPr>
            <w:tcW w:w="1842" w:type="dxa"/>
            <w:shd w:val="clear" w:color="auto" w:fill="auto"/>
            <w:vAlign w:val="center"/>
            <w:hideMark/>
          </w:tcPr>
          <w:p w14:paraId="587B17C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054C551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487562E" w14:textId="77777777" w:rsidTr="0022057B">
        <w:trPr>
          <w:trHeight w:val="287"/>
        </w:trPr>
        <w:tc>
          <w:tcPr>
            <w:tcW w:w="4390" w:type="dxa"/>
            <w:shd w:val="clear" w:color="auto" w:fill="auto"/>
            <w:vAlign w:val="center"/>
            <w:hideMark/>
          </w:tcPr>
          <w:p w14:paraId="1A366EDD" w14:textId="77777777" w:rsidR="00AE5054" w:rsidRPr="00AE5054" w:rsidRDefault="003B0DE2" w:rsidP="00AE5054">
            <w:pPr>
              <w:spacing w:before="0" w:after="0"/>
              <w:jc w:val="left"/>
              <w:rPr>
                <w:rFonts w:eastAsia="Times New Roman" w:cs="Arial"/>
                <w:color w:val="0563C1"/>
                <w:u w:val="single"/>
                <w:lang w:eastAsia="el-GR"/>
              </w:rPr>
            </w:pPr>
            <w:hyperlink r:id="rId537" w:history="1">
              <w:r w:rsidR="00AE5054" w:rsidRPr="00AE5054">
                <w:rPr>
                  <w:rFonts w:eastAsia="Times New Roman" w:cs="Arial"/>
                  <w:color w:val="0563C1"/>
                  <w:u w:val="single"/>
                  <w:lang w:eastAsia="el-GR"/>
                </w:rPr>
                <w:t>Origin Energy</w:t>
              </w:r>
            </w:hyperlink>
          </w:p>
        </w:tc>
        <w:tc>
          <w:tcPr>
            <w:tcW w:w="1842" w:type="dxa"/>
            <w:shd w:val="clear" w:color="auto" w:fill="auto"/>
            <w:vAlign w:val="center"/>
            <w:hideMark/>
          </w:tcPr>
          <w:p w14:paraId="3547C22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1CEFBF3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4F5EAEB4" w14:textId="77777777" w:rsidTr="0022057B">
        <w:trPr>
          <w:trHeight w:val="574"/>
        </w:trPr>
        <w:tc>
          <w:tcPr>
            <w:tcW w:w="4390" w:type="dxa"/>
            <w:shd w:val="clear" w:color="auto" w:fill="auto"/>
            <w:vAlign w:val="center"/>
            <w:hideMark/>
          </w:tcPr>
          <w:p w14:paraId="4701FB33" w14:textId="77777777" w:rsidR="00AE5054" w:rsidRPr="00AE5054" w:rsidRDefault="003B0DE2" w:rsidP="00AE5054">
            <w:pPr>
              <w:spacing w:before="0" w:after="0"/>
              <w:jc w:val="left"/>
              <w:rPr>
                <w:rFonts w:eastAsia="Times New Roman" w:cs="Arial"/>
                <w:color w:val="0563C1"/>
                <w:u w:val="single"/>
                <w:lang w:eastAsia="el-GR"/>
              </w:rPr>
            </w:pPr>
            <w:hyperlink r:id="rId538" w:history="1">
              <w:r w:rsidR="00AE5054" w:rsidRPr="00AE5054">
                <w:rPr>
                  <w:rFonts w:eastAsia="Times New Roman" w:cs="Arial"/>
                  <w:color w:val="0563C1"/>
                  <w:u w:val="single"/>
                  <w:lang w:eastAsia="el-GR"/>
                </w:rPr>
                <w:t>PACE</w:t>
              </w:r>
            </w:hyperlink>
          </w:p>
        </w:tc>
        <w:tc>
          <w:tcPr>
            <w:tcW w:w="1842" w:type="dxa"/>
            <w:shd w:val="clear" w:color="auto" w:fill="auto"/>
            <w:vAlign w:val="center"/>
            <w:hideMark/>
          </w:tcPr>
          <w:p w14:paraId="320EC13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South Africa</w:t>
            </w:r>
          </w:p>
        </w:tc>
        <w:tc>
          <w:tcPr>
            <w:tcW w:w="2977" w:type="dxa"/>
            <w:shd w:val="clear" w:color="auto" w:fill="auto"/>
            <w:vAlign w:val="center"/>
            <w:hideMark/>
          </w:tcPr>
          <w:p w14:paraId="7B177E8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650D9F94" w14:textId="77777777" w:rsidTr="0022057B">
        <w:trPr>
          <w:trHeight w:val="287"/>
        </w:trPr>
        <w:tc>
          <w:tcPr>
            <w:tcW w:w="4390" w:type="dxa"/>
            <w:shd w:val="clear" w:color="auto" w:fill="auto"/>
            <w:vAlign w:val="center"/>
            <w:hideMark/>
          </w:tcPr>
          <w:p w14:paraId="7E611451" w14:textId="77777777" w:rsidR="00AE5054" w:rsidRPr="00AE5054" w:rsidRDefault="003B0DE2" w:rsidP="00AE5054">
            <w:pPr>
              <w:spacing w:before="0" w:after="0"/>
              <w:jc w:val="left"/>
              <w:rPr>
                <w:rFonts w:eastAsia="Times New Roman" w:cs="Arial"/>
                <w:color w:val="0563C1"/>
                <w:u w:val="single"/>
                <w:lang w:eastAsia="el-GR"/>
              </w:rPr>
            </w:pPr>
            <w:hyperlink r:id="rId539" w:history="1">
              <w:r w:rsidR="00AE5054" w:rsidRPr="00AE5054">
                <w:rPr>
                  <w:rFonts w:eastAsia="Times New Roman" w:cs="Arial"/>
                  <w:color w:val="0563C1"/>
                  <w:u w:val="single"/>
                  <w:lang w:eastAsia="el-GR"/>
                </w:rPr>
                <w:t>Pacific Forest Trust</w:t>
              </w:r>
            </w:hyperlink>
          </w:p>
        </w:tc>
        <w:tc>
          <w:tcPr>
            <w:tcW w:w="1842" w:type="dxa"/>
            <w:shd w:val="clear" w:color="auto" w:fill="auto"/>
            <w:vAlign w:val="center"/>
            <w:hideMark/>
          </w:tcPr>
          <w:p w14:paraId="6D555AF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7E8F932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3A08CA40" w14:textId="77777777" w:rsidTr="0022057B">
        <w:trPr>
          <w:trHeight w:val="574"/>
        </w:trPr>
        <w:tc>
          <w:tcPr>
            <w:tcW w:w="4390" w:type="dxa"/>
            <w:shd w:val="clear" w:color="auto" w:fill="auto"/>
            <w:vAlign w:val="center"/>
            <w:hideMark/>
          </w:tcPr>
          <w:p w14:paraId="56AFCB34" w14:textId="77777777" w:rsidR="00AE5054" w:rsidRPr="00AE5054" w:rsidRDefault="003B0DE2" w:rsidP="00AE5054">
            <w:pPr>
              <w:spacing w:before="0" w:after="0"/>
              <w:jc w:val="left"/>
              <w:rPr>
                <w:rFonts w:eastAsia="Times New Roman" w:cs="Arial"/>
                <w:color w:val="0563C1"/>
                <w:u w:val="single"/>
                <w:lang w:eastAsia="el-GR"/>
              </w:rPr>
            </w:pPr>
            <w:hyperlink r:id="rId540" w:history="1">
              <w:r w:rsidR="00AE5054" w:rsidRPr="00AE5054">
                <w:rPr>
                  <w:rFonts w:eastAsia="Times New Roman" w:cs="Arial"/>
                  <w:color w:val="0563C1"/>
                  <w:u w:val="single"/>
                  <w:lang w:eastAsia="el-GR"/>
                </w:rPr>
                <w:t>Palmetto Climate</w:t>
              </w:r>
            </w:hyperlink>
          </w:p>
        </w:tc>
        <w:tc>
          <w:tcPr>
            <w:tcW w:w="1842" w:type="dxa"/>
            <w:shd w:val="clear" w:color="auto" w:fill="auto"/>
            <w:vAlign w:val="center"/>
            <w:hideMark/>
          </w:tcPr>
          <w:p w14:paraId="31136CF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51475EB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Consultant</w:t>
            </w:r>
          </w:p>
        </w:tc>
      </w:tr>
      <w:tr w:rsidR="00AE5054" w:rsidRPr="00AE5054" w14:paraId="2EE4C840" w14:textId="77777777" w:rsidTr="0022057B">
        <w:trPr>
          <w:trHeight w:val="287"/>
        </w:trPr>
        <w:tc>
          <w:tcPr>
            <w:tcW w:w="4390" w:type="dxa"/>
            <w:shd w:val="clear" w:color="auto" w:fill="auto"/>
            <w:vAlign w:val="center"/>
            <w:hideMark/>
          </w:tcPr>
          <w:p w14:paraId="7E43CF30" w14:textId="77777777" w:rsidR="00AE5054" w:rsidRPr="00AE5054" w:rsidRDefault="003B0DE2" w:rsidP="00AE5054">
            <w:pPr>
              <w:spacing w:before="0" w:after="0"/>
              <w:jc w:val="left"/>
              <w:rPr>
                <w:rFonts w:eastAsia="Times New Roman" w:cs="Arial"/>
                <w:color w:val="0563C1"/>
                <w:u w:val="single"/>
                <w:lang w:eastAsia="el-GR"/>
              </w:rPr>
            </w:pPr>
            <w:hyperlink r:id="rId541" w:history="1">
              <w:r w:rsidR="00AE5054" w:rsidRPr="00AE5054">
                <w:rPr>
                  <w:rFonts w:eastAsia="Times New Roman" w:cs="Arial"/>
                  <w:color w:val="0563C1"/>
                  <w:u w:val="single"/>
                  <w:lang w:eastAsia="el-GR"/>
                </w:rPr>
                <w:t>PEAR</w:t>
              </w:r>
            </w:hyperlink>
          </w:p>
        </w:tc>
        <w:tc>
          <w:tcPr>
            <w:tcW w:w="1842" w:type="dxa"/>
            <w:shd w:val="clear" w:color="auto" w:fill="auto"/>
            <w:vAlign w:val="center"/>
            <w:hideMark/>
          </w:tcPr>
          <w:p w14:paraId="0A7071C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Japan</w:t>
            </w:r>
          </w:p>
        </w:tc>
        <w:tc>
          <w:tcPr>
            <w:tcW w:w="2977" w:type="dxa"/>
            <w:shd w:val="clear" w:color="auto" w:fill="auto"/>
            <w:vAlign w:val="center"/>
            <w:hideMark/>
          </w:tcPr>
          <w:p w14:paraId="16C8C2C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2FC1FD1B" w14:textId="77777777" w:rsidTr="0022057B">
        <w:trPr>
          <w:trHeight w:val="287"/>
        </w:trPr>
        <w:tc>
          <w:tcPr>
            <w:tcW w:w="4390" w:type="dxa"/>
            <w:shd w:val="clear" w:color="auto" w:fill="auto"/>
            <w:vAlign w:val="center"/>
            <w:hideMark/>
          </w:tcPr>
          <w:p w14:paraId="19E2FA12" w14:textId="77777777" w:rsidR="00AE5054" w:rsidRPr="00AE5054" w:rsidRDefault="003B0DE2" w:rsidP="00AE5054">
            <w:pPr>
              <w:spacing w:before="0" w:after="0"/>
              <w:jc w:val="left"/>
              <w:rPr>
                <w:rFonts w:eastAsia="Times New Roman" w:cs="Arial"/>
                <w:color w:val="0563C1"/>
                <w:u w:val="single"/>
                <w:lang w:eastAsia="el-GR"/>
              </w:rPr>
            </w:pPr>
            <w:hyperlink r:id="rId542" w:history="1">
              <w:r w:rsidR="00AE5054" w:rsidRPr="00AE5054">
                <w:rPr>
                  <w:rFonts w:eastAsia="Times New Roman" w:cs="Arial"/>
                  <w:color w:val="0563C1"/>
                  <w:u w:val="single"/>
                  <w:lang w:eastAsia="el-GR"/>
                </w:rPr>
                <w:t>Plan Vivo</w:t>
              </w:r>
            </w:hyperlink>
          </w:p>
        </w:tc>
        <w:tc>
          <w:tcPr>
            <w:tcW w:w="1842" w:type="dxa"/>
            <w:shd w:val="clear" w:color="auto" w:fill="auto"/>
            <w:vAlign w:val="center"/>
            <w:hideMark/>
          </w:tcPr>
          <w:p w14:paraId="33A04E9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7F2FC3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6575AF20" w14:textId="77777777" w:rsidTr="0022057B">
        <w:trPr>
          <w:trHeight w:val="287"/>
        </w:trPr>
        <w:tc>
          <w:tcPr>
            <w:tcW w:w="4390" w:type="dxa"/>
            <w:shd w:val="clear" w:color="auto" w:fill="auto"/>
            <w:vAlign w:val="center"/>
            <w:hideMark/>
          </w:tcPr>
          <w:p w14:paraId="4017C0B6" w14:textId="77777777" w:rsidR="00AE5054" w:rsidRPr="00AE5054" w:rsidRDefault="003B0DE2" w:rsidP="00AE5054">
            <w:pPr>
              <w:spacing w:before="0" w:after="0"/>
              <w:jc w:val="left"/>
              <w:rPr>
                <w:rFonts w:eastAsia="Times New Roman" w:cs="Arial"/>
                <w:color w:val="0563C1"/>
                <w:u w:val="single"/>
                <w:lang w:eastAsia="el-GR"/>
              </w:rPr>
            </w:pPr>
            <w:hyperlink r:id="rId543" w:history="1">
              <w:proofErr w:type="spellStart"/>
              <w:r w:rsidR="00AE5054" w:rsidRPr="00AE5054">
                <w:rPr>
                  <w:rFonts w:eastAsia="Times New Roman" w:cs="Arial"/>
                  <w:color w:val="0563C1"/>
                  <w:u w:val="single"/>
                  <w:lang w:eastAsia="el-GR"/>
                </w:rPr>
                <w:t>Planetair</w:t>
              </w:r>
              <w:proofErr w:type="spellEnd"/>
            </w:hyperlink>
          </w:p>
        </w:tc>
        <w:tc>
          <w:tcPr>
            <w:tcW w:w="1842" w:type="dxa"/>
            <w:shd w:val="clear" w:color="auto" w:fill="auto"/>
            <w:vAlign w:val="center"/>
            <w:hideMark/>
          </w:tcPr>
          <w:p w14:paraId="6A48E00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08C76B8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5445B753" w14:textId="77777777" w:rsidTr="0022057B">
        <w:trPr>
          <w:trHeight w:val="287"/>
        </w:trPr>
        <w:tc>
          <w:tcPr>
            <w:tcW w:w="4390" w:type="dxa"/>
            <w:shd w:val="clear" w:color="auto" w:fill="auto"/>
            <w:vAlign w:val="center"/>
            <w:hideMark/>
          </w:tcPr>
          <w:p w14:paraId="6ECC5396" w14:textId="77777777" w:rsidR="00AE5054" w:rsidRPr="00AE5054" w:rsidRDefault="003B0DE2" w:rsidP="00AE5054">
            <w:pPr>
              <w:spacing w:before="0" w:after="0"/>
              <w:jc w:val="left"/>
              <w:rPr>
                <w:rFonts w:eastAsia="Times New Roman" w:cs="Arial"/>
                <w:color w:val="0563C1"/>
                <w:u w:val="single"/>
                <w:lang w:eastAsia="el-GR"/>
              </w:rPr>
            </w:pPr>
            <w:hyperlink r:id="rId544" w:history="1">
              <w:proofErr w:type="spellStart"/>
              <w:r w:rsidR="00AE5054" w:rsidRPr="00AE5054">
                <w:rPr>
                  <w:rFonts w:eastAsia="Times New Roman" w:cs="Arial"/>
                  <w:color w:val="0563C1"/>
                  <w:u w:val="single"/>
                  <w:lang w:eastAsia="el-GR"/>
                </w:rPr>
                <w:t>Planktos</w:t>
              </w:r>
              <w:proofErr w:type="spellEnd"/>
            </w:hyperlink>
          </w:p>
        </w:tc>
        <w:tc>
          <w:tcPr>
            <w:tcW w:w="1842" w:type="dxa"/>
            <w:shd w:val="clear" w:color="auto" w:fill="auto"/>
            <w:vAlign w:val="center"/>
            <w:hideMark/>
          </w:tcPr>
          <w:p w14:paraId="2FAF901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7D3779B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6B60AEBC" w14:textId="77777777" w:rsidTr="0022057B">
        <w:trPr>
          <w:trHeight w:val="287"/>
        </w:trPr>
        <w:tc>
          <w:tcPr>
            <w:tcW w:w="4390" w:type="dxa"/>
            <w:shd w:val="clear" w:color="auto" w:fill="auto"/>
            <w:vAlign w:val="center"/>
            <w:hideMark/>
          </w:tcPr>
          <w:p w14:paraId="1196D494" w14:textId="77777777" w:rsidR="00AE5054" w:rsidRPr="00AE5054" w:rsidRDefault="003B0DE2" w:rsidP="00AE5054">
            <w:pPr>
              <w:spacing w:before="0" w:after="0"/>
              <w:jc w:val="left"/>
              <w:rPr>
                <w:rFonts w:eastAsia="Times New Roman" w:cs="Arial"/>
                <w:color w:val="0563C1"/>
                <w:u w:val="single"/>
                <w:lang w:eastAsia="el-GR"/>
              </w:rPr>
            </w:pPr>
            <w:hyperlink r:id="rId545" w:history="1">
              <w:r w:rsidR="00AE5054" w:rsidRPr="00AE5054">
                <w:rPr>
                  <w:rFonts w:eastAsia="Times New Roman" w:cs="Arial"/>
                  <w:color w:val="0563C1"/>
                  <w:u w:val="single"/>
                  <w:lang w:eastAsia="el-GR"/>
                </w:rPr>
                <w:t>Plant Jatropha</w:t>
              </w:r>
            </w:hyperlink>
          </w:p>
        </w:tc>
        <w:tc>
          <w:tcPr>
            <w:tcW w:w="1842" w:type="dxa"/>
            <w:shd w:val="clear" w:color="auto" w:fill="auto"/>
            <w:vAlign w:val="center"/>
            <w:hideMark/>
          </w:tcPr>
          <w:p w14:paraId="6265FB0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7D5CC78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6A1E8202" w14:textId="77777777" w:rsidTr="0022057B">
        <w:trPr>
          <w:trHeight w:val="287"/>
        </w:trPr>
        <w:tc>
          <w:tcPr>
            <w:tcW w:w="4390" w:type="dxa"/>
            <w:shd w:val="clear" w:color="auto" w:fill="auto"/>
            <w:vAlign w:val="center"/>
            <w:hideMark/>
          </w:tcPr>
          <w:p w14:paraId="771C50D0" w14:textId="77777777" w:rsidR="00AE5054" w:rsidRPr="00AE5054" w:rsidRDefault="003B0DE2" w:rsidP="00AE5054">
            <w:pPr>
              <w:spacing w:before="0" w:after="0"/>
              <w:jc w:val="left"/>
              <w:rPr>
                <w:rFonts w:eastAsia="Times New Roman" w:cs="Arial"/>
                <w:color w:val="0563C1"/>
                <w:u w:val="single"/>
                <w:lang w:eastAsia="el-GR"/>
              </w:rPr>
            </w:pPr>
            <w:hyperlink r:id="rId546" w:history="1">
              <w:r w:rsidR="00AE5054" w:rsidRPr="00AE5054">
                <w:rPr>
                  <w:rFonts w:eastAsia="Times New Roman" w:cs="Arial"/>
                  <w:color w:val="0563C1"/>
                  <w:u w:val="single"/>
                  <w:lang w:eastAsia="el-GR"/>
                </w:rPr>
                <w:t>Power Tree Carbon</w:t>
              </w:r>
            </w:hyperlink>
          </w:p>
        </w:tc>
        <w:tc>
          <w:tcPr>
            <w:tcW w:w="1842" w:type="dxa"/>
            <w:shd w:val="clear" w:color="auto" w:fill="auto"/>
            <w:vAlign w:val="center"/>
            <w:hideMark/>
          </w:tcPr>
          <w:p w14:paraId="145538C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46FA52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2B15B1E" w14:textId="77777777" w:rsidTr="0022057B">
        <w:trPr>
          <w:trHeight w:val="287"/>
        </w:trPr>
        <w:tc>
          <w:tcPr>
            <w:tcW w:w="4390" w:type="dxa"/>
            <w:shd w:val="clear" w:color="auto" w:fill="auto"/>
            <w:vAlign w:val="center"/>
            <w:hideMark/>
          </w:tcPr>
          <w:p w14:paraId="2F6E6836" w14:textId="77777777" w:rsidR="00AE5054" w:rsidRPr="00AE5054" w:rsidRDefault="003B0DE2" w:rsidP="00AE5054">
            <w:pPr>
              <w:spacing w:before="0" w:after="0"/>
              <w:jc w:val="left"/>
              <w:rPr>
                <w:rFonts w:eastAsia="Times New Roman" w:cs="Arial"/>
                <w:color w:val="0563C1"/>
                <w:u w:val="single"/>
                <w:lang w:eastAsia="el-GR"/>
              </w:rPr>
            </w:pPr>
            <w:hyperlink r:id="rId547" w:history="1">
              <w:r w:rsidR="00AE5054" w:rsidRPr="00AE5054">
                <w:rPr>
                  <w:rFonts w:eastAsia="Times New Roman" w:cs="Arial"/>
                  <w:color w:val="0563C1"/>
                  <w:u w:val="single"/>
                  <w:lang w:eastAsia="el-GR"/>
                </w:rPr>
                <w:t>Prima Klima</w:t>
              </w:r>
            </w:hyperlink>
          </w:p>
        </w:tc>
        <w:tc>
          <w:tcPr>
            <w:tcW w:w="1842" w:type="dxa"/>
            <w:shd w:val="clear" w:color="auto" w:fill="auto"/>
            <w:vAlign w:val="center"/>
            <w:hideMark/>
          </w:tcPr>
          <w:p w14:paraId="39A09F2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Germany</w:t>
            </w:r>
          </w:p>
        </w:tc>
        <w:tc>
          <w:tcPr>
            <w:tcW w:w="2977" w:type="dxa"/>
            <w:shd w:val="clear" w:color="auto" w:fill="auto"/>
            <w:vAlign w:val="center"/>
            <w:hideMark/>
          </w:tcPr>
          <w:p w14:paraId="62069C9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789BE75" w14:textId="77777777" w:rsidTr="0022057B">
        <w:trPr>
          <w:trHeight w:val="574"/>
        </w:trPr>
        <w:tc>
          <w:tcPr>
            <w:tcW w:w="4390" w:type="dxa"/>
            <w:shd w:val="clear" w:color="auto" w:fill="auto"/>
            <w:vAlign w:val="center"/>
            <w:hideMark/>
          </w:tcPr>
          <w:p w14:paraId="59014BB7" w14:textId="77777777" w:rsidR="00AE5054" w:rsidRPr="00AE5054" w:rsidRDefault="003B0DE2" w:rsidP="00AE5054">
            <w:pPr>
              <w:spacing w:before="0" w:after="0"/>
              <w:jc w:val="left"/>
              <w:rPr>
                <w:rFonts w:eastAsia="Times New Roman" w:cs="Arial"/>
                <w:color w:val="0563C1"/>
                <w:u w:val="single"/>
                <w:lang w:eastAsia="el-GR"/>
              </w:rPr>
            </w:pPr>
            <w:hyperlink r:id="rId548" w:history="1">
              <w:r w:rsidR="00AE5054" w:rsidRPr="00AE5054">
                <w:rPr>
                  <w:rFonts w:eastAsia="Times New Roman" w:cs="Arial"/>
                  <w:color w:val="0563C1"/>
                  <w:u w:val="single"/>
                  <w:lang w:eastAsia="el-GR"/>
                </w:rPr>
                <w:t>Pure</w:t>
              </w:r>
            </w:hyperlink>
          </w:p>
        </w:tc>
        <w:tc>
          <w:tcPr>
            <w:tcW w:w="1842" w:type="dxa"/>
            <w:shd w:val="clear" w:color="auto" w:fill="auto"/>
            <w:vAlign w:val="center"/>
            <w:hideMark/>
          </w:tcPr>
          <w:p w14:paraId="21C27FB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DA9D62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 Retailer</w:t>
            </w:r>
          </w:p>
        </w:tc>
      </w:tr>
      <w:tr w:rsidR="00AE5054" w:rsidRPr="00AE5054" w14:paraId="10AA61AC" w14:textId="77777777" w:rsidTr="0022057B">
        <w:trPr>
          <w:trHeight w:val="287"/>
        </w:trPr>
        <w:tc>
          <w:tcPr>
            <w:tcW w:w="4390" w:type="dxa"/>
            <w:shd w:val="clear" w:color="auto" w:fill="auto"/>
            <w:vAlign w:val="center"/>
            <w:hideMark/>
          </w:tcPr>
          <w:p w14:paraId="3A5C66FF" w14:textId="77777777" w:rsidR="00AE5054" w:rsidRPr="00AE5054" w:rsidRDefault="003B0DE2" w:rsidP="00AE5054">
            <w:pPr>
              <w:spacing w:before="0" w:after="0"/>
              <w:jc w:val="left"/>
              <w:rPr>
                <w:rFonts w:eastAsia="Times New Roman" w:cs="Arial"/>
                <w:color w:val="0563C1"/>
                <w:u w:val="single"/>
                <w:lang w:eastAsia="el-GR"/>
              </w:rPr>
            </w:pPr>
            <w:hyperlink r:id="rId549" w:history="1">
              <w:r w:rsidR="00AE5054" w:rsidRPr="00AE5054">
                <w:rPr>
                  <w:rFonts w:eastAsia="Times New Roman" w:cs="Arial"/>
                  <w:color w:val="0563C1"/>
                  <w:u w:val="single"/>
                  <w:lang w:eastAsia="el-GR"/>
                </w:rPr>
                <w:t>RBS</w:t>
              </w:r>
            </w:hyperlink>
          </w:p>
        </w:tc>
        <w:tc>
          <w:tcPr>
            <w:tcW w:w="1842" w:type="dxa"/>
            <w:shd w:val="clear" w:color="auto" w:fill="auto"/>
            <w:vAlign w:val="center"/>
            <w:hideMark/>
          </w:tcPr>
          <w:p w14:paraId="05E80BF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21FFFF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249DBC16" w14:textId="77777777" w:rsidTr="0022057B">
        <w:trPr>
          <w:trHeight w:val="287"/>
        </w:trPr>
        <w:tc>
          <w:tcPr>
            <w:tcW w:w="4390" w:type="dxa"/>
            <w:shd w:val="clear" w:color="auto" w:fill="auto"/>
            <w:vAlign w:val="center"/>
            <w:hideMark/>
          </w:tcPr>
          <w:p w14:paraId="7371C1E6" w14:textId="77777777" w:rsidR="00AE5054" w:rsidRPr="00AE5054" w:rsidRDefault="003B0DE2" w:rsidP="00AE5054">
            <w:pPr>
              <w:spacing w:before="0" w:after="0"/>
              <w:jc w:val="left"/>
              <w:rPr>
                <w:rFonts w:eastAsia="Times New Roman" w:cs="Arial"/>
                <w:color w:val="0563C1"/>
                <w:u w:val="single"/>
                <w:lang w:eastAsia="el-GR"/>
              </w:rPr>
            </w:pPr>
            <w:hyperlink r:id="rId550" w:history="1">
              <w:r w:rsidR="00AE5054" w:rsidRPr="00AE5054">
                <w:rPr>
                  <w:rFonts w:eastAsia="Times New Roman" w:cs="Arial"/>
                  <w:color w:val="0563C1"/>
                  <w:u w:val="single"/>
                  <w:lang w:eastAsia="el-GR"/>
                </w:rPr>
                <w:t>Reduce My Footprint</w:t>
              </w:r>
            </w:hyperlink>
          </w:p>
        </w:tc>
        <w:tc>
          <w:tcPr>
            <w:tcW w:w="1842" w:type="dxa"/>
            <w:shd w:val="clear" w:color="auto" w:fill="auto"/>
            <w:vAlign w:val="center"/>
            <w:hideMark/>
          </w:tcPr>
          <w:p w14:paraId="6E287A2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1E3361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204B8FBB" w14:textId="77777777" w:rsidTr="0022057B">
        <w:trPr>
          <w:trHeight w:val="287"/>
        </w:trPr>
        <w:tc>
          <w:tcPr>
            <w:tcW w:w="4390" w:type="dxa"/>
            <w:shd w:val="clear" w:color="auto" w:fill="auto"/>
            <w:vAlign w:val="center"/>
            <w:hideMark/>
          </w:tcPr>
          <w:p w14:paraId="52455B47" w14:textId="77777777" w:rsidR="00AE5054" w:rsidRPr="00AE5054" w:rsidRDefault="003B0DE2" w:rsidP="00AE5054">
            <w:pPr>
              <w:spacing w:before="0" w:after="0"/>
              <w:jc w:val="left"/>
              <w:rPr>
                <w:rFonts w:eastAsia="Times New Roman" w:cs="Arial"/>
                <w:color w:val="0563C1"/>
                <w:u w:val="single"/>
                <w:lang w:eastAsia="el-GR"/>
              </w:rPr>
            </w:pPr>
            <w:hyperlink r:id="rId551" w:history="1">
              <w:r w:rsidR="00AE5054" w:rsidRPr="00AE5054">
                <w:rPr>
                  <w:rFonts w:eastAsia="Times New Roman" w:cs="Arial"/>
                  <w:color w:val="0563C1"/>
                  <w:u w:val="single"/>
                  <w:lang w:eastAsia="el-GR"/>
                </w:rPr>
                <w:t>REEEP</w:t>
              </w:r>
            </w:hyperlink>
          </w:p>
        </w:tc>
        <w:tc>
          <w:tcPr>
            <w:tcW w:w="1842" w:type="dxa"/>
            <w:shd w:val="clear" w:color="auto" w:fill="auto"/>
            <w:vAlign w:val="center"/>
            <w:hideMark/>
          </w:tcPr>
          <w:p w14:paraId="49CB90F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Austria</w:t>
            </w:r>
          </w:p>
        </w:tc>
        <w:tc>
          <w:tcPr>
            <w:tcW w:w="2977" w:type="dxa"/>
            <w:shd w:val="clear" w:color="auto" w:fill="auto"/>
            <w:vAlign w:val="center"/>
            <w:hideMark/>
          </w:tcPr>
          <w:p w14:paraId="2185AD0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DD4ED06" w14:textId="77777777" w:rsidTr="0022057B">
        <w:trPr>
          <w:trHeight w:val="287"/>
        </w:trPr>
        <w:tc>
          <w:tcPr>
            <w:tcW w:w="4390" w:type="dxa"/>
            <w:shd w:val="clear" w:color="auto" w:fill="auto"/>
            <w:vAlign w:val="center"/>
            <w:hideMark/>
          </w:tcPr>
          <w:p w14:paraId="0DD5B687" w14:textId="77777777" w:rsidR="00AE5054" w:rsidRPr="00AE5054" w:rsidRDefault="003B0DE2" w:rsidP="00AE5054">
            <w:pPr>
              <w:spacing w:before="0" w:after="0"/>
              <w:jc w:val="left"/>
              <w:rPr>
                <w:rFonts w:eastAsia="Times New Roman" w:cs="Arial"/>
                <w:color w:val="0563C1"/>
                <w:u w:val="single"/>
                <w:lang w:eastAsia="el-GR"/>
              </w:rPr>
            </w:pPr>
            <w:hyperlink r:id="rId552" w:history="1">
              <w:r w:rsidR="00AE5054" w:rsidRPr="00AE5054">
                <w:rPr>
                  <w:rFonts w:eastAsia="Times New Roman" w:cs="Arial"/>
                  <w:color w:val="0563C1"/>
                  <w:u w:val="single"/>
                  <w:lang w:eastAsia="el-GR"/>
                </w:rPr>
                <w:t>Reforest The Tropics</w:t>
              </w:r>
            </w:hyperlink>
          </w:p>
        </w:tc>
        <w:tc>
          <w:tcPr>
            <w:tcW w:w="1842" w:type="dxa"/>
            <w:shd w:val="clear" w:color="auto" w:fill="auto"/>
            <w:vAlign w:val="center"/>
            <w:hideMark/>
          </w:tcPr>
          <w:p w14:paraId="5AC8185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495B478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772C983" w14:textId="77777777" w:rsidTr="0022057B">
        <w:trPr>
          <w:trHeight w:val="574"/>
        </w:trPr>
        <w:tc>
          <w:tcPr>
            <w:tcW w:w="4390" w:type="dxa"/>
            <w:shd w:val="clear" w:color="auto" w:fill="auto"/>
            <w:vAlign w:val="center"/>
            <w:hideMark/>
          </w:tcPr>
          <w:p w14:paraId="7C95E23B" w14:textId="77777777" w:rsidR="00AE5054" w:rsidRPr="00AE5054" w:rsidRDefault="003B0DE2" w:rsidP="00AE5054">
            <w:pPr>
              <w:spacing w:before="0" w:after="0"/>
              <w:jc w:val="left"/>
              <w:rPr>
                <w:rFonts w:eastAsia="Times New Roman" w:cs="Arial"/>
                <w:color w:val="0563C1"/>
                <w:u w:val="single"/>
                <w:lang w:eastAsia="el-GR"/>
              </w:rPr>
            </w:pPr>
            <w:hyperlink r:id="rId553" w:history="1">
              <w:r w:rsidR="00AE5054" w:rsidRPr="00AE5054">
                <w:rPr>
                  <w:rFonts w:eastAsia="Times New Roman" w:cs="Arial"/>
                  <w:color w:val="0563C1"/>
                  <w:u w:val="single"/>
                  <w:lang w:eastAsia="el-GR"/>
                </w:rPr>
                <w:t>Renewable Choice Energy</w:t>
              </w:r>
            </w:hyperlink>
          </w:p>
        </w:tc>
        <w:tc>
          <w:tcPr>
            <w:tcW w:w="1842" w:type="dxa"/>
            <w:shd w:val="clear" w:color="auto" w:fill="auto"/>
            <w:vAlign w:val="center"/>
            <w:hideMark/>
          </w:tcPr>
          <w:p w14:paraId="1D14F69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4844836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78A1DE43" w14:textId="77777777" w:rsidTr="0022057B">
        <w:trPr>
          <w:trHeight w:val="287"/>
        </w:trPr>
        <w:tc>
          <w:tcPr>
            <w:tcW w:w="4390" w:type="dxa"/>
            <w:shd w:val="clear" w:color="auto" w:fill="auto"/>
            <w:vAlign w:val="center"/>
            <w:hideMark/>
          </w:tcPr>
          <w:p w14:paraId="59A9630E" w14:textId="77777777" w:rsidR="00AE5054" w:rsidRPr="00AE5054" w:rsidRDefault="003B0DE2" w:rsidP="00AE5054">
            <w:pPr>
              <w:spacing w:before="0" w:after="0"/>
              <w:jc w:val="left"/>
              <w:rPr>
                <w:rFonts w:eastAsia="Times New Roman" w:cs="Arial"/>
                <w:color w:val="0563C1"/>
                <w:u w:val="single"/>
                <w:lang w:eastAsia="el-GR"/>
              </w:rPr>
            </w:pPr>
            <w:hyperlink r:id="rId554" w:history="1">
              <w:r w:rsidR="00AE5054" w:rsidRPr="00AE5054">
                <w:rPr>
                  <w:rFonts w:eastAsia="Times New Roman" w:cs="Arial"/>
                  <w:color w:val="0563C1"/>
                  <w:u w:val="single"/>
                  <w:lang w:eastAsia="el-GR"/>
                </w:rPr>
                <w:t>Ripple Africa</w:t>
              </w:r>
            </w:hyperlink>
          </w:p>
        </w:tc>
        <w:tc>
          <w:tcPr>
            <w:tcW w:w="1842" w:type="dxa"/>
            <w:shd w:val="clear" w:color="auto" w:fill="auto"/>
            <w:vAlign w:val="center"/>
            <w:hideMark/>
          </w:tcPr>
          <w:p w14:paraId="524A005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7BFB741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56C22855" w14:textId="77777777" w:rsidTr="0022057B">
        <w:trPr>
          <w:trHeight w:val="287"/>
        </w:trPr>
        <w:tc>
          <w:tcPr>
            <w:tcW w:w="4390" w:type="dxa"/>
            <w:shd w:val="clear" w:color="auto" w:fill="auto"/>
            <w:vAlign w:val="center"/>
            <w:hideMark/>
          </w:tcPr>
          <w:p w14:paraId="74D8A1DA" w14:textId="77777777" w:rsidR="00AE5054" w:rsidRPr="00AE5054" w:rsidRDefault="003B0DE2" w:rsidP="00AE5054">
            <w:pPr>
              <w:spacing w:before="0" w:after="0"/>
              <w:jc w:val="left"/>
              <w:rPr>
                <w:rFonts w:eastAsia="Times New Roman" w:cs="Arial"/>
                <w:color w:val="0563C1"/>
                <w:u w:val="single"/>
                <w:lang w:eastAsia="el-GR"/>
              </w:rPr>
            </w:pPr>
            <w:hyperlink r:id="rId555" w:history="1">
              <w:r w:rsidR="00AE5054" w:rsidRPr="00AE5054">
                <w:rPr>
                  <w:rFonts w:eastAsia="Times New Roman" w:cs="Arial"/>
                  <w:color w:val="0563C1"/>
                  <w:u w:val="single"/>
                  <w:lang w:eastAsia="el-GR"/>
                </w:rPr>
                <w:t>Sandbag</w:t>
              </w:r>
            </w:hyperlink>
          </w:p>
        </w:tc>
        <w:tc>
          <w:tcPr>
            <w:tcW w:w="1842" w:type="dxa"/>
            <w:shd w:val="clear" w:color="auto" w:fill="auto"/>
            <w:vAlign w:val="center"/>
            <w:hideMark/>
          </w:tcPr>
          <w:p w14:paraId="35C62F9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F1C966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222C2BF1" w14:textId="77777777" w:rsidTr="0022057B">
        <w:trPr>
          <w:trHeight w:val="287"/>
        </w:trPr>
        <w:tc>
          <w:tcPr>
            <w:tcW w:w="4390" w:type="dxa"/>
            <w:shd w:val="clear" w:color="auto" w:fill="auto"/>
            <w:vAlign w:val="center"/>
            <w:hideMark/>
          </w:tcPr>
          <w:p w14:paraId="719232F2" w14:textId="77777777" w:rsidR="00AE5054" w:rsidRPr="00AE5054" w:rsidRDefault="003B0DE2" w:rsidP="00AE5054">
            <w:pPr>
              <w:spacing w:before="0" w:after="0"/>
              <w:jc w:val="left"/>
              <w:rPr>
                <w:rFonts w:eastAsia="Times New Roman" w:cs="Arial"/>
                <w:color w:val="0563C1"/>
                <w:u w:val="single"/>
                <w:lang w:eastAsia="el-GR"/>
              </w:rPr>
            </w:pPr>
            <w:hyperlink r:id="rId556" w:history="1">
              <w:proofErr w:type="spellStart"/>
              <w:r w:rsidR="00AE5054" w:rsidRPr="00AE5054">
                <w:rPr>
                  <w:rFonts w:eastAsia="Times New Roman" w:cs="Arial"/>
                  <w:color w:val="0563C1"/>
                  <w:u w:val="single"/>
                  <w:lang w:eastAsia="el-GR"/>
                </w:rPr>
                <w:t>Seacology</w:t>
              </w:r>
              <w:proofErr w:type="spellEnd"/>
            </w:hyperlink>
          </w:p>
        </w:tc>
        <w:tc>
          <w:tcPr>
            <w:tcW w:w="1842" w:type="dxa"/>
            <w:shd w:val="clear" w:color="auto" w:fill="auto"/>
            <w:vAlign w:val="center"/>
            <w:hideMark/>
          </w:tcPr>
          <w:p w14:paraId="10B9679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33C831D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0EFDBBD" w14:textId="77777777" w:rsidTr="0022057B">
        <w:trPr>
          <w:trHeight w:val="287"/>
        </w:trPr>
        <w:tc>
          <w:tcPr>
            <w:tcW w:w="4390" w:type="dxa"/>
            <w:shd w:val="clear" w:color="auto" w:fill="auto"/>
            <w:vAlign w:val="center"/>
            <w:hideMark/>
          </w:tcPr>
          <w:p w14:paraId="139E908C" w14:textId="77777777" w:rsidR="00AE5054" w:rsidRPr="00AE5054" w:rsidRDefault="003B0DE2" w:rsidP="00AE5054">
            <w:pPr>
              <w:spacing w:before="0" w:after="0"/>
              <w:jc w:val="left"/>
              <w:rPr>
                <w:rFonts w:eastAsia="Times New Roman" w:cs="Arial"/>
                <w:color w:val="0563C1"/>
                <w:u w:val="single"/>
                <w:lang w:eastAsia="el-GR"/>
              </w:rPr>
            </w:pPr>
            <w:hyperlink r:id="rId557" w:history="1">
              <w:r w:rsidR="00AE5054" w:rsidRPr="00AE5054">
                <w:rPr>
                  <w:rFonts w:eastAsia="Times New Roman" w:cs="Arial"/>
                  <w:color w:val="0563C1"/>
                  <w:u w:val="single"/>
                  <w:lang w:eastAsia="el-GR"/>
                </w:rPr>
                <w:t>SELF</w:t>
              </w:r>
            </w:hyperlink>
          </w:p>
        </w:tc>
        <w:tc>
          <w:tcPr>
            <w:tcW w:w="1842" w:type="dxa"/>
            <w:shd w:val="clear" w:color="auto" w:fill="auto"/>
            <w:vAlign w:val="center"/>
            <w:hideMark/>
          </w:tcPr>
          <w:p w14:paraId="451C161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618831E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D94AF9B" w14:textId="77777777" w:rsidTr="0022057B">
        <w:trPr>
          <w:trHeight w:val="574"/>
        </w:trPr>
        <w:tc>
          <w:tcPr>
            <w:tcW w:w="4390" w:type="dxa"/>
            <w:shd w:val="clear" w:color="auto" w:fill="auto"/>
            <w:vAlign w:val="center"/>
            <w:hideMark/>
          </w:tcPr>
          <w:p w14:paraId="4CCDB38E" w14:textId="77777777" w:rsidR="00AE5054" w:rsidRPr="00AE5054" w:rsidRDefault="003B0DE2" w:rsidP="00AE5054">
            <w:pPr>
              <w:spacing w:before="0" w:after="0"/>
              <w:jc w:val="left"/>
              <w:rPr>
                <w:rFonts w:eastAsia="Times New Roman" w:cs="Arial"/>
                <w:color w:val="0563C1"/>
                <w:u w:val="single"/>
                <w:lang w:eastAsia="el-GR"/>
              </w:rPr>
            </w:pPr>
            <w:hyperlink r:id="rId558" w:history="1">
              <w:r w:rsidR="00AE5054" w:rsidRPr="00AE5054">
                <w:rPr>
                  <w:rFonts w:eastAsia="Times New Roman" w:cs="Arial"/>
                  <w:color w:val="0563C1"/>
                  <w:u w:val="single"/>
                  <w:lang w:eastAsia="el-GR"/>
                </w:rPr>
                <w:t>SILVACONSULT AG</w:t>
              </w:r>
            </w:hyperlink>
          </w:p>
        </w:tc>
        <w:tc>
          <w:tcPr>
            <w:tcW w:w="1842" w:type="dxa"/>
            <w:shd w:val="clear" w:color="auto" w:fill="auto"/>
            <w:vAlign w:val="center"/>
            <w:hideMark/>
          </w:tcPr>
          <w:p w14:paraId="0A6E3CE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Switzerland</w:t>
            </w:r>
          </w:p>
        </w:tc>
        <w:tc>
          <w:tcPr>
            <w:tcW w:w="2977" w:type="dxa"/>
            <w:shd w:val="clear" w:color="auto" w:fill="auto"/>
            <w:vAlign w:val="center"/>
            <w:hideMark/>
          </w:tcPr>
          <w:p w14:paraId="42226BF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Consultant</w:t>
            </w:r>
          </w:p>
        </w:tc>
      </w:tr>
      <w:tr w:rsidR="00AE5054" w:rsidRPr="00AE5054" w14:paraId="4F2F750E" w14:textId="77777777" w:rsidTr="0022057B">
        <w:trPr>
          <w:trHeight w:val="574"/>
        </w:trPr>
        <w:tc>
          <w:tcPr>
            <w:tcW w:w="4390" w:type="dxa"/>
            <w:shd w:val="clear" w:color="auto" w:fill="auto"/>
            <w:vAlign w:val="center"/>
            <w:hideMark/>
          </w:tcPr>
          <w:p w14:paraId="0C21B516" w14:textId="77777777" w:rsidR="00AE5054" w:rsidRPr="00AE5054" w:rsidRDefault="003B0DE2" w:rsidP="00AE5054">
            <w:pPr>
              <w:spacing w:before="0" w:after="0"/>
              <w:jc w:val="left"/>
              <w:rPr>
                <w:rFonts w:eastAsia="Times New Roman" w:cs="Arial"/>
                <w:color w:val="0563C1"/>
                <w:u w:val="single"/>
                <w:lang w:eastAsia="el-GR"/>
              </w:rPr>
            </w:pPr>
            <w:hyperlink r:id="rId559" w:history="1">
              <w:proofErr w:type="spellStart"/>
              <w:r w:rsidR="00AE5054" w:rsidRPr="00AE5054">
                <w:rPr>
                  <w:rFonts w:eastAsia="Times New Roman" w:cs="Arial"/>
                  <w:color w:val="0563C1"/>
                  <w:u w:val="single"/>
                  <w:lang w:eastAsia="el-GR"/>
                </w:rPr>
                <w:t>Sindicatum</w:t>
              </w:r>
              <w:proofErr w:type="spellEnd"/>
              <w:r w:rsidR="00AE5054" w:rsidRPr="00AE5054">
                <w:rPr>
                  <w:rFonts w:eastAsia="Times New Roman" w:cs="Arial"/>
                  <w:color w:val="0563C1"/>
                  <w:u w:val="single"/>
                  <w:lang w:eastAsia="el-GR"/>
                </w:rPr>
                <w:t xml:space="preserve"> Carbon Capital</w:t>
              </w:r>
            </w:hyperlink>
          </w:p>
        </w:tc>
        <w:tc>
          <w:tcPr>
            <w:tcW w:w="1842" w:type="dxa"/>
            <w:shd w:val="clear" w:color="auto" w:fill="auto"/>
            <w:vAlign w:val="center"/>
            <w:hideMark/>
          </w:tcPr>
          <w:p w14:paraId="042CD66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472AC75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Consultant</w:t>
            </w:r>
          </w:p>
        </w:tc>
      </w:tr>
      <w:tr w:rsidR="00AE5054" w:rsidRPr="00AE5054" w14:paraId="6DAB4138" w14:textId="77777777" w:rsidTr="0022057B">
        <w:trPr>
          <w:trHeight w:val="287"/>
        </w:trPr>
        <w:tc>
          <w:tcPr>
            <w:tcW w:w="4390" w:type="dxa"/>
            <w:shd w:val="clear" w:color="auto" w:fill="auto"/>
            <w:vAlign w:val="center"/>
            <w:hideMark/>
          </w:tcPr>
          <w:p w14:paraId="6AAA895A" w14:textId="77777777" w:rsidR="00AE5054" w:rsidRPr="00AE5054" w:rsidRDefault="003B0DE2" w:rsidP="00AE5054">
            <w:pPr>
              <w:spacing w:before="0" w:after="0"/>
              <w:jc w:val="left"/>
              <w:rPr>
                <w:rFonts w:eastAsia="Times New Roman" w:cs="Arial"/>
                <w:color w:val="0563C1"/>
                <w:u w:val="single"/>
                <w:lang w:eastAsia="el-GR"/>
              </w:rPr>
            </w:pPr>
            <w:hyperlink r:id="rId560" w:history="1">
              <w:r w:rsidR="00AE5054" w:rsidRPr="00AE5054">
                <w:rPr>
                  <w:rFonts w:eastAsia="Times New Roman" w:cs="Arial"/>
                  <w:color w:val="0563C1"/>
                  <w:u w:val="single"/>
                  <w:lang w:eastAsia="el-GR"/>
                </w:rPr>
                <w:t>SKG Sangha</w:t>
              </w:r>
            </w:hyperlink>
          </w:p>
        </w:tc>
        <w:tc>
          <w:tcPr>
            <w:tcW w:w="1842" w:type="dxa"/>
            <w:shd w:val="clear" w:color="auto" w:fill="auto"/>
            <w:vAlign w:val="center"/>
            <w:hideMark/>
          </w:tcPr>
          <w:p w14:paraId="2B6437C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India</w:t>
            </w:r>
          </w:p>
        </w:tc>
        <w:tc>
          <w:tcPr>
            <w:tcW w:w="2977" w:type="dxa"/>
            <w:shd w:val="clear" w:color="auto" w:fill="auto"/>
            <w:vAlign w:val="center"/>
            <w:hideMark/>
          </w:tcPr>
          <w:p w14:paraId="3EBCD7B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68FB6CBE" w14:textId="77777777" w:rsidTr="0022057B">
        <w:trPr>
          <w:trHeight w:val="860"/>
        </w:trPr>
        <w:tc>
          <w:tcPr>
            <w:tcW w:w="4390" w:type="dxa"/>
            <w:shd w:val="clear" w:color="auto" w:fill="auto"/>
            <w:vAlign w:val="center"/>
            <w:hideMark/>
          </w:tcPr>
          <w:p w14:paraId="5DF1E9B8" w14:textId="77777777" w:rsidR="00AE5054" w:rsidRPr="00AE5054" w:rsidRDefault="003B0DE2" w:rsidP="00AE5054">
            <w:pPr>
              <w:spacing w:before="0" w:after="0"/>
              <w:jc w:val="left"/>
              <w:rPr>
                <w:rFonts w:eastAsia="Times New Roman" w:cs="Arial"/>
                <w:color w:val="0563C1"/>
                <w:u w:val="single"/>
                <w:lang w:eastAsia="el-GR"/>
              </w:rPr>
            </w:pPr>
            <w:hyperlink r:id="rId561" w:history="1">
              <w:r w:rsidR="00AE5054" w:rsidRPr="00AE5054">
                <w:rPr>
                  <w:rFonts w:eastAsia="Times New Roman" w:cs="Arial"/>
                  <w:color w:val="0563C1"/>
                  <w:u w:val="single"/>
                  <w:lang w:eastAsia="el-GR"/>
                </w:rPr>
                <w:t>South Pole Carbon</w:t>
              </w:r>
            </w:hyperlink>
          </w:p>
        </w:tc>
        <w:tc>
          <w:tcPr>
            <w:tcW w:w="1842" w:type="dxa"/>
            <w:shd w:val="clear" w:color="auto" w:fill="auto"/>
            <w:vAlign w:val="center"/>
            <w:hideMark/>
          </w:tcPr>
          <w:p w14:paraId="24A012B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Switzerland</w:t>
            </w:r>
          </w:p>
        </w:tc>
        <w:tc>
          <w:tcPr>
            <w:tcW w:w="2977" w:type="dxa"/>
            <w:shd w:val="clear" w:color="auto" w:fill="auto"/>
            <w:vAlign w:val="center"/>
            <w:hideMark/>
          </w:tcPr>
          <w:p w14:paraId="2BFB767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Retailer, Consultant</w:t>
            </w:r>
          </w:p>
        </w:tc>
      </w:tr>
      <w:tr w:rsidR="00AE5054" w:rsidRPr="00AE5054" w14:paraId="2CE07480" w14:textId="77777777" w:rsidTr="0022057B">
        <w:trPr>
          <w:trHeight w:val="287"/>
        </w:trPr>
        <w:tc>
          <w:tcPr>
            <w:tcW w:w="4390" w:type="dxa"/>
            <w:shd w:val="clear" w:color="auto" w:fill="auto"/>
            <w:vAlign w:val="center"/>
            <w:hideMark/>
          </w:tcPr>
          <w:p w14:paraId="1087AEDC" w14:textId="77777777" w:rsidR="00AE5054" w:rsidRPr="00AE5054" w:rsidRDefault="003B0DE2" w:rsidP="00AE5054">
            <w:pPr>
              <w:spacing w:before="0" w:after="0"/>
              <w:jc w:val="left"/>
              <w:rPr>
                <w:rFonts w:eastAsia="Times New Roman" w:cs="Arial"/>
                <w:color w:val="0563C1"/>
                <w:u w:val="single"/>
                <w:lang w:eastAsia="el-GR"/>
              </w:rPr>
            </w:pPr>
            <w:hyperlink r:id="rId562" w:history="1">
              <w:r w:rsidR="00AE5054" w:rsidRPr="00AE5054">
                <w:rPr>
                  <w:rFonts w:eastAsia="Times New Roman" w:cs="Arial"/>
                  <w:color w:val="0563C1"/>
                  <w:u w:val="single"/>
                  <w:lang w:eastAsia="el-GR"/>
                </w:rPr>
                <w:t xml:space="preserve">South </w:t>
              </w:r>
              <w:proofErr w:type="spellStart"/>
              <w:r w:rsidR="00AE5054" w:rsidRPr="00AE5054">
                <w:rPr>
                  <w:rFonts w:eastAsia="Times New Roman" w:cs="Arial"/>
                  <w:color w:val="0563C1"/>
                  <w:u w:val="single"/>
                  <w:lang w:eastAsia="el-GR"/>
                </w:rPr>
                <w:t>South</w:t>
              </w:r>
              <w:proofErr w:type="spellEnd"/>
              <w:r w:rsidR="00AE5054" w:rsidRPr="00AE5054">
                <w:rPr>
                  <w:rFonts w:eastAsia="Times New Roman" w:cs="Arial"/>
                  <w:color w:val="0563C1"/>
                  <w:u w:val="single"/>
                  <w:lang w:eastAsia="el-GR"/>
                </w:rPr>
                <w:t xml:space="preserve"> North</w:t>
              </w:r>
            </w:hyperlink>
          </w:p>
        </w:tc>
        <w:tc>
          <w:tcPr>
            <w:tcW w:w="1842" w:type="dxa"/>
            <w:shd w:val="clear" w:color="auto" w:fill="auto"/>
            <w:vAlign w:val="center"/>
            <w:hideMark/>
          </w:tcPr>
          <w:p w14:paraId="404BEEB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South Africa</w:t>
            </w:r>
          </w:p>
        </w:tc>
        <w:tc>
          <w:tcPr>
            <w:tcW w:w="2977" w:type="dxa"/>
            <w:shd w:val="clear" w:color="auto" w:fill="auto"/>
            <w:vAlign w:val="center"/>
            <w:hideMark/>
          </w:tcPr>
          <w:p w14:paraId="3C1280B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10CA86B4" w14:textId="77777777" w:rsidTr="0022057B">
        <w:trPr>
          <w:trHeight w:val="574"/>
        </w:trPr>
        <w:tc>
          <w:tcPr>
            <w:tcW w:w="4390" w:type="dxa"/>
            <w:shd w:val="clear" w:color="auto" w:fill="auto"/>
            <w:vAlign w:val="center"/>
            <w:hideMark/>
          </w:tcPr>
          <w:p w14:paraId="39E216AF" w14:textId="77777777" w:rsidR="00AE5054" w:rsidRPr="00AE5054" w:rsidRDefault="003B0DE2" w:rsidP="00AE5054">
            <w:pPr>
              <w:spacing w:before="0" w:after="0"/>
              <w:jc w:val="left"/>
              <w:rPr>
                <w:rFonts w:eastAsia="Times New Roman" w:cs="Arial"/>
                <w:color w:val="0563C1"/>
                <w:u w:val="single"/>
                <w:lang w:eastAsia="el-GR"/>
              </w:rPr>
            </w:pPr>
            <w:hyperlink r:id="rId563" w:history="1">
              <w:r w:rsidR="00AE5054" w:rsidRPr="00AE5054">
                <w:rPr>
                  <w:rFonts w:eastAsia="Times New Roman" w:cs="Arial"/>
                  <w:color w:val="0563C1"/>
                  <w:u w:val="single"/>
                  <w:lang w:eastAsia="el-GR"/>
                </w:rPr>
                <w:t>Spectron Group</w:t>
              </w:r>
            </w:hyperlink>
          </w:p>
        </w:tc>
        <w:tc>
          <w:tcPr>
            <w:tcW w:w="1842" w:type="dxa"/>
            <w:shd w:val="clear" w:color="auto" w:fill="auto"/>
            <w:vAlign w:val="center"/>
            <w:hideMark/>
          </w:tcPr>
          <w:p w14:paraId="318D1CA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D910DC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 Consultant</w:t>
            </w:r>
          </w:p>
        </w:tc>
      </w:tr>
      <w:tr w:rsidR="00AE5054" w:rsidRPr="00AE5054" w14:paraId="42FA72C4" w14:textId="77777777" w:rsidTr="0022057B">
        <w:trPr>
          <w:trHeight w:val="287"/>
        </w:trPr>
        <w:tc>
          <w:tcPr>
            <w:tcW w:w="4390" w:type="dxa"/>
            <w:shd w:val="clear" w:color="auto" w:fill="auto"/>
            <w:vAlign w:val="center"/>
            <w:hideMark/>
          </w:tcPr>
          <w:p w14:paraId="449E6116" w14:textId="77777777" w:rsidR="00AE5054" w:rsidRPr="00AE5054" w:rsidRDefault="003B0DE2" w:rsidP="00AE5054">
            <w:pPr>
              <w:spacing w:before="0" w:after="0"/>
              <w:jc w:val="left"/>
              <w:rPr>
                <w:rFonts w:eastAsia="Times New Roman" w:cs="Arial"/>
                <w:color w:val="0563C1"/>
                <w:u w:val="single"/>
                <w:lang w:eastAsia="el-GR"/>
              </w:rPr>
            </w:pPr>
            <w:hyperlink r:id="rId564" w:history="1">
              <w:r w:rsidR="00AE5054" w:rsidRPr="00AE5054">
                <w:rPr>
                  <w:rFonts w:eastAsia="Times New Roman" w:cs="Arial"/>
                  <w:color w:val="0563C1"/>
                  <w:u w:val="single"/>
                  <w:lang w:eastAsia="el-GR"/>
                </w:rPr>
                <w:t>Standard Carbon</w:t>
              </w:r>
            </w:hyperlink>
          </w:p>
        </w:tc>
        <w:tc>
          <w:tcPr>
            <w:tcW w:w="1842" w:type="dxa"/>
            <w:shd w:val="clear" w:color="auto" w:fill="auto"/>
            <w:vAlign w:val="center"/>
            <w:hideMark/>
          </w:tcPr>
          <w:p w14:paraId="0AFF5D9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01B6201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6A7E30AA" w14:textId="77777777" w:rsidTr="0022057B">
        <w:trPr>
          <w:trHeight w:val="287"/>
        </w:trPr>
        <w:tc>
          <w:tcPr>
            <w:tcW w:w="4390" w:type="dxa"/>
            <w:shd w:val="clear" w:color="auto" w:fill="auto"/>
            <w:vAlign w:val="center"/>
            <w:hideMark/>
          </w:tcPr>
          <w:p w14:paraId="1D11A392" w14:textId="77777777" w:rsidR="00AE5054" w:rsidRPr="00AE5054" w:rsidRDefault="003B0DE2" w:rsidP="00AE5054">
            <w:pPr>
              <w:spacing w:before="0" w:after="0"/>
              <w:jc w:val="left"/>
              <w:rPr>
                <w:rFonts w:eastAsia="Times New Roman" w:cs="Arial"/>
                <w:color w:val="0563C1"/>
                <w:u w:val="single"/>
                <w:lang w:eastAsia="el-GR"/>
              </w:rPr>
            </w:pPr>
            <w:hyperlink r:id="rId565" w:history="1">
              <w:r w:rsidR="00AE5054" w:rsidRPr="00AE5054">
                <w:rPr>
                  <w:rFonts w:eastAsia="Times New Roman" w:cs="Arial"/>
                  <w:color w:val="0563C1"/>
                  <w:u w:val="single"/>
                  <w:lang w:eastAsia="el-GR"/>
                </w:rPr>
                <w:t>Sterling Planet</w:t>
              </w:r>
            </w:hyperlink>
          </w:p>
        </w:tc>
        <w:tc>
          <w:tcPr>
            <w:tcW w:w="1842" w:type="dxa"/>
            <w:shd w:val="clear" w:color="auto" w:fill="auto"/>
            <w:vAlign w:val="center"/>
            <w:hideMark/>
          </w:tcPr>
          <w:p w14:paraId="48BCE4C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1A10D0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1D831C31" w14:textId="77777777" w:rsidTr="0022057B">
        <w:trPr>
          <w:trHeight w:val="287"/>
        </w:trPr>
        <w:tc>
          <w:tcPr>
            <w:tcW w:w="4390" w:type="dxa"/>
            <w:shd w:val="clear" w:color="auto" w:fill="auto"/>
            <w:vAlign w:val="center"/>
            <w:hideMark/>
          </w:tcPr>
          <w:p w14:paraId="061DE984" w14:textId="77777777" w:rsidR="00AE5054" w:rsidRPr="00AE5054" w:rsidRDefault="003B0DE2" w:rsidP="00AE5054">
            <w:pPr>
              <w:spacing w:before="0" w:after="0"/>
              <w:jc w:val="left"/>
              <w:rPr>
                <w:rFonts w:eastAsia="Times New Roman" w:cs="Arial"/>
                <w:color w:val="0563C1"/>
                <w:u w:val="single"/>
                <w:lang w:eastAsia="el-GR"/>
              </w:rPr>
            </w:pPr>
            <w:hyperlink r:id="rId566" w:history="1">
              <w:proofErr w:type="spellStart"/>
              <w:r w:rsidR="00AE5054" w:rsidRPr="00AE5054">
                <w:rPr>
                  <w:rFonts w:eastAsia="Times New Roman" w:cs="Arial"/>
                  <w:color w:val="0563C1"/>
                  <w:u w:val="single"/>
                  <w:lang w:eastAsia="el-GR"/>
                </w:rPr>
                <w:t>TargetNeutral</w:t>
              </w:r>
              <w:proofErr w:type="spellEnd"/>
            </w:hyperlink>
          </w:p>
        </w:tc>
        <w:tc>
          <w:tcPr>
            <w:tcW w:w="1842" w:type="dxa"/>
            <w:shd w:val="clear" w:color="auto" w:fill="auto"/>
            <w:vAlign w:val="center"/>
            <w:hideMark/>
          </w:tcPr>
          <w:p w14:paraId="449414D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7FEF61A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AD1DB74" w14:textId="77777777" w:rsidTr="0022057B">
        <w:trPr>
          <w:trHeight w:val="574"/>
        </w:trPr>
        <w:tc>
          <w:tcPr>
            <w:tcW w:w="4390" w:type="dxa"/>
            <w:shd w:val="clear" w:color="auto" w:fill="auto"/>
            <w:vAlign w:val="center"/>
            <w:hideMark/>
          </w:tcPr>
          <w:p w14:paraId="49DD3E78" w14:textId="77777777" w:rsidR="00AE5054" w:rsidRPr="00AE5054" w:rsidRDefault="003B0DE2" w:rsidP="00AE5054">
            <w:pPr>
              <w:spacing w:before="0" w:after="0"/>
              <w:jc w:val="left"/>
              <w:rPr>
                <w:rFonts w:eastAsia="Times New Roman" w:cs="Arial"/>
                <w:color w:val="0563C1"/>
                <w:u w:val="single"/>
                <w:lang w:eastAsia="el-GR"/>
              </w:rPr>
            </w:pPr>
            <w:hyperlink r:id="rId567" w:history="1">
              <w:proofErr w:type="spellStart"/>
              <w:r w:rsidR="00AE5054" w:rsidRPr="00AE5054">
                <w:rPr>
                  <w:rFonts w:eastAsia="Times New Roman" w:cs="Arial"/>
                  <w:color w:val="0563C1"/>
                  <w:u w:val="single"/>
                  <w:lang w:eastAsia="el-GR"/>
                </w:rPr>
                <w:t>Terracarbon</w:t>
              </w:r>
              <w:proofErr w:type="spellEnd"/>
            </w:hyperlink>
          </w:p>
        </w:tc>
        <w:tc>
          <w:tcPr>
            <w:tcW w:w="1842" w:type="dxa"/>
            <w:shd w:val="clear" w:color="auto" w:fill="auto"/>
            <w:vAlign w:val="center"/>
            <w:hideMark/>
          </w:tcPr>
          <w:p w14:paraId="47B2640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1B5142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w:t>
            </w:r>
          </w:p>
        </w:tc>
      </w:tr>
      <w:tr w:rsidR="00AE5054" w:rsidRPr="00AE5054" w14:paraId="558577EC" w14:textId="77777777" w:rsidTr="0022057B">
        <w:trPr>
          <w:trHeight w:val="860"/>
        </w:trPr>
        <w:tc>
          <w:tcPr>
            <w:tcW w:w="4390" w:type="dxa"/>
            <w:shd w:val="clear" w:color="auto" w:fill="auto"/>
            <w:vAlign w:val="center"/>
            <w:hideMark/>
          </w:tcPr>
          <w:p w14:paraId="1FDCC417" w14:textId="77777777" w:rsidR="00AE5054" w:rsidRPr="00AE5054" w:rsidRDefault="003B0DE2" w:rsidP="00AE5054">
            <w:pPr>
              <w:spacing w:before="0" w:after="0"/>
              <w:jc w:val="left"/>
              <w:rPr>
                <w:rFonts w:eastAsia="Times New Roman" w:cs="Arial"/>
                <w:color w:val="0563C1"/>
                <w:u w:val="single"/>
                <w:lang w:eastAsia="el-GR"/>
              </w:rPr>
            </w:pPr>
            <w:hyperlink r:id="rId568" w:history="1">
              <w:proofErr w:type="spellStart"/>
              <w:r w:rsidR="00AE5054" w:rsidRPr="00AE5054">
                <w:rPr>
                  <w:rFonts w:eastAsia="Times New Roman" w:cs="Arial"/>
                  <w:color w:val="0563C1"/>
                  <w:u w:val="single"/>
                  <w:lang w:eastAsia="el-GR"/>
                </w:rPr>
                <w:t>Terrapass</w:t>
              </w:r>
              <w:proofErr w:type="spellEnd"/>
            </w:hyperlink>
          </w:p>
        </w:tc>
        <w:tc>
          <w:tcPr>
            <w:tcW w:w="1842" w:type="dxa"/>
            <w:shd w:val="clear" w:color="auto" w:fill="auto"/>
            <w:vAlign w:val="center"/>
            <w:hideMark/>
          </w:tcPr>
          <w:p w14:paraId="735B5CC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3022D0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Retailer, Consultant</w:t>
            </w:r>
          </w:p>
        </w:tc>
      </w:tr>
      <w:tr w:rsidR="00AE5054" w:rsidRPr="00AE5054" w14:paraId="5731DB4F" w14:textId="77777777" w:rsidTr="0022057B">
        <w:trPr>
          <w:trHeight w:val="287"/>
        </w:trPr>
        <w:tc>
          <w:tcPr>
            <w:tcW w:w="4390" w:type="dxa"/>
            <w:shd w:val="clear" w:color="auto" w:fill="auto"/>
            <w:vAlign w:val="center"/>
            <w:hideMark/>
          </w:tcPr>
          <w:p w14:paraId="7C567C89" w14:textId="77777777" w:rsidR="00AE5054" w:rsidRPr="00AE5054" w:rsidRDefault="003B0DE2" w:rsidP="00AE5054">
            <w:pPr>
              <w:spacing w:before="0" w:after="0"/>
              <w:jc w:val="left"/>
              <w:rPr>
                <w:rFonts w:eastAsia="Times New Roman" w:cs="Arial"/>
                <w:color w:val="0563C1"/>
                <w:u w:val="single"/>
                <w:lang w:eastAsia="el-GR"/>
              </w:rPr>
            </w:pPr>
            <w:hyperlink r:id="rId569" w:history="1">
              <w:r w:rsidR="00AE5054" w:rsidRPr="00AE5054">
                <w:rPr>
                  <w:rFonts w:eastAsia="Times New Roman" w:cs="Arial"/>
                  <w:color w:val="0563C1"/>
                  <w:u w:val="single"/>
                  <w:lang w:eastAsia="el-GR"/>
                </w:rPr>
                <w:t>The C-Change Trust</w:t>
              </w:r>
            </w:hyperlink>
          </w:p>
        </w:tc>
        <w:tc>
          <w:tcPr>
            <w:tcW w:w="1842" w:type="dxa"/>
            <w:shd w:val="clear" w:color="auto" w:fill="auto"/>
            <w:vAlign w:val="center"/>
            <w:hideMark/>
          </w:tcPr>
          <w:p w14:paraId="1CF491E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6D8D0CD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r w:rsidR="00AE5054" w:rsidRPr="00AE5054" w14:paraId="5D06AA8C" w14:textId="77777777" w:rsidTr="0022057B">
        <w:trPr>
          <w:trHeight w:val="574"/>
        </w:trPr>
        <w:tc>
          <w:tcPr>
            <w:tcW w:w="4390" w:type="dxa"/>
            <w:shd w:val="clear" w:color="auto" w:fill="auto"/>
            <w:vAlign w:val="center"/>
            <w:hideMark/>
          </w:tcPr>
          <w:p w14:paraId="2EB74BD4" w14:textId="77777777" w:rsidR="00AE5054" w:rsidRPr="00AE5054" w:rsidRDefault="003B0DE2" w:rsidP="00AE5054">
            <w:pPr>
              <w:spacing w:before="0" w:after="0"/>
              <w:jc w:val="left"/>
              <w:rPr>
                <w:rFonts w:eastAsia="Times New Roman" w:cs="Arial"/>
                <w:color w:val="0563C1"/>
                <w:u w:val="single"/>
                <w:lang w:eastAsia="el-GR"/>
              </w:rPr>
            </w:pPr>
            <w:hyperlink r:id="rId570" w:history="1">
              <w:r w:rsidR="00AE5054" w:rsidRPr="00AE5054">
                <w:rPr>
                  <w:rFonts w:eastAsia="Times New Roman" w:cs="Arial"/>
                  <w:color w:val="0563C1"/>
                  <w:u w:val="single"/>
                  <w:lang w:eastAsia="el-GR"/>
                </w:rPr>
                <w:t>The Carbon Neutral Company</w:t>
              </w:r>
            </w:hyperlink>
          </w:p>
        </w:tc>
        <w:tc>
          <w:tcPr>
            <w:tcW w:w="1842" w:type="dxa"/>
            <w:shd w:val="clear" w:color="auto" w:fill="auto"/>
            <w:vAlign w:val="center"/>
            <w:hideMark/>
          </w:tcPr>
          <w:p w14:paraId="48E4CD9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CB0284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 Consultant</w:t>
            </w:r>
          </w:p>
        </w:tc>
      </w:tr>
      <w:tr w:rsidR="00AE5054" w:rsidRPr="00AE5054" w14:paraId="309EC11E" w14:textId="77777777" w:rsidTr="0022057B">
        <w:trPr>
          <w:trHeight w:val="287"/>
        </w:trPr>
        <w:tc>
          <w:tcPr>
            <w:tcW w:w="4390" w:type="dxa"/>
            <w:shd w:val="clear" w:color="auto" w:fill="auto"/>
            <w:vAlign w:val="center"/>
            <w:hideMark/>
          </w:tcPr>
          <w:p w14:paraId="63C9ACE0" w14:textId="77777777" w:rsidR="00AE5054" w:rsidRPr="00AE5054" w:rsidRDefault="003B0DE2" w:rsidP="00AE5054">
            <w:pPr>
              <w:spacing w:before="0" w:after="0"/>
              <w:jc w:val="left"/>
              <w:rPr>
                <w:rFonts w:eastAsia="Times New Roman" w:cs="Arial"/>
                <w:color w:val="0563C1"/>
                <w:u w:val="single"/>
                <w:lang w:eastAsia="el-GR"/>
              </w:rPr>
            </w:pPr>
            <w:hyperlink r:id="rId571" w:history="1">
              <w:r w:rsidR="00AE5054" w:rsidRPr="00AE5054">
                <w:rPr>
                  <w:rFonts w:eastAsia="Times New Roman" w:cs="Arial"/>
                  <w:color w:val="0563C1"/>
                  <w:u w:val="single"/>
                  <w:lang w:eastAsia="el-GR"/>
                </w:rPr>
                <w:t>The Climate Trust</w:t>
              </w:r>
            </w:hyperlink>
          </w:p>
        </w:tc>
        <w:tc>
          <w:tcPr>
            <w:tcW w:w="1842" w:type="dxa"/>
            <w:shd w:val="clear" w:color="auto" w:fill="auto"/>
            <w:vAlign w:val="center"/>
            <w:hideMark/>
          </w:tcPr>
          <w:p w14:paraId="4AF9FC6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7355760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D9AB855" w14:textId="77777777" w:rsidTr="0022057B">
        <w:trPr>
          <w:trHeight w:val="287"/>
        </w:trPr>
        <w:tc>
          <w:tcPr>
            <w:tcW w:w="4390" w:type="dxa"/>
            <w:shd w:val="clear" w:color="auto" w:fill="auto"/>
            <w:vAlign w:val="center"/>
            <w:hideMark/>
          </w:tcPr>
          <w:p w14:paraId="5563610E" w14:textId="77777777" w:rsidR="00AE5054" w:rsidRPr="00AE5054" w:rsidRDefault="003B0DE2" w:rsidP="00AE5054">
            <w:pPr>
              <w:spacing w:before="0" w:after="0"/>
              <w:jc w:val="left"/>
              <w:rPr>
                <w:rFonts w:eastAsia="Times New Roman" w:cs="Arial"/>
                <w:color w:val="0563C1"/>
                <w:u w:val="single"/>
                <w:lang w:eastAsia="el-GR"/>
              </w:rPr>
            </w:pPr>
            <w:hyperlink r:id="rId572" w:history="1">
              <w:r w:rsidR="00AE5054" w:rsidRPr="00AE5054">
                <w:rPr>
                  <w:rFonts w:eastAsia="Times New Roman" w:cs="Arial"/>
                  <w:color w:val="0563C1"/>
                  <w:u w:val="single"/>
                  <w:lang w:eastAsia="el-GR"/>
                </w:rPr>
                <w:t>The Converging World</w:t>
              </w:r>
            </w:hyperlink>
          </w:p>
        </w:tc>
        <w:tc>
          <w:tcPr>
            <w:tcW w:w="1842" w:type="dxa"/>
            <w:shd w:val="clear" w:color="auto" w:fill="auto"/>
            <w:vAlign w:val="center"/>
            <w:hideMark/>
          </w:tcPr>
          <w:p w14:paraId="608F490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73F15D7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307BA22" w14:textId="77777777" w:rsidTr="0022057B">
        <w:trPr>
          <w:trHeight w:val="287"/>
        </w:trPr>
        <w:tc>
          <w:tcPr>
            <w:tcW w:w="4390" w:type="dxa"/>
            <w:shd w:val="clear" w:color="auto" w:fill="auto"/>
            <w:vAlign w:val="center"/>
            <w:hideMark/>
          </w:tcPr>
          <w:p w14:paraId="039E4729" w14:textId="77777777" w:rsidR="00AE5054" w:rsidRPr="00AE5054" w:rsidRDefault="003B0DE2" w:rsidP="00AE5054">
            <w:pPr>
              <w:spacing w:before="0" w:after="0"/>
              <w:jc w:val="left"/>
              <w:rPr>
                <w:rFonts w:eastAsia="Times New Roman" w:cs="Arial"/>
                <w:color w:val="0563C1"/>
                <w:u w:val="single"/>
                <w:lang w:eastAsia="el-GR"/>
              </w:rPr>
            </w:pPr>
            <w:hyperlink r:id="rId573" w:history="1">
              <w:r w:rsidR="00AE5054" w:rsidRPr="00AE5054">
                <w:rPr>
                  <w:rFonts w:eastAsia="Times New Roman" w:cs="Arial"/>
                  <w:color w:val="0563C1"/>
                  <w:u w:val="single"/>
                  <w:lang w:eastAsia="el-GR"/>
                </w:rPr>
                <w:t>The Nature Conservancy</w:t>
              </w:r>
            </w:hyperlink>
          </w:p>
        </w:tc>
        <w:tc>
          <w:tcPr>
            <w:tcW w:w="1842" w:type="dxa"/>
            <w:shd w:val="clear" w:color="auto" w:fill="auto"/>
            <w:vAlign w:val="center"/>
            <w:hideMark/>
          </w:tcPr>
          <w:p w14:paraId="6A1C9EC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6704ED1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DC5631B" w14:textId="77777777" w:rsidTr="0022057B">
        <w:trPr>
          <w:trHeight w:val="860"/>
        </w:trPr>
        <w:tc>
          <w:tcPr>
            <w:tcW w:w="4390" w:type="dxa"/>
            <w:shd w:val="clear" w:color="auto" w:fill="auto"/>
            <w:vAlign w:val="center"/>
            <w:hideMark/>
          </w:tcPr>
          <w:p w14:paraId="1A7C8817" w14:textId="77777777" w:rsidR="00AE5054" w:rsidRPr="00AE5054" w:rsidRDefault="003B0DE2" w:rsidP="00AE5054">
            <w:pPr>
              <w:spacing w:before="0" w:after="0"/>
              <w:jc w:val="left"/>
              <w:rPr>
                <w:rFonts w:eastAsia="Times New Roman" w:cs="Arial"/>
                <w:color w:val="0563C1"/>
                <w:u w:val="single"/>
                <w:lang w:eastAsia="el-GR"/>
              </w:rPr>
            </w:pPr>
            <w:hyperlink r:id="rId574" w:history="1">
              <w:r w:rsidR="00AE5054" w:rsidRPr="00AE5054">
                <w:rPr>
                  <w:rFonts w:eastAsia="Times New Roman" w:cs="Arial"/>
                  <w:color w:val="0563C1"/>
                  <w:u w:val="single"/>
                  <w:lang w:eastAsia="el-GR"/>
                </w:rPr>
                <w:t>The Original Carbon Company</w:t>
              </w:r>
            </w:hyperlink>
          </w:p>
        </w:tc>
        <w:tc>
          <w:tcPr>
            <w:tcW w:w="1842" w:type="dxa"/>
            <w:shd w:val="clear" w:color="auto" w:fill="auto"/>
            <w:vAlign w:val="center"/>
            <w:hideMark/>
          </w:tcPr>
          <w:p w14:paraId="367D96C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B0D06A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Trader and/or broker, Retailer, Consultant</w:t>
            </w:r>
          </w:p>
        </w:tc>
      </w:tr>
      <w:tr w:rsidR="00AE5054" w:rsidRPr="00AE5054" w14:paraId="23A1446E" w14:textId="77777777" w:rsidTr="0022057B">
        <w:trPr>
          <w:trHeight w:val="287"/>
        </w:trPr>
        <w:tc>
          <w:tcPr>
            <w:tcW w:w="4390" w:type="dxa"/>
            <w:shd w:val="clear" w:color="auto" w:fill="auto"/>
            <w:vAlign w:val="center"/>
            <w:hideMark/>
          </w:tcPr>
          <w:p w14:paraId="6877B0E3" w14:textId="77777777" w:rsidR="00AE5054" w:rsidRPr="00AE5054" w:rsidRDefault="003B0DE2" w:rsidP="00AE5054">
            <w:pPr>
              <w:spacing w:before="0" w:after="0"/>
              <w:jc w:val="left"/>
              <w:rPr>
                <w:rFonts w:eastAsia="Times New Roman" w:cs="Arial"/>
                <w:color w:val="0563C1"/>
                <w:u w:val="single"/>
                <w:lang w:eastAsia="el-GR"/>
              </w:rPr>
            </w:pPr>
            <w:hyperlink r:id="rId575" w:history="1">
              <w:r w:rsidR="00AE5054" w:rsidRPr="00AE5054">
                <w:rPr>
                  <w:rFonts w:eastAsia="Times New Roman" w:cs="Arial"/>
                  <w:color w:val="0563C1"/>
                  <w:u w:val="single"/>
                  <w:lang w:eastAsia="el-GR"/>
                </w:rPr>
                <w:t>TICOS</w:t>
              </w:r>
            </w:hyperlink>
          </w:p>
        </w:tc>
        <w:tc>
          <w:tcPr>
            <w:tcW w:w="1842" w:type="dxa"/>
            <w:shd w:val="clear" w:color="auto" w:fill="auto"/>
            <w:vAlign w:val="center"/>
            <w:hideMark/>
          </w:tcPr>
          <w:p w14:paraId="52C9E98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70FC91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161FC5AD" w14:textId="77777777" w:rsidTr="0022057B">
        <w:trPr>
          <w:trHeight w:val="287"/>
        </w:trPr>
        <w:tc>
          <w:tcPr>
            <w:tcW w:w="4390" w:type="dxa"/>
            <w:shd w:val="clear" w:color="auto" w:fill="auto"/>
            <w:vAlign w:val="center"/>
            <w:hideMark/>
          </w:tcPr>
          <w:p w14:paraId="7CCAECB9" w14:textId="77777777" w:rsidR="00AE5054" w:rsidRPr="00AE5054" w:rsidRDefault="003B0DE2" w:rsidP="00AE5054">
            <w:pPr>
              <w:spacing w:before="0" w:after="0"/>
              <w:jc w:val="left"/>
              <w:rPr>
                <w:rFonts w:eastAsia="Times New Roman" w:cs="Arial"/>
                <w:color w:val="0563C1"/>
                <w:u w:val="single"/>
                <w:lang w:eastAsia="el-GR"/>
              </w:rPr>
            </w:pPr>
            <w:hyperlink r:id="rId576" w:history="1">
              <w:r w:rsidR="00AE5054" w:rsidRPr="00AE5054">
                <w:rPr>
                  <w:rFonts w:eastAsia="Times New Roman" w:cs="Arial"/>
                  <w:color w:val="0563C1"/>
                  <w:u w:val="single"/>
                  <w:lang w:eastAsia="el-GR"/>
                </w:rPr>
                <w:t>TIST</w:t>
              </w:r>
            </w:hyperlink>
          </w:p>
        </w:tc>
        <w:tc>
          <w:tcPr>
            <w:tcW w:w="1842" w:type="dxa"/>
            <w:shd w:val="clear" w:color="auto" w:fill="auto"/>
            <w:vAlign w:val="center"/>
            <w:hideMark/>
          </w:tcPr>
          <w:p w14:paraId="0FE8815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65B61A6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w:t>
            </w:r>
          </w:p>
        </w:tc>
      </w:tr>
      <w:tr w:rsidR="00AE5054" w:rsidRPr="00AE5054" w14:paraId="4728ADE0" w14:textId="77777777" w:rsidTr="0022057B">
        <w:trPr>
          <w:trHeight w:val="287"/>
        </w:trPr>
        <w:tc>
          <w:tcPr>
            <w:tcW w:w="4390" w:type="dxa"/>
            <w:shd w:val="clear" w:color="auto" w:fill="auto"/>
            <w:vAlign w:val="center"/>
            <w:hideMark/>
          </w:tcPr>
          <w:p w14:paraId="5BEF32AC" w14:textId="77777777" w:rsidR="00AE5054" w:rsidRPr="00AE5054" w:rsidRDefault="003B0DE2" w:rsidP="00AE5054">
            <w:pPr>
              <w:spacing w:before="0" w:after="0"/>
              <w:jc w:val="left"/>
              <w:rPr>
                <w:rFonts w:eastAsia="Times New Roman" w:cs="Arial"/>
                <w:color w:val="0563C1"/>
                <w:u w:val="single"/>
                <w:lang w:eastAsia="el-GR"/>
              </w:rPr>
            </w:pPr>
            <w:hyperlink r:id="rId577" w:history="1">
              <w:r w:rsidR="00AE5054" w:rsidRPr="00AE5054">
                <w:rPr>
                  <w:rFonts w:eastAsia="Times New Roman" w:cs="Arial"/>
                  <w:color w:val="0563C1"/>
                  <w:u w:val="single"/>
                  <w:lang w:eastAsia="el-GR"/>
                </w:rPr>
                <w:t>Tolerance International</w:t>
              </w:r>
            </w:hyperlink>
          </w:p>
        </w:tc>
        <w:tc>
          <w:tcPr>
            <w:tcW w:w="1842" w:type="dxa"/>
            <w:shd w:val="clear" w:color="auto" w:fill="auto"/>
            <w:vAlign w:val="center"/>
            <w:hideMark/>
          </w:tcPr>
          <w:p w14:paraId="0277CC8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48ED001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64E90CF3" w14:textId="77777777" w:rsidTr="0022057B">
        <w:trPr>
          <w:trHeight w:val="574"/>
        </w:trPr>
        <w:tc>
          <w:tcPr>
            <w:tcW w:w="4390" w:type="dxa"/>
            <w:shd w:val="clear" w:color="auto" w:fill="auto"/>
            <w:vAlign w:val="center"/>
            <w:hideMark/>
          </w:tcPr>
          <w:p w14:paraId="7EA3341A" w14:textId="77777777" w:rsidR="00AE5054" w:rsidRPr="00AE5054" w:rsidRDefault="003B0DE2" w:rsidP="00AE5054">
            <w:pPr>
              <w:spacing w:before="0" w:after="0"/>
              <w:jc w:val="left"/>
              <w:rPr>
                <w:rFonts w:eastAsia="Times New Roman" w:cs="Arial"/>
                <w:color w:val="0563C1"/>
                <w:u w:val="single"/>
                <w:lang w:eastAsia="el-GR"/>
              </w:rPr>
            </w:pPr>
            <w:hyperlink r:id="rId578" w:history="1">
              <w:r w:rsidR="00AE5054" w:rsidRPr="00AE5054">
                <w:rPr>
                  <w:rFonts w:eastAsia="Times New Roman" w:cs="Arial"/>
                  <w:color w:val="0563C1"/>
                  <w:u w:val="single"/>
                  <w:lang w:eastAsia="el-GR"/>
                </w:rPr>
                <w:t>Trading Emissions</w:t>
              </w:r>
            </w:hyperlink>
          </w:p>
        </w:tc>
        <w:tc>
          <w:tcPr>
            <w:tcW w:w="1842" w:type="dxa"/>
            <w:shd w:val="clear" w:color="auto" w:fill="auto"/>
            <w:vAlign w:val="center"/>
            <w:hideMark/>
          </w:tcPr>
          <w:p w14:paraId="5612BF7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847C8A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w:t>
            </w:r>
          </w:p>
        </w:tc>
      </w:tr>
      <w:tr w:rsidR="00AE5054" w:rsidRPr="00AE5054" w14:paraId="481DC75B" w14:textId="77777777" w:rsidTr="0022057B">
        <w:trPr>
          <w:trHeight w:val="860"/>
        </w:trPr>
        <w:tc>
          <w:tcPr>
            <w:tcW w:w="4390" w:type="dxa"/>
            <w:shd w:val="clear" w:color="auto" w:fill="auto"/>
            <w:vAlign w:val="center"/>
            <w:hideMark/>
          </w:tcPr>
          <w:p w14:paraId="5BA2AA28" w14:textId="77777777" w:rsidR="00AE5054" w:rsidRPr="00AE5054" w:rsidRDefault="003B0DE2" w:rsidP="00AE5054">
            <w:pPr>
              <w:spacing w:before="0" w:after="0"/>
              <w:jc w:val="left"/>
              <w:rPr>
                <w:rFonts w:eastAsia="Times New Roman" w:cs="Arial"/>
                <w:color w:val="0563C1"/>
                <w:u w:val="single"/>
                <w:lang w:eastAsia="el-GR"/>
              </w:rPr>
            </w:pPr>
            <w:hyperlink r:id="rId579" w:history="1">
              <w:r w:rsidR="00AE5054" w:rsidRPr="00AE5054">
                <w:rPr>
                  <w:rFonts w:eastAsia="Times New Roman" w:cs="Arial"/>
                  <w:color w:val="0563C1"/>
                  <w:u w:val="single"/>
                  <w:lang w:eastAsia="el-GR"/>
                </w:rPr>
                <w:t>Tradition Financial Services</w:t>
              </w:r>
            </w:hyperlink>
          </w:p>
        </w:tc>
        <w:tc>
          <w:tcPr>
            <w:tcW w:w="1842" w:type="dxa"/>
            <w:shd w:val="clear" w:color="auto" w:fill="auto"/>
            <w:vAlign w:val="center"/>
            <w:hideMark/>
          </w:tcPr>
          <w:p w14:paraId="0A669F3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1DF7D7C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Trader and/or broker</w:t>
            </w:r>
          </w:p>
        </w:tc>
      </w:tr>
      <w:tr w:rsidR="00AE5054" w:rsidRPr="00AE5054" w14:paraId="34E515A3" w14:textId="77777777" w:rsidTr="0022057B">
        <w:trPr>
          <w:trHeight w:val="287"/>
        </w:trPr>
        <w:tc>
          <w:tcPr>
            <w:tcW w:w="4390" w:type="dxa"/>
            <w:shd w:val="clear" w:color="auto" w:fill="auto"/>
            <w:vAlign w:val="center"/>
            <w:hideMark/>
          </w:tcPr>
          <w:p w14:paraId="3975D4A3" w14:textId="77777777" w:rsidR="00AE5054" w:rsidRPr="00AE5054" w:rsidRDefault="003B0DE2" w:rsidP="00AE5054">
            <w:pPr>
              <w:spacing w:before="0" w:after="0"/>
              <w:jc w:val="left"/>
              <w:rPr>
                <w:rFonts w:eastAsia="Times New Roman" w:cs="Arial"/>
                <w:color w:val="0563C1"/>
                <w:u w:val="single"/>
                <w:lang w:eastAsia="el-GR"/>
              </w:rPr>
            </w:pPr>
            <w:hyperlink r:id="rId580" w:history="1">
              <w:r w:rsidR="00AE5054" w:rsidRPr="00AE5054">
                <w:rPr>
                  <w:rFonts w:eastAsia="Times New Roman" w:cs="Arial"/>
                  <w:color w:val="0563C1"/>
                  <w:u w:val="single"/>
                  <w:lang w:eastAsia="el-GR"/>
                </w:rPr>
                <w:t>Tree Canada</w:t>
              </w:r>
            </w:hyperlink>
          </w:p>
        </w:tc>
        <w:tc>
          <w:tcPr>
            <w:tcW w:w="1842" w:type="dxa"/>
            <w:shd w:val="clear" w:color="auto" w:fill="auto"/>
            <w:vAlign w:val="center"/>
            <w:hideMark/>
          </w:tcPr>
          <w:p w14:paraId="786B3E3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453F9FD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1533993" w14:textId="77777777" w:rsidTr="0022057B">
        <w:trPr>
          <w:trHeight w:val="287"/>
        </w:trPr>
        <w:tc>
          <w:tcPr>
            <w:tcW w:w="4390" w:type="dxa"/>
            <w:shd w:val="clear" w:color="auto" w:fill="auto"/>
            <w:vAlign w:val="center"/>
            <w:hideMark/>
          </w:tcPr>
          <w:p w14:paraId="537BF012" w14:textId="77777777" w:rsidR="00AE5054" w:rsidRPr="00AE5054" w:rsidRDefault="003B0DE2" w:rsidP="00AE5054">
            <w:pPr>
              <w:spacing w:before="0" w:after="0"/>
              <w:jc w:val="left"/>
              <w:rPr>
                <w:rFonts w:eastAsia="Times New Roman" w:cs="Arial"/>
                <w:color w:val="0563C1"/>
                <w:u w:val="single"/>
                <w:lang w:eastAsia="el-GR"/>
              </w:rPr>
            </w:pPr>
            <w:hyperlink r:id="rId581" w:history="1">
              <w:r w:rsidR="00AE5054" w:rsidRPr="00AE5054">
                <w:rPr>
                  <w:rFonts w:eastAsia="Times New Roman" w:cs="Arial"/>
                  <w:color w:val="0563C1"/>
                  <w:u w:val="single"/>
                  <w:lang w:eastAsia="el-GR"/>
                </w:rPr>
                <w:t>Tree Smart</w:t>
              </w:r>
            </w:hyperlink>
          </w:p>
        </w:tc>
        <w:tc>
          <w:tcPr>
            <w:tcW w:w="1842" w:type="dxa"/>
            <w:shd w:val="clear" w:color="auto" w:fill="auto"/>
            <w:vAlign w:val="center"/>
            <w:hideMark/>
          </w:tcPr>
          <w:p w14:paraId="54B5C4E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5C50582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443CF54" w14:textId="77777777" w:rsidTr="0022057B">
        <w:trPr>
          <w:trHeight w:val="287"/>
        </w:trPr>
        <w:tc>
          <w:tcPr>
            <w:tcW w:w="4390" w:type="dxa"/>
            <w:shd w:val="clear" w:color="auto" w:fill="auto"/>
            <w:vAlign w:val="center"/>
            <w:hideMark/>
          </w:tcPr>
          <w:p w14:paraId="40D4689C" w14:textId="77777777" w:rsidR="00AE5054" w:rsidRPr="00AE5054" w:rsidRDefault="003B0DE2" w:rsidP="00AE5054">
            <w:pPr>
              <w:spacing w:before="0" w:after="0"/>
              <w:jc w:val="left"/>
              <w:rPr>
                <w:rFonts w:eastAsia="Times New Roman" w:cs="Arial"/>
                <w:color w:val="0563C1"/>
                <w:u w:val="single"/>
                <w:lang w:eastAsia="el-GR"/>
              </w:rPr>
            </w:pPr>
            <w:hyperlink r:id="rId582" w:history="1">
              <w:proofErr w:type="spellStart"/>
              <w:r w:rsidR="00AE5054" w:rsidRPr="00AE5054">
                <w:rPr>
                  <w:rFonts w:eastAsia="Times New Roman" w:cs="Arial"/>
                  <w:color w:val="0563C1"/>
                  <w:u w:val="single"/>
                  <w:lang w:eastAsia="el-GR"/>
                </w:rPr>
                <w:t>Treeflights</w:t>
              </w:r>
              <w:proofErr w:type="spellEnd"/>
            </w:hyperlink>
          </w:p>
        </w:tc>
        <w:tc>
          <w:tcPr>
            <w:tcW w:w="1842" w:type="dxa"/>
            <w:shd w:val="clear" w:color="auto" w:fill="auto"/>
            <w:vAlign w:val="center"/>
            <w:hideMark/>
          </w:tcPr>
          <w:p w14:paraId="2FBE08F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86A622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2734452" w14:textId="77777777" w:rsidTr="0022057B">
        <w:trPr>
          <w:trHeight w:val="287"/>
        </w:trPr>
        <w:tc>
          <w:tcPr>
            <w:tcW w:w="4390" w:type="dxa"/>
            <w:shd w:val="clear" w:color="auto" w:fill="auto"/>
            <w:vAlign w:val="center"/>
            <w:hideMark/>
          </w:tcPr>
          <w:p w14:paraId="0875919A" w14:textId="77777777" w:rsidR="00AE5054" w:rsidRPr="00AE5054" w:rsidRDefault="003B0DE2" w:rsidP="00AE5054">
            <w:pPr>
              <w:spacing w:before="0" w:after="0"/>
              <w:jc w:val="left"/>
              <w:rPr>
                <w:rFonts w:eastAsia="Times New Roman" w:cs="Arial"/>
                <w:color w:val="0563C1"/>
                <w:u w:val="single"/>
                <w:lang w:eastAsia="el-GR"/>
              </w:rPr>
            </w:pPr>
            <w:hyperlink r:id="rId583" w:history="1">
              <w:r w:rsidR="00AE5054" w:rsidRPr="00AE5054">
                <w:rPr>
                  <w:rFonts w:eastAsia="Times New Roman" w:cs="Arial"/>
                  <w:color w:val="0563C1"/>
                  <w:u w:val="single"/>
                  <w:lang w:eastAsia="el-GR"/>
                </w:rPr>
                <w:t>Trees for Cities</w:t>
              </w:r>
            </w:hyperlink>
          </w:p>
        </w:tc>
        <w:tc>
          <w:tcPr>
            <w:tcW w:w="1842" w:type="dxa"/>
            <w:shd w:val="clear" w:color="auto" w:fill="auto"/>
            <w:vAlign w:val="center"/>
            <w:hideMark/>
          </w:tcPr>
          <w:p w14:paraId="215F6A6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6480F63C"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BFC9219" w14:textId="77777777" w:rsidTr="0022057B">
        <w:trPr>
          <w:trHeight w:val="287"/>
        </w:trPr>
        <w:tc>
          <w:tcPr>
            <w:tcW w:w="4390" w:type="dxa"/>
            <w:shd w:val="clear" w:color="auto" w:fill="auto"/>
            <w:vAlign w:val="center"/>
            <w:hideMark/>
          </w:tcPr>
          <w:p w14:paraId="5B10E68A" w14:textId="77777777" w:rsidR="00AE5054" w:rsidRPr="00AE5054" w:rsidRDefault="003B0DE2" w:rsidP="00AE5054">
            <w:pPr>
              <w:spacing w:before="0" w:after="0"/>
              <w:jc w:val="left"/>
              <w:rPr>
                <w:rFonts w:eastAsia="Times New Roman" w:cs="Arial"/>
                <w:color w:val="0563C1"/>
                <w:u w:val="single"/>
                <w:lang w:eastAsia="el-GR"/>
              </w:rPr>
            </w:pPr>
            <w:hyperlink r:id="rId584" w:history="1">
              <w:r w:rsidR="00AE5054" w:rsidRPr="00AE5054">
                <w:rPr>
                  <w:rFonts w:eastAsia="Times New Roman" w:cs="Arial"/>
                  <w:color w:val="0563C1"/>
                  <w:u w:val="single"/>
                  <w:lang w:eastAsia="el-GR"/>
                </w:rPr>
                <w:t>Trees for Life</w:t>
              </w:r>
            </w:hyperlink>
          </w:p>
        </w:tc>
        <w:tc>
          <w:tcPr>
            <w:tcW w:w="1842" w:type="dxa"/>
            <w:shd w:val="clear" w:color="auto" w:fill="auto"/>
            <w:vAlign w:val="center"/>
            <w:hideMark/>
          </w:tcPr>
          <w:p w14:paraId="3269136D"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041B078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778BF84F" w14:textId="77777777" w:rsidTr="0022057B">
        <w:trPr>
          <w:trHeight w:val="287"/>
        </w:trPr>
        <w:tc>
          <w:tcPr>
            <w:tcW w:w="4390" w:type="dxa"/>
            <w:shd w:val="clear" w:color="auto" w:fill="auto"/>
            <w:vAlign w:val="center"/>
            <w:hideMark/>
          </w:tcPr>
          <w:p w14:paraId="437D8A92" w14:textId="77777777" w:rsidR="00AE5054" w:rsidRPr="00AE5054" w:rsidRDefault="003B0DE2" w:rsidP="00AE5054">
            <w:pPr>
              <w:spacing w:before="0" w:after="0"/>
              <w:jc w:val="left"/>
              <w:rPr>
                <w:rFonts w:eastAsia="Times New Roman" w:cs="Arial"/>
                <w:color w:val="0563C1"/>
                <w:u w:val="single"/>
                <w:lang w:eastAsia="el-GR"/>
              </w:rPr>
            </w:pPr>
            <w:hyperlink r:id="rId585" w:history="1">
              <w:r w:rsidR="00AE5054" w:rsidRPr="00AE5054">
                <w:rPr>
                  <w:rFonts w:eastAsia="Times New Roman" w:cs="Arial"/>
                  <w:color w:val="0563C1"/>
                  <w:u w:val="single"/>
                  <w:lang w:eastAsia="el-GR"/>
                </w:rPr>
                <w:t>Trees for the Future</w:t>
              </w:r>
            </w:hyperlink>
          </w:p>
        </w:tc>
        <w:tc>
          <w:tcPr>
            <w:tcW w:w="1842" w:type="dxa"/>
            <w:shd w:val="clear" w:color="auto" w:fill="auto"/>
            <w:vAlign w:val="center"/>
            <w:hideMark/>
          </w:tcPr>
          <w:p w14:paraId="4239D37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3F7145B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7C2BAA89" w14:textId="77777777" w:rsidTr="0022057B">
        <w:trPr>
          <w:trHeight w:val="287"/>
        </w:trPr>
        <w:tc>
          <w:tcPr>
            <w:tcW w:w="4390" w:type="dxa"/>
            <w:shd w:val="clear" w:color="auto" w:fill="auto"/>
            <w:vAlign w:val="center"/>
            <w:hideMark/>
          </w:tcPr>
          <w:p w14:paraId="4FC1DA72" w14:textId="77777777" w:rsidR="00AE5054" w:rsidRPr="00AE5054" w:rsidRDefault="003B0DE2" w:rsidP="00AE5054">
            <w:pPr>
              <w:spacing w:before="0" w:after="0"/>
              <w:jc w:val="left"/>
              <w:rPr>
                <w:rFonts w:eastAsia="Times New Roman" w:cs="Arial"/>
                <w:color w:val="0563C1"/>
                <w:u w:val="single"/>
                <w:lang w:eastAsia="el-GR"/>
              </w:rPr>
            </w:pPr>
            <w:hyperlink r:id="rId586" w:history="1">
              <w:r w:rsidR="00AE5054" w:rsidRPr="00AE5054">
                <w:rPr>
                  <w:rFonts w:eastAsia="Times New Roman" w:cs="Arial"/>
                  <w:color w:val="0563C1"/>
                  <w:u w:val="single"/>
                  <w:lang w:eastAsia="el-GR"/>
                </w:rPr>
                <w:t>Trees, Water &amp; People</w:t>
              </w:r>
            </w:hyperlink>
          </w:p>
        </w:tc>
        <w:tc>
          <w:tcPr>
            <w:tcW w:w="1842" w:type="dxa"/>
            <w:shd w:val="clear" w:color="auto" w:fill="auto"/>
            <w:vAlign w:val="center"/>
            <w:hideMark/>
          </w:tcPr>
          <w:p w14:paraId="5AE6290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4AC17ED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A8427CF" w14:textId="77777777" w:rsidTr="0022057B">
        <w:trPr>
          <w:trHeight w:val="287"/>
        </w:trPr>
        <w:tc>
          <w:tcPr>
            <w:tcW w:w="4390" w:type="dxa"/>
            <w:shd w:val="clear" w:color="auto" w:fill="auto"/>
            <w:vAlign w:val="center"/>
            <w:hideMark/>
          </w:tcPr>
          <w:p w14:paraId="323A3EF5" w14:textId="77777777" w:rsidR="00AE5054" w:rsidRPr="00AE5054" w:rsidRDefault="003B0DE2" w:rsidP="00AE5054">
            <w:pPr>
              <w:spacing w:before="0" w:after="0"/>
              <w:jc w:val="left"/>
              <w:rPr>
                <w:rFonts w:eastAsia="Times New Roman" w:cs="Arial"/>
                <w:color w:val="0563C1"/>
                <w:u w:val="single"/>
                <w:lang w:eastAsia="el-GR"/>
              </w:rPr>
            </w:pPr>
            <w:hyperlink r:id="rId587" w:history="1">
              <w:proofErr w:type="spellStart"/>
              <w:r w:rsidR="00AE5054" w:rsidRPr="00AE5054">
                <w:rPr>
                  <w:rFonts w:eastAsia="Times New Roman" w:cs="Arial"/>
                  <w:color w:val="0563C1"/>
                  <w:u w:val="single"/>
                  <w:lang w:eastAsia="el-GR"/>
                </w:rPr>
                <w:t>Treeshirt</w:t>
              </w:r>
              <w:proofErr w:type="spellEnd"/>
            </w:hyperlink>
          </w:p>
        </w:tc>
        <w:tc>
          <w:tcPr>
            <w:tcW w:w="1842" w:type="dxa"/>
            <w:shd w:val="clear" w:color="auto" w:fill="auto"/>
            <w:vAlign w:val="center"/>
            <w:hideMark/>
          </w:tcPr>
          <w:p w14:paraId="7F8E1A2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098DA87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464D78E0" w14:textId="77777777" w:rsidTr="0022057B">
        <w:trPr>
          <w:trHeight w:val="574"/>
        </w:trPr>
        <w:tc>
          <w:tcPr>
            <w:tcW w:w="4390" w:type="dxa"/>
            <w:shd w:val="clear" w:color="auto" w:fill="auto"/>
            <w:vAlign w:val="center"/>
            <w:hideMark/>
          </w:tcPr>
          <w:p w14:paraId="5AF7F67B" w14:textId="77777777" w:rsidR="00AE5054" w:rsidRPr="00AE5054" w:rsidRDefault="003B0DE2" w:rsidP="00AE5054">
            <w:pPr>
              <w:spacing w:before="0" w:after="0"/>
              <w:jc w:val="left"/>
              <w:rPr>
                <w:rFonts w:eastAsia="Times New Roman" w:cs="Arial"/>
                <w:color w:val="0563C1"/>
                <w:u w:val="single"/>
                <w:lang w:eastAsia="el-GR"/>
              </w:rPr>
            </w:pPr>
            <w:hyperlink r:id="rId588" w:history="1">
              <w:r w:rsidR="00AE5054" w:rsidRPr="00AE5054">
                <w:rPr>
                  <w:rFonts w:eastAsia="Times New Roman" w:cs="Arial"/>
                  <w:color w:val="0563C1"/>
                  <w:u w:val="single"/>
                  <w:lang w:eastAsia="el-GR"/>
                </w:rPr>
                <w:t>Trexler Climate and Energy Services</w:t>
              </w:r>
            </w:hyperlink>
          </w:p>
        </w:tc>
        <w:tc>
          <w:tcPr>
            <w:tcW w:w="1842" w:type="dxa"/>
            <w:shd w:val="clear" w:color="auto" w:fill="auto"/>
            <w:vAlign w:val="center"/>
            <w:hideMark/>
          </w:tcPr>
          <w:p w14:paraId="75B7B50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23A9DB4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Consultant</w:t>
            </w:r>
          </w:p>
        </w:tc>
      </w:tr>
      <w:tr w:rsidR="00AE5054" w:rsidRPr="00AE5054" w14:paraId="7366C94B" w14:textId="77777777" w:rsidTr="0022057B">
        <w:trPr>
          <w:trHeight w:val="287"/>
        </w:trPr>
        <w:tc>
          <w:tcPr>
            <w:tcW w:w="4390" w:type="dxa"/>
            <w:shd w:val="clear" w:color="auto" w:fill="auto"/>
            <w:vAlign w:val="center"/>
            <w:hideMark/>
          </w:tcPr>
          <w:p w14:paraId="2522F38E" w14:textId="77777777" w:rsidR="00AE5054" w:rsidRPr="00AE5054" w:rsidRDefault="003B0DE2" w:rsidP="00AE5054">
            <w:pPr>
              <w:spacing w:before="0" w:after="0"/>
              <w:jc w:val="left"/>
              <w:rPr>
                <w:rFonts w:eastAsia="Times New Roman" w:cs="Arial"/>
                <w:color w:val="0563C1"/>
                <w:u w:val="single"/>
                <w:lang w:eastAsia="el-GR"/>
              </w:rPr>
            </w:pPr>
            <w:hyperlink r:id="rId589" w:history="1">
              <w:proofErr w:type="spellStart"/>
              <w:r w:rsidR="00AE5054" w:rsidRPr="00AE5054">
                <w:rPr>
                  <w:rFonts w:eastAsia="Times New Roman" w:cs="Arial"/>
                  <w:color w:val="0563C1"/>
                  <w:u w:val="single"/>
                  <w:lang w:eastAsia="el-GR"/>
                </w:rPr>
                <w:t>Tricorona</w:t>
              </w:r>
              <w:proofErr w:type="spellEnd"/>
            </w:hyperlink>
          </w:p>
        </w:tc>
        <w:tc>
          <w:tcPr>
            <w:tcW w:w="1842" w:type="dxa"/>
            <w:shd w:val="clear" w:color="auto" w:fill="auto"/>
            <w:vAlign w:val="center"/>
            <w:hideMark/>
          </w:tcPr>
          <w:p w14:paraId="48E661A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Sweden</w:t>
            </w:r>
          </w:p>
        </w:tc>
        <w:tc>
          <w:tcPr>
            <w:tcW w:w="2977" w:type="dxa"/>
            <w:shd w:val="clear" w:color="auto" w:fill="auto"/>
            <w:vAlign w:val="center"/>
            <w:hideMark/>
          </w:tcPr>
          <w:p w14:paraId="493E3AE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330E10C6" w14:textId="77777777" w:rsidTr="0022057B">
        <w:trPr>
          <w:trHeight w:val="287"/>
        </w:trPr>
        <w:tc>
          <w:tcPr>
            <w:tcW w:w="4390" w:type="dxa"/>
            <w:shd w:val="clear" w:color="auto" w:fill="auto"/>
            <w:vAlign w:val="center"/>
            <w:hideMark/>
          </w:tcPr>
          <w:p w14:paraId="49453B7B" w14:textId="77777777" w:rsidR="00AE5054" w:rsidRPr="00AE5054" w:rsidRDefault="003B0DE2" w:rsidP="00AE5054">
            <w:pPr>
              <w:spacing w:before="0" w:after="0"/>
              <w:jc w:val="left"/>
              <w:rPr>
                <w:rFonts w:eastAsia="Times New Roman" w:cs="Arial"/>
                <w:color w:val="0563C1"/>
                <w:u w:val="single"/>
                <w:lang w:eastAsia="el-GR"/>
              </w:rPr>
            </w:pPr>
            <w:hyperlink r:id="rId590" w:history="1">
              <w:proofErr w:type="spellStart"/>
              <w:r w:rsidR="00AE5054" w:rsidRPr="00AE5054">
                <w:rPr>
                  <w:rFonts w:eastAsia="Times New Roman" w:cs="Arial"/>
                  <w:color w:val="0563C1"/>
                  <w:u w:val="single"/>
                  <w:lang w:eastAsia="el-GR"/>
                </w:rPr>
                <w:t>Tru</w:t>
              </w:r>
              <w:proofErr w:type="spellEnd"/>
              <w:r w:rsidR="00AE5054" w:rsidRPr="00AE5054">
                <w:rPr>
                  <w:rFonts w:eastAsia="Times New Roman" w:cs="Arial"/>
                  <w:color w:val="0563C1"/>
                  <w:u w:val="single"/>
                  <w:lang w:eastAsia="el-GR"/>
                </w:rPr>
                <w:t xml:space="preserve"> Green Globe</w:t>
              </w:r>
            </w:hyperlink>
          </w:p>
        </w:tc>
        <w:tc>
          <w:tcPr>
            <w:tcW w:w="1842" w:type="dxa"/>
            <w:shd w:val="clear" w:color="auto" w:fill="auto"/>
            <w:vAlign w:val="center"/>
            <w:hideMark/>
          </w:tcPr>
          <w:p w14:paraId="0007B3A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4282E81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6A58D133" w14:textId="77777777" w:rsidTr="0022057B">
        <w:trPr>
          <w:trHeight w:val="287"/>
        </w:trPr>
        <w:tc>
          <w:tcPr>
            <w:tcW w:w="4390" w:type="dxa"/>
            <w:shd w:val="clear" w:color="auto" w:fill="auto"/>
            <w:vAlign w:val="center"/>
            <w:hideMark/>
          </w:tcPr>
          <w:p w14:paraId="3DA64450" w14:textId="77777777" w:rsidR="00AE5054" w:rsidRPr="00AE5054" w:rsidRDefault="003B0DE2" w:rsidP="00AE5054">
            <w:pPr>
              <w:spacing w:before="0" w:after="0"/>
              <w:jc w:val="left"/>
              <w:rPr>
                <w:rFonts w:eastAsia="Times New Roman" w:cs="Arial"/>
                <w:color w:val="0563C1"/>
                <w:u w:val="single"/>
                <w:lang w:eastAsia="el-GR"/>
              </w:rPr>
            </w:pPr>
            <w:hyperlink r:id="rId591" w:history="1">
              <w:r w:rsidR="00AE5054" w:rsidRPr="00AE5054">
                <w:rPr>
                  <w:rFonts w:eastAsia="Times New Roman" w:cs="Arial"/>
                  <w:color w:val="0563C1"/>
                  <w:u w:val="single"/>
                  <w:lang w:eastAsia="el-GR"/>
                </w:rPr>
                <w:t>TZ1</w:t>
              </w:r>
            </w:hyperlink>
          </w:p>
        </w:tc>
        <w:tc>
          <w:tcPr>
            <w:tcW w:w="1842" w:type="dxa"/>
            <w:shd w:val="clear" w:color="auto" w:fill="auto"/>
            <w:vAlign w:val="center"/>
            <w:hideMark/>
          </w:tcPr>
          <w:p w14:paraId="2E97765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03A4F50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w:t>
            </w:r>
          </w:p>
        </w:tc>
      </w:tr>
      <w:tr w:rsidR="00AE5054" w:rsidRPr="00AE5054" w14:paraId="5B4B7E5B" w14:textId="77777777" w:rsidTr="0022057B">
        <w:trPr>
          <w:trHeight w:val="287"/>
        </w:trPr>
        <w:tc>
          <w:tcPr>
            <w:tcW w:w="4390" w:type="dxa"/>
            <w:shd w:val="clear" w:color="auto" w:fill="auto"/>
            <w:vAlign w:val="center"/>
            <w:hideMark/>
          </w:tcPr>
          <w:p w14:paraId="6C5E928D" w14:textId="77777777" w:rsidR="00AE5054" w:rsidRPr="00AE5054" w:rsidRDefault="003B0DE2" w:rsidP="00AE5054">
            <w:pPr>
              <w:spacing w:before="0" w:after="0"/>
              <w:jc w:val="left"/>
              <w:rPr>
                <w:rFonts w:eastAsia="Times New Roman" w:cs="Arial"/>
                <w:color w:val="0563C1"/>
                <w:u w:val="single"/>
                <w:lang w:eastAsia="el-GR"/>
              </w:rPr>
            </w:pPr>
            <w:hyperlink r:id="rId592" w:history="1">
              <w:proofErr w:type="spellStart"/>
              <w:r w:rsidR="00AE5054" w:rsidRPr="00AE5054">
                <w:rPr>
                  <w:rFonts w:eastAsia="Times New Roman" w:cs="Arial"/>
                  <w:color w:val="0563C1"/>
                  <w:u w:val="single"/>
                  <w:lang w:eastAsia="el-GR"/>
                </w:rPr>
                <w:t>Uncook</w:t>
              </w:r>
              <w:proofErr w:type="spellEnd"/>
              <w:r w:rsidR="00AE5054" w:rsidRPr="00AE5054">
                <w:rPr>
                  <w:rFonts w:eastAsia="Times New Roman" w:cs="Arial"/>
                  <w:color w:val="0563C1"/>
                  <w:u w:val="single"/>
                  <w:lang w:eastAsia="el-GR"/>
                </w:rPr>
                <w:t xml:space="preserve"> the Planet</w:t>
              </w:r>
            </w:hyperlink>
          </w:p>
        </w:tc>
        <w:tc>
          <w:tcPr>
            <w:tcW w:w="1842" w:type="dxa"/>
            <w:shd w:val="clear" w:color="auto" w:fill="auto"/>
            <w:vAlign w:val="center"/>
            <w:hideMark/>
          </w:tcPr>
          <w:p w14:paraId="03292330"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Australia</w:t>
            </w:r>
          </w:p>
        </w:tc>
        <w:tc>
          <w:tcPr>
            <w:tcW w:w="2977" w:type="dxa"/>
            <w:shd w:val="clear" w:color="auto" w:fill="auto"/>
            <w:vAlign w:val="center"/>
            <w:hideMark/>
          </w:tcPr>
          <w:p w14:paraId="5C37949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33C495ED" w14:textId="77777777" w:rsidTr="0022057B">
        <w:trPr>
          <w:trHeight w:val="287"/>
        </w:trPr>
        <w:tc>
          <w:tcPr>
            <w:tcW w:w="4390" w:type="dxa"/>
            <w:shd w:val="clear" w:color="auto" w:fill="auto"/>
            <w:vAlign w:val="center"/>
            <w:hideMark/>
          </w:tcPr>
          <w:p w14:paraId="7A3B4751" w14:textId="77777777" w:rsidR="00AE5054" w:rsidRPr="00AE5054" w:rsidRDefault="003B0DE2" w:rsidP="00AE5054">
            <w:pPr>
              <w:spacing w:before="0" w:after="0"/>
              <w:jc w:val="left"/>
              <w:rPr>
                <w:rFonts w:eastAsia="Times New Roman" w:cs="Arial"/>
                <w:color w:val="0563C1"/>
                <w:u w:val="single"/>
                <w:lang w:eastAsia="el-GR"/>
              </w:rPr>
            </w:pPr>
            <w:hyperlink r:id="rId593" w:history="1">
              <w:proofErr w:type="spellStart"/>
              <w:r w:rsidR="00AE5054" w:rsidRPr="00AE5054">
                <w:rPr>
                  <w:rFonts w:eastAsia="Times New Roman" w:cs="Arial"/>
                  <w:color w:val="0563C1"/>
                  <w:u w:val="single"/>
                  <w:lang w:eastAsia="el-GR"/>
                </w:rPr>
                <w:t>Vanrenewable</w:t>
              </w:r>
              <w:proofErr w:type="spellEnd"/>
            </w:hyperlink>
          </w:p>
        </w:tc>
        <w:tc>
          <w:tcPr>
            <w:tcW w:w="1842" w:type="dxa"/>
            <w:shd w:val="clear" w:color="auto" w:fill="auto"/>
            <w:vAlign w:val="center"/>
            <w:hideMark/>
          </w:tcPr>
          <w:p w14:paraId="4F2BDB9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60944915"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0874C1A5" w14:textId="77777777" w:rsidTr="0022057B">
        <w:trPr>
          <w:trHeight w:val="860"/>
        </w:trPr>
        <w:tc>
          <w:tcPr>
            <w:tcW w:w="4390" w:type="dxa"/>
            <w:shd w:val="clear" w:color="auto" w:fill="auto"/>
            <w:vAlign w:val="center"/>
            <w:hideMark/>
          </w:tcPr>
          <w:p w14:paraId="17B88323" w14:textId="77777777" w:rsidR="00AE5054" w:rsidRPr="00AE5054" w:rsidRDefault="003B0DE2" w:rsidP="00AE5054">
            <w:pPr>
              <w:spacing w:before="0" w:after="0"/>
              <w:jc w:val="left"/>
              <w:rPr>
                <w:rFonts w:eastAsia="Times New Roman" w:cs="Arial"/>
                <w:color w:val="0563C1"/>
                <w:u w:val="single"/>
                <w:lang w:eastAsia="el-GR"/>
              </w:rPr>
            </w:pPr>
            <w:hyperlink r:id="rId594" w:history="1">
              <w:r w:rsidR="00AE5054" w:rsidRPr="00AE5054">
                <w:rPr>
                  <w:rFonts w:eastAsia="Times New Roman" w:cs="Arial"/>
                  <w:color w:val="0563C1"/>
                  <w:u w:val="single"/>
                  <w:lang w:eastAsia="el-GR"/>
                </w:rPr>
                <w:t>Vert Conservation Pte Ltd</w:t>
              </w:r>
            </w:hyperlink>
          </w:p>
        </w:tc>
        <w:tc>
          <w:tcPr>
            <w:tcW w:w="1842" w:type="dxa"/>
            <w:shd w:val="clear" w:color="auto" w:fill="auto"/>
            <w:vAlign w:val="center"/>
            <w:hideMark/>
          </w:tcPr>
          <w:p w14:paraId="1C8B879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Singapore</w:t>
            </w:r>
          </w:p>
        </w:tc>
        <w:tc>
          <w:tcPr>
            <w:tcW w:w="2977" w:type="dxa"/>
            <w:shd w:val="clear" w:color="auto" w:fill="auto"/>
            <w:vAlign w:val="center"/>
            <w:hideMark/>
          </w:tcPr>
          <w:p w14:paraId="2FDE913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Wholesaler, Trader and/or broker, Retailer, Consultant</w:t>
            </w:r>
          </w:p>
        </w:tc>
      </w:tr>
      <w:tr w:rsidR="00AE5054" w:rsidRPr="00AE5054" w14:paraId="0EAC91CB" w14:textId="77777777" w:rsidTr="0022057B">
        <w:trPr>
          <w:trHeight w:val="574"/>
        </w:trPr>
        <w:tc>
          <w:tcPr>
            <w:tcW w:w="4390" w:type="dxa"/>
            <w:shd w:val="clear" w:color="auto" w:fill="auto"/>
            <w:vAlign w:val="center"/>
            <w:hideMark/>
          </w:tcPr>
          <w:p w14:paraId="02359D4E" w14:textId="77777777" w:rsidR="00AE5054" w:rsidRPr="00AE5054" w:rsidRDefault="003B0DE2" w:rsidP="00AE5054">
            <w:pPr>
              <w:spacing w:before="0" w:after="0"/>
              <w:jc w:val="left"/>
              <w:rPr>
                <w:rFonts w:eastAsia="Times New Roman" w:cs="Arial"/>
                <w:color w:val="0563C1"/>
                <w:u w:val="single"/>
                <w:lang w:eastAsia="el-GR"/>
              </w:rPr>
            </w:pPr>
            <w:hyperlink r:id="rId595" w:history="1">
              <w:r w:rsidR="00AE5054" w:rsidRPr="00AE5054">
                <w:rPr>
                  <w:rFonts w:eastAsia="Times New Roman" w:cs="Arial"/>
                  <w:color w:val="0563C1"/>
                  <w:u w:val="single"/>
                  <w:lang w:eastAsia="el-GR"/>
                </w:rPr>
                <w:t>Vertis Environmental Finance</w:t>
              </w:r>
            </w:hyperlink>
          </w:p>
        </w:tc>
        <w:tc>
          <w:tcPr>
            <w:tcW w:w="1842" w:type="dxa"/>
            <w:shd w:val="clear" w:color="auto" w:fill="auto"/>
            <w:vAlign w:val="center"/>
            <w:hideMark/>
          </w:tcPr>
          <w:p w14:paraId="5DE05BF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Hungary</w:t>
            </w:r>
          </w:p>
        </w:tc>
        <w:tc>
          <w:tcPr>
            <w:tcW w:w="2977" w:type="dxa"/>
            <w:shd w:val="clear" w:color="auto" w:fill="auto"/>
            <w:vAlign w:val="center"/>
            <w:hideMark/>
          </w:tcPr>
          <w:p w14:paraId="0334765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Trader and/or broker, Retailer</w:t>
            </w:r>
          </w:p>
        </w:tc>
      </w:tr>
      <w:tr w:rsidR="00AE5054" w:rsidRPr="00AE5054" w14:paraId="7B4D0898" w14:textId="77777777" w:rsidTr="0022057B">
        <w:trPr>
          <w:trHeight w:val="287"/>
        </w:trPr>
        <w:tc>
          <w:tcPr>
            <w:tcW w:w="4390" w:type="dxa"/>
            <w:shd w:val="clear" w:color="auto" w:fill="auto"/>
            <w:vAlign w:val="center"/>
            <w:hideMark/>
          </w:tcPr>
          <w:p w14:paraId="0D61D658" w14:textId="77777777" w:rsidR="00AE5054" w:rsidRPr="00AE5054" w:rsidRDefault="003B0DE2" w:rsidP="00AE5054">
            <w:pPr>
              <w:spacing w:before="0" w:after="0"/>
              <w:jc w:val="left"/>
              <w:rPr>
                <w:rFonts w:eastAsia="Times New Roman" w:cs="Arial"/>
                <w:color w:val="0563C1"/>
                <w:u w:val="single"/>
                <w:lang w:eastAsia="el-GR"/>
              </w:rPr>
            </w:pPr>
            <w:hyperlink r:id="rId596" w:history="1">
              <w:proofErr w:type="spellStart"/>
              <w:r w:rsidR="00AE5054" w:rsidRPr="00AE5054">
                <w:rPr>
                  <w:rFonts w:eastAsia="Times New Roman" w:cs="Arial"/>
                  <w:color w:val="0563C1"/>
                  <w:u w:val="single"/>
                  <w:lang w:eastAsia="el-GR"/>
                </w:rPr>
                <w:t>Verus</w:t>
              </w:r>
              <w:proofErr w:type="spellEnd"/>
              <w:r w:rsidR="00AE5054" w:rsidRPr="00AE5054">
                <w:rPr>
                  <w:rFonts w:eastAsia="Times New Roman" w:cs="Arial"/>
                  <w:color w:val="0563C1"/>
                  <w:u w:val="single"/>
                  <w:lang w:eastAsia="el-GR"/>
                </w:rPr>
                <w:t xml:space="preserve"> Carbon Neutral</w:t>
              </w:r>
            </w:hyperlink>
          </w:p>
        </w:tc>
        <w:tc>
          <w:tcPr>
            <w:tcW w:w="1842" w:type="dxa"/>
            <w:shd w:val="clear" w:color="auto" w:fill="auto"/>
            <w:vAlign w:val="center"/>
            <w:hideMark/>
          </w:tcPr>
          <w:p w14:paraId="7D689DEB"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317F4A2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70CFD044" w14:textId="77777777" w:rsidTr="0022057B">
        <w:trPr>
          <w:trHeight w:val="287"/>
        </w:trPr>
        <w:tc>
          <w:tcPr>
            <w:tcW w:w="4390" w:type="dxa"/>
            <w:shd w:val="clear" w:color="auto" w:fill="auto"/>
            <w:vAlign w:val="center"/>
            <w:hideMark/>
          </w:tcPr>
          <w:p w14:paraId="554F992B" w14:textId="77777777" w:rsidR="00AE5054" w:rsidRPr="00AE5054" w:rsidRDefault="003B0DE2" w:rsidP="00AE5054">
            <w:pPr>
              <w:spacing w:before="0" w:after="0"/>
              <w:jc w:val="left"/>
              <w:rPr>
                <w:rFonts w:eastAsia="Times New Roman" w:cs="Arial"/>
                <w:color w:val="0563C1"/>
                <w:u w:val="single"/>
                <w:lang w:eastAsia="el-GR"/>
              </w:rPr>
            </w:pPr>
            <w:hyperlink r:id="rId597" w:history="1">
              <w:r w:rsidR="00AE5054" w:rsidRPr="00AE5054">
                <w:rPr>
                  <w:rFonts w:eastAsia="Times New Roman" w:cs="Arial"/>
                  <w:color w:val="0563C1"/>
                  <w:u w:val="single"/>
                  <w:lang w:eastAsia="el-GR"/>
                </w:rPr>
                <w:t>Vita</w:t>
              </w:r>
            </w:hyperlink>
          </w:p>
        </w:tc>
        <w:tc>
          <w:tcPr>
            <w:tcW w:w="1842" w:type="dxa"/>
            <w:shd w:val="clear" w:color="auto" w:fill="auto"/>
            <w:vAlign w:val="center"/>
            <w:hideMark/>
          </w:tcPr>
          <w:p w14:paraId="69B3DA7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Ireland</w:t>
            </w:r>
          </w:p>
        </w:tc>
        <w:tc>
          <w:tcPr>
            <w:tcW w:w="2977" w:type="dxa"/>
            <w:shd w:val="clear" w:color="auto" w:fill="auto"/>
            <w:vAlign w:val="center"/>
            <w:hideMark/>
          </w:tcPr>
          <w:p w14:paraId="33D0EAE3"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5398A748" w14:textId="77777777" w:rsidTr="0022057B">
        <w:trPr>
          <w:trHeight w:val="287"/>
        </w:trPr>
        <w:tc>
          <w:tcPr>
            <w:tcW w:w="4390" w:type="dxa"/>
            <w:shd w:val="clear" w:color="auto" w:fill="auto"/>
            <w:vAlign w:val="center"/>
            <w:hideMark/>
          </w:tcPr>
          <w:p w14:paraId="6F75BDAE" w14:textId="77777777" w:rsidR="00AE5054" w:rsidRPr="00AE5054" w:rsidRDefault="003B0DE2" w:rsidP="00AE5054">
            <w:pPr>
              <w:spacing w:before="0" w:after="0"/>
              <w:jc w:val="left"/>
              <w:rPr>
                <w:rFonts w:eastAsia="Times New Roman" w:cs="Arial"/>
                <w:color w:val="0563C1"/>
                <w:u w:val="single"/>
                <w:lang w:eastAsia="el-GR"/>
              </w:rPr>
            </w:pPr>
            <w:hyperlink r:id="rId598" w:history="1">
              <w:r w:rsidR="00AE5054" w:rsidRPr="00AE5054">
                <w:rPr>
                  <w:rFonts w:eastAsia="Times New Roman" w:cs="Arial"/>
                  <w:color w:val="0563C1"/>
                  <w:u w:val="single"/>
                  <w:lang w:eastAsia="el-GR"/>
                </w:rPr>
                <w:t>Woodland Trust</w:t>
              </w:r>
            </w:hyperlink>
          </w:p>
        </w:tc>
        <w:tc>
          <w:tcPr>
            <w:tcW w:w="1842" w:type="dxa"/>
            <w:shd w:val="clear" w:color="auto" w:fill="auto"/>
            <w:vAlign w:val="center"/>
            <w:hideMark/>
          </w:tcPr>
          <w:p w14:paraId="12FABB84"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7F881C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DE4CFA7" w14:textId="77777777" w:rsidTr="0022057B">
        <w:trPr>
          <w:trHeight w:val="287"/>
        </w:trPr>
        <w:tc>
          <w:tcPr>
            <w:tcW w:w="4390" w:type="dxa"/>
            <w:shd w:val="clear" w:color="auto" w:fill="auto"/>
            <w:vAlign w:val="center"/>
            <w:hideMark/>
          </w:tcPr>
          <w:p w14:paraId="22566121" w14:textId="77777777" w:rsidR="00AE5054" w:rsidRPr="00AE5054" w:rsidRDefault="003B0DE2" w:rsidP="00AE5054">
            <w:pPr>
              <w:spacing w:before="0" w:after="0"/>
              <w:jc w:val="left"/>
              <w:rPr>
                <w:rFonts w:eastAsia="Times New Roman" w:cs="Arial"/>
                <w:color w:val="0563C1"/>
                <w:u w:val="single"/>
                <w:lang w:eastAsia="el-GR"/>
              </w:rPr>
            </w:pPr>
            <w:hyperlink r:id="rId599" w:history="1">
              <w:r w:rsidR="00AE5054" w:rsidRPr="00AE5054">
                <w:rPr>
                  <w:rFonts w:eastAsia="Times New Roman" w:cs="Arial"/>
                  <w:color w:val="0563C1"/>
                  <w:u w:val="single"/>
                  <w:lang w:eastAsia="el-GR"/>
                </w:rPr>
                <w:t xml:space="preserve">World Land Trust </w:t>
              </w:r>
              <w:proofErr w:type="spellStart"/>
              <w:r w:rsidR="00AE5054" w:rsidRPr="00AE5054">
                <w:rPr>
                  <w:rFonts w:eastAsia="Times New Roman" w:cs="Arial"/>
                  <w:color w:val="0563C1"/>
                  <w:u w:val="single"/>
                  <w:lang w:eastAsia="el-GR"/>
                </w:rPr>
                <w:t>CarbonBalanced</w:t>
              </w:r>
              <w:proofErr w:type="spellEnd"/>
            </w:hyperlink>
          </w:p>
        </w:tc>
        <w:tc>
          <w:tcPr>
            <w:tcW w:w="1842" w:type="dxa"/>
            <w:shd w:val="clear" w:color="auto" w:fill="auto"/>
            <w:vAlign w:val="center"/>
            <w:hideMark/>
          </w:tcPr>
          <w:p w14:paraId="66D8FF02"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2DBBEFA1"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18B6D0B8" w14:textId="77777777" w:rsidTr="0022057B">
        <w:trPr>
          <w:trHeight w:val="574"/>
        </w:trPr>
        <w:tc>
          <w:tcPr>
            <w:tcW w:w="4390" w:type="dxa"/>
            <w:shd w:val="clear" w:color="auto" w:fill="auto"/>
            <w:vAlign w:val="center"/>
            <w:hideMark/>
          </w:tcPr>
          <w:p w14:paraId="6DFEFD2D" w14:textId="77777777" w:rsidR="00AE5054" w:rsidRPr="00AE5054" w:rsidRDefault="003B0DE2" w:rsidP="00AE5054">
            <w:pPr>
              <w:spacing w:before="0" w:after="0"/>
              <w:jc w:val="left"/>
              <w:rPr>
                <w:rFonts w:eastAsia="Times New Roman" w:cs="Arial"/>
                <w:color w:val="0563C1"/>
                <w:u w:val="single"/>
                <w:lang w:eastAsia="el-GR"/>
              </w:rPr>
            </w:pPr>
            <w:hyperlink r:id="rId600" w:history="1">
              <w:proofErr w:type="spellStart"/>
              <w:r w:rsidR="00AE5054" w:rsidRPr="00AE5054">
                <w:rPr>
                  <w:rFonts w:eastAsia="Times New Roman" w:cs="Arial"/>
                  <w:color w:val="0563C1"/>
                  <w:u w:val="single"/>
                  <w:lang w:eastAsia="el-GR"/>
                </w:rPr>
                <w:t>Xelector</w:t>
              </w:r>
              <w:proofErr w:type="spellEnd"/>
            </w:hyperlink>
          </w:p>
        </w:tc>
        <w:tc>
          <w:tcPr>
            <w:tcW w:w="1842" w:type="dxa"/>
            <w:shd w:val="clear" w:color="auto" w:fill="auto"/>
            <w:vAlign w:val="center"/>
            <w:hideMark/>
          </w:tcPr>
          <w:p w14:paraId="6A439A6F"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Kingdom</w:t>
            </w:r>
          </w:p>
        </w:tc>
        <w:tc>
          <w:tcPr>
            <w:tcW w:w="2977" w:type="dxa"/>
            <w:shd w:val="clear" w:color="auto" w:fill="auto"/>
            <w:vAlign w:val="center"/>
            <w:hideMark/>
          </w:tcPr>
          <w:p w14:paraId="3E889487"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Trader and/or broker, Retailer</w:t>
            </w:r>
          </w:p>
        </w:tc>
      </w:tr>
      <w:tr w:rsidR="00AE5054" w:rsidRPr="00AE5054" w14:paraId="49A299FD" w14:textId="77777777" w:rsidTr="0022057B">
        <w:trPr>
          <w:trHeight w:val="287"/>
        </w:trPr>
        <w:tc>
          <w:tcPr>
            <w:tcW w:w="4390" w:type="dxa"/>
            <w:shd w:val="clear" w:color="auto" w:fill="auto"/>
            <w:vAlign w:val="center"/>
            <w:hideMark/>
          </w:tcPr>
          <w:p w14:paraId="3871D5DF" w14:textId="77777777" w:rsidR="00AE5054" w:rsidRPr="00AE5054" w:rsidRDefault="003B0DE2" w:rsidP="00AE5054">
            <w:pPr>
              <w:spacing w:before="0" w:after="0"/>
              <w:jc w:val="left"/>
              <w:rPr>
                <w:rFonts w:eastAsia="Times New Roman" w:cs="Arial"/>
                <w:color w:val="0563C1"/>
                <w:u w:val="single"/>
                <w:lang w:eastAsia="el-GR"/>
              </w:rPr>
            </w:pPr>
            <w:hyperlink r:id="rId601" w:history="1">
              <w:r w:rsidR="00AE5054" w:rsidRPr="00AE5054">
                <w:rPr>
                  <w:rFonts w:eastAsia="Times New Roman" w:cs="Arial"/>
                  <w:color w:val="0563C1"/>
                  <w:u w:val="single"/>
                  <w:lang w:eastAsia="el-GR"/>
                </w:rPr>
                <w:t>Zero</w:t>
              </w:r>
            </w:hyperlink>
          </w:p>
        </w:tc>
        <w:tc>
          <w:tcPr>
            <w:tcW w:w="1842" w:type="dxa"/>
            <w:shd w:val="clear" w:color="auto" w:fill="auto"/>
            <w:vAlign w:val="center"/>
            <w:hideMark/>
          </w:tcPr>
          <w:p w14:paraId="02269A3E"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United States</w:t>
            </w:r>
          </w:p>
        </w:tc>
        <w:tc>
          <w:tcPr>
            <w:tcW w:w="2977" w:type="dxa"/>
            <w:shd w:val="clear" w:color="auto" w:fill="auto"/>
            <w:vAlign w:val="center"/>
            <w:hideMark/>
          </w:tcPr>
          <w:p w14:paraId="1DF7E1EA"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w:t>
            </w:r>
          </w:p>
        </w:tc>
      </w:tr>
      <w:tr w:rsidR="00AE5054" w:rsidRPr="00AE5054" w14:paraId="199310B7" w14:textId="77777777" w:rsidTr="0022057B">
        <w:trPr>
          <w:trHeight w:val="287"/>
        </w:trPr>
        <w:tc>
          <w:tcPr>
            <w:tcW w:w="4390" w:type="dxa"/>
            <w:shd w:val="clear" w:color="auto" w:fill="auto"/>
            <w:vAlign w:val="center"/>
            <w:hideMark/>
          </w:tcPr>
          <w:p w14:paraId="7DFA506E" w14:textId="77777777" w:rsidR="00AE5054" w:rsidRPr="00AE5054" w:rsidRDefault="003B0DE2" w:rsidP="00AE5054">
            <w:pPr>
              <w:spacing w:before="0" w:after="0"/>
              <w:jc w:val="left"/>
              <w:rPr>
                <w:rFonts w:eastAsia="Times New Roman" w:cs="Arial"/>
                <w:color w:val="0563C1"/>
                <w:u w:val="single"/>
                <w:lang w:eastAsia="el-GR"/>
              </w:rPr>
            </w:pPr>
            <w:hyperlink r:id="rId602" w:history="1">
              <w:proofErr w:type="spellStart"/>
              <w:r w:rsidR="00AE5054" w:rsidRPr="00AE5054">
                <w:rPr>
                  <w:rFonts w:eastAsia="Times New Roman" w:cs="Arial"/>
                  <w:color w:val="0563C1"/>
                  <w:u w:val="single"/>
                  <w:lang w:eastAsia="el-GR"/>
                </w:rPr>
                <w:t>Zerofootprint</w:t>
              </w:r>
              <w:proofErr w:type="spellEnd"/>
            </w:hyperlink>
          </w:p>
        </w:tc>
        <w:tc>
          <w:tcPr>
            <w:tcW w:w="1842" w:type="dxa"/>
            <w:shd w:val="clear" w:color="auto" w:fill="auto"/>
            <w:vAlign w:val="center"/>
            <w:hideMark/>
          </w:tcPr>
          <w:p w14:paraId="06EC7DC8"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39A211D6"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Project developer, Retailer</w:t>
            </w:r>
          </w:p>
        </w:tc>
      </w:tr>
      <w:tr w:rsidR="00AE5054" w:rsidRPr="00AE5054" w14:paraId="4D76FD99" w14:textId="77777777" w:rsidTr="0022057B">
        <w:trPr>
          <w:trHeight w:val="287"/>
        </w:trPr>
        <w:tc>
          <w:tcPr>
            <w:tcW w:w="4390" w:type="dxa"/>
            <w:shd w:val="clear" w:color="auto" w:fill="auto"/>
            <w:vAlign w:val="center"/>
            <w:hideMark/>
          </w:tcPr>
          <w:p w14:paraId="39F50B61" w14:textId="77777777" w:rsidR="00AE5054" w:rsidRPr="00AE5054" w:rsidRDefault="003B0DE2" w:rsidP="00AE5054">
            <w:pPr>
              <w:spacing w:before="0" w:after="0"/>
              <w:jc w:val="left"/>
              <w:rPr>
                <w:rFonts w:eastAsia="Times New Roman" w:cs="Arial"/>
                <w:color w:val="0563C1"/>
                <w:u w:val="single"/>
                <w:lang w:eastAsia="el-GR"/>
              </w:rPr>
            </w:pPr>
            <w:hyperlink r:id="rId603" w:history="1">
              <w:proofErr w:type="spellStart"/>
              <w:r w:rsidR="00AE5054" w:rsidRPr="00AE5054">
                <w:rPr>
                  <w:rFonts w:eastAsia="Times New Roman" w:cs="Arial"/>
                  <w:color w:val="0563C1"/>
                  <w:u w:val="single"/>
                  <w:lang w:eastAsia="el-GR"/>
                </w:rPr>
                <w:t>Zeroghg</w:t>
              </w:r>
              <w:proofErr w:type="spellEnd"/>
            </w:hyperlink>
          </w:p>
        </w:tc>
        <w:tc>
          <w:tcPr>
            <w:tcW w:w="1842" w:type="dxa"/>
            <w:shd w:val="clear" w:color="auto" w:fill="auto"/>
            <w:vAlign w:val="center"/>
            <w:hideMark/>
          </w:tcPr>
          <w:p w14:paraId="08C26C5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Canada</w:t>
            </w:r>
          </w:p>
        </w:tc>
        <w:tc>
          <w:tcPr>
            <w:tcW w:w="2977" w:type="dxa"/>
            <w:shd w:val="clear" w:color="auto" w:fill="auto"/>
            <w:vAlign w:val="center"/>
            <w:hideMark/>
          </w:tcPr>
          <w:p w14:paraId="25C33939" w14:textId="77777777" w:rsidR="00AE5054" w:rsidRPr="00AE5054" w:rsidRDefault="00AE5054" w:rsidP="00AE5054">
            <w:pPr>
              <w:spacing w:before="0" w:after="0"/>
              <w:jc w:val="left"/>
              <w:rPr>
                <w:rFonts w:eastAsia="Times New Roman" w:cs="Arial"/>
                <w:color w:val="000000"/>
                <w:lang w:eastAsia="el-GR"/>
              </w:rPr>
            </w:pPr>
            <w:r w:rsidRPr="00AE5054">
              <w:rPr>
                <w:rFonts w:eastAsia="Times New Roman" w:cs="Arial"/>
                <w:color w:val="000000"/>
                <w:lang w:eastAsia="el-GR"/>
              </w:rPr>
              <w:t>Retailer, Consultant</w:t>
            </w:r>
          </w:p>
        </w:tc>
      </w:tr>
    </w:tbl>
    <w:p w14:paraId="37B64C4E" w14:textId="77777777" w:rsidR="0038402E" w:rsidRPr="00DB35D4" w:rsidRDefault="0038402E" w:rsidP="0038402E">
      <w:pPr>
        <w:rPr>
          <w:rFonts w:cs="Arial"/>
        </w:rPr>
      </w:pPr>
    </w:p>
    <w:p w14:paraId="5FD6340F" w14:textId="77777777" w:rsidR="009B3BE6" w:rsidRPr="00EE5690" w:rsidRDefault="009B3BE6" w:rsidP="00EE5690">
      <w:pPr>
        <w:jc w:val="left"/>
        <w:rPr>
          <w:rFonts w:cs="Arial"/>
          <w:lang w:val="en-GB"/>
        </w:rPr>
      </w:pPr>
    </w:p>
    <w:sectPr w:rsidR="009B3BE6" w:rsidRPr="00EE5690" w:rsidSect="00293100">
      <w:pgSz w:w="11907" w:h="16839" w:code="9"/>
      <w:pgMar w:top="1701" w:right="1701" w:bottom="1701" w:left="1701" w:header="850"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4C4CA9" w14:textId="77777777" w:rsidR="003B0DE2" w:rsidRDefault="003B0DE2" w:rsidP="00D21C20">
      <w:pPr>
        <w:spacing w:before="0" w:after="0" w:line="240" w:lineRule="auto"/>
      </w:pPr>
      <w:r>
        <w:separator/>
      </w:r>
    </w:p>
  </w:endnote>
  <w:endnote w:type="continuationSeparator" w:id="0">
    <w:p w14:paraId="37CC0C57" w14:textId="77777777" w:rsidR="003B0DE2" w:rsidRDefault="003B0DE2" w:rsidP="00D21C2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Consolas">
    <w:panose1 w:val="020B0609020204030204"/>
    <w:charset w:val="A1"/>
    <w:family w:val="modern"/>
    <w:pitch w:val="fixed"/>
    <w:sig w:usb0="E00006FF" w:usb1="0000FCFF" w:usb2="00000001" w:usb3="00000000" w:csb0="0000019F" w:csb1="00000000"/>
  </w:font>
  <w:font w:name="Helvetica">
    <w:panose1 w:val="020B0604020202020204"/>
    <w:charset w:val="00"/>
    <w:family w:val="swiss"/>
    <w:pitch w:val="variable"/>
    <w:sig w:usb0="00000003" w:usb1="00000000" w:usb2="00000000" w:usb3="00000000" w:csb0="00000001" w:csb1="00000000"/>
  </w:font>
  <w:font w:name="Meta Serif Offc">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62DAD" w14:textId="7863E3A3" w:rsidR="00E636F7" w:rsidRDefault="00E636F7" w:rsidP="00DC774D">
    <w:pPr>
      <w:jc w:val="center"/>
    </w:pPr>
    <w:r w:rsidRPr="00691395">
      <w:rPr>
        <w:sz w:val="20"/>
        <w:szCs w:val="20"/>
        <w:lang w:val="en-GB"/>
      </w:rPr>
      <w:t>[</w:t>
    </w:r>
    <w:r w:rsidRPr="00691395">
      <w:rPr>
        <w:sz w:val="20"/>
        <w:szCs w:val="20"/>
        <w:lang w:val="en-GB"/>
      </w:rPr>
      <w:fldChar w:fldCharType="begin"/>
    </w:r>
    <w:r w:rsidRPr="00691395">
      <w:rPr>
        <w:sz w:val="20"/>
        <w:szCs w:val="20"/>
        <w:lang w:val="en-GB"/>
      </w:rPr>
      <w:instrText xml:space="preserve"> PAGE   \* MERGEFORMAT </w:instrText>
    </w:r>
    <w:r w:rsidRPr="00691395">
      <w:rPr>
        <w:sz w:val="20"/>
        <w:szCs w:val="20"/>
        <w:lang w:val="en-GB"/>
      </w:rPr>
      <w:fldChar w:fldCharType="separate"/>
    </w:r>
    <w:r>
      <w:rPr>
        <w:noProof/>
        <w:sz w:val="20"/>
        <w:szCs w:val="20"/>
        <w:lang w:val="en-GB"/>
      </w:rPr>
      <w:t>87</w:t>
    </w:r>
    <w:r w:rsidRPr="00691395">
      <w:rPr>
        <w:sz w:val="20"/>
        <w:szCs w:val="20"/>
        <w:lang w:val="en-GB"/>
      </w:rPr>
      <w:fldChar w:fldCharType="end"/>
    </w:r>
    <w:r>
      <w:rPr>
        <w:sz w:val="20"/>
        <w:szCs w:val="20"/>
        <w:lang w:val="el-GR"/>
      </w:rPr>
      <w:t>|</w:t>
    </w:r>
    <w:r>
      <w:rPr>
        <w:noProof/>
        <w:sz w:val="20"/>
        <w:szCs w:val="20"/>
        <w:lang w:val="en-GB"/>
      </w:rPr>
      <w:fldChar w:fldCharType="begin"/>
    </w:r>
    <w:r>
      <w:rPr>
        <w:noProof/>
        <w:sz w:val="20"/>
        <w:szCs w:val="20"/>
        <w:lang w:val="en-GB"/>
      </w:rPr>
      <w:instrText xml:space="preserve"> NUMPAGES   \* MERGEFORMAT </w:instrText>
    </w:r>
    <w:r>
      <w:rPr>
        <w:noProof/>
        <w:sz w:val="20"/>
        <w:szCs w:val="20"/>
        <w:lang w:val="en-GB"/>
      </w:rPr>
      <w:fldChar w:fldCharType="separate"/>
    </w:r>
    <w:r>
      <w:rPr>
        <w:noProof/>
        <w:sz w:val="20"/>
        <w:szCs w:val="20"/>
        <w:lang w:val="en-GB"/>
      </w:rPr>
      <w:t>96</w:t>
    </w:r>
    <w:r>
      <w:rPr>
        <w:noProof/>
        <w:sz w:val="20"/>
        <w:szCs w:val="20"/>
        <w:lang w:val="en-GB"/>
      </w:rPr>
      <w:fldChar w:fldCharType="end"/>
    </w:r>
    <w:r w:rsidRPr="00691395">
      <w:rPr>
        <w:sz w:val="20"/>
        <w:szCs w:val="20"/>
        <w:lang w:val="en-GB"/>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58FC8" w14:textId="77777777" w:rsidR="00293100" w:rsidRPr="00293100" w:rsidRDefault="00293100" w:rsidP="00293100">
    <w:pPr>
      <w:pStyle w:val="Footer"/>
      <w:pBdr>
        <w:top w:val="single" w:sz="4" w:space="1" w:color="auto"/>
      </w:pBdr>
      <w:jc w:val="center"/>
      <w:rPr>
        <w:sz w:val="20"/>
      </w:rPr>
    </w:pPr>
    <w:r>
      <w:rPr>
        <w:sz w:val="20"/>
      </w:rPr>
      <w:t xml:space="preserve">Deliverable D5.2 </w:t>
    </w:r>
    <w:r w:rsidRPr="00157BBF">
      <w:rPr>
        <w:sz w:val="20"/>
      </w:rPr>
      <w:t>reflects only the authors</w:t>
    </w:r>
    <w:r>
      <w:rPr>
        <w:sz w:val="20"/>
      </w:rPr>
      <w:t>’</w:t>
    </w:r>
    <w:r w:rsidRPr="00157BBF">
      <w:rPr>
        <w:sz w:val="20"/>
      </w:rPr>
      <w:t xml:space="preserve"> view</w:t>
    </w:r>
    <w:r>
      <w:rPr>
        <w:sz w:val="20"/>
      </w:rPr>
      <w:t>s,</w:t>
    </w:r>
    <w:r w:rsidRPr="00157BBF">
      <w:rPr>
        <w:sz w:val="20"/>
      </w:rPr>
      <w:t xml:space="preserve"> and the</w:t>
    </w:r>
    <w:r>
      <w:rPr>
        <w:sz w:val="20"/>
      </w:rPr>
      <w:t xml:space="preserve"> </w:t>
    </w:r>
    <w:r w:rsidRPr="00157BBF">
      <w:rPr>
        <w:sz w:val="20"/>
      </w:rPr>
      <w:t>Agency is not responsible for any use that may be made of the information it contains.</w:t>
    </w:r>
  </w:p>
  <w:p w14:paraId="449D1D30" w14:textId="77777777" w:rsidR="00293100" w:rsidRDefault="002931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B7586A" w14:textId="77777777" w:rsidR="003B0DE2" w:rsidRDefault="003B0DE2" w:rsidP="00D21C20">
      <w:pPr>
        <w:spacing w:before="0" w:after="0" w:line="240" w:lineRule="auto"/>
      </w:pPr>
      <w:r>
        <w:separator/>
      </w:r>
    </w:p>
  </w:footnote>
  <w:footnote w:type="continuationSeparator" w:id="0">
    <w:p w14:paraId="4318E111" w14:textId="77777777" w:rsidR="003B0DE2" w:rsidRDefault="003B0DE2" w:rsidP="00D21C20">
      <w:pPr>
        <w:spacing w:before="0" w:after="0" w:line="240" w:lineRule="auto"/>
      </w:pPr>
      <w:r>
        <w:continuationSeparator/>
      </w:r>
    </w:p>
  </w:footnote>
  <w:footnote w:id="1">
    <w:p w14:paraId="144AE238" w14:textId="77777777" w:rsidR="00E636F7" w:rsidRPr="00C60499" w:rsidRDefault="00E636F7" w:rsidP="000909EF">
      <w:pPr>
        <w:spacing w:before="0" w:after="0" w:line="240" w:lineRule="auto"/>
      </w:pPr>
      <w:r>
        <w:rPr>
          <w:rStyle w:val="FootnoteReference"/>
        </w:rPr>
        <w:footnoteRef/>
      </w:r>
      <w:r>
        <w:t xml:space="preserve"> </w:t>
      </w:r>
      <w:r w:rsidRPr="00C60499">
        <w:rPr>
          <w:rStyle w:val="Strong"/>
          <w:sz w:val="20"/>
        </w:rPr>
        <w:t>R</w:t>
      </w:r>
      <w:r w:rsidRPr="00C60499">
        <w:rPr>
          <w:sz w:val="20"/>
        </w:rPr>
        <w:t xml:space="preserve"> = Report, </w:t>
      </w:r>
      <w:r w:rsidRPr="00C60499">
        <w:rPr>
          <w:rStyle w:val="Strong"/>
          <w:sz w:val="20"/>
        </w:rPr>
        <w:t>P</w:t>
      </w:r>
      <w:r w:rsidRPr="00C60499">
        <w:rPr>
          <w:sz w:val="20"/>
        </w:rPr>
        <w:t xml:space="preserve"> = Prototype, </w:t>
      </w:r>
      <w:r w:rsidRPr="00C60499">
        <w:rPr>
          <w:rStyle w:val="Strong"/>
          <w:sz w:val="20"/>
        </w:rPr>
        <w:t>D</w:t>
      </w:r>
      <w:r w:rsidRPr="00C60499">
        <w:rPr>
          <w:sz w:val="20"/>
        </w:rPr>
        <w:t xml:space="preserve"> = Demonstrator, </w:t>
      </w:r>
      <w:r w:rsidRPr="00C60499">
        <w:rPr>
          <w:rStyle w:val="Strong"/>
          <w:sz w:val="20"/>
        </w:rPr>
        <w:t>O</w:t>
      </w:r>
      <w:r w:rsidRPr="00C60499">
        <w:rPr>
          <w:sz w:val="20"/>
        </w:rPr>
        <w:t xml:space="preserve"> = Other</w:t>
      </w:r>
    </w:p>
  </w:footnote>
  <w:footnote w:id="2">
    <w:p w14:paraId="17D54980" w14:textId="77777777" w:rsidR="00E636F7" w:rsidRPr="00C60499" w:rsidRDefault="00E636F7" w:rsidP="000909EF">
      <w:pPr>
        <w:spacing w:before="0" w:after="0" w:line="240" w:lineRule="auto"/>
        <w:rPr>
          <w:sz w:val="20"/>
        </w:rPr>
      </w:pPr>
      <w:r>
        <w:rPr>
          <w:rStyle w:val="FootnoteReference"/>
        </w:rPr>
        <w:footnoteRef/>
      </w:r>
      <w:r>
        <w:t xml:space="preserve"> </w:t>
      </w:r>
      <w:r w:rsidRPr="00C60499">
        <w:rPr>
          <w:rStyle w:val="Strong"/>
          <w:sz w:val="20"/>
        </w:rPr>
        <w:t>PU</w:t>
      </w:r>
      <w:r w:rsidRPr="00C60499">
        <w:rPr>
          <w:sz w:val="20"/>
        </w:rPr>
        <w:t xml:space="preserve"> = Public, </w:t>
      </w:r>
      <w:r w:rsidRPr="00C60499">
        <w:rPr>
          <w:rStyle w:val="Strong"/>
          <w:sz w:val="20"/>
        </w:rPr>
        <w:t>PP</w:t>
      </w:r>
      <w:r w:rsidRPr="00C60499">
        <w:rPr>
          <w:sz w:val="20"/>
        </w:rPr>
        <w:t xml:space="preserve"> = Restricted to other </w:t>
      </w:r>
      <w:proofErr w:type="spellStart"/>
      <w:r w:rsidRPr="00C60499">
        <w:rPr>
          <w:sz w:val="20"/>
        </w:rPr>
        <w:t>programme</w:t>
      </w:r>
      <w:proofErr w:type="spellEnd"/>
      <w:r w:rsidRPr="00C60499">
        <w:rPr>
          <w:sz w:val="20"/>
        </w:rPr>
        <w:t xml:space="preserve"> participants (including the Commission Services), </w:t>
      </w:r>
      <w:r w:rsidRPr="00C60499">
        <w:rPr>
          <w:rStyle w:val="Strong"/>
          <w:sz w:val="20"/>
        </w:rPr>
        <w:t>RE</w:t>
      </w:r>
      <w:r w:rsidRPr="00C60499">
        <w:rPr>
          <w:sz w:val="20"/>
        </w:rPr>
        <w:t xml:space="preserve"> = Restricted to a group specified by the consortium (including the Commission Services), </w:t>
      </w:r>
      <w:r w:rsidRPr="00C60499">
        <w:rPr>
          <w:rStyle w:val="Strong"/>
          <w:sz w:val="20"/>
        </w:rPr>
        <w:t>CO</w:t>
      </w:r>
      <w:r w:rsidRPr="00C60499">
        <w:rPr>
          <w:sz w:val="20"/>
        </w:rPr>
        <w:t xml:space="preserve"> = Confidential, only for members of the consortium (including the Commission Services).</w:t>
      </w:r>
    </w:p>
  </w:footnote>
  <w:footnote w:id="3">
    <w:p w14:paraId="3692FBD8" w14:textId="71154E56" w:rsidR="00E636F7" w:rsidRDefault="00E636F7">
      <w:pPr>
        <w:pStyle w:val="FootnoteText"/>
      </w:pPr>
      <w:r>
        <w:rPr>
          <w:rStyle w:val="FootnoteReference"/>
        </w:rPr>
        <w:footnoteRef/>
      </w:r>
      <w:r>
        <w:t xml:space="preserve"> </w:t>
      </w:r>
      <w:hyperlink r:id="rId1" w:history="1">
        <w:r w:rsidRPr="004757FD">
          <w:rPr>
            <w:rStyle w:val="Hyperlink"/>
            <w:sz w:val="16"/>
            <w:szCs w:val="16"/>
          </w:rPr>
          <w:t>http://www.fao.org/forestry/sfm/85084/en/</w:t>
        </w:r>
      </w:hyperlink>
      <w:r>
        <w:rPr>
          <w:sz w:val="16"/>
          <w:szCs w:val="16"/>
        </w:rPr>
        <w:t xml:space="preserve"> </w:t>
      </w:r>
    </w:p>
  </w:footnote>
  <w:footnote w:id="4">
    <w:p w14:paraId="57CE09E7" w14:textId="77777777" w:rsidR="00267A5A" w:rsidRDefault="00267A5A" w:rsidP="00267A5A">
      <w:pPr>
        <w:pStyle w:val="FootnoteText"/>
      </w:pPr>
      <w:r>
        <w:rPr>
          <w:rStyle w:val="FootnoteReference"/>
        </w:rPr>
        <w:footnoteRef/>
      </w:r>
      <w:r>
        <w:t xml:space="preserve"> </w:t>
      </w:r>
      <w:r w:rsidRPr="0021657F">
        <w:rPr>
          <w:sz w:val="16"/>
          <w:szCs w:val="16"/>
        </w:rPr>
        <w:t>Requires to be further developed and checked under which Criterion (2 or 5) better fits</w:t>
      </w:r>
    </w:p>
  </w:footnote>
  <w:footnote w:id="5">
    <w:p w14:paraId="165ED38A" w14:textId="77777777" w:rsidR="00267A5A" w:rsidRDefault="00267A5A" w:rsidP="00267A5A">
      <w:pPr>
        <w:pStyle w:val="FootnoteText"/>
      </w:pPr>
      <w:r>
        <w:rPr>
          <w:rStyle w:val="FootnoteReference"/>
        </w:rPr>
        <w:footnoteRef/>
      </w:r>
      <w:r>
        <w:t xml:space="preserve"> </w:t>
      </w:r>
      <w:r w:rsidRPr="0021657F">
        <w:rPr>
          <w:sz w:val="16"/>
          <w:szCs w:val="16"/>
        </w:rPr>
        <w:t>Requires to be further developed and tested.</w:t>
      </w:r>
    </w:p>
  </w:footnote>
  <w:footnote w:id="6">
    <w:p w14:paraId="4EE608D5" w14:textId="77777777" w:rsidR="00267A5A" w:rsidRDefault="00267A5A" w:rsidP="00267A5A">
      <w:pPr>
        <w:pStyle w:val="FootnoteText"/>
      </w:pPr>
      <w:r>
        <w:rPr>
          <w:rStyle w:val="FootnoteReference"/>
        </w:rPr>
        <w:footnoteRef/>
      </w:r>
      <w:r w:rsidRPr="0021657F">
        <w:rPr>
          <w:sz w:val="16"/>
          <w:szCs w:val="16"/>
        </w:rPr>
        <w:t xml:space="preserve"> Requires further development and testing for consideration.</w:t>
      </w:r>
    </w:p>
  </w:footnote>
  <w:footnote w:id="7">
    <w:p w14:paraId="6E8DA06E" w14:textId="71154E56" w:rsidR="00E636F7" w:rsidRDefault="00E636F7">
      <w:pPr>
        <w:pStyle w:val="FootnoteText"/>
      </w:pPr>
      <w:r>
        <w:rPr>
          <w:rStyle w:val="FootnoteReference"/>
        </w:rPr>
        <w:footnoteRef/>
      </w:r>
      <w:r>
        <w:t xml:space="preserve"> </w:t>
      </w:r>
      <w:r w:rsidRPr="009C6853">
        <w:rPr>
          <w:sz w:val="16"/>
          <w:szCs w:val="16"/>
        </w:rPr>
        <w:t>https://sentinel.esa.int/web/sentinel/user-guides/sentinel-2-msi/overview</w:t>
      </w:r>
    </w:p>
  </w:footnote>
  <w:footnote w:id="8">
    <w:p w14:paraId="4B661498" w14:textId="216E0CA9" w:rsidR="00E636F7" w:rsidRDefault="00E636F7">
      <w:pPr>
        <w:pStyle w:val="FootnoteText"/>
      </w:pPr>
      <w:r>
        <w:rPr>
          <w:rStyle w:val="FootnoteReference"/>
        </w:rPr>
        <w:footnoteRef/>
      </w:r>
      <w:r>
        <w:t xml:space="preserve"> </w:t>
      </w:r>
      <w:r w:rsidRPr="009D333F">
        <w:rPr>
          <w:sz w:val="16"/>
          <w:szCs w:val="16"/>
        </w:rPr>
        <w:t>https://sentinel.esa.int/web/sentinel/user-guides/sentinel-2-msi/resolutions/spatial</w:t>
      </w:r>
    </w:p>
  </w:footnote>
  <w:footnote w:id="9">
    <w:p w14:paraId="1CAC3D53" w14:textId="17106551" w:rsidR="00E636F7" w:rsidRDefault="00E636F7">
      <w:pPr>
        <w:pStyle w:val="FootnoteText"/>
      </w:pPr>
      <w:r>
        <w:rPr>
          <w:rStyle w:val="FootnoteReference"/>
        </w:rPr>
        <w:footnoteRef/>
      </w:r>
      <w:r>
        <w:t xml:space="preserve"> </w:t>
      </w:r>
      <w:r w:rsidRPr="00E12EDC">
        <w:rPr>
          <w:sz w:val="18"/>
          <w:szCs w:val="18"/>
        </w:rPr>
        <w:t>https://sentinel.esa.int/web/sentinel/user-guides/sentinel-2-msi/product-types/level-1c</w:t>
      </w:r>
    </w:p>
  </w:footnote>
  <w:footnote w:id="10">
    <w:p w14:paraId="79B9C751" w14:textId="16585CCC" w:rsidR="00E636F7" w:rsidRDefault="00E636F7">
      <w:pPr>
        <w:pStyle w:val="FootnoteText"/>
      </w:pPr>
      <w:r>
        <w:rPr>
          <w:rStyle w:val="FootnoteReference"/>
        </w:rPr>
        <w:footnoteRef/>
      </w:r>
      <w:r>
        <w:t xml:space="preserve"> </w:t>
      </w:r>
      <w:r w:rsidRPr="001173DB">
        <w:rPr>
          <w:sz w:val="16"/>
          <w:szCs w:val="16"/>
        </w:rPr>
        <w:t>Excluding the Russian Federation</w:t>
      </w:r>
    </w:p>
  </w:footnote>
  <w:footnote w:id="11">
    <w:p w14:paraId="2E4D60BD" w14:textId="77777777" w:rsidR="00E636F7" w:rsidRDefault="00E636F7" w:rsidP="000042EC">
      <w:pPr>
        <w:pStyle w:val="FootnoteText"/>
      </w:pPr>
      <w:r>
        <w:rPr>
          <w:rStyle w:val="FootnoteReference"/>
        </w:rPr>
        <w:footnoteRef/>
      </w:r>
      <w:r>
        <w:t xml:space="preserve"> </w:t>
      </w:r>
      <w:r w:rsidRPr="0048600B">
        <w:rPr>
          <w:sz w:val="16"/>
          <w:szCs w:val="16"/>
        </w:rPr>
        <w:t>The information is not summarized for South-West Europe as the reported data cover less than 5% of the region’s total Forest and Other Wooded Land (FOWL).</w:t>
      </w:r>
    </w:p>
  </w:footnote>
  <w:footnote w:id="12">
    <w:p w14:paraId="6E7033F5" w14:textId="77777777" w:rsidR="00E636F7" w:rsidRDefault="00E636F7" w:rsidP="000042EC">
      <w:pPr>
        <w:pStyle w:val="FootnoteText"/>
      </w:pPr>
      <w:r>
        <w:rPr>
          <w:rStyle w:val="FootnoteReference"/>
        </w:rPr>
        <w:footnoteRef/>
      </w:r>
      <w:r>
        <w:t xml:space="preserve"> </w:t>
      </w:r>
      <w:r w:rsidRPr="009F1B58">
        <w:rPr>
          <w:sz w:val="16"/>
          <w:szCs w:val="16"/>
        </w:rPr>
        <w:t>Threatened forest-occurring species include the IUCN Red List categories “vulnerable”, “endangered” and “critically endangered”.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Ind w:w="108" w:type="dxa"/>
      <w:tblLook w:val="04A0" w:firstRow="1" w:lastRow="0" w:firstColumn="1" w:lastColumn="0" w:noHBand="0" w:noVBand="1"/>
    </w:tblPr>
    <w:tblGrid>
      <w:gridCol w:w="6912"/>
      <w:gridCol w:w="1485"/>
    </w:tblGrid>
    <w:tr w:rsidR="008060AE" w14:paraId="7134B29B" w14:textId="77777777" w:rsidTr="0022057B">
      <w:tc>
        <w:tcPr>
          <w:tcW w:w="6912" w:type="dxa"/>
          <w:tcBorders>
            <w:top w:val="nil"/>
            <w:left w:val="nil"/>
            <w:right w:val="nil"/>
          </w:tcBorders>
        </w:tcPr>
        <w:p w14:paraId="25611E1E" w14:textId="77777777" w:rsidR="008060AE" w:rsidRDefault="008060AE" w:rsidP="008060AE">
          <w:pPr>
            <w:pStyle w:val="Header"/>
            <w:rPr>
              <w:sz w:val="20"/>
              <w:lang w:val="en-GB"/>
            </w:rPr>
          </w:pPr>
          <w:r w:rsidRPr="00A822F2">
            <w:rPr>
              <w:sz w:val="20"/>
            </w:rPr>
            <w:t>[</w:t>
          </w:r>
          <w:r w:rsidRPr="00C60499">
            <w:rPr>
              <w:sz w:val="20"/>
              <w:lang w:val="en-GB"/>
            </w:rPr>
            <w:t>D</w:t>
          </w:r>
          <w:r>
            <w:rPr>
              <w:sz w:val="20"/>
              <w:lang w:val="en-GB"/>
            </w:rPr>
            <w:t>5</w:t>
          </w:r>
          <w:r w:rsidRPr="00C60499">
            <w:rPr>
              <w:sz w:val="20"/>
              <w:lang w:val="en-GB"/>
            </w:rPr>
            <w:t>.</w:t>
          </w:r>
          <w:r>
            <w:rPr>
              <w:sz w:val="20"/>
              <w:lang w:val="en-GB"/>
            </w:rPr>
            <w:t>2</w:t>
          </w:r>
          <w:r w:rsidRPr="00A822F2">
            <w:rPr>
              <w:sz w:val="20"/>
            </w:rPr>
            <w:t xml:space="preserve">] </w:t>
          </w:r>
          <w:r w:rsidRPr="00A37ACC">
            <w:rPr>
              <w:sz w:val="20"/>
              <w:lang w:val="en-GB"/>
            </w:rPr>
            <w:t>Guide on the financial social and technical aspects of the sustainable development of MLs, and report on the potentialities of emerging stock exchange markets for carbon transactions and proposed policies.</w:t>
          </w:r>
        </w:p>
      </w:tc>
      <w:tc>
        <w:tcPr>
          <w:tcW w:w="1485" w:type="dxa"/>
          <w:tcBorders>
            <w:top w:val="nil"/>
            <w:left w:val="nil"/>
            <w:right w:val="nil"/>
          </w:tcBorders>
        </w:tcPr>
        <w:p w14:paraId="19CD39F2" w14:textId="77777777" w:rsidR="008060AE" w:rsidRDefault="008060AE" w:rsidP="008060AE">
          <w:pPr>
            <w:pStyle w:val="Header"/>
            <w:jc w:val="right"/>
            <w:rPr>
              <w:sz w:val="20"/>
              <w:lang w:val="en-GB"/>
            </w:rPr>
          </w:pPr>
          <w:r>
            <w:rPr>
              <w:noProof/>
              <w:sz w:val="20"/>
              <w:lang w:val="es-ES" w:eastAsia="es-ES"/>
            </w:rPr>
            <w:drawing>
              <wp:inline distT="0" distB="0" distL="0" distR="0" wp14:anchorId="0DB4DF45" wp14:editId="6EE61063">
                <wp:extent cx="546883" cy="418204"/>
                <wp:effectExtent l="0" t="0" r="5715" b="1270"/>
                <wp:docPr id="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ON_LOGO_TRANSPARENT_BLAC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6883" cy="418204"/>
                        </a:xfrm>
                        <a:prstGeom prst="rect">
                          <a:avLst/>
                        </a:prstGeom>
                      </pic:spPr>
                    </pic:pic>
                  </a:graphicData>
                </a:graphic>
              </wp:inline>
            </w:drawing>
          </w:r>
        </w:p>
      </w:tc>
    </w:tr>
  </w:tbl>
  <w:p w14:paraId="3EA65669" w14:textId="77777777" w:rsidR="00E636F7" w:rsidRPr="00C60499" w:rsidRDefault="00E636F7" w:rsidP="008060AE">
    <w:pPr>
      <w:pStyle w:val="Header"/>
      <w:rPr>
        <w:sz w:val="20"/>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574A9" w14:textId="01010328" w:rsidR="00E636F7" w:rsidRDefault="00293100" w:rsidP="00FD04F7">
    <w:pPr>
      <w:pStyle w:val="Header"/>
    </w:pPr>
    <w:r>
      <w:rPr>
        <w:noProof/>
      </w:rPr>
      <w:drawing>
        <wp:inline distT="0" distB="0" distL="0" distR="0" wp14:anchorId="1EE2C8C9" wp14:editId="7D3D83C9">
          <wp:extent cx="906780" cy="604520"/>
          <wp:effectExtent l="0" t="0" r="7620" b="5080"/>
          <wp:docPr id="301" name="Picture 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2" descr="Background pattern&#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906780" cy="60452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1ECE37D8"/>
    <w:lvl w:ilvl="0">
      <w:start w:val="1"/>
      <w:numFmt w:val="decimal"/>
      <w:pStyle w:val="ListNumber2"/>
      <w:lvlText w:val="%1."/>
      <w:lvlJc w:val="left"/>
      <w:pPr>
        <w:tabs>
          <w:tab w:val="num" w:pos="643"/>
        </w:tabs>
        <w:ind w:left="643" w:hanging="360"/>
      </w:pPr>
    </w:lvl>
  </w:abstractNum>
  <w:abstractNum w:abstractNumId="1" w15:restartNumberingAfterBreak="0">
    <w:nsid w:val="FFFFFF83"/>
    <w:multiLevelType w:val="singleLevel"/>
    <w:tmpl w:val="81644650"/>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051F2C5D"/>
    <w:multiLevelType w:val="hybridMultilevel"/>
    <w:tmpl w:val="2AE4C48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054A109A"/>
    <w:multiLevelType w:val="multilevel"/>
    <w:tmpl w:val="2C288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D72B45"/>
    <w:multiLevelType w:val="hybridMultilevel"/>
    <w:tmpl w:val="6E2AB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DC07E9"/>
    <w:multiLevelType w:val="hybridMultilevel"/>
    <w:tmpl w:val="56427EB0"/>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BDF1A20"/>
    <w:multiLevelType w:val="hybridMultilevel"/>
    <w:tmpl w:val="086EA0C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0C857E07"/>
    <w:multiLevelType w:val="hybridMultilevel"/>
    <w:tmpl w:val="41720D4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137D4E98"/>
    <w:multiLevelType w:val="hybridMultilevel"/>
    <w:tmpl w:val="423671C2"/>
    <w:lvl w:ilvl="0" w:tplc="8BEC50F0">
      <w:start w:val="1"/>
      <w:numFmt w:val="decimal"/>
      <w:pStyle w:val="Bibliography"/>
      <w:lvlText w:val="[%1]"/>
      <w:lvlJc w:val="left"/>
      <w:pPr>
        <w:ind w:left="360" w:hanging="360"/>
      </w:pPr>
      <w:rPr>
        <w:rFonts w:hint="default"/>
        <w:color w:val="auto"/>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1A4A32D2"/>
    <w:multiLevelType w:val="hybridMultilevel"/>
    <w:tmpl w:val="AB043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607C36"/>
    <w:multiLevelType w:val="multilevel"/>
    <w:tmpl w:val="70F4C906"/>
    <w:lvl w:ilvl="0">
      <w:start w:val="1"/>
      <w:numFmt w:val="decimal"/>
      <w:lvlText w:val="%1."/>
      <w:lvlJc w:val="left"/>
      <w:pPr>
        <w:ind w:left="720" w:hanging="360"/>
      </w:pPr>
    </w:lvl>
    <w:lvl w:ilvl="1">
      <w:start w:val="1"/>
      <w:numFmt w:val="decimal"/>
      <w:isLgl/>
      <w:lvlText w:val="%1.%2"/>
      <w:lvlJc w:val="left"/>
      <w:pPr>
        <w:ind w:left="720" w:hanging="360"/>
      </w:pPr>
      <w:rPr>
        <w:rFonts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CFE7006"/>
    <w:multiLevelType w:val="hybridMultilevel"/>
    <w:tmpl w:val="82A6B1BC"/>
    <w:lvl w:ilvl="0" w:tplc="04090001">
      <w:start w:val="1"/>
      <w:numFmt w:val="bullet"/>
      <w:lvlText w:val=""/>
      <w:lvlJc w:val="left"/>
      <w:pPr>
        <w:ind w:left="720" w:hanging="360"/>
      </w:pPr>
      <w:rPr>
        <w:rFonts w:ascii="Symbol" w:hAnsi="Symbol" w:hint="default"/>
      </w:rPr>
    </w:lvl>
    <w:lvl w:ilvl="1" w:tplc="300A572A">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370D56"/>
    <w:multiLevelType w:val="multilevel"/>
    <w:tmpl w:val="653C3254"/>
    <w:lvl w:ilvl="0">
      <w:start w:val="1"/>
      <w:numFmt w:val="decimal"/>
      <w:pStyle w:val="MAIL1"/>
      <w:lvlText w:val="%1."/>
      <w:lvlJc w:val="left"/>
      <w:pPr>
        <w:ind w:left="360" w:hanging="360"/>
      </w:pPr>
      <w:rPr>
        <w:rFonts w:hint="default"/>
      </w:rPr>
    </w:lvl>
    <w:lvl w:ilvl="1">
      <w:start w:val="1"/>
      <w:numFmt w:val="decimal"/>
      <w:pStyle w:val="MAIL11"/>
      <w:lvlText w:val="%1.%2."/>
      <w:lvlJc w:val="left"/>
      <w:pPr>
        <w:ind w:left="574" w:hanging="432"/>
      </w:pPr>
      <w:rPr>
        <w:rFonts w:hint="default"/>
        <w:lang w:val="en-US"/>
      </w:rPr>
    </w:lvl>
    <w:lvl w:ilvl="2">
      <w:start w:val="1"/>
      <w:numFmt w:val="decimal"/>
      <w:pStyle w:val="MAIL111"/>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E8922E9"/>
    <w:multiLevelType w:val="hybridMultilevel"/>
    <w:tmpl w:val="E79A8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A569F5"/>
    <w:multiLevelType w:val="hybridMultilevel"/>
    <w:tmpl w:val="3A10FE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7D84EBA"/>
    <w:multiLevelType w:val="hybridMultilevel"/>
    <w:tmpl w:val="DCE6FA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B24307B"/>
    <w:multiLevelType w:val="hybridMultilevel"/>
    <w:tmpl w:val="2BCEF5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2BA052D8"/>
    <w:multiLevelType w:val="hybridMultilevel"/>
    <w:tmpl w:val="C73E224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15:restartNumberingAfterBreak="0">
    <w:nsid w:val="34196F2F"/>
    <w:multiLevelType w:val="hybridMultilevel"/>
    <w:tmpl w:val="657E24B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35542096"/>
    <w:multiLevelType w:val="multilevel"/>
    <w:tmpl w:val="134E0912"/>
    <w:lvl w:ilvl="0">
      <w:start w:val="1"/>
      <w:numFmt w:val="decimal"/>
      <w:lvlText w:val="%1."/>
      <w:lvlJc w:val="left"/>
      <w:pPr>
        <w:ind w:left="360" w:hanging="360"/>
      </w:pPr>
    </w:lvl>
    <w:lvl w:ilvl="1">
      <w:start w:val="1"/>
      <w:numFmt w:val="decimal"/>
      <w:isLgl/>
      <w:lvlText w:val="%1.%2"/>
      <w:lvlJc w:val="left"/>
      <w:pPr>
        <w:ind w:left="360" w:hanging="360"/>
      </w:pPr>
      <w:rPr>
        <w:rFonts w:hint="default"/>
        <w:b/>
        <w:bCs w:val="0"/>
      </w:rPr>
    </w:lvl>
    <w:lvl w:ilvl="2">
      <w:start w:val="1"/>
      <w:numFmt w:val="decimal"/>
      <w:isLgl/>
      <w:lvlText w:val="%1.%2.%3"/>
      <w:lvlJc w:val="left"/>
      <w:pPr>
        <w:ind w:left="1572" w:hanging="720"/>
      </w:pPr>
      <w:rPr>
        <w:rFonts w:hint="default"/>
      </w:rPr>
    </w:lvl>
    <w:lvl w:ilvl="3">
      <w:start w:val="1"/>
      <w:numFmt w:val="decimal"/>
      <w:isLgl/>
      <w:lvlText w:val="%1.%2.%3.%4"/>
      <w:lvlJc w:val="left"/>
      <w:pPr>
        <w:ind w:left="2358" w:hanging="1080"/>
      </w:pPr>
      <w:rPr>
        <w:rFonts w:hint="default"/>
      </w:rPr>
    </w:lvl>
    <w:lvl w:ilvl="4">
      <w:start w:val="1"/>
      <w:numFmt w:val="decimal"/>
      <w:isLgl/>
      <w:lvlText w:val="%1.%2.%3.%4.%5"/>
      <w:lvlJc w:val="left"/>
      <w:pPr>
        <w:ind w:left="2784" w:hanging="1080"/>
      </w:pPr>
      <w:rPr>
        <w:rFonts w:hint="default"/>
      </w:rPr>
    </w:lvl>
    <w:lvl w:ilvl="5">
      <w:start w:val="1"/>
      <w:numFmt w:val="decimal"/>
      <w:isLgl/>
      <w:lvlText w:val="%1.%2.%3.%4.%5.%6"/>
      <w:lvlJc w:val="left"/>
      <w:pPr>
        <w:ind w:left="3570" w:hanging="1440"/>
      </w:pPr>
      <w:rPr>
        <w:rFonts w:hint="default"/>
      </w:rPr>
    </w:lvl>
    <w:lvl w:ilvl="6">
      <w:start w:val="1"/>
      <w:numFmt w:val="decimal"/>
      <w:isLgl/>
      <w:lvlText w:val="%1.%2.%3.%4.%5.%6.%7"/>
      <w:lvlJc w:val="left"/>
      <w:pPr>
        <w:ind w:left="3996" w:hanging="1440"/>
      </w:pPr>
      <w:rPr>
        <w:rFonts w:hint="default"/>
      </w:rPr>
    </w:lvl>
    <w:lvl w:ilvl="7">
      <w:start w:val="1"/>
      <w:numFmt w:val="decimal"/>
      <w:isLgl/>
      <w:lvlText w:val="%1.%2.%3.%4.%5.%6.%7.%8"/>
      <w:lvlJc w:val="left"/>
      <w:pPr>
        <w:ind w:left="4782" w:hanging="1800"/>
      </w:pPr>
      <w:rPr>
        <w:rFonts w:hint="default"/>
      </w:rPr>
    </w:lvl>
    <w:lvl w:ilvl="8">
      <w:start w:val="1"/>
      <w:numFmt w:val="decimal"/>
      <w:isLgl/>
      <w:lvlText w:val="%1.%2.%3.%4.%5.%6.%7.%8.%9"/>
      <w:lvlJc w:val="left"/>
      <w:pPr>
        <w:ind w:left="5208" w:hanging="1800"/>
      </w:pPr>
      <w:rPr>
        <w:rFonts w:hint="default"/>
      </w:rPr>
    </w:lvl>
  </w:abstractNum>
  <w:abstractNum w:abstractNumId="20" w15:restartNumberingAfterBreak="0">
    <w:nsid w:val="37503324"/>
    <w:multiLevelType w:val="hybridMultilevel"/>
    <w:tmpl w:val="520A9E9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37895152"/>
    <w:multiLevelType w:val="hybridMultilevel"/>
    <w:tmpl w:val="DDA6AEE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15:restartNumberingAfterBreak="0">
    <w:nsid w:val="3BA26D1D"/>
    <w:multiLevelType w:val="hybridMultilevel"/>
    <w:tmpl w:val="80385FF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3CA70A0F"/>
    <w:multiLevelType w:val="hybridMultilevel"/>
    <w:tmpl w:val="3E98A5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0D14815"/>
    <w:multiLevelType w:val="hybridMultilevel"/>
    <w:tmpl w:val="EC6C7FB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476D7228"/>
    <w:multiLevelType w:val="multilevel"/>
    <w:tmpl w:val="892CC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A936FB"/>
    <w:multiLevelType w:val="hybridMultilevel"/>
    <w:tmpl w:val="075C9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BF4333"/>
    <w:multiLevelType w:val="hybridMultilevel"/>
    <w:tmpl w:val="70AE4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497040"/>
    <w:multiLevelType w:val="hybridMultilevel"/>
    <w:tmpl w:val="50A07A1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15:restartNumberingAfterBreak="0">
    <w:nsid w:val="50906C80"/>
    <w:multiLevelType w:val="hybridMultilevel"/>
    <w:tmpl w:val="7C289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B16664"/>
    <w:multiLevelType w:val="multilevel"/>
    <w:tmpl w:val="93F80E8E"/>
    <w:lvl w:ilvl="0">
      <w:start w:val="1"/>
      <w:numFmt w:val="decimal"/>
      <w:pStyle w:val="Heading1"/>
      <w:lvlText w:val="%1."/>
      <w:lvlJc w:val="left"/>
      <w:pPr>
        <w:ind w:left="360" w:hanging="36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552A00C5"/>
    <w:multiLevelType w:val="hybridMultilevel"/>
    <w:tmpl w:val="4D868C4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15:restartNumberingAfterBreak="0">
    <w:nsid w:val="577622FB"/>
    <w:multiLevelType w:val="hybridMultilevel"/>
    <w:tmpl w:val="4E8258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58917CF9"/>
    <w:multiLevelType w:val="hybridMultilevel"/>
    <w:tmpl w:val="63A4ECD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15:restartNumberingAfterBreak="0">
    <w:nsid w:val="60C35B48"/>
    <w:multiLevelType w:val="hybridMultilevel"/>
    <w:tmpl w:val="48402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E739C9"/>
    <w:multiLevelType w:val="hybridMultilevel"/>
    <w:tmpl w:val="2E444AB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15:restartNumberingAfterBreak="0">
    <w:nsid w:val="696B6BEA"/>
    <w:multiLevelType w:val="hybridMultilevel"/>
    <w:tmpl w:val="6CB86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B813D6"/>
    <w:multiLevelType w:val="hybridMultilevel"/>
    <w:tmpl w:val="776E3474"/>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8" w15:restartNumberingAfterBreak="0">
    <w:nsid w:val="6E91090B"/>
    <w:multiLevelType w:val="hybridMultilevel"/>
    <w:tmpl w:val="6B74CA1C"/>
    <w:lvl w:ilvl="0" w:tplc="378A10E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0716E8B"/>
    <w:multiLevelType w:val="multilevel"/>
    <w:tmpl w:val="1DC0D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D72624"/>
    <w:multiLevelType w:val="hybridMultilevel"/>
    <w:tmpl w:val="DE2E299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1" w15:restartNumberingAfterBreak="0">
    <w:nsid w:val="72480D39"/>
    <w:multiLevelType w:val="multilevel"/>
    <w:tmpl w:val="D9123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7D86421"/>
    <w:multiLevelType w:val="hybridMultilevel"/>
    <w:tmpl w:val="3A80B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86937D4"/>
    <w:multiLevelType w:val="hybridMultilevel"/>
    <w:tmpl w:val="E94EE5C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9A0CB5"/>
    <w:multiLevelType w:val="hybridMultilevel"/>
    <w:tmpl w:val="359E6372"/>
    <w:lvl w:ilvl="0" w:tplc="04080001">
      <w:start w:val="1"/>
      <w:numFmt w:val="bullet"/>
      <w:lvlText w:val=""/>
      <w:lvlJc w:val="left"/>
      <w:pPr>
        <w:ind w:left="720" w:hanging="360"/>
      </w:pPr>
      <w:rPr>
        <w:rFonts w:ascii="Symbol" w:hAnsi="Symbol"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5" w15:restartNumberingAfterBreak="0">
    <w:nsid w:val="795E55D2"/>
    <w:multiLevelType w:val="hybridMultilevel"/>
    <w:tmpl w:val="38E2C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1"/>
  </w:num>
  <w:num w:numId="3">
    <w:abstractNumId w:val="0"/>
  </w:num>
  <w:num w:numId="4">
    <w:abstractNumId w:val="8"/>
  </w:num>
  <w:num w:numId="5">
    <w:abstractNumId w:val="42"/>
  </w:num>
  <w:num w:numId="6">
    <w:abstractNumId w:val="36"/>
  </w:num>
  <w:num w:numId="7">
    <w:abstractNumId w:val="45"/>
  </w:num>
  <w:num w:numId="8">
    <w:abstractNumId w:val="34"/>
  </w:num>
  <w:num w:numId="9">
    <w:abstractNumId w:val="27"/>
  </w:num>
  <w:num w:numId="10">
    <w:abstractNumId w:val="11"/>
  </w:num>
  <w:num w:numId="11">
    <w:abstractNumId w:val="29"/>
  </w:num>
  <w:num w:numId="12">
    <w:abstractNumId w:val="15"/>
  </w:num>
  <w:num w:numId="13">
    <w:abstractNumId w:val="23"/>
  </w:num>
  <w:num w:numId="14">
    <w:abstractNumId w:val="26"/>
  </w:num>
  <w:num w:numId="15">
    <w:abstractNumId w:val="37"/>
  </w:num>
  <w:num w:numId="16">
    <w:abstractNumId w:val="28"/>
  </w:num>
  <w:num w:numId="17">
    <w:abstractNumId w:val="21"/>
  </w:num>
  <w:num w:numId="18">
    <w:abstractNumId w:val="19"/>
  </w:num>
  <w:num w:numId="19">
    <w:abstractNumId w:val="10"/>
  </w:num>
  <w:num w:numId="20">
    <w:abstractNumId w:val="33"/>
  </w:num>
  <w:num w:numId="21">
    <w:abstractNumId w:val="39"/>
  </w:num>
  <w:num w:numId="22">
    <w:abstractNumId w:val="41"/>
  </w:num>
  <w:num w:numId="23">
    <w:abstractNumId w:val="22"/>
  </w:num>
  <w:num w:numId="24">
    <w:abstractNumId w:val="44"/>
  </w:num>
  <w:num w:numId="25">
    <w:abstractNumId w:val="40"/>
  </w:num>
  <w:num w:numId="26">
    <w:abstractNumId w:val="2"/>
  </w:num>
  <w:num w:numId="27">
    <w:abstractNumId w:val="20"/>
  </w:num>
  <w:num w:numId="28">
    <w:abstractNumId w:val="7"/>
  </w:num>
  <w:num w:numId="29">
    <w:abstractNumId w:val="35"/>
  </w:num>
  <w:num w:numId="30">
    <w:abstractNumId w:val="3"/>
  </w:num>
  <w:num w:numId="31">
    <w:abstractNumId w:val="25"/>
  </w:num>
  <w:num w:numId="32">
    <w:abstractNumId w:val="17"/>
  </w:num>
  <w:num w:numId="33">
    <w:abstractNumId w:val="31"/>
  </w:num>
  <w:num w:numId="34">
    <w:abstractNumId w:val="32"/>
  </w:num>
  <w:num w:numId="35">
    <w:abstractNumId w:val="6"/>
  </w:num>
  <w:num w:numId="36">
    <w:abstractNumId w:val="5"/>
  </w:num>
  <w:num w:numId="37">
    <w:abstractNumId w:val="14"/>
  </w:num>
  <w:num w:numId="38">
    <w:abstractNumId w:val="18"/>
  </w:num>
  <w:num w:numId="39">
    <w:abstractNumId w:val="16"/>
  </w:num>
  <w:num w:numId="40">
    <w:abstractNumId w:val="24"/>
  </w:num>
  <w:num w:numId="41">
    <w:abstractNumId w:val="43"/>
  </w:num>
  <w:num w:numId="42">
    <w:abstractNumId w:val="4"/>
  </w:num>
  <w:num w:numId="43">
    <w:abstractNumId w:val="13"/>
  </w:num>
  <w:num w:numId="44">
    <w:abstractNumId w:val="38"/>
  </w:num>
  <w:num w:numId="45">
    <w:abstractNumId w:val="9"/>
  </w:num>
  <w:num w:numId="46">
    <w:abstractNumId w:val="12"/>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de-DE" w:vendorID="64" w:dllVersion="6" w:nlCheck="1" w:checkStyle="0"/>
  <w:activeWritingStyle w:appName="MSWord" w:lang="en-US" w:vendorID="64" w:dllVersion="6" w:nlCheck="1" w:checkStyle="0"/>
  <w:activeWritingStyle w:appName="MSWord" w:lang="en-GB" w:vendorID="64" w:dllVersion="6" w:nlCheck="1" w:checkStyle="0"/>
  <w:activeWritingStyle w:appName="MSWord" w:lang="es-ES" w:vendorID="64" w:dllVersion="6" w:nlCheck="1" w:checkStyle="0"/>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it-IT" w:vendorID="64" w:dllVersion="0" w:nlCheck="1" w:checkStyle="0"/>
  <w:activeWritingStyle w:appName="MSWord" w:lang="es-ES" w:vendorID="64" w:dllVersion="0" w:nlCheck="1" w:checkStyle="0"/>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1C20"/>
    <w:rsid w:val="0000189D"/>
    <w:rsid w:val="000042EC"/>
    <w:rsid w:val="00011855"/>
    <w:rsid w:val="00013452"/>
    <w:rsid w:val="00013C6E"/>
    <w:rsid w:val="00015721"/>
    <w:rsid w:val="00015CCF"/>
    <w:rsid w:val="00015F46"/>
    <w:rsid w:val="0001739B"/>
    <w:rsid w:val="00023228"/>
    <w:rsid w:val="00023C26"/>
    <w:rsid w:val="0002652B"/>
    <w:rsid w:val="00026911"/>
    <w:rsid w:val="0003149E"/>
    <w:rsid w:val="00033816"/>
    <w:rsid w:val="00037CA3"/>
    <w:rsid w:val="00041ED9"/>
    <w:rsid w:val="00043F49"/>
    <w:rsid w:val="00050B17"/>
    <w:rsid w:val="00051243"/>
    <w:rsid w:val="000519D9"/>
    <w:rsid w:val="00053A66"/>
    <w:rsid w:val="0006632F"/>
    <w:rsid w:val="00066C10"/>
    <w:rsid w:val="0007297E"/>
    <w:rsid w:val="000740B6"/>
    <w:rsid w:val="00074641"/>
    <w:rsid w:val="00074E87"/>
    <w:rsid w:val="000758F1"/>
    <w:rsid w:val="00077D65"/>
    <w:rsid w:val="0008557B"/>
    <w:rsid w:val="000871CD"/>
    <w:rsid w:val="000874DD"/>
    <w:rsid w:val="00087DC3"/>
    <w:rsid w:val="000909EF"/>
    <w:rsid w:val="000A11E8"/>
    <w:rsid w:val="000A1AD4"/>
    <w:rsid w:val="000A48D5"/>
    <w:rsid w:val="000A7CC3"/>
    <w:rsid w:val="000B25A0"/>
    <w:rsid w:val="000B6065"/>
    <w:rsid w:val="000B622E"/>
    <w:rsid w:val="000C0626"/>
    <w:rsid w:val="000C1851"/>
    <w:rsid w:val="000C71CA"/>
    <w:rsid w:val="000D0A81"/>
    <w:rsid w:val="000D13FD"/>
    <w:rsid w:val="000D15D2"/>
    <w:rsid w:val="000D5D9A"/>
    <w:rsid w:val="000E02E4"/>
    <w:rsid w:val="000E676C"/>
    <w:rsid w:val="000E6A51"/>
    <w:rsid w:val="000E6BE5"/>
    <w:rsid w:val="000F0483"/>
    <w:rsid w:val="00105D06"/>
    <w:rsid w:val="00111BD2"/>
    <w:rsid w:val="001173DB"/>
    <w:rsid w:val="00117A43"/>
    <w:rsid w:val="00120369"/>
    <w:rsid w:val="00121196"/>
    <w:rsid w:val="00121AB0"/>
    <w:rsid w:val="001229FE"/>
    <w:rsid w:val="00127E76"/>
    <w:rsid w:val="00127E7C"/>
    <w:rsid w:val="001329E8"/>
    <w:rsid w:val="001373FE"/>
    <w:rsid w:val="00141716"/>
    <w:rsid w:val="001424AA"/>
    <w:rsid w:val="00142BA2"/>
    <w:rsid w:val="001432D2"/>
    <w:rsid w:val="001458B7"/>
    <w:rsid w:val="001463F5"/>
    <w:rsid w:val="0014727C"/>
    <w:rsid w:val="00147A13"/>
    <w:rsid w:val="00154A71"/>
    <w:rsid w:val="001559E9"/>
    <w:rsid w:val="0015758D"/>
    <w:rsid w:val="00160464"/>
    <w:rsid w:val="001614CC"/>
    <w:rsid w:val="00164A85"/>
    <w:rsid w:val="00165095"/>
    <w:rsid w:val="00171A12"/>
    <w:rsid w:val="00177DE3"/>
    <w:rsid w:val="00180653"/>
    <w:rsid w:val="00181652"/>
    <w:rsid w:val="00185F58"/>
    <w:rsid w:val="00192B69"/>
    <w:rsid w:val="00196D52"/>
    <w:rsid w:val="001A2682"/>
    <w:rsid w:val="001A4E1B"/>
    <w:rsid w:val="001A5B52"/>
    <w:rsid w:val="001A6C56"/>
    <w:rsid w:val="001A6E03"/>
    <w:rsid w:val="001A7616"/>
    <w:rsid w:val="001B17B9"/>
    <w:rsid w:val="001B1D53"/>
    <w:rsid w:val="001B68CF"/>
    <w:rsid w:val="001B6954"/>
    <w:rsid w:val="001B73D8"/>
    <w:rsid w:val="001C1149"/>
    <w:rsid w:val="001C1DB3"/>
    <w:rsid w:val="001C6203"/>
    <w:rsid w:val="001D1FCB"/>
    <w:rsid w:val="001D2629"/>
    <w:rsid w:val="001D5AC3"/>
    <w:rsid w:val="001D6A76"/>
    <w:rsid w:val="001F1058"/>
    <w:rsid w:val="001F2AEF"/>
    <w:rsid w:val="001F2D89"/>
    <w:rsid w:val="001F32FB"/>
    <w:rsid w:val="001F5916"/>
    <w:rsid w:val="00201D19"/>
    <w:rsid w:val="00203B2A"/>
    <w:rsid w:val="00206437"/>
    <w:rsid w:val="00206560"/>
    <w:rsid w:val="00211873"/>
    <w:rsid w:val="0021505B"/>
    <w:rsid w:val="002162E6"/>
    <w:rsid w:val="00217060"/>
    <w:rsid w:val="00222FB2"/>
    <w:rsid w:val="0022349E"/>
    <w:rsid w:val="00223BDA"/>
    <w:rsid w:val="00224F5C"/>
    <w:rsid w:val="0022558F"/>
    <w:rsid w:val="002261C6"/>
    <w:rsid w:val="00227663"/>
    <w:rsid w:val="00230F15"/>
    <w:rsid w:val="00230FBD"/>
    <w:rsid w:val="0023462F"/>
    <w:rsid w:val="00235213"/>
    <w:rsid w:val="00235C4F"/>
    <w:rsid w:val="00236957"/>
    <w:rsid w:val="00242824"/>
    <w:rsid w:val="002431F0"/>
    <w:rsid w:val="00244030"/>
    <w:rsid w:val="00246F93"/>
    <w:rsid w:val="00252D00"/>
    <w:rsid w:val="00260015"/>
    <w:rsid w:val="00264135"/>
    <w:rsid w:val="002666EC"/>
    <w:rsid w:val="0026750B"/>
    <w:rsid w:val="00267A5A"/>
    <w:rsid w:val="0027640E"/>
    <w:rsid w:val="0028379F"/>
    <w:rsid w:val="0028707A"/>
    <w:rsid w:val="002928A6"/>
    <w:rsid w:val="00293100"/>
    <w:rsid w:val="00295685"/>
    <w:rsid w:val="00296C89"/>
    <w:rsid w:val="002A43B5"/>
    <w:rsid w:val="002A7FB3"/>
    <w:rsid w:val="002B58A3"/>
    <w:rsid w:val="002C1A6C"/>
    <w:rsid w:val="002C2C8E"/>
    <w:rsid w:val="002C345D"/>
    <w:rsid w:val="002C447A"/>
    <w:rsid w:val="002D2FB4"/>
    <w:rsid w:val="002D57CD"/>
    <w:rsid w:val="002D6198"/>
    <w:rsid w:val="002E06CF"/>
    <w:rsid w:val="002E11D8"/>
    <w:rsid w:val="002E38EE"/>
    <w:rsid w:val="002E403E"/>
    <w:rsid w:val="002E50CA"/>
    <w:rsid w:val="002F1928"/>
    <w:rsid w:val="002F2B15"/>
    <w:rsid w:val="002F3B02"/>
    <w:rsid w:val="002F63D2"/>
    <w:rsid w:val="00300C9F"/>
    <w:rsid w:val="0030134A"/>
    <w:rsid w:val="003044B8"/>
    <w:rsid w:val="00306753"/>
    <w:rsid w:val="00306C49"/>
    <w:rsid w:val="00307BEE"/>
    <w:rsid w:val="003117CB"/>
    <w:rsid w:val="00314E85"/>
    <w:rsid w:val="003175E6"/>
    <w:rsid w:val="00323569"/>
    <w:rsid w:val="00331804"/>
    <w:rsid w:val="0033264C"/>
    <w:rsid w:val="00335C78"/>
    <w:rsid w:val="00342C93"/>
    <w:rsid w:val="00347108"/>
    <w:rsid w:val="0035195A"/>
    <w:rsid w:val="00352676"/>
    <w:rsid w:val="00353A27"/>
    <w:rsid w:val="003574CA"/>
    <w:rsid w:val="0036092F"/>
    <w:rsid w:val="0036286D"/>
    <w:rsid w:val="003651E5"/>
    <w:rsid w:val="00366152"/>
    <w:rsid w:val="00366D09"/>
    <w:rsid w:val="003670E1"/>
    <w:rsid w:val="003678AA"/>
    <w:rsid w:val="00372ED5"/>
    <w:rsid w:val="003760EF"/>
    <w:rsid w:val="00376AA3"/>
    <w:rsid w:val="00383641"/>
    <w:rsid w:val="0038402E"/>
    <w:rsid w:val="00385FD8"/>
    <w:rsid w:val="0039315A"/>
    <w:rsid w:val="0039401F"/>
    <w:rsid w:val="00395369"/>
    <w:rsid w:val="00397EE9"/>
    <w:rsid w:val="003A08D6"/>
    <w:rsid w:val="003A6FA8"/>
    <w:rsid w:val="003A7E95"/>
    <w:rsid w:val="003B0DE2"/>
    <w:rsid w:val="003B44E3"/>
    <w:rsid w:val="003B564D"/>
    <w:rsid w:val="003B75D6"/>
    <w:rsid w:val="003C05F8"/>
    <w:rsid w:val="003C198F"/>
    <w:rsid w:val="003C50C5"/>
    <w:rsid w:val="003D1ACD"/>
    <w:rsid w:val="003D32E9"/>
    <w:rsid w:val="003D7781"/>
    <w:rsid w:val="003D7BD7"/>
    <w:rsid w:val="003E3F21"/>
    <w:rsid w:val="003E4072"/>
    <w:rsid w:val="003E5223"/>
    <w:rsid w:val="003F02A9"/>
    <w:rsid w:val="003F2144"/>
    <w:rsid w:val="003F6575"/>
    <w:rsid w:val="00401172"/>
    <w:rsid w:val="00402CF7"/>
    <w:rsid w:val="00403C7B"/>
    <w:rsid w:val="00405221"/>
    <w:rsid w:val="004062AF"/>
    <w:rsid w:val="00407037"/>
    <w:rsid w:val="004201DA"/>
    <w:rsid w:val="00421915"/>
    <w:rsid w:val="004222BD"/>
    <w:rsid w:val="0042578E"/>
    <w:rsid w:val="004322D6"/>
    <w:rsid w:val="00433EDF"/>
    <w:rsid w:val="004366AA"/>
    <w:rsid w:val="00441651"/>
    <w:rsid w:val="0045262B"/>
    <w:rsid w:val="00453968"/>
    <w:rsid w:val="0045635F"/>
    <w:rsid w:val="00462462"/>
    <w:rsid w:val="0046319B"/>
    <w:rsid w:val="00464DF2"/>
    <w:rsid w:val="004713DC"/>
    <w:rsid w:val="004748D6"/>
    <w:rsid w:val="00475531"/>
    <w:rsid w:val="004778A1"/>
    <w:rsid w:val="0048095F"/>
    <w:rsid w:val="00480BEC"/>
    <w:rsid w:val="00480D27"/>
    <w:rsid w:val="00480F54"/>
    <w:rsid w:val="0048259B"/>
    <w:rsid w:val="0048600B"/>
    <w:rsid w:val="0048657E"/>
    <w:rsid w:val="00486874"/>
    <w:rsid w:val="00486C87"/>
    <w:rsid w:val="00487700"/>
    <w:rsid w:val="00492CCA"/>
    <w:rsid w:val="0049427F"/>
    <w:rsid w:val="0049722E"/>
    <w:rsid w:val="00497BEE"/>
    <w:rsid w:val="004A48ED"/>
    <w:rsid w:val="004B0005"/>
    <w:rsid w:val="004C211B"/>
    <w:rsid w:val="004C4F5A"/>
    <w:rsid w:val="004C5EE7"/>
    <w:rsid w:val="004C60B2"/>
    <w:rsid w:val="004C682A"/>
    <w:rsid w:val="004C71FB"/>
    <w:rsid w:val="004D0537"/>
    <w:rsid w:val="004D3D31"/>
    <w:rsid w:val="004D3EE5"/>
    <w:rsid w:val="004D79CC"/>
    <w:rsid w:val="004E2F7B"/>
    <w:rsid w:val="004E3052"/>
    <w:rsid w:val="004F0E36"/>
    <w:rsid w:val="004F22EF"/>
    <w:rsid w:val="004F6FB8"/>
    <w:rsid w:val="005061E8"/>
    <w:rsid w:val="00512ACD"/>
    <w:rsid w:val="00514434"/>
    <w:rsid w:val="0051674B"/>
    <w:rsid w:val="005172EF"/>
    <w:rsid w:val="00520FB6"/>
    <w:rsid w:val="00521BB4"/>
    <w:rsid w:val="00521F69"/>
    <w:rsid w:val="00523EFA"/>
    <w:rsid w:val="00524C1B"/>
    <w:rsid w:val="00524DC3"/>
    <w:rsid w:val="00525FD5"/>
    <w:rsid w:val="005271D4"/>
    <w:rsid w:val="0053473E"/>
    <w:rsid w:val="00535026"/>
    <w:rsid w:val="00537889"/>
    <w:rsid w:val="005410DF"/>
    <w:rsid w:val="00541A5E"/>
    <w:rsid w:val="00541FB0"/>
    <w:rsid w:val="00551C18"/>
    <w:rsid w:val="00554358"/>
    <w:rsid w:val="0055626A"/>
    <w:rsid w:val="005600D0"/>
    <w:rsid w:val="005664B6"/>
    <w:rsid w:val="00567475"/>
    <w:rsid w:val="0056757E"/>
    <w:rsid w:val="00572681"/>
    <w:rsid w:val="00573F02"/>
    <w:rsid w:val="00576A50"/>
    <w:rsid w:val="005857BF"/>
    <w:rsid w:val="005930A5"/>
    <w:rsid w:val="00593806"/>
    <w:rsid w:val="00595C61"/>
    <w:rsid w:val="005A6A64"/>
    <w:rsid w:val="005A6ADD"/>
    <w:rsid w:val="005B11AC"/>
    <w:rsid w:val="005B3D9E"/>
    <w:rsid w:val="005C1ED4"/>
    <w:rsid w:val="005C225B"/>
    <w:rsid w:val="005C7D6D"/>
    <w:rsid w:val="005D228B"/>
    <w:rsid w:val="005D4B20"/>
    <w:rsid w:val="005D6487"/>
    <w:rsid w:val="005D744F"/>
    <w:rsid w:val="005D77AA"/>
    <w:rsid w:val="005E0F0B"/>
    <w:rsid w:val="005E3C70"/>
    <w:rsid w:val="005F1C98"/>
    <w:rsid w:val="005F3900"/>
    <w:rsid w:val="005F4472"/>
    <w:rsid w:val="00601BA3"/>
    <w:rsid w:val="00604627"/>
    <w:rsid w:val="00604C00"/>
    <w:rsid w:val="00606EB8"/>
    <w:rsid w:val="006100BF"/>
    <w:rsid w:val="00616318"/>
    <w:rsid w:val="006212A4"/>
    <w:rsid w:val="0062229C"/>
    <w:rsid w:val="00634DFA"/>
    <w:rsid w:val="006360B7"/>
    <w:rsid w:val="0064172E"/>
    <w:rsid w:val="00642ACC"/>
    <w:rsid w:val="00645D27"/>
    <w:rsid w:val="00651036"/>
    <w:rsid w:val="006534E4"/>
    <w:rsid w:val="0065451C"/>
    <w:rsid w:val="00655F0C"/>
    <w:rsid w:val="00660131"/>
    <w:rsid w:val="006635E4"/>
    <w:rsid w:val="006714AF"/>
    <w:rsid w:val="00671D0A"/>
    <w:rsid w:val="00672A62"/>
    <w:rsid w:val="00672DD7"/>
    <w:rsid w:val="00673D88"/>
    <w:rsid w:val="006811FC"/>
    <w:rsid w:val="00691395"/>
    <w:rsid w:val="0069163A"/>
    <w:rsid w:val="006935FC"/>
    <w:rsid w:val="00694522"/>
    <w:rsid w:val="00694FF7"/>
    <w:rsid w:val="00696FA8"/>
    <w:rsid w:val="006A1941"/>
    <w:rsid w:val="006A4B10"/>
    <w:rsid w:val="006A6CFC"/>
    <w:rsid w:val="006A76A7"/>
    <w:rsid w:val="006A7AFE"/>
    <w:rsid w:val="006B764A"/>
    <w:rsid w:val="006C580F"/>
    <w:rsid w:val="006C6C73"/>
    <w:rsid w:val="006C7295"/>
    <w:rsid w:val="006D1E47"/>
    <w:rsid w:val="006D6FAB"/>
    <w:rsid w:val="006D7829"/>
    <w:rsid w:val="006E597E"/>
    <w:rsid w:val="006E7ACB"/>
    <w:rsid w:val="006F1AD8"/>
    <w:rsid w:val="006F1C88"/>
    <w:rsid w:val="006F69F9"/>
    <w:rsid w:val="006F6A4A"/>
    <w:rsid w:val="007027AB"/>
    <w:rsid w:val="0071372B"/>
    <w:rsid w:val="007153BC"/>
    <w:rsid w:val="007157DB"/>
    <w:rsid w:val="0071589D"/>
    <w:rsid w:val="00720874"/>
    <w:rsid w:val="00722068"/>
    <w:rsid w:val="00732D1D"/>
    <w:rsid w:val="0073429C"/>
    <w:rsid w:val="0073710A"/>
    <w:rsid w:val="0073740D"/>
    <w:rsid w:val="0073761E"/>
    <w:rsid w:val="00737F83"/>
    <w:rsid w:val="00741B93"/>
    <w:rsid w:val="00742281"/>
    <w:rsid w:val="00754F24"/>
    <w:rsid w:val="007613F0"/>
    <w:rsid w:val="00766C02"/>
    <w:rsid w:val="0077030F"/>
    <w:rsid w:val="00772507"/>
    <w:rsid w:val="00772AC2"/>
    <w:rsid w:val="00776059"/>
    <w:rsid w:val="0077780B"/>
    <w:rsid w:val="00784517"/>
    <w:rsid w:val="007846A3"/>
    <w:rsid w:val="007856E5"/>
    <w:rsid w:val="0078738B"/>
    <w:rsid w:val="00791D40"/>
    <w:rsid w:val="007923E7"/>
    <w:rsid w:val="007A051C"/>
    <w:rsid w:val="007A24A5"/>
    <w:rsid w:val="007A562B"/>
    <w:rsid w:val="007A5ED7"/>
    <w:rsid w:val="007A608C"/>
    <w:rsid w:val="007B1B11"/>
    <w:rsid w:val="007B2E44"/>
    <w:rsid w:val="007B59F9"/>
    <w:rsid w:val="007B73DC"/>
    <w:rsid w:val="007C1130"/>
    <w:rsid w:val="007C1A81"/>
    <w:rsid w:val="007C23FB"/>
    <w:rsid w:val="007C274B"/>
    <w:rsid w:val="007C411A"/>
    <w:rsid w:val="007C5D21"/>
    <w:rsid w:val="007D072A"/>
    <w:rsid w:val="007E0C35"/>
    <w:rsid w:val="007E1BEE"/>
    <w:rsid w:val="007E3852"/>
    <w:rsid w:val="007E4342"/>
    <w:rsid w:val="007E4FDC"/>
    <w:rsid w:val="007F4014"/>
    <w:rsid w:val="007F613C"/>
    <w:rsid w:val="00805C6F"/>
    <w:rsid w:val="008060AE"/>
    <w:rsid w:val="008066A0"/>
    <w:rsid w:val="008076A8"/>
    <w:rsid w:val="00807D51"/>
    <w:rsid w:val="00811EA2"/>
    <w:rsid w:val="00814379"/>
    <w:rsid w:val="00815666"/>
    <w:rsid w:val="008348FE"/>
    <w:rsid w:val="008357F5"/>
    <w:rsid w:val="00845761"/>
    <w:rsid w:val="00846229"/>
    <w:rsid w:val="00846D07"/>
    <w:rsid w:val="00850F40"/>
    <w:rsid w:val="0085342D"/>
    <w:rsid w:val="00860F8C"/>
    <w:rsid w:val="00863D17"/>
    <w:rsid w:val="008809AD"/>
    <w:rsid w:val="00880AB3"/>
    <w:rsid w:val="008815A3"/>
    <w:rsid w:val="00890E41"/>
    <w:rsid w:val="00894871"/>
    <w:rsid w:val="008A14E5"/>
    <w:rsid w:val="008A42DD"/>
    <w:rsid w:val="008B13C8"/>
    <w:rsid w:val="008B2D4F"/>
    <w:rsid w:val="008B55E8"/>
    <w:rsid w:val="008B598E"/>
    <w:rsid w:val="008B63FE"/>
    <w:rsid w:val="008B7B94"/>
    <w:rsid w:val="008C11B7"/>
    <w:rsid w:val="008C452C"/>
    <w:rsid w:val="008D2892"/>
    <w:rsid w:val="008D574C"/>
    <w:rsid w:val="008E1638"/>
    <w:rsid w:val="008E453B"/>
    <w:rsid w:val="008E59AB"/>
    <w:rsid w:val="008E5A4E"/>
    <w:rsid w:val="008E66B4"/>
    <w:rsid w:val="008F5172"/>
    <w:rsid w:val="009010AC"/>
    <w:rsid w:val="009020AD"/>
    <w:rsid w:val="00903369"/>
    <w:rsid w:val="00903750"/>
    <w:rsid w:val="00904BE8"/>
    <w:rsid w:val="0090562E"/>
    <w:rsid w:val="00905FF7"/>
    <w:rsid w:val="00913CC0"/>
    <w:rsid w:val="0091437D"/>
    <w:rsid w:val="00914ADE"/>
    <w:rsid w:val="00916DE9"/>
    <w:rsid w:val="0091728A"/>
    <w:rsid w:val="009233B4"/>
    <w:rsid w:val="00925E22"/>
    <w:rsid w:val="009271BC"/>
    <w:rsid w:val="0093275A"/>
    <w:rsid w:val="00933962"/>
    <w:rsid w:val="00936C2C"/>
    <w:rsid w:val="009427AB"/>
    <w:rsid w:val="00942B3D"/>
    <w:rsid w:val="00943BE9"/>
    <w:rsid w:val="00947F2C"/>
    <w:rsid w:val="00957E16"/>
    <w:rsid w:val="00962A93"/>
    <w:rsid w:val="009636BD"/>
    <w:rsid w:val="00966B64"/>
    <w:rsid w:val="00974509"/>
    <w:rsid w:val="00976881"/>
    <w:rsid w:val="00976AF8"/>
    <w:rsid w:val="009775B5"/>
    <w:rsid w:val="00987D67"/>
    <w:rsid w:val="00991308"/>
    <w:rsid w:val="00995D64"/>
    <w:rsid w:val="009A3C63"/>
    <w:rsid w:val="009A6D21"/>
    <w:rsid w:val="009A7434"/>
    <w:rsid w:val="009B08A2"/>
    <w:rsid w:val="009B3BE6"/>
    <w:rsid w:val="009C660A"/>
    <w:rsid w:val="009C6853"/>
    <w:rsid w:val="009C791E"/>
    <w:rsid w:val="009C7CFE"/>
    <w:rsid w:val="009D333F"/>
    <w:rsid w:val="009D41AE"/>
    <w:rsid w:val="009D4A32"/>
    <w:rsid w:val="009D61A5"/>
    <w:rsid w:val="009D670E"/>
    <w:rsid w:val="009E12D8"/>
    <w:rsid w:val="009E21A9"/>
    <w:rsid w:val="009E79BE"/>
    <w:rsid w:val="009F1B58"/>
    <w:rsid w:val="009F2875"/>
    <w:rsid w:val="009F32FE"/>
    <w:rsid w:val="009F6558"/>
    <w:rsid w:val="00A01330"/>
    <w:rsid w:val="00A042C0"/>
    <w:rsid w:val="00A04A27"/>
    <w:rsid w:val="00A05F48"/>
    <w:rsid w:val="00A1236E"/>
    <w:rsid w:val="00A13C36"/>
    <w:rsid w:val="00A16A5D"/>
    <w:rsid w:val="00A17BA7"/>
    <w:rsid w:val="00A201E7"/>
    <w:rsid w:val="00A22C37"/>
    <w:rsid w:val="00A23283"/>
    <w:rsid w:val="00A237CB"/>
    <w:rsid w:val="00A27049"/>
    <w:rsid w:val="00A3253B"/>
    <w:rsid w:val="00A37ACC"/>
    <w:rsid w:val="00A44A46"/>
    <w:rsid w:val="00A46E27"/>
    <w:rsid w:val="00A47544"/>
    <w:rsid w:val="00A53A47"/>
    <w:rsid w:val="00A554C8"/>
    <w:rsid w:val="00A55A5A"/>
    <w:rsid w:val="00A60586"/>
    <w:rsid w:val="00A61E11"/>
    <w:rsid w:val="00A624E3"/>
    <w:rsid w:val="00A648A1"/>
    <w:rsid w:val="00A649A5"/>
    <w:rsid w:val="00A70975"/>
    <w:rsid w:val="00A77CB3"/>
    <w:rsid w:val="00A822F2"/>
    <w:rsid w:val="00A86627"/>
    <w:rsid w:val="00A87FA3"/>
    <w:rsid w:val="00A90ED0"/>
    <w:rsid w:val="00A94BD1"/>
    <w:rsid w:val="00A94DE4"/>
    <w:rsid w:val="00A94F63"/>
    <w:rsid w:val="00A95D5D"/>
    <w:rsid w:val="00A96421"/>
    <w:rsid w:val="00A967F9"/>
    <w:rsid w:val="00A969DA"/>
    <w:rsid w:val="00AA543D"/>
    <w:rsid w:val="00AA71C2"/>
    <w:rsid w:val="00AB35EC"/>
    <w:rsid w:val="00AB59F3"/>
    <w:rsid w:val="00AC0D5D"/>
    <w:rsid w:val="00AC0F0B"/>
    <w:rsid w:val="00AC68A0"/>
    <w:rsid w:val="00AD1C44"/>
    <w:rsid w:val="00AD5193"/>
    <w:rsid w:val="00AD5A41"/>
    <w:rsid w:val="00AE0E46"/>
    <w:rsid w:val="00AE5054"/>
    <w:rsid w:val="00AF5D11"/>
    <w:rsid w:val="00AF62D0"/>
    <w:rsid w:val="00AF64A6"/>
    <w:rsid w:val="00B0553D"/>
    <w:rsid w:val="00B0669F"/>
    <w:rsid w:val="00B07756"/>
    <w:rsid w:val="00B07E2F"/>
    <w:rsid w:val="00B122F7"/>
    <w:rsid w:val="00B14452"/>
    <w:rsid w:val="00B14B42"/>
    <w:rsid w:val="00B16479"/>
    <w:rsid w:val="00B17B6E"/>
    <w:rsid w:val="00B262B0"/>
    <w:rsid w:val="00B302A3"/>
    <w:rsid w:val="00B3159E"/>
    <w:rsid w:val="00B337D7"/>
    <w:rsid w:val="00B344A2"/>
    <w:rsid w:val="00B34D4C"/>
    <w:rsid w:val="00B44F1F"/>
    <w:rsid w:val="00B4521A"/>
    <w:rsid w:val="00B5133D"/>
    <w:rsid w:val="00B51830"/>
    <w:rsid w:val="00B53912"/>
    <w:rsid w:val="00B56C88"/>
    <w:rsid w:val="00B6269B"/>
    <w:rsid w:val="00B6551D"/>
    <w:rsid w:val="00B73716"/>
    <w:rsid w:val="00B74012"/>
    <w:rsid w:val="00B7411D"/>
    <w:rsid w:val="00B757E6"/>
    <w:rsid w:val="00B76C97"/>
    <w:rsid w:val="00B77BE6"/>
    <w:rsid w:val="00B77E9C"/>
    <w:rsid w:val="00B831DE"/>
    <w:rsid w:val="00B835AF"/>
    <w:rsid w:val="00B87E75"/>
    <w:rsid w:val="00B90944"/>
    <w:rsid w:val="00B92754"/>
    <w:rsid w:val="00B93295"/>
    <w:rsid w:val="00B94494"/>
    <w:rsid w:val="00B94A92"/>
    <w:rsid w:val="00B96825"/>
    <w:rsid w:val="00BA109C"/>
    <w:rsid w:val="00BA1A89"/>
    <w:rsid w:val="00BA29D4"/>
    <w:rsid w:val="00BA58A6"/>
    <w:rsid w:val="00BB1A45"/>
    <w:rsid w:val="00BB1C17"/>
    <w:rsid w:val="00BB423F"/>
    <w:rsid w:val="00BB75AD"/>
    <w:rsid w:val="00BB78DF"/>
    <w:rsid w:val="00BC08B9"/>
    <w:rsid w:val="00BC4587"/>
    <w:rsid w:val="00BC5374"/>
    <w:rsid w:val="00BC7838"/>
    <w:rsid w:val="00BD3CF7"/>
    <w:rsid w:val="00BD449D"/>
    <w:rsid w:val="00BD503B"/>
    <w:rsid w:val="00BD54E9"/>
    <w:rsid w:val="00BE1BD9"/>
    <w:rsid w:val="00BE3149"/>
    <w:rsid w:val="00BE322D"/>
    <w:rsid w:val="00BE5680"/>
    <w:rsid w:val="00BE5AC3"/>
    <w:rsid w:val="00BE7A42"/>
    <w:rsid w:val="00BF3310"/>
    <w:rsid w:val="00BF47BA"/>
    <w:rsid w:val="00BF7B27"/>
    <w:rsid w:val="00C02358"/>
    <w:rsid w:val="00C0476F"/>
    <w:rsid w:val="00C07B3F"/>
    <w:rsid w:val="00C16072"/>
    <w:rsid w:val="00C2019A"/>
    <w:rsid w:val="00C21C80"/>
    <w:rsid w:val="00C25F91"/>
    <w:rsid w:val="00C26B48"/>
    <w:rsid w:val="00C27F05"/>
    <w:rsid w:val="00C31E05"/>
    <w:rsid w:val="00C37742"/>
    <w:rsid w:val="00C40230"/>
    <w:rsid w:val="00C41446"/>
    <w:rsid w:val="00C453FD"/>
    <w:rsid w:val="00C45CDF"/>
    <w:rsid w:val="00C5096F"/>
    <w:rsid w:val="00C60499"/>
    <w:rsid w:val="00C63859"/>
    <w:rsid w:val="00C6600A"/>
    <w:rsid w:val="00C814CE"/>
    <w:rsid w:val="00C831B8"/>
    <w:rsid w:val="00C94682"/>
    <w:rsid w:val="00C9614F"/>
    <w:rsid w:val="00CA1FA0"/>
    <w:rsid w:val="00CA42B2"/>
    <w:rsid w:val="00CA66C7"/>
    <w:rsid w:val="00CA7103"/>
    <w:rsid w:val="00CB0E73"/>
    <w:rsid w:val="00CB6844"/>
    <w:rsid w:val="00CC6F29"/>
    <w:rsid w:val="00CD28CD"/>
    <w:rsid w:val="00CE02FB"/>
    <w:rsid w:val="00CE1825"/>
    <w:rsid w:val="00CE6892"/>
    <w:rsid w:val="00CF3023"/>
    <w:rsid w:val="00CF511D"/>
    <w:rsid w:val="00CF5716"/>
    <w:rsid w:val="00CF7B97"/>
    <w:rsid w:val="00CF7ECC"/>
    <w:rsid w:val="00D1181C"/>
    <w:rsid w:val="00D14218"/>
    <w:rsid w:val="00D21C20"/>
    <w:rsid w:val="00D2620E"/>
    <w:rsid w:val="00D270AE"/>
    <w:rsid w:val="00D36929"/>
    <w:rsid w:val="00D44575"/>
    <w:rsid w:val="00D461B8"/>
    <w:rsid w:val="00D61275"/>
    <w:rsid w:val="00D620CF"/>
    <w:rsid w:val="00D621C0"/>
    <w:rsid w:val="00D62D26"/>
    <w:rsid w:val="00D66F03"/>
    <w:rsid w:val="00D66F79"/>
    <w:rsid w:val="00D678FF"/>
    <w:rsid w:val="00D7306B"/>
    <w:rsid w:val="00D77C5D"/>
    <w:rsid w:val="00D80729"/>
    <w:rsid w:val="00D84451"/>
    <w:rsid w:val="00D85139"/>
    <w:rsid w:val="00D905BC"/>
    <w:rsid w:val="00D905EC"/>
    <w:rsid w:val="00D92577"/>
    <w:rsid w:val="00D92EF5"/>
    <w:rsid w:val="00DA11ED"/>
    <w:rsid w:val="00DA129C"/>
    <w:rsid w:val="00DA19D9"/>
    <w:rsid w:val="00DA24E3"/>
    <w:rsid w:val="00DA42C0"/>
    <w:rsid w:val="00DB2AA9"/>
    <w:rsid w:val="00DB5E4C"/>
    <w:rsid w:val="00DB762F"/>
    <w:rsid w:val="00DB795E"/>
    <w:rsid w:val="00DC008E"/>
    <w:rsid w:val="00DC142B"/>
    <w:rsid w:val="00DC774D"/>
    <w:rsid w:val="00DD225D"/>
    <w:rsid w:val="00DE0AB9"/>
    <w:rsid w:val="00DE7267"/>
    <w:rsid w:val="00DF11E2"/>
    <w:rsid w:val="00DF44F2"/>
    <w:rsid w:val="00DF5D8C"/>
    <w:rsid w:val="00DF6F21"/>
    <w:rsid w:val="00DF7D6A"/>
    <w:rsid w:val="00DF7D7A"/>
    <w:rsid w:val="00E0049B"/>
    <w:rsid w:val="00E02AD8"/>
    <w:rsid w:val="00E048D7"/>
    <w:rsid w:val="00E106AF"/>
    <w:rsid w:val="00E1111E"/>
    <w:rsid w:val="00E115E1"/>
    <w:rsid w:val="00E12EDC"/>
    <w:rsid w:val="00E2138D"/>
    <w:rsid w:val="00E21C0F"/>
    <w:rsid w:val="00E22BF0"/>
    <w:rsid w:val="00E25B80"/>
    <w:rsid w:val="00E272B5"/>
    <w:rsid w:val="00E27569"/>
    <w:rsid w:val="00E306F8"/>
    <w:rsid w:val="00E33343"/>
    <w:rsid w:val="00E367D5"/>
    <w:rsid w:val="00E37373"/>
    <w:rsid w:val="00E412B7"/>
    <w:rsid w:val="00E44B0D"/>
    <w:rsid w:val="00E500E5"/>
    <w:rsid w:val="00E51B0B"/>
    <w:rsid w:val="00E549E3"/>
    <w:rsid w:val="00E62D44"/>
    <w:rsid w:val="00E63043"/>
    <w:rsid w:val="00E636F7"/>
    <w:rsid w:val="00E64B25"/>
    <w:rsid w:val="00E65AC9"/>
    <w:rsid w:val="00E702FC"/>
    <w:rsid w:val="00E7455F"/>
    <w:rsid w:val="00E74FB7"/>
    <w:rsid w:val="00E75551"/>
    <w:rsid w:val="00E75D02"/>
    <w:rsid w:val="00E76F9E"/>
    <w:rsid w:val="00E77503"/>
    <w:rsid w:val="00E808AA"/>
    <w:rsid w:val="00E8404B"/>
    <w:rsid w:val="00E91166"/>
    <w:rsid w:val="00E91F23"/>
    <w:rsid w:val="00E94B3E"/>
    <w:rsid w:val="00E962C5"/>
    <w:rsid w:val="00E96FC8"/>
    <w:rsid w:val="00E9740A"/>
    <w:rsid w:val="00EA04B8"/>
    <w:rsid w:val="00EA2829"/>
    <w:rsid w:val="00EB0C3B"/>
    <w:rsid w:val="00EB46BE"/>
    <w:rsid w:val="00EC2C17"/>
    <w:rsid w:val="00EC3504"/>
    <w:rsid w:val="00EC43C8"/>
    <w:rsid w:val="00EC64B3"/>
    <w:rsid w:val="00ED2863"/>
    <w:rsid w:val="00ED3A2C"/>
    <w:rsid w:val="00ED65DA"/>
    <w:rsid w:val="00EE2CD0"/>
    <w:rsid w:val="00EE5690"/>
    <w:rsid w:val="00EE58CB"/>
    <w:rsid w:val="00EE6BC6"/>
    <w:rsid w:val="00EE7554"/>
    <w:rsid w:val="00EF0705"/>
    <w:rsid w:val="00EF14D9"/>
    <w:rsid w:val="00EF1990"/>
    <w:rsid w:val="00EF29F4"/>
    <w:rsid w:val="00EF2F66"/>
    <w:rsid w:val="00EF3043"/>
    <w:rsid w:val="00EF314B"/>
    <w:rsid w:val="00EF41D3"/>
    <w:rsid w:val="00EF7D48"/>
    <w:rsid w:val="00F014EC"/>
    <w:rsid w:val="00F13E20"/>
    <w:rsid w:val="00F15EF0"/>
    <w:rsid w:val="00F3022B"/>
    <w:rsid w:val="00F305B6"/>
    <w:rsid w:val="00F3424C"/>
    <w:rsid w:val="00F34381"/>
    <w:rsid w:val="00F345EF"/>
    <w:rsid w:val="00F35B8C"/>
    <w:rsid w:val="00F41E8D"/>
    <w:rsid w:val="00F51A66"/>
    <w:rsid w:val="00F533D4"/>
    <w:rsid w:val="00F55D14"/>
    <w:rsid w:val="00F63B35"/>
    <w:rsid w:val="00F6412C"/>
    <w:rsid w:val="00F645AD"/>
    <w:rsid w:val="00F663DC"/>
    <w:rsid w:val="00F706E5"/>
    <w:rsid w:val="00F713D4"/>
    <w:rsid w:val="00F71E72"/>
    <w:rsid w:val="00F71F61"/>
    <w:rsid w:val="00F72902"/>
    <w:rsid w:val="00F835B8"/>
    <w:rsid w:val="00F847A8"/>
    <w:rsid w:val="00F955B7"/>
    <w:rsid w:val="00FA10A2"/>
    <w:rsid w:val="00FB2B44"/>
    <w:rsid w:val="00FB4604"/>
    <w:rsid w:val="00FB50A5"/>
    <w:rsid w:val="00FB640C"/>
    <w:rsid w:val="00FB6EC2"/>
    <w:rsid w:val="00FB779F"/>
    <w:rsid w:val="00FC0141"/>
    <w:rsid w:val="00FC0AB9"/>
    <w:rsid w:val="00FC0BCC"/>
    <w:rsid w:val="00FC3B76"/>
    <w:rsid w:val="00FC4BC5"/>
    <w:rsid w:val="00FC4FC5"/>
    <w:rsid w:val="00FC55CA"/>
    <w:rsid w:val="00FD04F7"/>
    <w:rsid w:val="00FD4679"/>
    <w:rsid w:val="00FD56FC"/>
    <w:rsid w:val="00FD6289"/>
    <w:rsid w:val="00FD62A9"/>
    <w:rsid w:val="00FD7FDC"/>
    <w:rsid w:val="00FE0850"/>
    <w:rsid w:val="00FE2243"/>
    <w:rsid w:val="00FE3698"/>
    <w:rsid w:val="00FE4088"/>
    <w:rsid w:val="00FE6462"/>
    <w:rsid w:val="00FF2AAF"/>
    <w:rsid w:val="00FF2CAA"/>
    <w:rsid w:val="00FF76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8C44DA"/>
  <w15:docId w15:val="{956834B6-728F-49DA-8DFA-A0416ABBF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120" w:after="120" w:line="30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315A"/>
    <w:pPr>
      <w:spacing w:line="360" w:lineRule="auto"/>
      <w:jc w:val="both"/>
    </w:pPr>
    <w:rPr>
      <w:rFonts w:ascii="Arial" w:hAnsi="Arial"/>
    </w:rPr>
  </w:style>
  <w:style w:type="paragraph" w:styleId="Heading1">
    <w:name w:val="heading 1"/>
    <w:basedOn w:val="Normal"/>
    <w:next w:val="Normal"/>
    <w:link w:val="Heading1Char"/>
    <w:uiPriority w:val="9"/>
    <w:qFormat/>
    <w:rsid w:val="009A7434"/>
    <w:pPr>
      <w:keepNext/>
      <w:keepLines/>
      <w:numPr>
        <w:numId w:val="1"/>
      </w:numPr>
      <w:spacing w:before="360" w:after="360"/>
      <w:outlineLvl w:val="0"/>
    </w:pPr>
    <w:rPr>
      <w:rFonts w:eastAsiaTheme="majorEastAsia" w:cstheme="majorBidi"/>
      <w:b/>
      <w:bCs/>
      <w:smallCaps/>
      <w:color w:val="212745" w:themeColor="text2"/>
      <w:sz w:val="26"/>
      <w:szCs w:val="28"/>
    </w:rPr>
  </w:style>
  <w:style w:type="paragraph" w:styleId="Heading2">
    <w:name w:val="heading 2"/>
    <w:basedOn w:val="Normal"/>
    <w:next w:val="Normal"/>
    <w:link w:val="Heading2Char"/>
    <w:uiPriority w:val="9"/>
    <w:unhideWhenUsed/>
    <w:qFormat/>
    <w:rsid w:val="009B3BE6"/>
    <w:pPr>
      <w:keepNext/>
      <w:keepLines/>
      <w:numPr>
        <w:ilvl w:val="1"/>
        <w:numId w:val="1"/>
      </w:numPr>
      <w:spacing w:before="200" w:after="0"/>
      <w:outlineLvl w:val="1"/>
    </w:pPr>
    <w:rPr>
      <w:rFonts w:eastAsiaTheme="majorEastAsia" w:cstheme="majorBidi"/>
      <w:b/>
      <w:bCs/>
      <w:color w:val="212745" w:themeColor="text2"/>
      <w:sz w:val="24"/>
      <w:szCs w:val="26"/>
    </w:rPr>
  </w:style>
  <w:style w:type="paragraph" w:styleId="Heading3">
    <w:name w:val="heading 3"/>
    <w:basedOn w:val="Normal"/>
    <w:next w:val="Normal"/>
    <w:link w:val="Heading3Char"/>
    <w:uiPriority w:val="9"/>
    <w:unhideWhenUsed/>
    <w:qFormat/>
    <w:rsid w:val="00C25F91"/>
    <w:pPr>
      <w:keepNext/>
      <w:keepLines/>
      <w:numPr>
        <w:ilvl w:val="2"/>
        <w:numId w:val="1"/>
      </w:numPr>
      <w:spacing w:before="200" w:after="0"/>
      <w:outlineLvl w:val="2"/>
    </w:pPr>
    <w:rPr>
      <w:rFonts w:eastAsiaTheme="majorEastAsia" w:cstheme="majorBidi"/>
      <w:b/>
      <w:bCs/>
      <w:color w:val="212745" w:themeColor="text2"/>
    </w:rPr>
  </w:style>
  <w:style w:type="paragraph" w:styleId="Heading4">
    <w:name w:val="heading 4"/>
    <w:basedOn w:val="Normal"/>
    <w:next w:val="Normal"/>
    <w:link w:val="Heading4Char"/>
    <w:uiPriority w:val="9"/>
    <w:unhideWhenUsed/>
    <w:qFormat/>
    <w:rsid w:val="00C25F91"/>
    <w:pPr>
      <w:keepNext/>
      <w:keepLines/>
      <w:numPr>
        <w:ilvl w:val="3"/>
        <w:numId w:val="1"/>
      </w:numPr>
      <w:spacing w:before="200" w:after="0"/>
      <w:outlineLvl w:val="3"/>
    </w:pPr>
    <w:rPr>
      <w:rFonts w:eastAsiaTheme="majorEastAsia" w:cstheme="majorBidi"/>
      <w:bCs/>
      <w:i/>
      <w:iCs/>
      <w:color w:val="212745" w:themeColor="text2"/>
    </w:rPr>
  </w:style>
  <w:style w:type="paragraph" w:styleId="Heading5">
    <w:name w:val="heading 5"/>
    <w:basedOn w:val="Normal"/>
    <w:next w:val="Normal"/>
    <w:link w:val="Heading5Char"/>
    <w:uiPriority w:val="9"/>
    <w:unhideWhenUsed/>
    <w:qFormat/>
    <w:rsid w:val="009B3BE6"/>
    <w:pPr>
      <w:keepNext/>
      <w:keepLines/>
      <w:numPr>
        <w:ilvl w:val="4"/>
        <w:numId w:val="1"/>
      </w:numPr>
      <w:spacing w:before="200" w:after="0"/>
      <w:outlineLvl w:val="4"/>
    </w:pPr>
    <w:rPr>
      <w:rFonts w:asciiTheme="majorHAnsi" w:eastAsiaTheme="majorEastAsia" w:hAnsiTheme="majorHAnsi" w:cstheme="majorBidi"/>
      <w:color w:val="202F69" w:themeColor="accent1" w:themeShade="7F"/>
    </w:rPr>
  </w:style>
  <w:style w:type="paragraph" w:styleId="Heading6">
    <w:name w:val="heading 6"/>
    <w:basedOn w:val="Normal"/>
    <w:next w:val="Normal"/>
    <w:link w:val="Heading6Char"/>
    <w:uiPriority w:val="9"/>
    <w:unhideWhenUsed/>
    <w:qFormat/>
    <w:rsid w:val="009B3BE6"/>
    <w:pPr>
      <w:keepNext/>
      <w:keepLines/>
      <w:numPr>
        <w:ilvl w:val="5"/>
        <w:numId w:val="1"/>
      </w:numPr>
      <w:spacing w:before="200" w:after="0"/>
      <w:outlineLvl w:val="5"/>
    </w:pPr>
    <w:rPr>
      <w:rFonts w:asciiTheme="majorHAnsi" w:eastAsiaTheme="majorEastAsia" w:hAnsiTheme="majorHAnsi" w:cstheme="majorBidi"/>
      <w:i/>
      <w:iCs/>
      <w:color w:val="202F69" w:themeColor="accent1" w:themeShade="7F"/>
    </w:rPr>
  </w:style>
  <w:style w:type="paragraph" w:styleId="Heading7">
    <w:name w:val="heading 7"/>
    <w:basedOn w:val="Normal"/>
    <w:next w:val="Normal"/>
    <w:link w:val="Heading7Char"/>
    <w:uiPriority w:val="9"/>
    <w:unhideWhenUsed/>
    <w:qFormat/>
    <w:rsid w:val="009B3BE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B3BE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9B3BE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7434"/>
    <w:rPr>
      <w:rFonts w:ascii="Arial" w:eastAsiaTheme="majorEastAsia" w:hAnsi="Arial" w:cstheme="majorBidi"/>
      <w:b/>
      <w:bCs/>
      <w:smallCaps/>
      <w:color w:val="212745" w:themeColor="text2"/>
      <w:sz w:val="26"/>
      <w:szCs w:val="28"/>
    </w:rPr>
  </w:style>
  <w:style w:type="character" w:customStyle="1" w:styleId="Heading2Char">
    <w:name w:val="Heading 2 Char"/>
    <w:basedOn w:val="DefaultParagraphFont"/>
    <w:link w:val="Heading2"/>
    <w:uiPriority w:val="9"/>
    <w:rsid w:val="009B3BE6"/>
    <w:rPr>
      <w:rFonts w:ascii="Arial" w:eastAsiaTheme="majorEastAsia" w:hAnsi="Arial" w:cstheme="majorBidi"/>
      <w:b/>
      <w:bCs/>
      <w:color w:val="212745" w:themeColor="text2"/>
      <w:sz w:val="24"/>
      <w:szCs w:val="26"/>
    </w:rPr>
  </w:style>
  <w:style w:type="character" w:customStyle="1" w:styleId="Heading3Char">
    <w:name w:val="Heading 3 Char"/>
    <w:basedOn w:val="DefaultParagraphFont"/>
    <w:link w:val="Heading3"/>
    <w:uiPriority w:val="9"/>
    <w:rsid w:val="00C25F91"/>
    <w:rPr>
      <w:rFonts w:ascii="Arial" w:eastAsiaTheme="majorEastAsia" w:hAnsi="Arial" w:cstheme="majorBidi"/>
      <w:b/>
      <w:bCs/>
      <w:color w:val="212745" w:themeColor="text2"/>
    </w:rPr>
  </w:style>
  <w:style w:type="character" w:customStyle="1" w:styleId="Heading4Char">
    <w:name w:val="Heading 4 Char"/>
    <w:basedOn w:val="DefaultParagraphFont"/>
    <w:link w:val="Heading4"/>
    <w:uiPriority w:val="9"/>
    <w:rsid w:val="00C25F91"/>
    <w:rPr>
      <w:rFonts w:ascii="Arial" w:eastAsiaTheme="majorEastAsia" w:hAnsi="Arial" w:cstheme="majorBidi"/>
      <w:bCs/>
      <w:i/>
      <w:iCs/>
      <w:color w:val="212745" w:themeColor="text2"/>
    </w:rPr>
  </w:style>
  <w:style w:type="character" w:customStyle="1" w:styleId="Heading5Char">
    <w:name w:val="Heading 5 Char"/>
    <w:basedOn w:val="DefaultParagraphFont"/>
    <w:link w:val="Heading5"/>
    <w:uiPriority w:val="9"/>
    <w:rsid w:val="009B3BE6"/>
    <w:rPr>
      <w:rFonts w:asciiTheme="majorHAnsi" w:eastAsiaTheme="majorEastAsia" w:hAnsiTheme="majorHAnsi" w:cstheme="majorBidi"/>
      <w:color w:val="202F69" w:themeColor="accent1" w:themeShade="7F"/>
    </w:rPr>
  </w:style>
  <w:style w:type="character" w:customStyle="1" w:styleId="Heading6Char">
    <w:name w:val="Heading 6 Char"/>
    <w:basedOn w:val="DefaultParagraphFont"/>
    <w:link w:val="Heading6"/>
    <w:uiPriority w:val="9"/>
    <w:rsid w:val="009B3BE6"/>
    <w:rPr>
      <w:rFonts w:asciiTheme="majorHAnsi" w:eastAsiaTheme="majorEastAsia" w:hAnsiTheme="majorHAnsi" w:cstheme="majorBidi"/>
      <w:i/>
      <w:iCs/>
      <w:color w:val="202F69" w:themeColor="accent1" w:themeShade="7F"/>
    </w:rPr>
  </w:style>
  <w:style w:type="character" w:customStyle="1" w:styleId="Heading7Char">
    <w:name w:val="Heading 7 Char"/>
    <w:basedOn w:val="DefaultParagraphFont"/>
    <w:link w:val="Heading7"/>
    <w:uiPriority w:val="9"/>
    <w:rsid w:val="009B3BE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9B3BE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9B3BE6"/>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D21C20"/>
    <w:pPr>
      <w:tabs>
        <w:tab w:val="center" w:pos="4320"/>
        <w:tab w:val="right" w:pos="8640"/>
      </w:tabs>
      <w:spacing w:before="0" w:after="0" w:line="240" w:lineRule="auto"/>
    </w:pPr>
  </w:style>
  <w:style w:type="character" w:customStyle="1" w:styleId="HeaderChar">
    <w:name w:val="Header Char"/>
    <w:basedOn w:val="DefaultParagraphFont"/>
    <w:link w:val="Header"/>
    <w:uiPriority w:val="99"/>
    <w:rsid w:val="00D21C20"/>
  </w:style>
  <w:style w:type="paragraph" w:styleId="Footer">
    <w:name w:val="footer"/>
    <w:basedOn w:val="Normal"/>
    <w:link w:val="FooterChar"/>
    <w:uiPriority w:val="99"/>
    <w:unhideWhenUsed/>
    <w:rsid w:val="00D21C20"/>
    <w:pPr>
      <w:tabs>
        <w:tab w:val="center" w:pos="4320"/>
        <w:tab w:val="right" w:pos="8640"/>
      </w:tabs>
      <w:spacing w:before="0" w:after="0" w:line="240" w:lineRule="auto"/>
    </w:pPr>
  </w:style>
  <w:style w:type="character" w:customStyle="1" w:styleId="FooterChar">
    <w:name w:val="Footer Char"/>
    <w:basedOn w:val="DefaultParagraphFont"/>
    <w:link w:val="Footer"/>
    <w:uiPriority w:val="99"/>
    <w:qFormat/>
    <w:rsid w:val="00D21C20"/>
  </w:style>
  <w:style w:type="paragraph" w:styleId="BalloonText">
    <w:name w:val="Balloon Text"/>
    <w:basedOn w:val="Normal"/>
    <w:link w:val="BalloonTextChar"/>
    <w:uiPriority w:val="99"/>
    <w:semiHidden/>
    <w:unhideWhenUsed/>
    <w:rsid w:val="00D21C20"/>
    <w:pPr>
      <w:spacing w:before="0" w:after="0" w:line="240" w:lineRule="auto"/>
    </w:pPr>
    <w:rPr>
      <w:rFonts w:cs="Tahoma"/>
      <w:sz w:val="16"/>
      <w:szCs w:val="16"/>
    </w:rPr>
  </w:style>
  <w:style w:type="character" w:customStyle="1" w:styleId="BalloonTextChar">
    <w:name w:val="Balloon Text Char"/>
    <w:basedOn w:val="DefaultParagraphFont"/>
    <w:link w:val="BalloonText"/>
    <w:uiPriority w:val="99"/>
    <w:semiHidden/>
    <w:rsid w:val="00D21C20"/>
    <w:rPr>
      <w:rFonts w:ascii="Tahoma" w:hAnsi="Tahoma" w:cs="Tahoma"/>
      <w:sz w:val="16"/>
      <w:szCs w:val="16"/>
    </w:rPr>
  </w:style>
  <w:style w:type="table" w:styleId="TableGrid">
    <w:name w:val="Table Grid"/>
    <w:basedOn w:val="TableNormal"/>
    <w:uiPriority w:val="39"/>
    <w:rsid w:val="00D21C20"/>
    <w:pPr>
      <w:spacing w:before="0"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uiPriority w:val="10"/>
    <w:qFormat/>
    <w:rsid w:val="00A822F2"/>
    <w:pPr>
      <w:spacing w:before="0" w:after="300" w:line="240" w:lineRule="auto"/>
      <w:contextualSpacing/>
      <w:jc w:val="left"/>
    </w:pPr>
    <w:rPr>
      <w:rFonts w:eastAsiaTheme="majorEastAsia" w:cstheme="majorBidi"/>
      <w:color w:val="212745" w:themeColor="text2"/>
      <w:spacing w:val="5"/>
      <w:kern w:val="28"/>
      <w:sz w:val="40"/>
      <w:szCs w:val="52"/>
    </w:rPr>
  </w:style>
  <w:style w:type="character" w:customStyle="1" w:styleId="TitleChar">
    <w:name w:val="Title Char"/>
    <w:basedOn w:val="DefaultParagraphFont"/>
    <w:link w:val="Title"/>
    <w:uiPriority w:val="10"/>
    <w:rsid w:val="00A822F2"/>
    <w:rPr>
      <w:rFonts w:ascii="Tahoma" w:eastAsiaTheme="majorEastAsia" w:hAnsi="Tahoma" w:cstheme="majorBidi"/>
      <w:color w:val="212745" w:themeColor="text2"/>
      <w:spacing w:val="5"/>
      <w:kern w:val="28"/>
      <w:sz w:val="40"/>
      <w:szCs w:val="52"/>
    </w:rPr>
  </w:style>
  <w:style w:type="paragraph" w:styleId="Subtitle">
    <w:name w:val="Subtitle"/>
    <w:basedOn w:val="Normal"/>
    <w:next w:val="Normal"/>
    <w:link w:val="SubtitleChar"/>
    <w:uiPriority w:val="11"/>
    <w:qFormat/>
    <w:rsid w:val="00A61E11"/>
    <w:pPr>
      <w:numPr>
        <w:ilvl w:val="1"/>
      </w:numPr>
      <w:jc w:val="left"/>
    </w:pPr>
    <w:rPr>
      <w:rFonts w:eastAsiaTheme="majorEastAsia" w:cstheme="majorBidi"/>
      <w:i/>
      <w:iCs/>
      <w:color w:val="212745" w:themeColor="text2"/>
      <w:spacing w:val="15"/>
      <w:sz w:val="28"/>
      <w:szCs w:val="24"/>
    </w:rPr>
  </w:style>
  <w:style w:type="character" w:customStyle="1" w:styleId="SubtitleChar">
    <w:name w:val="Subtitle Char"/>
    <w:basedOn w:val="DefaultParagraphFont"/>
    <w:link w:val="Subtitle"/>
    <w:uiPriority w:val="11"/>
    <w:rsid w:val="00A61E11"/>
    <w:rPr>
      <w:rFonts w:ascii="Tahoma" w:eastAsiaTheme="majorEastAsia" w:hAnsi="Tahoma" w:cstheme="majorBidi"/>
      <w:i/>
      <w:iCs/>
      <w:color w:val="212745" w:themeColor="text2"/>
      <w:spacing w:val="15"/>
      <w:sz w:val="28"/>
      <w:szCs w:val="24"/>
    </w:rPr>
  </w:style>
  <w:style w:type="character" w:styleId="Strong">
    <w:name w:val="Strong"/>
    <w:basedOn w:val="DefaultParagraphFont"/>
    <w:qFormat/>
    <w:rsid w:val="00E75D02"/>
    <w:rPr>
      <w:rFonts w:ascii="Arial" w:hAnsi="Arial"/>
      <w:b/>
      <w:bCs/>
      <w:sz w:val="22"/>
    </w:rPr>
  </w:style>
  <w:style w:type="paragraph" w:styleId="ListBullet2">
    <w:name w:val="List Bullet 2"/>
    <w:basedOn w:val="Normal"/>
    <w:uiPriority w:val="99"/>
    <w:unhideWhenUsed/>
    <w:rsid w:val="009B3BE6"/>
    <w:pPr>
      <w:numPr>
        <w:numId w:val="2"/>
      </w:numPr>
      <w:spacing w:before="240" w:after="240"/>
      <w:contextualSpacing/>
    </w:pPr>
    <w:rPr>
      <w:rFonts w:eastAsia="Calibri" w:cs="Times New Roman"/>
      <w:lang w:val="en-GB"/>
    </w:rPr>
  </w:style>
  <w:style w:type="character" w:styleId="Emphasis">
    <w:name w:val="Emphasis"/>
    <w:basedOn w:val="DefaultParagraphFont"/>
    <w:uiPriority w:val="20"/>
    <w:qFormat/>
    <w:rsid w:val="009B3BE6"/>
    <w:rPr>
      <w:i/>
      <w:iCs/>
    </w:rPr>
  </w:style>
  <w:style w:type="character" w:styleId="Hyperlink">
    <w:name w:val="Hyperlink"/>
    <w:basedOn w:val="DefaultParagraphFont"/>
    <w:uiPriority w:val="99"/>
    <w:unhideWhenUsed/>
    <w:qFormat/>
    <w:rsid w:val="009B3BE6"/>
    <w:rPr>
      <w:color w:val="0000FF"/>
      <w:u w:val="single"/>
    </w:rPr>
  </w:style>
  <w:style w:type="paragraph" w:styleId="Bibliography">
    <w:name w:val="Bibliography"/>
    <w:basedOn w:val="Normal"/>
    <w:next w:val="Normal"/>
    <w:uiPriority w:val="37"/>
    <w:unhideWhenUsed/>
    <w:rsid w:val="00EF1990"/>
    <w:pPr>
      <w:numPr>
        <w:numId w:val="4"/>
      </w:numPr>
      <w:ind w:left="0" w:firstLine="0"/>
    </w:pPr>
    <w:rPr>
      <w:rFonts w:eastAsia="Calibri" w:cs="Times New Roman"/>
      <w:lang w:val="en-GB"/>
    </w:rPr>
  </w:style>
  <w:style w:type="paragraph" w:styleId="Caption">
    <w:name w:val="caption"/>
    <w:basedOn w:val="Normal"/>
    <w:next w:val="Normal"/>
    <w:uiPriority w:val="35"/>
    <w:qFormat/>
    <w:rsid w:val="009B3BE6"/>
    <w:pPr>
      <w:spacing w:before="240" w:after="240"/>
      <w:jc w:val="center"/>
    </w:pPr>
    <w:rPr>
      <w:rFonts w:eastAsia="Calibri" w:cs="Times New Roman"/>
      <w:b/>
      <w:bCs/>
      <w:color w:val="212745" w:themeColor="text2"/>
      <w:sz w:val="20"/>
      <w:szCs w:val="20"/>
      <w:lang w:val="en-GB"/>
    </w:rPr>
  </w:style>
  <w:style w:type="paragraph" w:styleId="TableofFigures">
    <w:name w:val="table of figures"/>
    <w:basedOn w:val="Normal"/>
    <w:next w:val="Normal"/>
    <w:uiPriority w:val="99"/>
    <w:unhideWhenUsed/>
    <w:rsid w:val="00C25F91"/>
    <w:pPr>
      <w:spacing w:before="240" w:after="240"/>
    </w:pPr>
    <w:rPr>
      <w:rFonts w:eastAsia="Calibri" w:cs="Times New Roman"/>
      <w:lang w:val="en-GB"/>
    </w:rPr>
  </w:style>
  <w:style w:type="paragraph" w:styleId="FootnoteText">
    <w:name w:val="footnote text"/>
    <w:basedOn w:val="Normal"/>
    <w:link w:val="FootnoteTextChar"/>
    <w:uiPriority w:val="99"/>
    <w:semiHidden/>
    <w:unhideWhenUsed/>
    <w:rsid w:val="00C60499"/>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60499"/>
    <w:rPr>
      <w:rFonts w:ascii="Tahoma" w:hAnsi="Tahoma"/>
      <w:sz w:val="20"/>
      <w:szCs w:val="20"/>
    </w:rPr>
  </w:style>
  <w:style w:type="character" w:styleId="FootnoteReference">
    <w:name w:val="footnote reference"/>
    <w:aliases w:val="Footnote symbol,Footnote"/>
    <w:basedOn w:val="DefaultParagraphFont"/>
    <w:uiPriority w:val="99"/>
    <w:unhideWhenUsed/>
    <w:rsid w:val="00C60499"/>
    <w:rPr>
      <w:vertAlign w:val="superscript"/>
    </w:rPr>
  </w:style>
  <w:style w:type="paragraph" w:styleId="TOCHeading">
    <w:name w:val="TOC Heading"/>
    <w:basedOn w:val="Heading1"/>
    <w:next w:val="Normal"/>
    <w:link w:val="TOCHeadingChar"/>
    <w:uiPriority w:val="39"/>
    <w:unhideWhenUsed/>
    <w:qFormat/>
    <w:rsid w:val="00976AF8"/>
    <w:pPr>
      <w:numPr>
        <w:numId w:val="0"/>
      </w:numPr>
      <w:spacing w:before="480" w:after="0" w:line="276" w:lineRule="auto"/>
      <w:jc w:val="left"/>
      <w:outlineLvl w:val="9"/>
    </w:pPr>
    <w:rPr>
      <w:rFonts w:asciiTheme="majorHAnsi" w:hAnsiTheme="majorHAnsi"/>
      <w:smallCaps w:val="0"/>
      <w:color w:val="31479E" w:themeColor="accent1" w:themeShade="BF"/>
      <w:sz w:val="28"/>
    </w:rPr>
  </w:style>
  <w:style w:type="character" w:customStyle="1" w:styleId="TOCHeadingChar">
    <w:name w:val="TOC Heading Char"/>
    <w:basedOn w:val="Heading1Char"/>
    <w:link w:val="TOCHeading"/>
    <w:uiPriority w:val="39"/>
    <w:rsid w:val="005664B6"/>
    <w:rPr>
      <w:rFonts w:asciiTheme="majorHAnsi" w:eastAsiaTheme="majorEastAsia" w:hAnsiTheme="majorHAnsi" w:cstheme="majorBidi"/>
      <w:b/>
      <w:bCs/>
      <w:smallCaps w:val="0"/>
      <w:color w:val="31479E" w:themeColor="accent1" w:themeShade="BF"/>
      <w:sz w:val="28"/>
      <w:szCs w:val="28"/>
    </w:rPr>
  </w:style>
  <w:style w:type="paragraph" w:styleId="TOC1">
    <w:name w:val="toc 1"/>
    <w:basedOn w:val="Normal"/>
    <w:next w:val="Normal"/>
    <w:autoRedefine/>
    <w:uiPriority w:val="39"/>
    <w:unhideWhenUsed/>
    <w:rsid w:val="001424AA"/>
    <w:pPr>
      <w:tabs>
        <w:tab w:val="left" w:pos="284"/>
        <w:tab w:val="right" w:leader="dot" w:pos="8495"/>
      </w:tabs>
      <w:spacing w:before="0" w:after="0"/>
    </w:pPr>
  </w:style>
  <w:style w:type="paragraph" w:styleId="TOC2">
    <w:name w:val="toc 2"/>
    <w:basedOn w:val="Normal"/>
    <w:next w:val="Normal"/>
    <w:autoRedefine/>
    <w:uiPriority w:val="39"/>
    <w:unhideWhenUsed/>
    <w:rsid w:val="001424AA"/>
    <w:pPr>
      <w:tabs>
        <w:tab w:val="left" w:pos="709"/>
        <w:tab w:val="right" w:leader="dot" w:pos="8495"/>
      </w:tabs>
      <w:spacing w:before="0" w:after="0"/>
      <w:ind w:left="284"/>
    </w:pPr>
  </w:style>
  <w:style w:type="paragraph" w:styleId="TOC3">
    <w:name w:val="toc 3"/>
    <w:basedOn w:val="Normal"/>
    <w:next w:val="Normal"/>
    <w:autoRedefine/>
    <w:uiPriority w:val="39"/>
    <w:unhideWhenUsed/>
    <w:rsid w:val="001424AA"/>
    <w:pPr>
      <w:tabs>
        <w:tab w:val="left" w:pos="1134"/>
        <w:tab w:val="right" w:leader="dot" w:pos="8495"/>
      </w:tabs>
      <w:spacing w:before="0" w:after="0"/>
      <w:ind w:left="567"/>
    </w:pPr>
  </w:style>
  <w:style w:type="paragraph" w:styleId="ListNumber2">
    <w:name w:val="List Number 2"/>
    <w:basedOn w:val="Normal"/>
    <w:uiPriority w:val="99"/>
    <w:unhideWhenUsed/>
    <w:rsid w:val="00B07E2F"/>
    <w:pPr>
      <w:numPr>
        <w:numId w:val="3"/>
      </w:numPr>
      <w:contextualSpacing/>
    </w:pPr>
  </w:style>
  <w:style w:type="character" w:styleId="IntenseEmphasis">
    <w:name w:val="Intense Emphasis"/>
    <w:basedOn w:val="DefaultParagraphFont"/>
    <w:uiPriority w:val="21"/>
    <w:qFormat/>
    <w:rsid w:val="00E75D02"/>
    <w:rPr>
      <w:rFonts w:ascii="Arial" w:hAnsi="Arial" w:hint="default"/>
      <w:b/>
      <w:bCs/>
      <w:i/>
      <w:iCs/>
      <w:color w:val="31479E" w:themeColor="accent1" w:themeShade="BF"/>
      <w:sz w:val="22"/>
    </w:rPr>
  </w:style>
  <w:style w:type="paragraph" w:styleId="ListParagraph">
    <w:name w:val="List Paragraph"/>
    <w:basedOn w:val="Normal"/>
    <w:uiPriority w:val="34"/>
    <w:qFormat/>
    <w:rsid w:val="004B0005"/>
    <w:pPr>
      <w:ind w:left="720"/>
      <w:contextualSpacing/>
    </w:pPr>
  </w:style>
  <w:style w:type="character" w:customStyle="1" w:styleId="1">
    <w:name w:val="Ανεπίλυτη αναφορά1"/>
    <w:basedOn w:val="DefaultParagraphFont"/>
    <w:uiPriority w:val="99"/>
    <w:semiHidden/>
    <w:unhideWhenUsed/>
    <w:rsid w:val="008B13C8"/>
    <w:rPr>
      <w:color w:val="605E5C"/>
      <w:shd w:val="clear" w:color="auto" w:fill="E1DFDD"/>
    </w:rPr>
  </w:style>
  <w:style w:type="character" w:styleId="CommentReference">
    <w:name w:val="annotation reference"/>
    <w:basedOn w:val="DefaultParagraphFont"/>
    <w:uiPriority w:val="99"/>
    <w:semiHidden/>
    <w:unhideWhenUsed/>
    <w:rsid w:val="00403C7B"/>
    <w:rPr>
      <w:sz w:val="16"/>
      <w:szCs w:val="16"/>
    </w:rPr>
  </w:style>
  <w:style w:type="paragraph" w:styleId="CommentText">
    <w:name w:val="annotation text"/>
    <w:basedOn w:val="Normal"/>
    <w:link w:val="CommentTextChar"/>
    <w:uiPriority w:val="99"/>
    <w:semiHidden/>
    <w:unhideWhenUsed/>
    <w:rsid w:val="00403C7B"/>
    <w:pPr>
      <w:spacing w:line="240" w:lineRule="auto"/>
    </w:pPr>
    <w:rPr>
      <w:sz w:val="20"/>
      <w:szCs w:val="20"/>
    </w:rPr>
  </w:style>
  <w:style w:type="character" w:customStyle="1" w:styleId="CommentTextChar">
    <w:name w:val="Comment Text Char"/>
    <w:basedOn w:val="DefaultParagraphFont"/>
    <w:link w:val="CommentText"/>
    <w:uiPriority w:val="99"/>
    <w:semiHidden/>
    <w:rsid w:val="00403C7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403C7B"/>
    <w:rPr>
      <w:b/>
      <w:bCs/>
    </w:rPr>
  </w:style>
  <w:style w:type="character" w:customStyle="1" w:styleId="CommentSubjectChar">
    <w:name w:val="Comment Subject Char"/>
    <w:basedOn w:val="CommentTextChar"/>
    <w:link w:val="CommentSubject"/>
    <w:uiPriority w:val="99"/>
    <w:semiHidden/>
    <w:rsid w:val="00403C7B"/>
    <w:rPr>
      <w:rFonts w:ascii="Arial" w:hAnsi="Arial"/>
      <w:b/>
      <w:bCs/>
      <w:sz w:val="20"/>
      <w:szCs w:val="20"/>
    </w:rPr>
  </w:style>
  <w:style w:type="paragraph" w:customStyle="1" w:styleId="Bibliography1">
    <w:name w:val="Bibliography1"/>
    <w:basedOn w:val="Normal"/>
    <w:next w:val="Normal"/>
    <w:uiPriority w:val="37"/>
    <w:unhideWhenUsed/>
    <w:qFormat/>
    <w:rsid w:val="003F2144"/>
    <w:rPr>
      <w:rFonts w:eastAsia="Calibri" w:cs="Times New Roman"/>
      <w:lang w:val="en-GB"/>
    </w:rPr>
  </w:style>
  <w:style w:type="table" w:styleId="ListTable4-Accent5">
    <w:name w:val="List Table 4 Accent 5"/>
    <w:basedOn w:val="TableNormal"/>
    <w:uiPriority w:val="49"/>
    <w:rsid w:val="00541A5E"/>
    <w:pPr>
      <w:spacing w:after="0" w:line="240" w:lineRule="auto"/>
    </w:pPr>
    <w:tblPr>
      <w:tblStyleRowBandSize w:val="1"/>
      <w:tblStyleColBandSize w:val="1"/>
      <w:tblBorders>
        <w:top w:val="single" w:sz="4" w:space="0" w:color="FFB279" w:themeColor="accent5" w:themeTint="99"/>
        <w:left w:val="single" w:sz="4" w:space="0" w:color="FFB279" w:themeColor="accent5" w:themeTint="99"/>
        <w:bottom w:val="single" w:sz="4" w:space="0" w:color="FFB279" w:themeColor="accent5" w:themeTint="99"/>
        <w:right w:val="single" w:sz="4" w:space="0" w:color="FFB279" w:themeColor="accent5" w:themeTint="99"/>
        <w:insideH w:val="single" w:sz="4" w:space="0" w:color="FFB279" w:themeColor="accent5" w:themeTint="99"/>
      </w:tblBorders>
    </w:tblPr>
    <w:tblStylePr w:type="firstRow">
      <w:rPr>
        <w:b/>
        <w:bCs/>
        <w:color w:val="FFFFFF" w:themeColor="background1"/>
      </w:rPr>
      <w:tblPr/>
      <w:tcPr>
        <w:tcBorders>
          <w:top w:val="single" w:sz="4" w:space="0" w:color="FF8021" w:themeColor="accent5"/>
          <w:left w:val="single" w:sz="4" w:space="0" w:color="FF8021" w:themeColor="accent5"/>
          <w:bottom w:val="single" w:sz="4" w:space="0" w:color="FF8021" w:themeColor="accent5"/>
          <w:right w:val="single" w:sz="4" w:space="0" w:color="FF8021" w:themeColor="accent5"/>
          <w:insideH w:val="nil"/>
        </w:tcBorders>
        <w:shd w:val="clear" w:color="auto" w:fill="FF8021" w:themeFill="accent5"/>
      </w:tcPr>
    </w:tblStylePr>
    <w:tblStylePr w:type="lastRow">
      <w:rPr>
        <w:b/>
        <w:bCs/>
      </w:rPr>
      <w:tblPr/>
      <w:tcPr>
        <w:tcBorders>
          <w:top w:val="double" w:sz="4" w:space="0" w:color="FFB279" w:themeColor="accent5" w:themeTint="99"/>
        </w:tcBorders>
      </w:tcPr>
    </w:tblStylePr>
    <w:tblStylePr w:type="firstCol">
      <w:rPr>
        <w:b/>
        <w:bCs/>
      </w:rPr>
    </w:tblStylePr>
    <w:tblStylePr w:type="lastCol">
      <w:rPr>
        <w:b/>
        <w:bCs/>
      </w:rPr>
    </w:tblStylePr>
    <w:tblStylePr w:type="band1Vert">
      <w:tblPr/>
      <w:tcPr>
        <w:shd w:val="clear" w:color="auto" w:fill="FFE5D2" w:themeFill="accent5" w:themeFillTint="33"/>
      </w:tcPr>
    </w:tblStylePr>
    <w:tblStylePr w:type="band1Horz">
      <w:tblPr/>
      <w:tcPr>
        <w:shd w:val="clear" w:color="auto" w:fill="FFE5D2" w:themeFill="accent5" w:themeFillTint="33"/>
      </w:tcPr>
    </w:tblStylePr>
  </w:style>
  <w:style w:type="table" w:styleId="ListTable3-Accent3">
    <w:name w:val="List Table 3 Accent 3"/>
    <w:basedOn w:val="TableNormal"/>
    <w:uiPriority w:val="48"/>
    <w:rsid w:val="0073429C"/>
    <w:pPr>
      <w:spacing w:after="0" w:line="240" w:lineRule="auto"/>
    </w:pPr>
    <w:tblPr>
      <w:tblStyleRowBandSize w:val="1"/>
      <w:tblStyleColBandSize w:val="1"/>
      <w:tblBorders>
        <w:top w:val="single" w:sz="4" w:space="0" w:color="A7EA52" w:themeColor="accent3"/>
        <w:left w:val="single" w:sz="4" w:space="0" w:color="A7EA52" w:themeColor="accent3"/>
        <w:bottom w:val="single" w:sz="4" w:space="0" w:color="A7EA52" w:themeColor="accent3"/>
        <w:right w:val="single" w:sz="4" w:space="0" w:color="A7EA52" w:themeColor="accent3"/>
      </w:tblBorders>
    </w:tblPr>
    <w:tblStylePr w:type="firstRow">
      <w:rPr>
        <w:b/>
        <w:bCs/>
        <w:color w:val="FFFFFF" w:themeColor="background1"/>
      </w:rPr>
      <w:tblPr/>
      <w:tcPr>
        <w:shd w:val="clear" w:color="auto" w:fill="A7EA52" w:themeFill="accent3"/>
      </w:tcPr>
    </w:tblStylePr>
    <w:tblStylePr w:type="lastRow">
      <w:rPr>
        <w:b/>
        <w:bCs/>
      </w:rPr>
      <w:tblPr/>
      <w:tcPr>
        <w:tcBorders>
          <w:top w:val="double" w:sz="4" w:space="0" w:color="A7EA52"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7EA52" w:themeColor="accent3"/>
          <w:right w:val="single" w:sz="4" w:space="0" w:color="A7EA52" w:themeColor="accent3"/>
        </w:tcBorders>
      </w:tcPr>
    </w:tblStylePr>
    <w:tblStylePr w:type="band1Horz">
      <w:tblPr/>
      <w:tcPr>
        <w:tcBorders>
          <w:top w:val="single" w:sz="4" w:space="0" w:color="A7EA52" w:themeColor="accent3"/>
          <w:bottom w:val="single" w:sz="4" w:space="0" w:color="A7EA52"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7EA52" w:themeColor="accent3"/>
          <w:left w:val="nil"/>
        </w:tcBorders>
      </w:tcPr>
    </w:tblStylePr>
    <w:tblStylePr w:type="swCell">
      <w:tblPr/>
      <w:tcPr>
        <w:tcBorders>
          <w:top w:val="double" w:sz="4" w:space="0" w:color="A7EA52" w:themeColor="accent3"/>
          <w:right w:val="nil"/>
        </w:tcBorders>
      </w:tcPr>
    </w:tblStylePr>
  </w:style>
  <w:style w:type="table" w:styleId="GridTable5Dark-Accent5">
    <w:name w:val="Grid Table 5 Dark Accent 5"/>
    <w:basedOn w:val="TableNormal"/>
    <w:uiPriority w:val="50"/>
    <w:rsid w:val="00D7306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5D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02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02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02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021" w:themeFill="accent5"/>
      </w:tcPr>
    </w:tblStylePr>
    <w:tblStylePr w:type="band1Vert">
      <w:tblPr/>
      <w:tcPr>
        <w:shd w:val="clear" w:color="auto" w:fill="FFCCA6" w:themeFill="accent5" w:themeFillTint="66"/>
      </w:tcPr>
    </w:tblStylePr>
    <w:tblStylePr w:type="band1Horz">
      <w:tblPr/>
      <w:tcPr>
        <w:shd w:val="clear" w:color="auto" w:fill="FFCCA6" w:themeFill="accent5" w:themeFillTint="66"/>
      </w:tcPr>
    </w:tblStylePr>
  </w:style>
  <w:style w:type="paragraph" w:styleId="NormalWeb">
    <w:name w:val="Normal (Web)"/>
    <w:basedOn w:val="Normal"/>
    <w:uiPriority w:val="99"/>
    <w:unhideWhenUsed/>
    <w:qFormat/>
    <w:rsid w:val="00196D52"/>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Compact">
    <w:name w:val="Compact"/>
    <w:basedOn w:val="BodyText"/>
    <w:qFormat/>
    <w:rsid w:val="009A6D21"/>
    <w:pPr>
      <w:spacing w:before="36" w:after="36" w:line="240" w:lineRule="auto"/>
      <w:jc w:val="left"/>
    </w:pPr>
    <w:rPr>
      <w:rFonts w:asciiTheme="minorHAnsi" w:hAnsiTheme="minorHAnsi"/>
      <w:sz w:val="24"/>
      <w:szCs w:val="24"/>
    </w:rPr>
  </w:style>
  <w:style w:type="paragraph" w:styleId="BodyText">
    <w:name w:val="Body Text"/>
    <w:basedOn w:val="Normal"/>
    <w:link w:val="BodyTextChar"/>
    <w:uiPriority w:val="99"/>
    <w:unhideWhenUsed/>
    <w:rsid w:val="009A6D21"/>
  </w:style>
  <w:style w:type="character" w:customStyle="1" w:styleId="BodyTextChar">
    <w:name w:val="Body Text Char"/>
    <w:basedOn w:val="DefaultParagraphFont"/>
    <w:link w:val="BodyText"/>
    <w:uiPriority w:val="99"/>
    <w:rsid w:val="009A6D21"/>
    <w:rPr>
      <w:rFonts w:ascii="Arial" w:hAnsi="Arial"/>
    </w:rPr>
  </w:style>
  <w:style w:type="paragraph" w:customStyle="1" w:styleId="FirstParagraph">
    <w:name w:val="First Paragraph"/>
    <w:basedOn w:val="BodyText"/>
    <w:next w:val="BodyText"/>
    <w:qFormat/>
    <w:rsid w:val="003044B8"/>
    <w:pPr>
      <w:spacing w:before="180" w:after="180" w:line="240" w:lineRule="auto"/>
      <w:jc w:val="left"/>
    </w:pPr>
    <w:rPr>
      <w:rFonts w:asciiTheme="minorHAnsi" w:hAnsiTheme="minorHAnsi"/>
      <w:sz w:val="24"/>
      <w:szCs w:val="24"/>
    </w:rPr>
  </w:style>
  <w:style w:type="character" w:customStyle="1" w:styleId="VerbatimChar">
    <w:name w:val="Verbatim Char"/>
    <w:basedOn w:val="DefaultParagraphFont"/>
    <w:link w:val="SourceCode"/>
    <w:rsid w:val="003044B8"/>
    <w:rPr>
      <w:rFonts w:ascii="Consolas" w:hAnsi="Consolas"/>
      <w:shd w:val="clear" w:color="auto" w:fill="F8F8F8"/>
    </w:rPr>
  </w:style>
  <w:style w:type="paragraph" w:customStyle="1" w:styleId="SourceCode">
    <w:name w:val="Source Code"/>
    <w:basedOn w:val="Normal"/>
    <w:link w:val="VerbatimChar"/>
    <w:rsid w:val="003044B8"/>
    <w:pPr>
      <w:shd w:val="clear" w:color="auto" w:fill="F8F8F8"/>
      <w:wordWrap w:val="0"/>
      <w:spacing w:before="0" w:after="200" w:line="240" w:lineRule="auto"/>
      <w:jc w:val="left"/>
    </w:pPr>
    <w:rPr>
      <w:rFonts w:ascii="Consolas" w:hAnsi="Consolas"/>
    </w:rPr>
  </w:style>
  <w:style w:type="character" w:customStyle="1" w:styleId="KeywordTok">
    <w:name w:val="KeywordTok"/>
    <w:basedOn w:val="VerbatimChar"/>
    <w:rsid w:val="003044B8"/>
    <w:rPr>
      <w:rFonts w:ascii="Consolas" w:hAnsi="Consolas"/>
      <w:b/>
      <w:color w:val="204A87"/>
      <w:shd w:val="clear" w:color="auto" w:fill="F8F8F8"/>
    </w:rPr>
  </w:style>
  <w:style w:type="character" w:customStyle="1" w:styleId="DataTypeTok">
    <w:name w:val="DataTypeTok"/>
    <w:basedOn w:val="VerbatimChar"/>
    <w:rsid w:val="003044B8"/>
    <w:rPr>
      <w:rFonts w:ascii="Consolas" w:hAnsi="Consolas"/>
      <w:color w:val="204A87"/>
      <w:shd w:val="clear" w:color="auto" w:fill="F8F8F8"/>
    </w:rPr>
  </w:style>
  <w:style w:type="character" w:customStyle="1" w:styleId="StringTok">
    <w:name w:val="StringTok"/>
    <w:basedOn w:val="VerbatimChar"/>
    <w:rsid w:val="003044B8"/>
    <w:rPr>
      <w:rFonts w:ascii="Consolas" w:hAnsi="Consolas"/>
      <w:color w:val="4E9A06"/>
      <w:shd w:val="clear" w:color="auto" w:fill="F8F8F8"/>
    </w:rPr>
  </w:style>
  <w:style w:type="character" w:customStyle="1" w:styleId="CommentTok">
    <w:name w:val="CommentTok"/>
    <w:basedOn w:val="VerbatimChar"/>
    <w:rsid w:val="003044B8"/>
    <w:rPr>
      <w:rFonts w:ascii="Consolas" w:hAnsi="Consolas"/>
      <w:i/>
      <w:color w:val="8F5902"/>
      <w:shd w:val="clear" w:color="auto" w:fill="F8F8F8"/>
    </w:rPr>
  </w:style>
  <w:style w:type="character" w:customStyle="1" w:styleId="ControlFlowTok">
    <w:name w:val="ControlFlowTok"/>
    <w:basedOn w:val="VerbatimChar"/>
    <w:rsid w:val="003044B8"/>
    <w:rPr>
      <w:rFonts w:ascii="Consolas" w:hAnsi="Consolas"/>
      <w:b/>
      <w:color w:val="204A87"/>
      <w:shd w:val="clear" w:color="auto" w:fill="F8F8F8"/>
    </w:rPr>
  </w:style>
  <w:style w:type="character" w:customStyle="1" w:styleId="OperatorTok">
    <w:name w:val="OperatorTok"/>
    <w:basedOn w:val="VerbatimChar"/>
    <w:rsid w:val="003044B8"/>
    <w:rPr>
      <w:rFonts w:ascii="Consolas" w:hAnsi="Consolas"/>
      <w:b/>
      <w:color w:val="CE5C00"/>
      <w:shd w:val="clear" w:color="auto" w:fill="F8F8F8"/>
    </w:rPr>
  </w:style>
  <w:style w:type="character" w:customStyle="1" w:styleId="NormalTok">
    <w:name w:val="NormalTok"/>
    <w:basedOn w:val="VerbatimChar"/>
    <w:rsid w:val="003044B8"/>
    <w:rPr>
      <w:rFonts w:ascii="Consolas" w:hAnsi="Consolas"/>
      <w:shd w:val="clear" w:color="auto" w:fill="F8F8F8"/>
    </w:rPr>
  </w:style>
  <w:style w:type="table" w:customStyle="1" w:styleId="Table">
    <w:name w:val="Table"/>
    <w:semiHidden/>
    <w:unhideWhenUsed/>
    <w:qFormat/>
    <w:rsid w:val="003044B8"/>
    <w:pPr>
      <w:spacing w:before="0" w:after="200" w:line="240" w:lineRule="auto"/>
    </w:pPr>
    <w:rPr>
      <w:sz w:val="24"/>
      <w:szCs w:val="24"/>
    </w:rPr>
    <w:tblPr>
      <w:tblInd w:w="0" w:type="dxa"/>
      <w:tblCellMar>
        <w:top w:w="0" w:type="dxa"/>
        <w:left w:w="108" w:type="dxa"/>
        <w:bottom w:w="0" w:type="dxa"/>
        <w:right w:w="108" w:type="dxa"/>
      </w:tblCellMar>
    </w:tblPr>
  </w:style>
  <w:style w:type="paragraph" w:customStyle="1" w:styleId="TableCaption">
    <w:name w:val="Table Caption"/>
    <w:basedOn w:val="Caption"/>
    <w:rsid w:val="003044B8"/>
    <w:pPr>
      <w:keepNext/>
      <w:spacing w:before="0" w:after="120" w:line="240" w:lineRule="auto"/>
      <w:jc w:val="left"/>
    </w:pPr>
    <w:rPr>
      <w:rFonts w:asciiTheme="minorHAnsi" w:eastAsiaTheme="minorHAnsi" w:hAnsiTheme="minorHAnsi" w:cstheme="minorBidi"/>
      <w:b w:val="0"/>
      <w:bCs w:val="0"/>
      <w:i/>
      <w:color w:val="auto"/>
      <w:sz w:val="24"/>
      <w:szCs w:val="24"/>
      <w:lang w:val="en-US"/>
    </w:rPr>
  </w:style>
  <w:style w:type="character" w:styleId="UnresolvedMention">
    <w:name w:val="Unresolved Mention"/>
    <w:basedOn w:val="DefaultParagraphFont"/>
    <w:uiPriority w:val="99"/>
    <w:semiHidden/>
    <w:unhideWhenUsed/>
    <w:rsid w:val="00147A13"/>
    <w:rPr>
      <w:color w:val="605E5C"/>
      <w:shd w:val="clear" w:color="auto" w:fill="E1DFDD"/>
    </w:rPr>
  </w:style>
  <w:style w:type="character" w:customStyle="1" w:styleId="fontstyle01">
    <w:name w:val="fontstyle01"/>
    <w:basedOn w:val="DefaultParagraphFont"/>
    <w:rsid w:val="00C94682"/>
    <w:rPr>
      <w:rFonts w:ascii="Times New Roman" w:hAnsi="Times New Roman" w:cs="Times New Roman" w:hint="default"/>
      <w:b/>
      <w:bCs/>
      <w:i w:val="0"/>
      <w:iCs w:val="0"/>
      <w:color w:val="000000"/>
      <w:sz w:val="22"/>
      <w:szCs w:val="22"/>
    </w:rPr>
  </w:style>
  <w:style w:type="character" w:customStyle="1" w:styleId="fontstyle21">
    <w:name w:val="fontstyle21"/>
    <w:basedOn w:val="DefaultParagraphFont"/>
    <w:rsid w:val="00C94682"/>
    <w:rPr>
      <w:rFonts w:ascii="Calibri" w:hAnsi="Calibri" w:cs="Calibri" w:hint="default"/>
      <w:b w:val="0"/>
      <w:bCs w:val="0"/>
      <w:i w:val="0"/>
      <w:iCs w:val="0"/>
      <w:color w:val="000000"/>
      <w:sz w:val="22"/>
      <w:szCs w:val="22"/>
    </w:rPr>
  </w:style>
  <w:style w:type="character" w:customStyle="1" w:styleId="fontstyle31">
    <w:name w:val="fontstyle31"/>
    <w:basedOn w:val="DefaultParagraphFont"/>
    <w:rsid w:val="00C94682"/>
    <w:rPr>
      <w:rFonts w:ascii="Times New Roman" w:hAnsi="Times New Roman" w:cs="Times New Roman" w:hint="default"/>
      <w:b w:val="0"/>
      <w:bCs w:val="0"/>
      <w:i w:val="0"/>
      <w:iCs w:val="0"/>
      <w:color w:val="000000"/>
      <w:sz w:val="22"/>
      <w:szCs w:val="22"/>
    </w:rPr>
  </w:style>
  <w:style w:type="table" w:styleId="TableGridLight">
    <w:name w:val="Grid Table Light"/>
    <w:basedOn w:val="TableNormal"/>
    <w:uiPriority w:val="40"/>
    <w:rsid w:val="00947F2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lid-translation">
    <w:name w:val="tlid-translation"/>
    <w:basedOn w:val="DefaultParagraphFont"/>
    <w:rsid w:val="002928A6"/>
  </w:style>
  <w:style w:type="paragraph" w:customStyle="1" w:styleId="mail">
    <w:name w:val="mail"/>
    <w:basedOn w:val="Normal"/>
    <w:qFormat/>
    <w:rsid w:val="002928A6"/>
    <w:pPr>
      <w:spacing w:before="0" w:after="160"/>
    </w:pPr>
    <w:rPr>
      <w:rFonts w:cs="Arial"/>
    </w:rPr>
  </w:style>
  <w:style w:type="character" w:customStyle="1" w:styleId="st">
    <w:name w:val="st"/>
    <w:basedOn w:val="DefaultParagraphFont"/>
    <w:rsid w:val="005664B6"/>
  </w:style>
  <w:style w:type="character" w:customStyle="1" w:styleId="map-index">
    <w:name w:val="map-index"/>
    <w:basedOn w:val="DefaultParagraphFont"/>
    <w:rsid w:val="005664B6"/>
  </w:style>
  <w:style w:type="paragraph" w:customStyle="1" w:styleId="Default">
    <w:name w:val="Default"/>
    <w:rsid w:val="005664B6"/>
    <w:pPr>
      <w:autoSpaceDE w:val="0"/>
      <w:autoSpaceDN w:val="0"/>
      <w:adjustRightInd w:val="0"/>
      <w:spacing w:before="0" w:after="0" w:line="240" w:lineRule="auto"/>
    </w:pPr>
    <w:rPr>
      <w:rFonts w:ascii="Helvetica" w:hAnsi="Helvetica" w:cs="Helvetica"/>
      <w:color w:val="000000"/>
      <w:sz w:val="24"/>
      <w:szCs w:val="24"/>
      <w:lang w:val="el-GR"/>
    </w:rPr>
  </w:style>
  <w:style w:type="character" w:styleId="FollowedHyperlink">
    <w:name w:val="FollowedHyperlink"/>
    <w:basedOn w:val="DefaultParagraphFont"/>
    <w:uiPriority w:val="99"/>
    <w:semiHidden/>
    <w:unhideWhenUsed/>
    <w:rsid w:val="005664B6"/>
    <w:rPr>
      <w:color w:val="59A8D1" w:themeColor="followedHyperlink"/>
      <w:u w:val="single"/>
    </w:rPr>
  </w:style>
  <w:style w:type="paragraph" w:customStyle="1" w:styleId="etsmap-section-raw">
    <w:name w:val="etsmap-section-raw"/>
    <w:basedOn w:val="Normal"/>
    <w:rsid w:val="005664B6"/>
    <w:pPr>
      <w:spacing w:before="100" w:beforeAutospacing="1" w:after="100" w:afterAutospacing="1" w:line="240" w:lineRule="auto"/>
      <w:jc w:val="left"/>
    </w:pPr>
    <w:rPr>
      <w:rFonts w:ascii="Times New Roman" w:eastAsia="Times New Roman" w:hAnsi="Times New Roman" w:cs="Times New Roman"/>
      <w:sz w:val="24"/>
      <w:szCs w:val="24"/>
      <w:lang w:val="el-GR" w:eastAsia="el-GR"/>
    </w:rPr>
  </w:style>
  <w:style w:type="character" w:customStyle="1" w:styleId="offscreen">
    <w:name w:val="offscreen"/>
    <w:basedOn w:val="DefaultParagraphFont"/>
    <w:rsid w:val="005664B6"/>
  </w:style>
  <w:style w:type="character" w:customStyle="1" w:styleId="external-link">
    <w:name w:val="external-link"/>
    <w:basedOn w:val="DefaultParagraphFont"/>
    <w:rsid w:val="005664B6"/>
  </w:style>
  <w:style w:type="character" w:customStyle="1" w:styleId="internal-link">
    <w:name w:val="internal-link"/>
    <w:basedOn w:val="DefaultParagraphFont"/>
    <w:rsid w:val="005664B6"/>
  </w:style>
  <w:style w:type="paragraph" w:customStyle="1" w:styleId="acrdocument-bodytext">
    <w:name w:val="acrdocument-bodytext"/>
    <w:basedOn w:val="Normal"/>
    <w:rsid w:val="005664B6"/>
    <w:pPr>
      <w:spacing w:before="100" w:beforeAutospacing="1" w:after="100" w:afterAutospacing="1" w:line="240" w:lineRule="auto"/>
      <w:jc w:val="left"/>
    </w:pPr>
    <w:rPr>
      <w:rFonts w:ascii="Times New Roman" w:eastAsia="Times New Roman" w:hAnsi="Times New Roman" w:cs="Times New Roman"/>
      <w:sz w:val="24"/>
      <w:szCs w:val="24"/>
      <w:lang w:val="el-GR" w:eastAsia="el-GR"/>
    </w:rPr>
  </w:style>
  <w:style w:type="character" w:customStyle="1" w:styleId="s1">
    <w:name w:val="s1"/>
    <w:basedOn w:val="DefaultParagraphFont"/>
    <w:rsid w:val="005664B6"/>
  </w:style>
  <w:style w:type="character" w:customStyle="1" w:styleId="view-mode-nodeembed">
    <w:name w:val="view-mode-node_embed"/>
    <w:basedOn w:val="DefaultParagraphFont"/>
    <w:rsid w:val="005664B6"/>
  </w:style>
  <w:style w:type="character" w:customStyle="1" w:styleId="has-tip">
    <w:name w:val="has-tip"/>
    <w:basedOn w:val="DefaultParagraphFont"/>
    <w:rsid w:val="005664B6"/>
  </w:style>
  <w:style w:type="character" w:customStyle="1" w:styleId="highlight">
    <w:name w:val="highlight"/>
    <w:basedOn w:val="DefaultParagraphFont"/>
    <w:rsid w:val="005664B6"/>
  </w:style>
  <w:style w:type="character" w:styleId="HTMLDefinition">
    <w:name w:val="HTML Definition"/>
    <w:basedOn w:val="DefaultParagraphFont"/>
    <w:uiPriority w:val="99"/>
    <w:semiHidden/>
    <w:unhideWhenUsed/>
    <w:rsid w:val="005664B6"/>
    <w:rPr>
      <w:i/>
      <w:iCs/>
    </w:rPr>
  </w:style>
  <w:style w:type="character" w:customStyle="1" w:styleId="sts-label">
    <w:name w:val="sts-label"/>
    <w:basedOn w:val="DefaultParagraphFont"/>
    <w:rsid w:val="005664B6"/>
  </w:style>
  <w:style w:type="paragraph" w:customStyle="1" w:styleId="Pa6">
    <w:name w:val="Pa6"/>
    <w:basedOn w:val="Default"/>
    <w:next w:val="Default"/>
    <w:uiPriority w:val="99"/>
    <w:rsid w:val="005664B6"/>
    <w:pPr>
      <w:spacing w:line="201" w:lineRule="atLeast"/>
    </w:pPr>
    <w:rPr>
      <w:rFonts w:ascii="Meta Serif Offc" w:hAnsi="Meta Serif Offc" w:cstheme="minorBidi"/>
      <w:color w:val="auto"/>
    </w:rPr>
  </w:style>
  <w:style w:type="character" w:customStyle="1" w:styleId="A7">
    <w:name w:val="A7"/>
    <w:uiPriority w:val="99"/>
    <w:rsid w:val="005664B6"/>
    <w:rPr>
      <w:rFonts w:cs="Meta Serif Offc"/>
      <w:color w:val="000000"/>
      <w:sz w:val="11"/>
      <w:szCs w:val="11"/>
    </w:rPr>
  </w:style>
  <w:style w:type="paragraph" w:customStyle="1" w:styleId="msonormal0">
    <w:name w:val="msonormal"/>
    <w:basedOn w:val="Normal"/>
    <w:rsid w:val="005664B6"/>
    <w:pPr>
      <w:spacing w:before="100" w:beforeAutospacing="1" w:after="100" w:afterAutospacing="1" w:line="240" w:lineRule="auto"/>
      <w:jc w:val="left"/>
    </w:pPr>
    <w:rPr>
      <w:rFonts w:ascii="Times New Roman" w:eastAsia="Times New Roman" w:hAnsi="Times New Roman" w:cs="Times New Roman"/>
      <w:sz w:val="24"/>
      <w:szCs w:val="24"/>
      <w:lang w:val="el-GR" w:eastAsia="el-GR"/>
    </w:rPr>
  </w:style>
  <w:style w:type="paragraph" w:customStyle="1" w:styleId="xl65">
    <w:name w:val="xl65"/>
    <w:basedOn w:val="Normal"/>
    <w:rsid w:val="005664B6"/>
    <w:pPr>
      <w:spacing w:before="100" w:beforeAutospacing="1" w:after="100" w:afterAutospacing="1" w:line="240" w:lineRule="auto"/>
      <w:jc w:val="left"/>
    </w:pPr>
    <w:rPr>
      <w:rFonts w:ascii="Times New Roman" w:eastAsia="Times New Roman" w:hAnsi="Times New Roman" w:cs="Times New Roman"/>
      <w:color w:val="0563C1"/>
      <w:sz w:val="24"/>
      <w:szCs w:val="24"/>
      <w:u w:val="single"/>
      <w:lang w:val="el-GR" w:eastAsia="el-GR"/>
    </w:rPr>
  </w:style>
  <w:style w:type="paragraph" w:customStyle="1" w:styleId="xl66">
    <w:name w:val="xl66"/>
    <w:basedOn w:val="Normal"/>
    <w:rsid w:val="005664B6"/>
    <w:pPr>
      <w:spacing w:before="100" w:beforeAutospacing="1" w:after="100" w:afterAutospacing="1" w:line="240" w:lineRule="auto"/>
      <w:jc w:val="left"/>
    </w:pPr>
    <w:rPr>
      <w:rFonts w:ascii="Times New Roman" w:eastAsia="Times New Roman" w:hAnsi="Times New Roman" w:cs="Times New Roman"/>
      <w:b/>
      <w:bCs/>
      <w:sz w:val="24"/>
      <w:szCs w:val="24"/>
      <w:lang w:val="el-GR" w:eastAsia="el-GR"/>
    </w:rPr>
  </w:style>
  <w:style w:type="paragraph" w:customStyle="1" w:styleId="xl64">
    <w:name w:val="xl64"/>
    <w:basedOn w:val="Normal"/>
    <w:rsid w:val="005664B6"/>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l-GR" w:eastAsia="el-GR"/>
    </w:rPr>
  </w:style>
  <w:style w:type="paragraph" w:customStyle="1" w:styleId="font7">
    <w:name w:val="font_7"/>
    <w:basedOn w:val="Normal"/>
    <w:rsid w:val="005664B6"/>
    <w:pPr>
      <w:spacing w:before="100" w:beforeAutospacing="1" w:after="100" w:afterAutospacing="1" w:line="240" w:lineRule="auto"/>
      <w:jc w:val="left"/>
    </w:pPr>
    <w:rPr>
      <w:rFonts w:ascii="Times New Roman" w:eastAsia="Times New Roman" w:hAnsi="Times New Roman" w:cs="Times New Roman"/>
      <w:sz w:val="24"/>
      <w:szCs w:val="24"/>
      <w:lang w:val="el-GR" w:eastAsia="el-GR"/>
    </w:rPr>
  </w:style>
  <w:style w:type="paragraph" w:customStyle="1" w:styleId="font8">
    <w:name w:val="font_8"/>
    <w:basedOn w:val="Normal"/>
    <w:rsid w:val="005664B6"/>
    <w:pPr>
      <w:spacing w:before="100" w:beforeAutospacing="1" w:after="100" w:afterAutospacing="1" w:line="240" w:lineRule="auto"/>
      <w:jc w:val="left"/>
    </w:pPr>
    <w:rPr>
      <w:rFonts w:ascii="Times New Roman" w:eastAsia="Times New Roman" w:hAnsi="Times New Roman" w:cs="Times New Roman"/>
      <w:sz w:val="24"/>
      <w:szCs w:val="24"/>
      <w:lang w:val="el-GR" w:eastAsia="el-GR"/>
    </w:rPr>
  </w:style>
  <w:style w:type="character" w:customStyle="1" w:styleId="wixguard">
    <w:name w:val="wixguard"/>
    <w:basedOn w:val="DefaultParagraphFont"/>
    <w:rsid w:val="005664B6"/>
  </w:style>
  <w:style w:type="character" w:customStyle="1" w:styleId="Char1">
    <w:name w:val="Υποσέλιδο Char1"/>
    <w:basedOn w:val="DefaultParagraphFont"/>
    <w:uiPriority w:val="99"/>
    <w:semiHidden/>
    <w:rsid w:val="005664B6"/>
  </w:style>
  <w:style w:type="table" w:customStyle="1" w:styleId="10">
    <w:name w:val="Πλέγμα πίνακα1"/>
    <w:basedOn w:val="TableNormal"/>
    <w:next w:val="TableGrid"/>
    <w:uiPriority w:val="59"/>
    <w:rsid w:val="005664B6"/>
    <w:pPr>
      <w:spacing w:before="0"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
    <w:name w:val="Πλέγμα πίνακα2"/>
    <w:basedOn w:val="TableNormal"/>
    <w:next w:val="TableGrid"/>
    <w:uiPriority w:val="59"/>
    <w:rsid w:val="005664B6"/>
    <w:pPr>
      <w:spacing w:before="0"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1">
    <w:name w:val="Unresolved Mention1"/>
    <w:basedOn w:val="DefaultParagraphFont"/>
    <w:uiPriority w:val="99"/>
    <w:semiHidden/>
    <w:unhideWhenUsed/>
    <w:rsid w:val="005664B6"/>
    <w:rPr>
      <w:color w:val="605E5C"/>
      <w:shd w:val="clear" w:color="auto" w:fill="E1DFDD"/>
    </w:rPr>
  </w:style>
  <w:style w:type="paragraph" w:styleId="NoSpacing">
    <w:name w:val="No Spacing"/>
    <w:uiPriority w:val="1"/>
    <w:qFormat/>
    <w:rsid w:val="005664B6"/>
    <w:pPr>
      <w:spacing w:before="0" w:after="0" w:line="240" w:lineRule="auto"/>
    </w:pPr>
    <w:rPr>
      <w:lang w:val="el-GR"/>
    </w:rPr>
  </w:style>
  <w:style w:type="paragraph" w:styleId="Revision">
    <w:name w:val="Revision"/>
    <w:hidden/>
    <w:uiPriority w:val="99"/>
    <w:semiHidden/>
    <w:rsid w:val="005664B6"/>
    <w:pPr>
      <w:spacing w:before="0" w:after="0" w:line="240" w:lineRule="auto"/>
    </w:pPr>
    <w:rPr>
      <w:lang w:val="el-GR"/>
    </w:rPr>
  </w:style>
  <w:style w:type="paragraph" w:customStyle="1" w:styleId="MAIL0">
    <w:name w:val="MAIL"/>
    <w:basedOn w:val="Heading1"/>
    <w:link w:val="MAILChar"/>
    <w:autoRedefine/>
    <w:qFormat/>
    <w:rsid w:val="005664B6"/>
    <w:pPr>
      <w:numPr>
        <w:numId w:val="0"/>
      </w:numPr>
      <w:spacing w:before="240" w:after="0" w:line="259" w:lineRule="auto"/>
      <w:jc w:val="left"/>
    </w:pPr>
    <w:rPr>
      <w:rFonts w:eastAsia="Times New Roman" w:cs="Arial"/>
      <w:color w:val="212745"/>
      <w:lang w:val="en-GB"/>
    </w:rPr>
  </w:style>
  <w:style w:type="character" w:customStyle="1" w:styleId="MAILChar">
    <w:name w:val="MAIL Char"/>
    <w:basedOn w:val="Heading1Char"/>
    <w:link w:val="MAIL0"/>
    <w:rsid w:val="005664B6"/>
    <w:rPr>
      <w:rFonts w:ascii="Arial" w:eastAsia="Times New Roman" w:hAnsi="Arial" w:cs="Arial"/>
      <w:b/>
      <w:bCs/>
      <w:smallCaps/>
      <w:color w:val="212745"/>
      <w:sz w:val="26"/>
      <w:szCs w:val="28"/>
      <w:lang w:val="en-GB"/>
    </w:rPr>
  </w:style>
  <w:style w:type="paragraph" w:customStyle="1" w:styleId="CONTENTS">
    <w:name w:val="CONTENTS"/>
    <w:basedOn w:val="TOCHeading"/>
    <w:link w:val="CONTENTSChar"/>
    <w:qFormat/>
    <w:rsid w:val="005664B6"/>
    <w:pPr>
      <w:spacing w:before="240" w:line="259" w:lineRule="auto"/>
    </w:pPr>
    <w:rPr>
      <w:rFonts w:ascii="Tahoma" w:hAnsi="Tahoma" w:cs="Arial"/>
    </w:rPr>
  </w:style>
  <w:style w:type="character" w:customStyle="1" w:styleId="CONTENTSChar">
    <w:name w:val="CONTENTS Char"/>
    <w:basedOn w:val="TOCHeadingChar"/>
    <w:link w:val="CONTENTS"/>
    <w:rsid w:val="005664B6"/>
    <w:rPr>
      <w:rFonts w:ascii="Tahoma" w:eastAsiaTheme="majorEastAsia" w:hAnsi="Tahoma" w:cs="Arial"/>
      <w:b/>
      <w:bCs/>
      <w:smallCaps w:val="0"/>
      <w:color w:val="31479E" w:themeColor="accent1" w:themeShade="BF"/>
      <w:sz w:val="28"/>
      <w:szCs w:val="28"/>
    </w:rPr>
  </w:style>
  <w:style w:type="paragraph" w:customStyle="1" w:styleId="CONTENTSMAIL">
    <w:name w:val="CONTENTS MAIL"/>
    <w:basedOn w:val="CONTENTS"/>
    <w:link w:val="CONTENTSMAILChar"/>
    <w:autoRedefine/>
    <w:qFormat/>
    <w:rsid w:val="005664B6"/>
    <w:rPr>
      <w:b w:val="0"/>
      <w:color w:val="31479E"/>
    </w:rPr>
  </w:style>
  <w:style w:type="character" w:customStyle="1" w:styleId="CONTENTSMAILChar">
    <w:name w:val="CONTENTS MAIL Char"/>
    <w:basedOn w:val="CONTENTSChar"/>
    <w:link w:val="CONTENTSMAIL"/>
    <w:rsid w:val="005664B6"/>
    <w:rPr>
      <w:rFonts w:ascii="Tahoma" w:eastAsiaTheme="majorEastAsia" w:hAnsi="Tahoma" w:cs="Arial"/>
      <w:b w:val="0"/>
      <w:bCs/>
      <w:smallCaps w:val="0"/>
      <w:color w:val="31479E"/>
      <w:sz w:val="28"/>
      <w:szCs w:val="28"/>
    </w:rPr>
  </w:style>
  <w:style w:type="paragraph" w:customStyle="1" w:styleId="MAIL1">
    <w:name w:val="MAIL 1."/>
    <w:basedOn w:val="Heading1"/>
    <w:link w:val="MAIL1Char"/>
    <w:autoRedefine/>
    <w:qFormat/>
    <w:rsid w:val="005D4B20"/>
    <w:pPr>
      <w:numPr>
        <w:numId w:val="46"/>
      </w:numPr>
    </w:pPr>
    <w:rPr>
      <w:rFonts w:eastAsia="Times New Roman" w:cs="Arial"/>
      <w:color w:val="212745"/>
      <w:szCs w:val="32"/>
      <w:lang w:val="en-GB" w:eastAsia="el-GR"/>
    </w:rPr>
  </w:style>
  <w:style w:type="character" w:customStyle="1" w:styleId="MAIL1Char">
    <w:name w:val="MAIL 1. Char"/>
    <w:basedOn w:val="Heading2Char"/>
    <w:link w:val="MAIL1"/>
    <w:rsid w:val="005D4B20"/>
    <w:rPr>
      <w:rFonts w:ascii="Arial" w:eastAsia="Times New Roman" w:hAnsi="Arial" w:cs="Arial"/>
      <w:b/>
      <w:bCs/>
      <w:smallCaps/>
      <w:color w:val="212745"/>
      <w:sz w:val="26"/>
      <w:szCs w:val="32"/>
      <w:lang w:val="en-GB" w:eastAsia="el-GR"/>
    </w:rPr>
  </w:style>
  <w:style w:type="paragraph" w:customStyle="1" w:styleId="MAIL11">
    <w:name w:val="MAIL 1.1"/>
    <w:basedOn w:val="Heading2"/>
    <w:link w:val="MAIL11Char"/>
    <w:qFormat/>
    <w:rsid w:val="005664B6"/>
    <w:pPr>
      <w:numPr>
        <w:numId w:val="46"/>
      </w:numPr>
    </w:pPr>
    <w:rPr>
      <w:rFonts w:cs="Arial"/>
      <w:color w:val="212745"/>
      <w:szCs w:val="24"/>
      <w:lang w:val="en-GB"/>
    </w:rPr>
  </w:style>
  <w:style w:type="character" w:customStyle="1" w:styleId="MAIL11Char">
    <w:name w:val="MAIL 1.1 Char"/>
    <w:basedOn w:val="Heading2Char"/>
    <w:link w:val="MAIL11"/>
    <w:rsid w:val="005664B6"/>
    <w:rPr>
      <w:rFonts w:ascii="Arial" w:eastAsiaTheme="majorEastAsia" w:hAnsi="Arial" w:cs="Arial"/>
      <w:b/>
      <w:bCs/>
      <w:color w:val="212745"/>
      <w:sz w:val="24"/>
      <w:szCs w:val="24"/>
      <w:lang w:val="en-GB"/>
    </w:rPr>
  </w:style>
  <w:style w:type="paragraph" w:customStyle="1" w:styleId="MAIL111">
    <w:name w:val="MAIL 1.1.1"/>
    <w:basedOn w:val="MAIL11"/>
    <w:link w:val="MAIL111Char"/>
    <w:autoRedefine/>
    <w:qFormat/>
    <w:rsid w:val="009E12D8"/>
    <w:pPr>
      <w:numPr>
        <w:ilvl w:val="2"/>
      </w:numPr>
      <w:ind w:hanging="1224"/>
    </w:pPr>
  </w:style>
  <w:style w:type="character" w:customStyle="1" w:styleId="MAIL111Char">
    <w:name w:val="MAIL 1.1.1 Char"/>
    <w:basedOn w:val="Heading3Char"/>
    <w:link w:val="MAIL111"/>
    <w:rsid w:val="009E12D8"/>
    <w:rPr>
      <w:rFonts w:ascii="Arial" w:eastAsiaTheme="majorEastAsia" w:hAnsi="Arial" w:cs="Arial"/>
      <w:b/>
      <w:bCs/>
      <w:color w:val="212745"/>
      <w:sz w:val="24"/>
      <w:szCs w:val="24"/>
      <w:lang w:val="en-GB"/>
    </w:rPr>
  </w:style>
  <w:style w:type="paragraph" w:customStyle="1" w:styleId="MailProject111">
    <w:name w:val="Mail Project 1.1.1"/>
    <w:basedOn w:val="Heading3"/>
    <w:link w:val="MailProject111Char"/>
    <w:autoRedefine/>
    <w:qFormat/>
    <w:rsid w:val="005664B6"/>
    <w:pPr>
      <w:numPr>
        <w:ilvl w:val="0"/>
        <w:numId w:val="0"/>
      </w:numPr>
      <w:ind w:left="720" w:hanging="720"/>
    </w:pPr>
    <w:rPr>
      <w:sz w:val="24"/>
      <w:szCs w:val="24"/>
      <w:lang w:val="en-GB"/>
    </w:rPr>
  </w:style>
  <w:style w:type="character" w:customStyle="1" w:styleId="MailProject111Char">
    <w:name w:val="Mail Project 1.1.1 Char"/>
    <w:basedOn w:val="Heading3Char"/>
    <w:link w:val="MailProject111"/>
    <w:rsid w:val="005664B6"/>
    <w:rPr>
      <w:rFonts w:ascii="Arial" w:eastAsiaTheme="majorEastAsia" w:hAnsi="Arial" w:cstheme="majorBidi"/>
      <w:b/>
      <w:bCs/>
      <w:color w:val="212745" w:themeColor="text2"/>
      <w:sz w:val="24"/>
      <w:szCs w:val="24"/>
      <w:lang w:val="en-GB"/>
    </w:rPr>
  </w:style>
  <w:style w:type="paragraph" w:styleId="TOC4">
    <w:name w:val="toc 4"/>
    <w:basedOn w:val="Normal"/>
    <w:next w:val="Normal"/>
    <w:autoRedefine/>
    <w:uiPriority w:val="39"/>
    <w:unhideWhenUsed/>
    <w:rsid w:val="00487700"/>
    <w:pPr>
      <w:spacing w:before="0" w:after="100" w:line="259" w:lineRule="auto"/>
      <w:ind w:left="660"/>
      <w:jc w:val="left"/>
    </w:pPr>
    <w:rPr>
      <w:rFonts w:asciiTheme="minorHAnsi" w:eastAsiaTheme="minorEastAsia" w:hAnsiTheme="minorHAnsi"/>
    </w:rPr>
  </w:style>
  <w:style w:type="paragraph" w:styleId="TOC5">
    <w:name w:val="toc 5"/>
    <w:basedOn w:val="Normal"/>
    <w:next w:val="Normal"/>
    <w:autoRedefine/>
    <w:uiPriority w:val="39"/>
    <w:unhideWhenUsed/>
    <w:rsid w:val="00487700"/>
    <w:pPr>
      <w:spacing w:before="0" w:after="100" w:line="259" w:lineRule="auto"/>
      <w:ind w:left="880"/>
      <w:jc w:val="left"/>
    </w:pPr>
    <w:rPr>
      <w:rFonts w:asciiTheme="minorHAnsi" w:eastAsiaTheme="minorEastAsia" w:hAnsiTheme="minorHAnsi"/>
    </w:rPr>
  </w:style>
  <w:style w:type="paragraph" w:styleId="TOC6">
    <w:name w:val="toc 6"/>
    <w:basedOn w:val="Normal"/>
    <w:next w:val="Normal"/>
    <w:autoRedefine/>
    <w:uiPriority w:val="39"/>
    <w:unhideWhenUsed/>
    <w:rsid w:val="00487700"/>
    <w:pPr>
      <w:spacing w:before="0" w:after="100" w:line="259" w:lineRule="auto"/>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487700"/>
    <w:pPr>
      <w:spacing w:before="0" w:after="100" w:line="259" w:lineRule="auto"/>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487700"/>
    <w:pPr>
      <w:spacing w:before="0" w:after="100" w:line="259" w:lineRule="auto"/>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487700"/>
    <w:pPr>
      <w:spacing w:before="0" w:after="100" w:line="259" w:lineRule="auto"/>
      <w:ind w:left="1760"/>
      <w:jc w:val="left"/>
    </w:pPr>
    <w:rPr>
      <w:rFonts w:asciiTheme="minorHAnsi" w:eastAsiaTheme="minorEastAsia" w:hAnsiTheme="minorHAnsi"/>
    </w:rPr>
  </w:style>
  <w:style w:type="table" w:customStyle="1" w:styleId="TableGrid1">
    <w:name w:val="Table Grid1"/>
    <w:basedOn w:val="TableNormal"/>
    <w:next w:val="TableGrid"/>
    <w:uiPriority w:val="59"/>
    <w:rsid w:val="00D84451"/>
    <w:pPr>
      <w:spacing w:before="0"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84451"/>
    <w:pPr>
      <w:spacing w:before="0"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E02FB"/>
    <w:pPr>
      <w:spacing w:before="0"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180653"/>
  </w:style>
  <w:style w:type="table" w:customStyle="1" w:styleId="TableGrid4">
    <w:name w:val="Table Grid4"/>
    <w:basedOn w:val="TableNormal"/>
    <w:next w:val="TableGrid"/>
    <w:uiPriority w:val="59"/>
    <w:rsid w:val="00180653"/>
    <w:pPr>
      <w:spacing w:before="0"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80653"/>
    <w:pPr>
      <w:spacing w:before="0"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AE5054"/>
  </w:style>
  <w:style w:type="table" w:customStyle="1" w:styleId="TableGrid6">
    <w:name w:val="Table Grid6"/>
    <w:basedOn w:val="TableNormal"/>
    <w:next w:val="TableGrid"/>
    <w:uiPriority w:val="59"/>
    <w:rsid w:val="00AE5054"/>
    <w:pPr>
      <w:spacing w:before="0"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2942">
      <w:bodyDiv w:val="1"/>
      <w:marLeft w:val="0"/>
      <w:marRight w:val="0"/>
      <w:marTop w:val="0"/>
      <w:marBottom w:val="0"/>
      <w:divBdr>
        <w:top w:val="none" w:sz="0" w:space="0" w:color="auto"/>
        <w:left w:val="none" w:sz="0" w:space="0" w:color="auto"/>
        <w:bottom w:val="none" w:sz="0" w:space="0" w:color="auto"/>
        <w:right w:val="none" w:sz="0" w:space="0" w:color="auto"/>
      </w:divBdr>
    </w:div>
    <w:div w:id="21170064">
      <w:bodyDiv w:val="1"/>
      <w:marLeft w:val="0"/>
      <w:marRight w:val="0"/>
      <w:marTop w:val="0"/>
      <w:marBottom w:val="0"/>
      <w:divBdr>
        <w:top w:val="none" w:sz="0" w:space="0" w:color="auto"/>
        <w:left w:val="none" w:sz="0" w:space="0" w:color="auto"/>
        <w:bottom w:val="none" w:sz="0" w:space="0" w:color="auto"/>
        <w:right w:val="none" w:sz="0" w:space="0" w:color="auto"/>
      </w:divBdr>
    </w:div>
    <w:div w:id="29188115">
      <w:bodyDiv w:val="1"/>
      <w:marLeft w:val="0"/>
      <w:marRight w:val="0"/>
      <w:marTop w:val="0"/>
      <w:marBottom w:val="0"/>
      <w:divBdr>
        <w:top w:val="none" w:sz="0" w:space="0" w:color="auto"/>
        <w:left w:val="none" w:sz="0" w:space="0" w:color="auto"/>
        <w:bottom w:val="none" w:sz="0" w:space="0" w:color="auto"/>
        <w:right w:val="none" w:sz="0" w:space="0" w:color="auto"/>
      </w:divBdr>
    </w:div>
    <w:div w:id="50467606">
      <w:bodyDiv w:val="1"/>
      <w:marLeft w:val="0"/>
      <w:marRight w:val="0"/>
      <w:marTop w:val="0"/>
      <w:marBottom w:val="0"/>
      <w:divBdr>
        <w:top w:val="none" w:sz="0" w:space="0" w:color="auto"/>
        <w:left w:val="none" w:sz="0" w:space="0" w:color="auto"/>
        <w:bottom w:val="none" w:sz="0" w:space="0" w:color="auto"/>
        <w:right w:val="none" w:sz="0" w:space="0" w:color="auto"/>
      </w:divBdr>
    </w:div>
    <w:div w:id="64113471">
      <w:bodyDiv w:val="1"/>
      <w:marLeft w:val="0"/>
      <w:marRight w:val="0"/>
      <w:marTop w:val="0"/>
      <w:marBottom w:val="0"/>
      <w:divBdr>
        <w:top w:val="none" w:sz="0" w:space="0" w:color="auto"/>
        <w:left w:val="none" w:sz="0" w:space="0" w:color="auto"/>
        <w:bottom w:val="none" w:sz="0" w:space="0" w:color="auto"/>
        <w:right w:val="none" w:sz="0" w:space="0" w:color="auto"/>
      </w:divBdr>
    </w:div>
    <w:div w:id="64885745">
      <w:bodyDiv w:val="1"/>
      <w:marLeft w:val="0"/>
      <w:marRight w:val="0"/>
      <w:marTop w:val="0"/>
      <w:marBottom w:val="0"/>
      <w:divBdr>
        <w:top w:val="none" w:sz="0" w:space="0" w:color="auto"/>
        <w:left w:val="none" w:sz="0" w:space="0" w:color="auto"/>
        <w:bottom w:val="none" w:sz="0" w:space="0" w:color="auto"/>
        <w:right w:val="none" w:sz="0" w:space="0" w:color="auto"/>
      </w:divBdr>
    </w:div>
    <w:div w:id="66388988">
      <w:bodyDiv w:val="1"/>
      <w:marLeft w:val="0"/>
      <w:marRight w:val="0"/>
      <w:marTop w:val="0"/>
      <w:marBottom w:val="0"/>
      <w:divBdr>
        <w:top w:val="none" w:sz="0" w:space="0" w:color="auto"/>
        <w:left w:val="none" w:sz="0" w:space="0" w:color="auto"/>
        <w:bottom w:val="none" w:sz="0" w:space="0" w:color="auto"/>
        <w:right w:val="none" w:sz="0" w:space="0" w:color="auto"/>
      </w:divBdr>
    </w:div>
    <w:div w:id="78212174">
      <w:bodyDiv w:val="1"/>
      <w:marLeft w:val="0"/>
      <w:marRight w:val="0"/>
      <w:marTop w:val="0"/>
      <w:marBottom w:val="0"/>
      <w:divBdr>
        <w:top w:val="none" w:sz="0" w:space="0" w:color="auto"/>
        <w:left w:val="none" w:sz="0" w:space="0" w:color="auto"/>
        <w:bottom w:val="none" w:sz="0" w:space="0" w:color="auto"/>
        <w:right w:val="none" w:sz="0" w:space="0" w:color="auto"/>
      </w:divBdr>
    </w:div>
    <w:div w:id="83380344">
      <w:bodyDiv w:val="1"/>
      <w:marLeft w:val="0"/>
      <w:marRight w:val="0"/>
      <w:marTop w:val="0"/>
      <w:marBottom w:val="0"/>
      <w:divBdr>
        <w:top w:val="none" w:sz="0" w:space="0" w:color="auto"/>
        <w:left w:val="none" w:sz="0" w:space="0" w:color="auto"/>
        <w:bottom w:val="none" w:sz="0" w:space="0" w:color="auto"/>
        <w:right w:val="none" w:sz="0" w:space="0" w:color="auto"/>
      </w:divBdr>
    </w:div>
    <w:div w:id="89350359">
      <w:bodyDiv w:val="1"/>
      <w:marLeft w:val="0"/>
      <w:marRight w:val="0"/>
      <w:marTop w:val="0"/>
      <w:marBottom w:val="0"/>
      <w:divBdr>
        <w:top w:val="none" w:sz="0" w:space="0" w:color="auto"/>
        <w:left w:val="none" w:sz="0" w:space="0" w:color="auto"/>
        <w:bottom w:val="none" w:sz="0" w:space="0" w:color="auto"/>
        <w:right w:val="none" w:sz="0" w:space="0" w:color="auto"/>
      </w:divBdr>
    </w:div>
    <w:div w:id="97217657">
      <w:bodyDiv w:val="1"/>
      <w:marLeft w:val="0"/>
      <w:marRight w:val="0"/>
      <w:marTop w:val="0"/>
      <w:marBottom w:val="0"/>
      <w:divBdr>
        <w:top w:val="none" w:sz="0" w:space="0" w:color="auto"/>
        <w:left w:val="none" w:sz="0" w:space="0" w:color="auto"/>
        <w:bottom w:val="none" w:sz="0" w:space="0" w:color="auto"/>
        <w:right w:val="none" w:sz="0" w:space="0" w:color="auto"/>
      </w:divBdr>
    </w:div>
    <w:div w:id="105776081">
      <w:bodyDiv w:val="1"/>
      <w:marLeft w:val="0"/>
      <w:marRight w:val="0"/>
      <w:marTop w:val="0"/>
      <w:marBottom w:val="0"/>
      <w:divBdr>
        <w:top w:val="none" w:sz="0" w:space="0" w:color="auto"/>
        <w:left w:val="none" w:sz="0" w:space="0" w:color="auto"/>
        <w:bottom w:val="none" w:sz="0" w:space="0" w:color="auto"/>
        <w:right w:val="none" w:sz="0" w:space="0" w:color="auto"/>
      </w:divBdr>
    </w:div>
    <w:div w:id="111706052">
      <w:bodyDiv w:val="1"/>
      <w:marLeft w:val="0"/>
      <w:marRight w:val="0"/>
      <w:marTop w:val="0"/>
      <w:marBottom w:val="0"/>
      <w:divBdr>
        <w:top w:val="none" w:sz="0" w:space="0" w:color="auto"/>
        <w:left w:val="none" w:sz="0" w:space="0" w:color="auto"/>
        <w:bottom w:val="none" w:sz="0" w:space="0" w:color="auto"/>
        <w:right w:val="none" w:sz="0" w:space="0" w:color="auto"/>
      </w:divBdr>
    </w:div>
    <w:div w:id="112673101">
      <w:bodyDiv w:val="1"/>
      <w:marLeft w:val="0"/>
      <w:marRight w:val="0"/>
      <w:marTop w:val="0"/>
      <w:marBottom w:val="0"/>
      <w:divBdr>
        <w:top w:val="none" w:sz="0" w:space="0" w:color="auto"/>
        <w:left w:val="none" w:sz="0" w:space="0" w:color="auto"/>
        <w:bottom w:val="none" w:sz="0" w:space="0" w:color="auto"/>
        <w:right w:val="none" w:sz="0" w:space="0" w:color="auto"/>
      </w:divBdr>
    </w:div>
    <w:div w:id="152068145">
      <w:bodyDiv w:val="1"/>
      <w:marLeft w:val="0"/>
      <w:marRight w:val="0"/>
      <w:marTop w:val="0"/>
      <w:marBottom w:val="0"/>
      <w:divBdr>
        <w:top w:val="none" w:sz="0" w:space="0" w:color="auto"/>
        <w:left w:val="none" w:sz="0" w:space="0" w:color="auto"/>
        <w:bottom w:val="none" w:sz="0" w:space="0" w:color="auto"/>
        <w:right w:val="none" w:sz="0" w:space="0" w:color="auto"/>
      </w:divBdr>
    </w:div>
    <w:div w:id="157036532">
      <w:bodyDiv w:val="1"/>
      <w:marLeft w:val="0"/>
      <w:marRight w:val="0"/>
      <w:marTop w:val="0"/>
      <w:marBottom w:val="0"/>
      <w:divBdr>
        <w:top w:val="none" w:sz="0" w:space="0" w:color="auto"/>
        <w:left w:val="none" w:sz="0" w:space="0" w:color="auto"/>
        <w:bottom w:val="none" w:sz="0" w:space="0" w:color="auto"/>
        <w:right w:val="none" w:sz="0" w:space="0" w:color="auto"/>
      </w:divBdr>
    </w:div>
    <w:div w:id="167986791">
      <w:bodyDiv w:val="1"/>
      <w:marLeft w:val="0"/>
      <w:marRight w:val="0"/>
      <w:marTop w:val="0"/>
      <w:marBottom w:val="0"/>
      <w:divBdr>
        <w:top w:val="none" w:sz="0" w:space="0" w:color="auto"/>
        <w:left w:val="none" w:sz="0" w:space="0" w:color="auto"/>
        <w:bottom w:val="none" w:sz="0" w:space="0" w:color="auto"/>
        <w:right w:val="none" w:sz="0" w:space="0" w:color="auto"/>
      </w:divBdr>
    </w:div>
    <w:div w:id="182018753">
      <w:bodyDiv w:val="1"/>
      <w:marLeft w:val="0"/>
      <w:marRight w:val="0"/>
      <w:marTop w:val="0"/>
      <w:marBottom w:val="0"/>
      <w:divBdr>
        <w:top w:val="none" w:sz="0" w:space="0" w:color="auto"/>
        <w:left w:val="none" w:sz="0" w:space="0" w:color="auto"/>
        <w:bottom w:val="none" w:sz="0" w:space="0" w:color="auto"/>
        <w:right w:val="none" w:sz="0" w:space="0" w:color="auto"/>
      </w:divBdr>
    </w:div>
    <w:div w:id="186452561">
      <w:bodyDiv w:val="1"/>
      <w:marLeft w:val="0"/>
      <w:marRight w:val="0"/>
      <w:marTop w:val="0"/>
      <w:marBottom w:val="0"/>
      <w:divBdr>
        <w:top w:val="none" w:sz="0" w:space="0" w:color="auto"/>
        <w:left w:val="none" w:sz="0" w:space="0" w:color="auto"/>
        <w:bottom w:val="none" w:sz="0" w:space="0" w:color="auto"/>
        <w:right w:val="none" w:sz="0" w:space="0" w:color="auto"/>
      </w:divBdr>
    </w:div>
    <w:div w:id="186917463">
      <w:bodyDiv w:val="1"/>
      <w:marLeft w:val="0"/>
      <w:marRight w:val="0"/>
      <w:marTop w:val="0"/>
      <w:marBottom w:val="0"/>
      <w:divBdr>
        <w:top w:val="none" w:sz="0" w:space="0" w:color="auto"/>
        <w:left w:val="none" w:sz="0" w:space="0" w:color="auto"/>
        <w:bottom w:val="none" w:sz="0" w:space="0" w:color="auto"/>
        <w:right w:val="none" w:sz="0" w:space="0" w:color="auto"/>
      </w:divBdr>
    </w:div>
    <w:div w:id="191461245">
      <w:bodyDiv w:val="1"/>
      <w:marLeft w:val="0"/>
      <w:marRight w:val="0"/>
      <w:marTop w:val="0"/>
      <w:marBottom w:val="0"/>
      <w:divBdr>
        <w:top w:val="none" w:sz="0" w:space="0" w:color="auto"/>
        <w:left w:val="none" w:sz="0" w:space="0" w:color="auto"/>
        <w:bottom w:val="none" w:sz="0" w:space="0" w:color="auto"/>
        <w:right w:val="none" w:sz="0" w:space="0" w:color="auto"/>
      </w:divBdr>
    </w:div>
    <w:div w:id="194584488">
      <w:bodyDiv w:val="1"/>
      <w:marLeft w:val="0"/>
      <w:marRight w:val="0"/>
      <w:marTop w:val="0"/>
      <w:marBottom w:val="0"/>
      <w:divBdr>
        <w:top w:val="none" w:sz="0" w:space="0" w:color="auto"/>
        <w:left w:val="none" w:sz="0" w:space="0" w:color="auto"/>
        <w:bottom w:val="none" w:sz="0" w:space="0" w:color="auto"/>
        <w:right w:val="none" w:sz="0" w:space="0" w:color="auto"/>
      </w:divBdr>
    </w:div>
    <w:div w:id="233274965">
      <w:bodyDiv w:val="1"/>
      <w:marLeft w:val="0"/>
      <w:marRight w:val="0"/>
      <w:marTop w:val="0"/>
      <w:marBottom w:val="0"/>
      <w:divBdr>
        <w:top w:val="none" w:sz="0" w:space="0" w:color="auto"/>
        <w:left w:val="none" w:sz="0" w:space="0" w:color="auto"/>
        <w:bottom w:val="none" w:sz="0" w:space="0" w:color="auto"/>
        <w:right w:val="none" w:sz="0" w:space="0" w:color="auto"/>
      </w:divBdr>
      <w:divsChild>
        <w:div w:id="1636643560">
          <w:marLeft w:val="0"/>
          <w:marRight w:val="0"/>
          <w:marTop w:val="0"/>
          <w:marBottom w:val="0"/>
          <w:divBdr>
            <w:top w:val="none" w:sz="0" w:space="0" w:color="auto"/>
            <w:left w:val="none" w:sz="0" w:space="0" w:color="auto"/>
            <w:bottom w:val="none" w:sz="0" w:space="0" w:color="auto"/>
            <w:right w:val="none" w:sz="0" w:space="0" w:color="auto"/>
          </w:divBdr>
        </w:div>
      </w:divsChild>
    </w:div>
    <w:div w:id="253323956">
      <w:bodyDiv w:val="1"/>
      <w:marLeft w:val="0"/>
      <w:marRight w:val="0"/>
      <w:marTop w:val="0"/>
      <w:marBottom w:val="0"/>
      <w:divBdr>
        <w:top w:val="none" w:sz="0" w:space="0" w:color="auto"/>
        <w:left w:val="none" w:sz="0" w:space="0" w:color="auto"/>
        <w:bottom w:val="none" w:sz="0" w:space="0" w:color="auto"/>
        <w:right w:val="none" w:sz="0" w:space="0" w:color="auto"/>
      </w:divBdr>
    </w:div>
    <w:div w:id="261568611">
      <w:bodyDiv w:val="1"/>
      <w:marLeft w:val="0"/>
      <w:marRight w:val="0"/>
      <w:marTop w:val="0"/>
      <w:marBottom w:val="0"/>
      <w:divBdr>
        <w:top w:val="none" w:sz="0" w:space="0" w:color="auto"/>
        <w:left w:val="none" w:sz="0" w:space="0" w:color="auto"/>
        <w:bottom w:val="none" w:sz="0" w:space="0" w:color="auto"/>
        <w:right w:val="none" w:sz="0" w:space="0" w:color="auto"/>
      </w:divBdr>
    </w:div>
    <w:div w:id="268783669">
      <w:bodyDiv w:val="1"/>
      <w:marLeft w:val="0"/>
      <w:marRight w:val="0"/>
      <w:marTop w:val="0"/>
      <w:marBottom w:val="0"/>
      <w:divBdr>
        <w:top w:val="none" w:sz="0" w:space="0" w:color="auto"/>
        <w:left w:val="none" w:sz="0" w:space="0" w:color="auto"/>
        <w:bottom w:val="none" w:sz="0" w:space="0" w:color="auto"/>
        <w:right w:val="none" w:sz="0" w:space="0" w:color="auto"/>
      </w:divBdr>
    </w:div>
    <w:div w:id="276521414">
      <w:bodyDiv w:val="1"/>
      <w:marLeft w:val="0"/>
      <w:marRight w:val="0"/>
      <w:marTop w:val="0"/>
      <w:marBottom w:val="0"/>
      <w:divBdr>
        <w:top w:val="none" w:sz="0" w:space="0" w:color="auto"/>
        <w:left w:val="none" w:sz="0" w:space="0" w:color="auto"/>
        <w:bottom w:val="none" w:sz="0" w:space="0" w:color="auto"/>
        <w:right w:val="none" w:sz="0" w:space="0" w:color="auto"/>
      </w:divBdr>
    </w:div>
    <w:div w:id="289869192">
      <w:bodyDiv w:val="1"/>
      <w:marLeft w:val="0"/>
      <w:marRight w:val="0"/>
      <w:marTop w:val="0"/>
      <w:marBottom w:val="0"/>
      <w:divBdr>
        <w:top w:val="none" w:sz="0" w:space="0" w:color="auto"/>
        <w:left w:val="none" w:sz="0" w:space="0" w:color="auto"/>
        <w:bottom w:val="none" w:sz="0" w:space="0" w:color="auto"/>
        <w:right w:val="none" w:sz="0" w:space="0" w:color="auto"/>
      </w:divBdr>
    </w:div>
    <w:div w:id="300430683">
      <w:bodyDiv w:val="1"/>
      <w:marLeft w:val="0"/>
      <w:marRight w:val="0"/>
      <w:marTop w:val="0"/>
      <w:marBottom w:val="0"/>
      <w:divBdr>
        <w:top w:val="none" w:sz="0" w:space="0" w:color="auto"/>
        <w:left w:val="none" w:sz="0" w:space="0" w:color="auto"/>
        <w:bottom w:val="none" w:sz="0" w:space="0" w:color="auto"/>
        <w:right w:val="none" w:sz="0" w:space="0" w:color="auto"/>
      </w:divBdr>
    </w:div>
    <w:div w:id="351541693">
      <w:bodyDiv w:val="1"/>
      <w:marLeft w:val="0"/>
      <w:marRight w:val="0"/>
      <w:marTop w:val="0"/>
      <w:marBottom w:val="0"/>
      <w:divBdr>
        <w:top w:val="none" w:sz="0" w:space="0" w:color="auto"/>
        <w:left w:val="none" w:sz="0" w:space="0" w:color="auto"/>
        <w:bottom w:val="none" w:sz="0" w:space="0" w:color="auto"/>
        <w:right w:val="none" w:sz="0" w:space="0" w:color="auto"/>
      </w:divBdr>
    </w:div>
    <w:div w:id="358047771">
      <w:bodyDiv w:val="1"/>
      <w:marLeft w:val="0"/>
      <w:marRight w:val="0"/>
      <w:marTop w:val="0"/>
      <w:marBottom w:val="0"/>
      <w:divBdr>
        <w:top w:val="none" w:sz="0" w:space="0" w:color="auto"/>
        <w:left w:val="none" w:sz="0" w:space="0" w:color="auto"/>
        <w:bottom w:val="none" w:sz="0" w:space="0" w:color="auto"/>
        <w:right w:val="none" w:sz="0" w:space="0" w:color="auto"/>
      </w:divBdr>
    </w:div>
    <w:div w:id="362440069">
      <w:bodyDiv w:val="1"/>
      <w:marLeft w:val="0"/>
      <w:marRight w:val="0"/>
      <w:marTop w:val="0"/>
      <w:marBottom w:val="0"/>
      <w:divBdr>
        <w:top w:val="none" w:sz="0" w:space="0" w:color="auto"/>
        <w:left w:val="none" w:sz="0" w:space="0" w:color="auto"/>
        <w:bottom w:val="none" w:sz="0" w:space="0" w:color="auto"/>
        <w:right w:val="none" w:sz="0" w:space="0" w:color="auto"/>
      </w:divBdr>
    </w:div>
    <w:div w:id="373232751">
      <w:bodyDiv w:val="1"/>
      <w:marLeft w:val="0"/>
      <w:marRight w:val="0"/>
      <w:marTop w:val="0"/>
      <w:marBottom w:val="0"/>
      <w:divBdr>
        <w:top w:val="none" w:sz="0" w:space="0" w:color="auto"/>
        <w:left w:val="none" w:sz="0" w:space="0" w:color="auto"/>
        <w:bottom w:val="none" w:sz="0" w:space="0" w:color="auto"/>
        <w:right w:val="none" w:sz="0" w:space="0" w:color="auto"/>
      </w:divBdr>
    </w:div>
    <w:div w:id="384178627">
      <w:bodyDiv w:val="1"/>
      <w:marLeft w:val="0"/>
      <w:marRight w:val="0"/>
      <w:marTop w:val="0"/>
      <w:marBottom w:val="0"/>
      <w:divBdr>
        <w:top w:val="none" w:sz="0" w:space="0" w:color="auto"/>
        <w:left w:val="none" w:sz="0" w:space="0" w:color="auto"/>
        <w:bottom w:val="none" w:sz="0" w:space="0" w:color="auto"/>
        <w:right w:val="none" w:sz="0" w:space="0" w:color="auto"/>
      </w:divBdr>
    </w:div>
    <w:div w:id="397826288">
      <w:bodyDiv w:val="1"/>
      <w:marLeft w:val="0"/>
      <w:marRight w:val="0"/>
      <w:marTop w:val="0"/>
      <w:marBottom w:val="0"/>
      <w:divBdr>
        <w:top w:val="none" w:sz="0" w:space="0" w:color="auto"/>
        <w:left w:val="none" w:sz="0" w:space="0" w:color="auto"/>
        <w:bottom w:val="none" w:sz="0" w:space="0" w:color="auto"/>
        <w:right w:val="none" w:sz="0" w:space="0" w:color="auto"/>
      </w:divBdr>
    </w:div>
    <w:div w:id="416287043">
      <w:bodyDiv w:val="1"/>
      <w:marLeft w:val="0"/>
      <w:marRight w:val="0"/>
      <w:marTop w:val="0"/>
      <w:marBottom w:val="0"/>
      <w:divBdr>
        <w:top w:val="none" w:sz="0" w:space="0" w:color="auto"/>
        <w:left w:val="none" w:sz="0" w:space="0" w:color="auto"/>
        <w:bottom w:val="none" w:sz="0" w:space="0" w:color="auto"/>
        <w:right w:val="none" w:sz="0" w:space="0" w:color="auto"/>
      </w:divBdr>
    </w:div>
    <w:div w:id="443159127">
      <w:bodyDiv w:val="1"/>
      <w:marLeft w:val="0"/>
      <w:marRight w:val="0"/>
      <w:marTop w:val="0"/>
      <w:marBottom w:val="0"/>
      <w:divBdr>
        <w:top w:val="none" w:sz="0" w:space="0" w:color="auto"/>
        <w:left w:val="none" w:sz="0" w:space="0" w:color="auto"/>
        <w:bottom w:val="none" w:sz="0" w:space="0" w:color="auto"/>
        <w:right w:val="none" w:sz="0" w:space="0" w:color="auto"/>
      </w:divBdr>
    </w:div>
    <w:div w:id="463158764">
      <w:bodyDiv w:val="1"/>
      <w:marLeft w:val="0"/>
      <w:marRight w:val="0"/>
      <w:marTop w:val="0"/>
      <w:marBottom w:val="0"/>
      <w:divBdr>
        <w:top w:val="none" w:sz="0" w:space="0" w:color="auto"/>
        <w:left w:val="none" w:sz="0" w:space="0" w:color="auto"/>
        <w:bottom w:val="none" w:sz="0" w:space="0" w:color="auto"/>
        <w:right w:val="none" w:sz="0" w:space="0" w:color="auto"/>
      </w:divBdr>
    </w:div>
    <w:div w:id="474958064">
      <w:bodyDiv w:val="1"/>
      <w:marLeft w:val="0"/>
      <w:marRight w:val="0"/>
      <w:marTop w:val="0"/>
      <w:marBottom w:val="0"/>
      <w:divBdr>
        <w:top w:val="none" w:sz="0" w:space="0" w:color="auto"/>
        <w:left w:val="none" w:sz="0" w:space="0" w:color="auto"/>
        <w:bottom w:val="none" w:sz="0" w:space="0" w:color="auto"/>
        <w:right w:val="none" w:sz="0" w:space="0" w:color="auto"/>
      </w:divBdr>
    </w:div>
    <w:div w:id="513572813">
      <w:bodyDiv w:val="1"/>
      <w:marLeft w:val="0"/>
      <w:marRight w:val="0"/>
      <w:marTop w:val="0"/>
      <w:marBottom w:val="0"/>
      <w:divBdr>
        <w:top w:val="none" w:sz="0" w:space="0" w:color="auto"/>
        <w:left w:val="none" w:sz="0" w:space="0" w:color="auto"/>
        <w:bottom w:val="none" w:sz="0" w:space="0" w:color="auto"/>
        <w:right w:val="none" w:sz="0" w:space="0" w:color="auto"/>
      </w:divBdr>
    </w:div>
    <w:div w:id="527836084">
      <w:bodyDiv w:val="1"/>
      <w:marLeft w:val="0"/>
      <w:marRight w:val="0"/>
      <w:marTop w:val="0"/>
      <w:marBottom w:val="0"/>
      <w:divBdr>
        <w:top w:val="none" w:sz="0" w:space="0" w:color="auto"/>
        <w:left w:val="none" w:sz="0" w:space="0" w:color="auto"/>
        <w:bottom w:val="none" w:sz="0" w:space="0" w:color="auto"/>
        <w:right w:val="none" w:sz="0" w:space="0" w:color="auto"/>
      </w:divBdr>
    </w:div>
    <w:div w:id="529536463">
      <w:bodyDiv w:val="1"/>
      <w:marLeft w:val="0"/>
      <w:marRight w:val="0"/>
      <w:marTop w:val="0"/>
      <w:marBottom w:val="0"/>
      <w:divBdr>
        <w:top w:val="none" w:sz="0" w:space="0" w:color="auto"/>
        <w:left w:val="none" w:sz="0" w:space="0" w:color="auto"/>
        <w:bottom w:val="none" w:sz="0" w:space="0" w:color="auto"/>
        <w:right w:val="none" w:sz="0" w:space="0" w:color="auto"/>
      </w:divBdr>
    </w:div>
    <w:div w:id="541526999">
      <w:bodyDiv w:val="1"/>
      <w:marLeft w:val="0"/>
      <w:marRight w:val="0"/>
      <w:marTop w:val="0"/>
      <w:marBottom w:val="0"/>
      <w:divBdr>
        <w:top w:val="none" w:sz="0" w:space="0" w:color="auto"/>
        <w:left w:val="none" w:sz="0" w:space="0" w:color="auto"/>
        <w:bottom w:val="none" w:sz="0" w:space="0" w:color="auto"/>
        <w:right w:val="none" w:sz="0" w:space="0" w:color="auto"/>
      </w:divBdr>
    </w:div>
    <w:div w:id="548036725">
      <w:bodyDiv w:val="1"/>
      <w:marLeft w:val="0"/>
      <w:marRight w:val="0"/>
      <w:marTop w:val="0"/>
      <w:marBottom w:val="0"/>
      <w:divBdr>
        <w:top w:val="none" w:sz="0" w:space="0" w:color="auto"/>
        <w:left w:val="none" w:sz="0" w:space="0" w:color="auto"/>
        <w:bottom w:val="none" w:sz="0" w:space="0" w:color="auto"/>
        <w:right w:val="none" w:sz="0" w:space="0" w:color="auto"/>
      </w:divBdr>
    </w:div>
    <w:div w:id="568468885">
      <w:bodyDiv w:val="1"/>
      <w:marLeft w:val="0"/>
      <w:marRight w:val="0"/>
      <w:marTop w:val="0"/>
      <w:marBottom w:val="0"/>
      <w:divBdr>
        <w:top w:val="none" w:sz="0" w:space="0" w:color="auto"/>
        <w:left w:val="none" w:sz="0" w:space="0" w:color="auto"/>
        <w:bottom w:val="none" w:sz="0" w:space="0" w:color="auto"/>
        <w:right w:val="none" w:sz="0" w:space="0" w:color="auto"/>
      </w:divBdr>
    </w:div>
    <w:div w:id="584339000">
      <w:bodyDiv w:val="1"/>
      <w:marLeft w:val="0"/>
      <w:marRight w:val="0"/>
      <w:marTop w:val="0"/>
      <w:marBottom w:val="0"/>
      <w:divBdr>
        <w:top w:val="none" w:sz="0" w:space="0" w:color="auto"/>
        <w:left w:val="none" w:sz="0" w:space="0" w:color="auto"/>
        <w:bottom w:val="none" w:sz="0" w:space="0" w:color="auto"/>
        <w:right w:val="none" w:sz="0" w:space="0" w:color="auto"/>
      </w:divBdr>
    </w:div>
    <w:div w:id="584922983">
      <w:bodyDiv w:val="1"/>
      <w:marLeft w:val="0"/>
      <w:marRight w:val="0"/>
      <w:marTop w:val="0"/>
      <w:marBottom w:val="0"/>
      <w:divBdr>
        <w:top w:val="none" w:sz="0" w:space="0" w:color="auto"/>
        <w:left w:val="none" w:sz="0" w:space="0" w:color="auto"/>
        <w:bottom w:val="none" w:sz="0" w:space="0" w:color="auto"/>
        <w:right w:val="none" w:sz="0" w:space="0" w:color="auto"/>
      </w:divBdr>
    </w:div>
    <w:div w:id="585193527">
      <w:bodyDiv w:val="1"/>
      <w:marLeft w:val="0"/>
      <w:marRight w:val="0"/>
      <w:marTop w:val="0"/>
      <w:marBottom w:val="0"/>
      <w:divBdr>
        <w:top w:val="none" w:sz="0" w:space="0" w:color="auto"/>
        <w:left w:val="none" w:sz="0" w:space="0" w:color="auto"/>
        <w:bottom w:val="none" w:sz="0" w:space="0" w:color="auto"/>
        <w:right w:val="none" w:sz="0" w:space="0" w:color="auto"/>
      </w:divBdr>
    </w:div>
    <w:div w:id="587158641">
      <w:bodyDiv w:val="1"/>
      <w:marLeft w:val="0"/>
      <w:marRight w:val="0"/>
      <w:marTop w:val="0"/>
      <w:marBottom w:val="0"/>
      <w:divBdr>
        <w:top w:val="none" w:sz="0" w:space="0" w:color="auto"/>
        <w:left w:val="none" w:sz="0" w:space="0" w:color="auto"/>
        <w:bottom w:val="none" w:sz="0" w:space="0" w:color="auto"/>
        <w:right w:val="none" w:sz="0" w:space="0" w:color="auto"/>
      </w:divBdr>
    </w:div>
    <w:div w:id="594552296">
      <w:bodyDiv w:val="1"/>
      <w:marLeft w:val="0"/>
      <w:marRight w:val="0"/>
      <w:marTop w:val="0"/>
      <w:marBottom w:val="0"/>
      <w:divBdr>
        <w:top w:val="none" w:sz="0" w:space="0" w:color="auto"/>
        <w:left w:val="none" w:sz="0" w:space="0" w:color="auto"/>
        <w:bottom w:val="none" w:sz="0" w:space="0" w:color="auto"/>
        <w:right w:val="none" w:sz="0" w:space="0" w:color="auto"/>
      </w:divBdr>
    </w:div>
    <w:div w:id="616563012">
      <w:bodyDiv w:val="1"/>
      <w:marLeft w:val="0"/>
      <w:marRight w:val="0"/>
      <w:marTop w:val="0"/>
      <w:marBottom w:val="0"/>
      <w:divBdr>
        <w:top w:val="none" w:sz="0" w:space="0" w:color="auto"/>
        <w:left w:val="none" w:sz="0" w:space="0" w:color="auto"/>
        <w:bottom w:val="none" w:sz="0" w:space="0" w:color="auto"/>
        <w:right w:val="none" w:sz="0" w:space="0" w:color="auto"/>
      </w:divBdr>
    </w:div>
    <w:div w:id="681787458">
      <w:bodyDiv w:val="1"/>
      <w:marLeft w:val="0"/>
      <w:marRight w:val="0"/>
      <w:marTop w:val="0"/>
      <w:marBottom w:val="0"/>
      <w:divBdr>
        <w:top w:val="none" w:sz="0" w:space="0" w:color="auto"/>
        <w:left w:val="none" w:sz="0" w:space="0" w:color="auto"/>
        <w:bottom w:val="none" w:sz="0" w:space="0" w:color="auto"/>
        <w:right w:val="none" w:sz="0" w:space="0" w:color="auto"/>
      </w:divBdr>
    </w:div>
    <w:div w:id="685449080">
      <w:bodyDiv w:val="1"/>
      <w:marLeft w:val="0"/>
      <w:marRight w:val="0"/>
      <w:marTop w:val="0"/>
      <w:marBottom w:val="0"/>
      <w:divBdr>
        <w:top w:val="none" w:sz="0" w:space="0" w:color="auto"/>
        <w:left w:val="none" w:sz="0" w:space="0" w:color="auto"/>
        <w:bottom w:val="none" w:sz="0" w:space="0" w:color="auto"/>
        <w:right w:val="none" w:sz="0" w:space="0" w:color="auto"/>
      </w:divBdr>
    </w:div>
    <w:div w:id="696852556">
      <w:bodyDiv w:val="1"/>
      <w:marLeft w:val="0"/>
      <w:marRight w:val="0"/>
      <w:marTop w:val="0"/>
      <w:marBottom w:val="0"/>
      <w:divBdr>
        <w:top w:val="none" w:sz="0" w:space="0" w:color="auto"/>
        <w:left w:val="none" w:sz="0" w:space="0" w:color="auto"/>
        <w:bottom w:val="none" w:sz="0" w:space="0" w:color="auto"/>
        <w:right w:val="none" w:sz="0" w:space="0" w:color="auto"/>
      </w:divBdr>
    </w:div>
    <w:div w:id="720515584">
      <w:bodyDiv w:val="1"/>
      <w:marLeft w:val="0"/>
      <w:marRight w:val="0"/>
      <w:marTop w:val="0"/>
      <w:marBottom w:val="0"/>
      <w:divBdr>
        <w:top w:val="none" w:sz="0" w:space="0" w:color="auto"/>
        <w:left w:val="none" w:sz="0" w:space="0" w:color="auto"/>
        <w:bottom w:val="none" w:sz="0" w:space="0" w:color="auto"/>
        <w:right w:val="none" w:sz="0" w:space="0" w:color="auto"/>
      </w:divBdr>
    </w:div>
    <w:div w:id="724525114">
      <w:bodyDiv w:val="1"/>
      <w:marLeft w:val="0"/>
      <w:marRight w:val="0"/>
      <w:marTop w:val="0"/>
      <w:marBottom w:val="0"/>
      <w:divBdr>
        <w:top w:val="none" w:sz="0" w:space="0" w:color="auto"/>
        <w:left w:val="none" w:sz="0" w:space="0" w:color="auto"/>
        <w:bottom w:val="none" w:sz="0" w:space="0" w:color="auto"/>
        <w:right w:val="none" w:sz="0" w:space="0" w:color="auto"/>
      </w:divBdr>
    </w:div>
    <w:div w:id="724764633">
      <w:bodyDiv w:val="1"/>
      <w:marLeft w:val="0"/>
      <w:marRight w:val="0"/>
      <w:marTop w:val="0"/>
      <w:marBottom w:val="0"/>
      <w:divBdr>
        <w:top w:val="none" w:sz="0" w:space="0" w:color="auto"/>
        <w:left w:val="none" w:sz="0" w:space="0" w:color="auto"/>
        <w:bottom w:val="none" w:sz="0" w:space="0" w:color="auto"/>
        <w:right w:val="none" w:sz="0" w:space="0" w:color="auto"/>
      </w:divBdr>
    </w:div>
    <w:div w:id="724915818">
      <w:bodyDiv w:val="1"/>
      <w:marLeft w:val="0"/>
      <w:marRight w:val="0"/>
      <w:marTop w:val="0"/>
      <w:marBottom w:val="0"/>
      <w:divBdr>
        <w:top w:val="none" w:sz="0" w:space="0" w:color="auto"/>
        <w:left w:val="none" w:sz="0" w:space="0" w:color="auto"/>
        <w:bottom w:val="none" w:sz="0" w:space="0" w:color="auto"/>
        <w:right w:val="none" w:sz="0" w:space="0" w:color="auto"/>
      </w:divBdr>
    </w:div>
    <w:div w:id="744495545">
      <w:bodyDiv w:val="1"/>
      <w:marLeft w:val="0"/>
      <w:marRight w:val="0"/>
      <w:marTop w:val="0"/>
      <w:marBottom w:val="0"/>
      <w:divBdr>
        <w:top w:val="none" w:sz="0" w:space="0" w:color="auto"/>
        <w:left w:val="none" w:sz="0" w:space="0" w:color="auto"/>
        <w:bottom w:val="none" w:sz="0" w:space="0" w:color="auto"/>
        <w:right w:val="none" w:sz="0" w:space="0" w:color="auto"/>
      </w:divBdr>
    </w:div>
    <w:div w:id="752312337">
      <w:bodyDiv w:val="1"/>
      <w:marLeft w:val="0"/>
      <w:marRight w:val="0"/>
      <w:marTop w:val="0"/>
      <w:marBottom w:val="0"/>
      <w:divBdr>
        <w:top w:val="none" w:sz="0" w:space="0" w:color="auto"/>
        <w:left w:val="none" w:sz="0" w:space="0" w:color="auto"/>
        <w:bottom w:val="none" w:sz="0" w:space="0" w:color="auto"/>
        <w:right w:val="none" w:sz="0" w:space="0" w:color="auto"/>
      </w:divBdr>
    </w:div>
    <w:div w:id="767236856">
      <w:bodyDiv w:val="1"/>
      <w:marLeft w:val="0"/>
      <w:marRight w:val="0"/>
      <w:marTop w:val="0"/>
      <w:marBottom w:val="0"/>
      <w:divBdr>
        <w:top w:val="none" w:sz="0" w:space="0" w:color="auto"/>
        <w:left w:val="none" w:sz="0" w:space="0" w:color="auto"/>
        <w:bottom w:val="none" w:sz="0" w:space="0" w:color="auto"/>
        <w:right w:val="none" w:sz="0" w:space="0" w:color="auto"/>
      </w:divBdr>
    </w:div>
    <w:div w:id="784887672">
      <w:bodyDiv w:val="1"/>
      <w:marLeft w:val="0"/>
      <w:marRight w:val="0"/>
      <w:marTop w:val="0"/>
      <w:marBottom w:val="0"/>
      <w:divBdr>
        <w:top w:val="none" w:sz="0" w:space="0" w:color="auto"/>
        <w:left w:val="none" w:sz="0" w:space="0" w:color="auto"/>
        <w:bottom w:val="none" w:sz="0" w:space="0" w:color="auto"/>
        <w:right w:val="none" w:sz="0" w:space="0" w:color="auto"/>
      </w:divBdr>
    </w:div>
    <w:div w:id="788626005">
      <w:bodyDiv w:val="1"/>
      <w:marLeft w:val="0"/>
      <w:marRight w:val="0"/>
      <w:marTop w:val="0"/>
      <w:marBottom w:val="0"/>
      <w:divBdr>
        <w:top w:val="none" w:sz="0" w:space="0" w:color="auto"/>
        <w:left w:val="none" w:sz="0" w:space="0" w:color="auto"/>
        <w:bottom w:val="none" w:sz="0" w:space="0" w:color="auto"/>
        <w:right w:val="none" w:sz="0" w:space="0" w:color="auto"/>
      </w:divBdr>
    </w:div>
    <w:div w:id="804587156">
      <w:bodyDiv w:val="1"/>
      <w:marLeft w:val="0"/>
      <w:marRight w:val="0"/>
      <w:marTop w:val="0"/>
      <w:marBottom w:val="0"/>
      <w:divBdr>
        <w:top w:val="none" w:sz="0" w:space="0" w:color="auto"/>
        <w:left w:val="none" w:sz="0" w:space="0" w:color="auto"/>
        <w:bottom w:val="none" w:sz="0" w:space="0" w:color="auto"/>
        <w:right w:val="none" w:sz="0" w:space="0" w:color="auto"/>
      </w:divBdr>
    </w:div>
    <w:div w:id="808942301">
      <w:bodyDiv w:val="1"/>
      <w:marLeft w:val="0"/>
      <w:marRight w:val="0"/>
      <w:marTop w:val="0"/>
      <w:marBottom w:val="0"/>
      <w:divBdr>
        <w:top w:val="none" w:sz="0" w:space="0" w:color="auto"/>
        <w:left w:val="none" w:sz="0" w:space="0" w:color="auto"/>
        <w:bottom w:val="none" w:sz="0" w:space="0" w:color="auto"/>
        <w:right w:val="none" w:sz="0" w:space="0" w:color="auto"/>
      </w:divBdr>
    </w:div>
    <w:div w:id="811481350">
      <w:bodyDiv w:val="1"/>
      <w:marLeft w:val="0"/>
      <w:marRight w:val="0"/>
      <w:marTop w:val="0"/>
      <w:marBottom w:val="0"/>
      <w:divBdr>
        <w:top w:val="none" w:sz="0" w:space="0" w:color="auto"/>
        <w:left w:val="none" w:sz="0" w:space="0" w:color="auto"/>
        <w:bottom w:val="none" w:sz="0" w:space="0" w:color="auto"/>
        <w:right w:val="none" w:sz="0" w:space="0" w:color="auto"/>
      </w:divBdr>
    </w:div>
    <w:div w:id="818889793">
      <w:bodyDiv w:val="1"/>
      <w:marLeft w:val="0"/>
      <w:marRight w:val="0"/>
      <w:marTop w:val="0"/>
      <w:marBottom w:val="0"/>
      <w:divBdr>
        <w:top w:val="none" w:sz="0" w:space="0" w:color="auto"/>
        <w:left w:val="none" w:sz="0" w:space="0" w:color="auto"/>
        <w:bottom w:val="none" w:sz="0" w:space="0" w:color="auto"/>
        <w:right w:val="none" w:sz="0" w:space="0" w:color="auto"/>
      </w:divBdr>
    </w:div>
    <w:div w:id="824855870">
      <w:bodyDiv w:val="1"/>
      <w:marLeft w:val="0"/>
      <w:marRight w:val="0"/>
      <w:marTop w:val="0"/>
      <w:marBottom w:val="0"/>
      <w:divBdr>
        <w:top w:val="none" w:sz="0" w:space="0" w:color="auto"/>
        <w:left w:val="none" w:sz="0" w:space="0" w:color="auto"/>
        <w:bottom w:val="none" w:sz="0" w:space="0" w:color="auto"/>
        <w:right w:val="none" w:sz="0" w:space="0" w:color="auto"/>
      </w:divBdr>
    </w:div>
    <w:div w:id="840853522">
      <w:bodyDiv w:val="1"/>
      <w:marLeft w:val="0"/>
      <w:marRight w:val="0"/>
      <w:marTop w:val="0"/>
      <w:marBottom w:val="0"/>
      <w:divBdr>
        <w:top w:val="none" w:sz="0" w:space="0" w:color="auto"/>
        <w:left w:val="none" w:sz="0" w:space="0" w:color="auto"/>
        <w:bottom w:val="none" w:sz="0" w:space="0" w:color="auto"/>
        <w:right w:val="none" w:sz="0" w:space="0" w:color="auto"/>
      </w:divBdr>
    </w:div>
    <w:div w:id="852453181">
      <w:bodyDiv w:val="1"/>
      <w:marLeft w:val="0"/>
      <w:marRight w:val="0"/>
      <w:marTop w:val="0"/>
      <w:marBottom w:val="0"/>
      <w:divBdr>
        <w:top w:val="none" w:sz="0" w:space="0" w:color="auto"/>
        <w:left w:val="none" w:sz="0" w:space="0" w:color="auto"/>
        <w:bottom w:val="none" w:sz="0" w:space="0" w:color="auto"/>
        <w:right w:val="none" w:sz="0" w:space="0" w:color="auto"/>
      </w:divBdr>
    </w:div>
    <w:div w:id="893741229">
      <w:bodyDiv w:val="1"/>
      <w:marLeft w:val="0"/>
      <w:marRight w:val="0"/>
      <w:marTop w:val="0"/>
      <w:marBottom w:val="0"/>
      <w:divBdr>
        <w:top w:val="none" w:sz="0" w:space="0" w:color="auto"/>
        <w:left w:val="none" w:sz="0" w:space="0" w:color="auto"/>
        <w:bottom w:val="none" w:sz="0" w:space="0" w:color="auto"/>
        <w:right w:val="none" w:sz="0" w:space="0" w:color="auto"/>
      </w:divBdr>
    </w:div>
    <w:div w:id="901644770">
      <w:bodyDiv w:val="1"/>
      <w:marLeft w:val="0"/>
      <w:marRight w:val="0"/>
      <w:marTop w:val="0"/>
      <w:marBottom w:val="0"/>
      <w:divBdr>
        <w:top w:val="none" w:sz="0" w:space="0" w:color="auto"/>
        <w:left w:val="none" w:sz="0" w:space="0" w:color="auto"/>
        <w:bottom w:val="none" w:sz="0" w:space="0" w:color="auto"/>
        <w:right w:val="none" w:sz="0" w:space="0" w:color="auto"/>
      </w:divBdr>
    </w:div>
    <w:div w:id="902178952">
      <w:bodyDiv w:val="1"/>
      <w:marLeft w:val="0"/>
      <w:marRight w:val="0"/>
      <w:marTop w:val="0"/>
      <w:marBottom w:val="0"/>
      <w:divBdr>
        <w:top w:val="none" w:sz="0" w:space="0" w:color="auto"/>
        <w:left w:val="none" w:sz="0" w:space="0" w:color="auto"/>
        <w:bottom w:val="none" w:sz="0" w:space="0" w:color="auto"/>
        <w:right w:val="none" w:sz="0" w:space="0" w:color="auto"/>
      </w:divBdr>
    </w:div>
    <w:div w:id="935678462">
      <w:bodyDiv w:val="1"/>
      <w:marLeft w:val="0"/>
      <w:marRight w:val="0"/>
      <w:marTop w:val="0"/>
      <w:marBottom w:val="0"/>
      <w:divBdr>
        <w:top w:val="none" w:sz="0" w:space="0" w:color="auto"/>
        <w:left w:val="none" w:sz="0" w:space="0" w:color="auto"/>
        <w:bottom w:val="none" w:sz="0" w:space="0" w:color="auto"/>
        <w:right w:val="none" w:sz="0" w:space="0" w:color="auto"/>
      </w:divBdr>
    </w:div>
    <w:div w:id="952243920">
      <w:bodyDiv w:val="1"/>
      <w:marLeft w:val="0"/>
      <w:marRight w:val="0"/>
      <w:marTop w:val="0"/>
      <w:marBottom w:val="0"/>
      <w:divBdr>
        <w:top w:val="none" w:sz="0" w:space="0" w:color="auto"/>
        <w:left w:val="none" w:sz="0" w:space="0" w:color="auto"/>
        <w:bottom w:val="none" w:sz="0" w:space="0" w:color="auto"/>
        <w:right w:val="none" w:sz="0" w:space="0" w:color="auto"/>
      </w:divBdr>
    </w:div>
    <w:div w:id="966812945">
      <w:bodyDiv w:val="1"/>
      <w:marLeft w:val="0"/>
      <w:marRight w:val="0"/>
      <w:marTop w:val="0"/>
      <w:marBottom w:val="0"/>
      <w:divBdr>
        <w:top w:val="none" w:sz="0" w:space="0" w:color="auto"/>
        <w:left w:val="none" w:sz="0" w:space="0" w:color="auto"/>
        <w:bottom w:val="none" w:sz="0" w:space="0" w:color="auto"/>
        <w:right w:val="none" w:sz="0" w:space="0" w:color="auto"/>
      </w:divBdr>
    </w:div>
    <w:div w:id="974143474">
      <w:bodyDiv w:val="1"/>
      <w:marLeft w:val="0"/>
      <w:marRight w:val="0"/>
      <w:marTop w:val="0"/>
      <w:marBottom w:val="0"/>
      <w:divBdr>
        <w:top w:val="none" w:sz="0" w:space="0" w:color="auto"/>
        <w:left w:val="none" w:sz="0" w:space="0" w:color="auto"/>
        <w:bottom w:val="none" w:sz="0" w:space="0" w:color="auto"/>
        <w:right w:val="none" w:sz="0" w:space="0" w:color="auto"/>
      </w:divBdr>
    </w:div>
    <w:div w:id="996226386">
      <w:bodyDiv w:val="1"/>
      <w:marLeft w:val="0"/>
      <w:marRight w:val="0"/>
      <w:marTop w:val="0"/>
      <w:marBottom w:val="0"/>
      <w:divBdr>
        <w:top w:val="none" w:sz="0" w:space="0" w:color="auto"/>
        <w:left w:val="none" w:sz="0" w:space="0" w:color="auto"/>
        <w:bottom w:val="none" w:sz="0" w:space="0" w:color="auto"/>
        <w:right w:val="none" w:sz="0" w:space="0" w:color="auto"/>
      </w:divBdr>
    </w:div>
    <w:div w:id="1001658044">
      <w:bodyDiv w:val="1"/>
      <w:marLeft w:val="0"/>
      <w:marRight w:val="0"/>
      <w:marTop w:val="0"/>
      <w:marBottom w:val="0"/>
      <w:divBdr>
        <w:top w:val="none" w:sz="0" w:space="0" w:color="auto"/>
        <w:left w:val="none" w:sz="0" w:space="0" w:color="auto"/>
        <w:bottom w:val="none" w:sz="0" w:space="0" w:color="auto"/>
        <w:right w:val="none" w:sz="0" w:space="0" w:color="auto"/>
      </w:divBdr>
    </w:div>
    <w:div w:id="1039276901">
      <w:bodyDiv w:val="1"/>
      <w:marLeft w:val="0"/>
      <w:marRight w:val="0"/>
      <w:marTop w:val="0"/>
      <w:marBottom w:val="0"/>
      <w:divBdr>
        <w:top w:val="none" w:sz="0" w:space="0" w:color="auto"/>
        <w:left w:val="none" w:sz="0" w:space="0" w:color="auto"/>
        <w:bottom w:val="none" w:sz="0" w:space="0" w:color="auto"/>
        <w:right w:val="none" w:sz="0" w:space="0" w:color="auto"/>
      </w:divBdr>
    </w:div>
    <w:div w:id="1054618006">
      <w:bodyDiv w:val="1"/>
      <w:marLeft w:val="0"/>
      <w:marRight w:val="0"/>
      <w:marTop w:val="0"/>
      <w:marBottom w:val="0"/>
      <w:divBdr>
        <w:top w:val="none" w:sz="0" w:space="0" w:color="auto"/>
        <w:left w:val="none" w:sz="0" w:space="0" w:color="auto"/>
        <w:bottom w:val="none" w:sz="0" w:space="0" w:color="auto"/>
        <w:right w:val="none" w:sz="0" w:space="0" w:color="auto"/>
      </w:divBdr>
    </w:div>
    <w:div w:id="1073242014">
      <w:bodyDiv w:val="1"/>
      <w:marLeft w:val="0"/>
      <w:marRight w:val="0"/>
      <w:marTop w:val="0"/>
      <w:marBottom w:val="0"/>
      <w:divBdr>
        <w:top w:val="none" w:sz="0" w:space="0" w:color="auto"/>
        <w:left w:val="none" w:sz="0" w:space="0" w:color="auto"/>
        <w:bottom w:val="none" w:sz="0" w:space="0" w:color="auto"/>
        <w:right w:val="none" w:sz="0" w:space="0" w:color="auto"/>
      </w:divBdr>
    </w:div>
    <w:div w:id="1075320373">
      <w:bodyDiv w:val="1"/>
      <w:marLeft w:val="0"/>
      <w:marRight w:val="0"/>
      <w:marTop w:val="0"/>
      <w:marBottom w:val="0"/>
      <w:divBdr>
        <w:top w:val="none" w:sz="0" w:space="0" w:color="auto"/>
        <w:left w:val="none" w:sz="0" w:space="0" w:color="auto"/>
        <w:bottom w:val="none" w:sz="0" w:space="0" w:color="auto"/>
        <w:right w:val="none" w:sz="0" w:space="0" w:color="auto"/>
      </w:divBdr>
    </w:div>
    <w:div w:id="1077438629">
      <w:bodyDiv w:val="1"/>
      <w:marLeft w:val="0"/>
      <w:marRight w:val="0"/>
      <w:marTop w:val="0"/>
      <w:marBottom w:val="0"/>
      <w:divBdr>
        <w:top w:val="none" w:sz="0" w:space="0" w:color="auto"/>
        <w:left w:val="none" w:sz="0" w:space="0" w:color="auto"/>
        <w:bottom w:val="none" w:sz="0" w:space="0" w:color="auto"/>
        <w:right w:val="none" w:sz="0" w:space="0" w:color="auto"/>
      </w:divBdr>
    </w:div>
    <w:div w:id="1078138365">
      <w:bodyDiv w:val="1"/>
      <w:marLeft w:val="0"/>
      <w:marRight w:val="0"/>
      <w:marTop w:val="0"/>
      <w:marBottom w:val="0"/>
      <w:divBdr>
        <w:top w:val="none" w:sz="0" w:space="0" w:color="auto"/>
        <w:left w:val="none" w:sz="0" w:space="0" w:color="auto"/>
        <w:bottom w:val="none" w:sz="0" w:space="0" w:color="auto"/>
        <w:right w:val="none" w:sz="0" w:space="0" w:color="auto"/>
      </w:divBdr>
    </w:div>
    <w:div w:id="1101100044">
      <w:bodyDiv w:val="1"/>
      <w:marLeft w:val="0"/>
      <w:marRight w:val="0"/>
      <w:marTop w:val="0"/>
      <w:marBottom w:val="0"/>
      <w:divBdr>
        <w:top w:val="none" w:sz="0" w:space="0" w:color="auto"/>
        <w:left w:val="none" w:sz="0" w:space="0" w:color="auto"/>
        <w:bottom w:val="none" w:sz="0" w:space="0" w:color="auto"/>
        <w:right w:val="none" w:sz="0" w:space="0" w:color="auto"/>
      </w:divBdr>
    </w:div>
    <w:div w:id="1101948331">
      <w:bodyDiv w:val="1"/>
      <w:marLeft w:val="0"/>
      <w:marRight w:val="0"/>
      <w:marTop w:val="0"/>
      <w:marBottom w:val="0"/>
      <w:divBdr>
        <w:top w:val="none" w:sz="0" w:space="0" w:color="auto"/>
        <w:left w:val="none" w:sz="0" w:space="0" w:color="auto"/>
        <w:bottom w:val="none" w:sz="0" w:space="0" w:color="auto"/>
        <w:right w:val="none" w:sz="0" w:space="0" w:color="auto"/>
      </w:divBdr>
    </w:div>
    <w:div w:id="1104302152">
      <w:bodyDiv w:val="1"/>
      <w:marLeft w:val="0"/>
      <w:marRight w:val="0"/>
      <w:marTop w:val="0"/>
      <w:marBottom w:val="0"/>
      <w:divBdr>
        <w:top w:val="none" w:sz="0" w:space="0" w:color="auto"/>
        <w:left w:val="none" w:sz="0" w:space="0" w:color="auto"/>
        <w:bottom w:val="none" w:sz="0" w:space="0" w:color="auto"/>
        <w:right w:val="none" w:sz="0" w:space="0" w:color="auto"/>
      </w:divBdr>
    </w:div>
    <w:div w:id="1122768777">
      <w:bodyDiv w:val="1"/>
      <w:marLeft w:val="0"/>
      <w:marRight w:val="0"/>
      <w:marTop w:val="0"/>
      <w:marBottom w:val="0"/>
      <w:divBdr>
        <w:top w:val="none" w:sz="0" w:space="0" w:color="auto"/>
        <w:left w:val="none" w:sz="0" w:space="0" w:color="auto"/>
        <w:bottom w:val="none" w:sz="0" w:space="0" w:color="auto"/>
        <w:right w:val="none" w:sz="0" w:space="0" w:color="auto"/>
      </w:divBdr>
    </w:div>
    <w:div w:id="1134371476">
      <w:bodyDiv w:val="1"/>
      <w:marLeft w:val="0"/>
      <w:marRight w:val="0"/>
      <w:marTop w:val="0"/>
      <w:marBottom w:val="0"/>
      <w:divBdr>
        <w:top w:val="none" w:sz="0" w:space="0" w:color="auto"/>
        <w:left w:val="none" w:sz="0" w:space="0" w:color="auto"/>
        <w:bottom w:val="none" w:sz="0" w:space="0" w:color="auto"/>
        <w:right w:val="none" w:sz="0" w:space="0" w:color="auto"/>
      </w:divBdr>
    </w:div>
    <w:div w:id="1139229329">
      <w:bodyDiv w:val="1"/>
      <w:marLeft w:val="0"/>
      <w:marRight w:val="0"/>
      <w:marTop w:val="0"/>
      <w:marBottom w:val="0"/>
      <w:divBdr>
        <w:top w:val="none" w:sz="0" w:space="0" w:color="auto"/>
        <w:left w:val="none" w:sz="0" w:space="0" w:color="auto"/>
        <w:bottom w:val="none" w:sz="0" w:space="0" w:color="auto"/>
        <w:right w:val="none" w:sz="0" w:space="0" w:color="auto"/>
      </w:divBdr>
    </w:div>
    <w:div w:id="1157963169">
      <w:bodyDiv w:val="1"/>
      <w:marLeft w:val="0"/>
      <w:marRight w:val="0"/>
      <w:marTop w:val="0"/>
      <w:marBottom w:val="0"/>
      <w:divBdr>
        <w:top w:val="none" w:sz="0" w:space="0" w:color="auto"/>
        <w:left w:val="none" w:sz="0" w:space="0" w:color="auto"/>
        <w:bottom w:val="none" w:sz="0" w:space="0" w:color="auto"/>
        <w:right w:val="none" w:sz="0" w:space="0" w:color="auto"/>
      </w:divBdr>
    </w:div>
    <w:div w:id="1158233922">
      <w:bodyDiv w:val="1"/>
      <w:marLeft w:val="0"/>
      <w:marRight w:val="0"/>
      <w:marTop w:val="0"/>
      <w:marBottom w:val="0"/>
      <w:divBdr>
        <w:top w:val="none" w:sz="0" w:space="0" w:color="auto"/>
        <w:left w:val="none" w:sz="0" w:space="0" w:color="auto"/>
        <w:bottom w:val="none" w:sz="0" w:space="0" w:color="auto"/>
        <w:right w:val="none" w:sz="0" w:space="0" w:color="auto"/>
      </w:divBdr>
    </w:div>
    <w:div w:id="1160778622">
      <w:bodyDiv w:val="1"/>
      <w:marLeft w:val="0"/>
      <w:marRight w:val="0"/>
      <w:marTop w:val="0"/>
      <w:marBottom w:val="0"/>
      <w:divBdr>
        <w:top w:val="none" w:sz="0" w:space="0" w:color="auto"/>
        <w:left w:val="none" w:sz="0" w:space="0" w:color="auto"/>
        <w:bottom w:val="none" w:sz="0" w:space="0" w:color="auto"/>
        <w:right w:val="none" w:sz="0" w:space="0" w:color="auto"/>
      </w:divBdr>
    </w:div>
    <w:div w:id="1168401390">
      <w:bodyDiv w:val="1"/>
      <w:marLeft w:val="0"/>
      <w:marRight w:val="0"/>
      <w:marTop w:val="0"/>
      <w:marBottom w:val="0"/>
      <w:divBdr>
        <w:top w:val="none" w:sz="0" w:space="0" w:color="auto"/>
        <w:left w:val="none" w:sz="0" w:space="0" w:color="auto"/>
        <w:bottom w:val="none" w:sz="0" w:space="0" w:color="auto"/>
        <w:right w:val="none" w:sz="0" w:space="0" w:color="auto"/>
      </w:divBdr>
    </w:div>
    <w:div w:id="1197347883">
      <w:bodyDiv w:val="1"/>
      <w:marLeft w:val="0"/>
      <w:marRight w:val="0"/>
      <w:marTop w:val="0"/>
      <w:marBottom w:val="0"/>
      <w:divBdr>
        <w:top w:val="none" w:sz="0" w:space="0" w:color="auto"/>
        <w:left w:val="none" w:sz="0" w:space="0" w:color="auto"/>
        <w:bottom w:val="none" w:sz="0" w:space="0" w:color="auto"/>
        <w:right w:val="none" w:sz="0" w:space="0" w:color="auto"/>
      </w:divBdr>
    </w:div>
    <w:div w:id="1198930384">
      <w:bodyDiv w:val="1"/>
      <w:marLeft w:val="0"/>
      <w:marRight w:val="0"/>
      <w:marTop w:val="0"/>
      <w:marBottom w:val="0"/>
      <w:divBdr>
        <w:top w:val="none" w:sz="0" w:space="0" w:color="auto"/>
        <w:left w:val="none" w:sz="0" w:space="0" w:color="auto"/>
        <w:bottom w:val="none" w:sz="0" w:space="0" w:color="auto"/>
        <w:right w:val="none" w:sz="0" w:space="0" w:color="auto"/>
      </w:divBdr>
    </w:div>
    <w:div w:id="1204058536">
      <w:bodyDiv w:val="1"/>
      <w:marLeft w:val="0"/>
      <w:marRight w:val="0"/>
      <w:marTop w:val="0"/>
      <w:marBottom w:val="0"/>
      <w:divBdr>
        <w:top w:val="none" w:sz="0" w:space="0" w:color="auto"/>
        <w:left w:val="none" w:sz="0" w:space="0" w:color="auto"/>
        <w:bottom w:val="none" w:sz="0" w:space="0" w:color="auto"/>
        <w:right w:val="none" w:sz="0" w:space="0" w:color="auto"/>
      </w:divBdr>
    </w:div>
    <w:div w:id="1230576358">
      <w:bodyDiv w:val="1"/>
      <w:marLeft w:val="0"/>
      <w:marRight w:val="0"/>
      <w:marTop w:val="0"/>
      <w:marBottom w:val="0"/>
      <w:divBdr>
        <w:top w:val="none" w:sz="0" w:space="0" w:color="auto"/>
        <w:left w:val="none" w:sz="0" w:space="0" w:color="auto"/>
        <w:bottom w:val="none" w:sz="0" w:space="0" w:color="auto"/>
        <w:right w:val="none" w:sz="0" w:space="0" w:color="auto"/>
      </w:divBdr>
    </w:div>
    <w:div w:id="1237938912">
      <w:bodyDiv w:val="1"/>
      <w:marLeft w:val="0"/>
      <w:marRight w:val="0"/>
      <w:marTop w:val="0"/>
      <w:marBottom w:val="0"/>
      <w:divBdr>
        <w:top w:val="none" w:sz="0" w:space="0" w:color="auto"/>
        <w:left w:val="none" w:sz="0" w:space="0" w:color="auto"/>
        <w:bottom w:val="none" w:sz="0" w:space="0" w:color="auto"/>
        <w:right w:val="none" w:sz="0" w:space="0" w:color="auto"/>
      </w:divBdr>
    </w:div>
    <w:div w:id="1264066856">
      <w:bodyDiv w:val="1"/>
      <w:marLeft w:val="0"/>
      <w:marRight w:val="0"/>
      <w:marTop w:val="0"/>
      <w:marBottom w:val="0"/>
      <w:divBdr>
        <w:top w:val="none" w:sz="0" w:space="0" w:color="auto"/>
        <w:left w:val="none" w:sz="0" w:space="0" w:color="auto"/>
        <w:bottom w:val="none" w:sz="0" w:space="0" w:color="auto"/>
        <w:right w:val="none" w:sz="0" w:space="0" w:color="auto"/>
      </w:divBdr>
    </w:div>
    <w:div w:id="1302226091">
      <w:bodyDiv w:val="1"/>
      <w:marLeft w:val="0"/>
      <w:marRight w:val="0"/>
      <w:marTop w:val="0"/>
      <w:marBottom w:val="0"/>
      <w:divBdr>
        <w:top w:val="none" w:sz="0" w:space="0" w:color="auto"/>
        <w:left w:val="none" w:sz="0" w:space="0" w:color="auto"/>
        <w:bottom w:val="none" w:sz="0" w:space="0" w:color="auto"/>
        <w:right w:val="none" w:sz="0" w:space="0" w:color="auto"/>
      </w:divBdr>
    </w:div>
    <w:div w:id="1306743276">
      <w:bodyDiv w:val="1"/>
      <w:marLeft w:val="0"/>
      <w:marRight w:val="0"/>
      <w:marTop w:val="0"/>
      <w:marBottom w:val="0"/>
      <w:divBdr>
        <w:top w:val="none" w:sz="0" w:space="0" w:color="auto"/>
        <w:left w:val="none" w:sz="0" w:space="0" w:color="auto"/>
        <w:bottom w:val="none" w:sz="0" w:space="0" w:color="auto"/>
        <w:right w:val="none" w:sz="0" w:space="0" w:color="auto"/>
      </w:divBdr>
    </w:div>
    <w:div w:id="1334526071">
      <w:bodyDiv w:val="1"/>
      <w:marLeft w:val="0"/>
      <w:marRight w:val="0"/>
      <w:marTop w:val="0"/>
      <w:marBottom w:val="0"/>
      <w:divBdr>
        <w:top w:val="none" w:sz="0" w:space="0" w:color="auto"/>
        <w:left w:val="none" w:sz="0" w:space="0" w:color="auto"/>
        <w:bottom w:val="none" w:sz="0" w:space="0" w:color="auto"/>
        <w:right w:val="none" w:sz="0" w:space="0" w:color="auto"/>
      </w:divBdr>
    </w:div>
    <w:div w:id="1346904632">
      <w:bodyDiv w:val="1"/>
      <w:marLeft w:val="0"/>
      <w:marRight w:val="0"/>
      <w:marTop w:val="0"/>
      <w:marBottom w:val="0"/>
      <w:divBdr>
        <w:top w:val="none" w:sz="0" w:space="0" w:color="auto"/>
        <w:left w:val="none" w:sz="0" w:space="0" w:color="auto"/>
        <w:bottom w:val="none" w:sz="0" w:space="0" w:color="auto"/>
        <w:right w:val="none" w:sz="0" w:space="0" w:color="auto"/>
      </w:divBdr>
    </w:div>
    <w:div w:id="1353187904">
      <w:bodyDiv w:val="1"/>
      <w:marLeft w:val="0"/>
      <w:marRight w:val="0"/>
      <w:marTop w:val="0"/>
      <w:marBottom w:val="0"/>
      <w:divBdr>
        <w:top w:val="none" w:sz="0" w:space="0" w:color="auto"/>
        <w:left w:val="none" w:sz="0" w:space="0" w:color="auto"/>
        <w:bottom w:val="none" w:sz="0" w:space="0" w:color="auto"/>
        <w:right w:val="none" w:sz="0" w:space="0" w:color="auto"/>
      </w:divBdr>
    </w:div>
    <w:div w:id="1354308802">
      <w:bodyDiv w:val="1"/>
      <w:marLeft w:val="0"/>
      <w:marRight w:val="0"/>
      <w:marTop w:val="0"/>
      <w:marBottom w:val="0"/>
      <w:divBdr>
        <w:top w:val="none" w:sz="0" w:space="0" w:color="auto"/>
        <w:left w:val="none" w:sz="0" w:space="0" w:color="auto"/>
        <w:bottom w:val="none" w:sz="0" w:space="0" w:color="auto"/>
        <w:right w:val="none" w:sz="0" w:space="0" w:color="auto"/>
      </w:divBdr>
    </w:div>
    <w:div w:id="1379016996">
      <w:bodyDiv w:val="1"/>
      <w:marLeft w:val="0"/>
      <w:marRight w:val="0"/>
      <w:marTop w:val="0"/>
      <w:marBottom w:val="0"/>
      <w:divBdr>
        <w:top w:val="none" w:sz="0" w:space="0" w:color="auto"/>
        <w:left w:val="none" w:sz="0" w:space="0" w:color="auto"/>
        <w:bottom w:val="none" w:sz="0" w:space="0" w:color="auto"/>
        <w:right w:val="none" w:sz="0" w:space="0" w:color="auto"/>
      </w:divBdr>
    </w:div>
    <w:div w:id="1382559011">
      <w:bodyDiv w:val="1"/>
      <w:marLeft w:val="0"/>
      <w:marRight w:val="0"/>
      <w:marTop w:val="0"/>
      <w:marBottom w:val="0"/>
      <w:divBdr>
        <w:top w:val="none" w:sz="0" w:space="0" w:color="auto"/>
        <w:left w:val="none" w:sz="0" w:space="0" w:color="auto"/>
        <w:bottom w:val="none" w:sz="0" w:space="0" w:color="auto"/>
        <w:right w:val="none" w:sz="0" w:space="0" w:color="auto"/>
      </w:divBdr>
    </w:div>
    <w:div w:id="1391271346">
      <w:bodyDiv w:val="1"/>
      <w:marLeft w:val="0"/>
      <w:marRight w:val="0"/>
      <w:marTop w:val="0"/>
      <w:marBottom w:val="0"/>
      <w:divBdr>
        <w:top w:val="none" w:sz="0" w:space="0" w:color="auto"/>
        <w:left w:val="none" w:sz="0" w:space="0" w:color="auto"/>
        <w:bottom w:val="none" w:sz="0" w:space="0" w:color="auto"/>
        <w:right w:val="none" w:sz="0" w:space="0" w:color="auto"/>
      </w:divBdr>
    </w:div>
    <w:div w:id="1395352806">
      <w:bodyDiv w:val="1"/>
      <w:marLeft w:val="0"/>
      <w:marRight w:val="0"/>
      <w:marTop w:val="0"/>
      <w:marBottom w:val="0"/>
      <w:divBdr>
        <w:top w:val="none" w:sz="0" w:space="0" w:color="auto"/>
        <w:left w:val="none" w:sz="0" w:space="0" w:color="auto"/>
        <w:bottom w:val="none" w:sz="0" w:space="0" w:color="auto"/>
        <w:right w:val="none" w:sz="0" w:space="0" w:color="auto"/>
      </w:divBdr>
    </w:div>
    <w:div w:id="1404638779">
      <w:bodyDiv w:val="1"/>
      <w:marLeft w:val="0"/>
      <w:marRight w:val="0"/>
      <w:marTop w:val="0"/>
      <w:marBottom w:val="0"/>
      <w:divBdr>
        <w:top w:val="none" w:sz="0" w:space="0" w:color="auto"/>
        <w:left w:val="none" w:sz="0" w:space="0" w:color="auto"/>
        <w:bottom w:val="none" w:sz="0" w:space="0" w:color="auto"/>
        <w:right w:val="none" w:sz="0" w:space="0" w:color="auto"/>
      </w:divBdr>
    </w:div>
    <w:div w:id="1494179881">
      <w:bodyDiv w:val="1"/>
      <w:marLeft w:val="0"/>
      <w:marRight w:val="0"/>
      <w:marTop w:val="0"/>
      <w:marBottom w:val="0"/>
      <w:divBdr>
        <w:top w:val="none" w:sz="0" w:space="0" w:color="auto"/>
        <w:left w:val="none" w:sz="0" w:space="0" w:color="auto"/>
        <w:bottom w:val="none" w:sz="0" w:space="0" w:color="auto"/>
        <w:right w:val="none" w:sz="0" w:space="0" w:color="auto"/>
      </w:divBdr>
    </w:div>
    <w:div w:id="1513491558">
      <w:bodyDiv w:val="1"/>
      <w:marLeft w:val="0"/>
      <w:marRight w:val="0"/>
      <w:marTop w:val="0"/>
      <w:marBottom w:val="0"/>
      <w:divBdr>
        <w:top w:val="none" w:sz="0" w:space="0" w:color="auto"/>
        <w:left w:val="none" w:sz="0" w:space="0" w:color="auto"/>
        <w:bottom w:val="none" w:sz="0" w:space="0" w:color="auto"/>
        <w:right w:val="none" w:sz="0" w:space="0" w:color="auto"/>
      </w:divBdr>
    </w:div>
    <w:div w:id="1514419716">
      <w:bodyDiv w:val="1"/>
      <w:marLeft w:val="0"/>
      <w:marRight w:val="0"/>
      <w:marTop w:val="0"/>
      <w:marBottom w:val="0"/>
      <w:divBdr>
        <w:top w:val="none" w:sz="0" w:space="0" w:color="auto"/>
        <w:left w:val="none" w:sz="0" w:space="0" w:color="auto"/>
        <w:bottom w:val="none" w:sz="0" w:space="0" w:color="auto"/>
        <w:right w:val="none" w:sz="0" w:space="0" w:color="auto"/>
      </w:divBdr>
    </w:div>
    <w:div w:id="1537085653">
      <w:bodyDiv w:val="1"/>
      <w:marLeft w:val="0"/>
      <w:marRight w:val="0"/>
      <w:marTop w:val="0"/>
      <w:marBottom w:val="0"/>
      <w:divBdr>
        <w:top w:val="none" w:sz="0" w:space="0" w:color="auto"/>
        <w:left w:val="none" w:sz="0" w:space="0" w:color="auto"/>
        <w:bottom w:val="none" w:sz="0" w:space="0" w:color="auto"/>
        <w:right w:val="none" w:sz="0" w:space="0" w:color="auto"/>
      </w:divBdr>
    </w:div>
    <w:div w:id="1539855642">
      <w:bodyDiv w:val="1"/>
      <w:marLeft w:val="0"/>
      <w:marRight w:val="0"/>
      <w:marTop w:val="0"/>
      <w:marBottom w:val="0"/>
      <w:divBdr>
        <w:top w:val="none" w:sz="0" w:space="0" w:color="auto"/>
        <w:left w:val="none" w:sz="0" w:space="0" w:color="auto"/>
        <w:bottom w:val="none" w:sz="0" w:space="0" w:color="auto"/>
        <w:right w:val="none" w:sz="0" w:space="0" w:color="auto"/>
      </w:divBdr>
    </w:div>
    <w:div w:id="1546257899">
      <w:bodyDiv w:val="1"/>
      <w:marLeft w:val="0"/>
      <w:marRight w:val="0"/>
      <w:marTop w:val="0"/>
      <w:marBottom w:val="0"/>
      <w:divBdr>
        <w:top w:val="none" w:sz="0" w:space="0" w:color="auto"/>
        <w:left w:val="none" w:sz="0" w:space="0" w:color="auto"/>
        <w:bottom w:val="none" w:sz="0" w:space="0" w:color="auto"/>
        <w:right w:val="none" w:sz="0" w:space="0" w:color="auto"/>
      </w:divBdr>
    </w:div>
    <w:div w:id="1561751745">
      <w:bodyDiv w:val="1"/>
      <w:marLeft w:val="0"/>
      <w:marRight w:val="0"/>
      <w:marTop w:val="0"/>
      <w:marBottom w:val="0"/>
      <w:divBdr>
        <w:top w:val="none" w:sz="0" w:space="0" w:color="auto"/>
        <w:left w:val="none" w:sz="0" w:space="0" w:color="auto"/>
        <w:bottom w:val="none" w:sz="0" w:space="0" w:color="auto"/>
        <w:right w:val="none" w:sz="0" w:space="0" w:color="auto"/>
      </w:divBdr>
    </w:div>
    <w:div w:id="1632437160">
      <w:bodyDiv w:val="1"/>
      <w:marLeft w:val="0"/>
      <w:marRight w:val="0"/>
      <w:marTop w:val="0"/>
      <w:marBottom w:val="0"/>
      <w:divBdr>
        <w:top w:val="none" w:sz="0" w:space="0" w:color="auto"/>
        <w:left w:val="none" w:sz="0" w:space="0" w:color="auto"/>
        <w:bottom w:val="none" w:sz="0" w:space="0" w:color="auto"/>
        <w:right w:val="none" w:sz="0" w:space="0" w:color="auto"/>
      </w:divBdr>
    </w:div>
    <w:div w:id="1655832936">
      <w:bodyDiv w:val="1"/>
      <w:marLeft w:val="0"/>
      <w:marRight w:val="0"/>
      <w:marTop w:val="0"/>
      <w:marBottom w:val="0"/>
      <w:divBdr>
        <w:top w:val="none" w:sz="0" w:space="0" w:color="auto"/>
        <w:left w:val="none" w:sz="0" w:space="0" w:color="auto"/>
        <w:bottom w:val="none" w:sz="0" w:space="0" w:color="auto"/>
        <w:right w:val="none" w:sz="0" w:space="0" w:color="auto"/>
      </w:divBdr>
    </w:div>
    <w:div w:id="1665890759">
      <w:bodyDiv w:val="1"/>
      <w:marLeft w:val="0"/>
      <w:marRight w:val="0"/>
      <w:marTop w:val="0"/>
      <w:marBottom w:val="0"/>
      <w:divBdr>
        <w:top w:val="none" w:sz="0" w:space="0" w:color="auto"/>
        <w:left w:val="none" w:sz="0" w:space="0" w:color="auto"/>
        <w:bottom w:val="none" w:sz="0" w:space="0" w:color="auto"/>
        <w:right w:val="none" w:sz="0" w:space="0" w:color="auto"/>
      </w:divBdr>
    </w:div>
    <w:div w:id="1690377960">
      <w:bodyDiv w:val="1"/>
      <w:marLeft w:val="0"/>
      <w:marRight w:val="0"/>
      <w:marTop w:val="0"/>
      <w:marBottom w:val="0"/>
      <w:divBdr>
        <w:top w:val="none" w:sz="0" w:space="0" w:color="auto"/>
        <w:left w:val="none" w:sz="0" w:space="0" w:color="auto"/>
        <w:bottom w:val="none" w:sz="0" w:space="0" w:color="auto"/>
        <w:right w:val="none" w:sz="0" w:space="0" w:color="auto"/>
      </w:divBdr>
    </w:div>
    <w:div w:id="1690764269">
      <w:bodyDiv w:val="1"/>
      <w:marLeft w:val="0"/>
      <w:marRight w:val="0"/>
      <w:marTop w:val="0"/>
      <w:marBottom w:val="0"/>
      <w:divBdr>
        <w:top w:val="none" w:sz="0" w:space="0" w:color="auto"/>
        <w:left w:val="none" w:sz="0" w:space="0" w:color="auto"/>
        <w:bottom w:val="none" w:sz="0" w:space="0" w:color="auto"/>
        <w:right w:val="none" w:sz="0" w:space="0" w:color="auto"/>
      </w:divBdr>
    </w:div>
    <w:div w:id="1705136172">
      <w:bodyDiv w:val="1"/>
      <w:marLeft w:val="0"/>
      <w:marRight w:val="0"/>
      <w:marTop w:val="0"/>
      <w:marBottom w:val="0"/>
      <w:divBdr>
        <w:top w:val="none" w:sz="0" w:space="0" w:color="auto"/>
        <w:left w:val="none" w:sz="0" w:space="0" w:color="auto"/>
        <w:bottom w:val="none" w:sz="0" w:space="0" w:color="auto"/>
        <w:right w:val="none" w:sz="0" w:space="0" w:color="auto"/>
      </w:divBdr>
    </w:div>
    <w:div w:id="1705640605">
      <w:bodyDiv w:val="1"/>
      <w:marLeft w:val="0"/>
      <w:marRight w:val="0"/>
      <w:marTop w:val="0"/>
      <w:marBottom w:val="0"/>
      <w:divBdr>
        <w:top w:val="none" w:sz="0" w:space="0" w:color="auto"/>
        <w:left w:val="none" w:sz="0" w:space="0" w:color="auto"/>
        <w:bottom w:val="none" w:sz="0" w:space="0" w:color="auto"/>
        <w:right w:val="none" w:sz="0" w:space="0" w:color="auto"/>
      </w:divBdr>
    </w:div>
    <w:div w:id="1717044803">
      <w:bodyDiv w:val="1"/>
      <w:marLeft w:val="0"/>
      <w:marRight w:val="0"/>
      <w:marTop w:val="0"/>
      <w:marBottom w:val="0"/>
      <w:divBdr>
        <w:top w:val="none" w:sz="0" w:space="0" w:color="auto"/>
        <w:left w:val="none" w:sz="0" w:space="0" w:color="auto"/>
        <w:bottom w:val="none" w:sz="0" w:space="0" w:color="auto"/>
        <w:right w:val="none" w:sz="0" w:space="0" w:color="auto"/>
      </w:divBdr>
    </w:div>
    <w:div w:id="1727684283">
      <w:bodyDiv w:val="1"/>
      <w:marLeft w:val="0"/>
      <w:marRight w:val="0"/>
      <w:marTop w:val="0"/>
      <w:marBottom w:val="0"/>
      <w:divBdr>
        <w:top w:val="none" w:sz="0" w:space="0" w:color="auto"/>
        <w:left w:val="none" w:sz="0" w:space="0" w:color="auto"/>
        <w:bottom w:val="none" w:sz="0" w:space="0" w:color="auto"/>
        <w:right w:val="none" w:sz="0" w:space="0" w:color="auto"/>
      </w:divBdr>
    </w:div>
    <w:div w:id="1740402364">
      <w:bodyDiv w:val="1"/>
      <w:marLeft w:val="0"/>
      <w:marRight w:val="0"/>
      <w:marTop w:val="0"/>
      <w:marBottom w:val="0"/>
      <w:divBdr>
        <w:top w:val="none" w:sz="0" w:space="0" w:color="auto"/>
        <w:left w:val="none" w:sz="0" w:space="0" w:color="auto"/>
        <w:bottom w:val="none" w:sz="0" w:space="0" w:color="auto"/>
        <w:right w:val="none" w:sz="0" w:space="0" w:color="auto"/>
      </w:divBdr>
    </w:div>
    <w:div w:id="1755400277">
      <w:bodyDiv w:val="1"/>
      <w:marLeft w:val="0"/>
      <w:marRight w:val="0"/>
      <w:marTop w:val="0"/>
      <w:marBottom w:val="0"/>
      <w:divBdr>
        <w:top w:val="none" w:sz="0" w:space="0" w:color="auto"/>
        <w:left w:val="none" w:sz="0" w:space="0" w:color="auto"/>
        <w:bottom w:val="none" w:sz="0" w:space="0" w:color="auto"/>
        <w:right w:val="none" w:sz="0" w:space="0" w:color="auto"/>
      </w:divBdr>
    </w:div>
    <w:div w:id="1760179944">
      <w:bodyDiv w:val="1"/>
      <w:marLeft w:val="0"/>
      <w:marRight w:val="0"/>
      <w:marTop w:val="0"/>
      <w:marBottom w:val="0"/>
      <w:divBdr>
        <w:top w:val="none" w:sz="0" w:space="0" w:color="auto"/>
        <w:left w:val="none" w:sz="0" w:space="0" w:color="auto"/>
        <w:bottom w:val="none" w:sz="0" w:space="0" w:color="auto"/>
        <w:right w:val="none" w:sz="0" w:space="0" w:color="auto"/>
      </w:divBdr>
    </w:div>
    <w:div w:id="1760180198">
      <w:bodyDiv w:val="1"/>
      <w:marLeft w:val="0"/>
      <w:marRight w:val="0"/>
      <w:marTop w:val="0"/>
      <w:marBottom w:val="0"/>
      <w:divBdr>
        <w:top w:val="none" w:sz="0" w:space="0" w:color="auto"/>
        <w:left w:val="none" w:sz="0" w:space="0" w:color="auto"/>
        <w:bottom w:val="none" w:sz="0" w:space="0" w:color="auto"/>
        <w:right w:val="none" w:sz="0" w:space="0" w:color="auto"/>
      </w:divBdr>
    </w:div>
    <w:div w:id="1795245820">
      <w:bodyDiv w:val="1"/>
      <w:marLeft w:val="0"/>
      <w:marRight w:val="0"/>
      <w:marTop w:val="0"/>
      <w:marBottom w:val="0"/>
      <w:divBdr>
        <w:top w:val="none" w:sz="0" w:space="0" w:color="auto"/>
        <w:left w:val="none" w:sz="0" w:space="0" w:color="auto"/>
        <w:bottom w:val="none" w:sz="0" w:space="0" w:color="auto"/>
        <w:right w:val="none" w:sz="0" w:space="0" w:color="auto"/>
      </w:divBdr>
    </w:div>
    <w:div w:id="1798181799">
      <w:bodyDiv w:val="1"/>
      <w:marLeft w:val="0"/>
      <w:marRight w:val="0"/>
      <w:marTop w:val="0"/>
      <w:marBottom w:val="0"/>
      <w:divBdr>
        <w:top w:val="none" w:sz="0" w:space="0" w:color="auto"/>
        <w:left w:val="none" w:sz="0" w:space="0" w:color="auto"/>
        <w:bottom w:val="none" w:sz="0" w:space="0" w:color="auto"/>
        <w:right w:val="none" w:sz="0" w:space="0" w:color="auto"/>
      </w:divBdr>
    </w:div>
    <w:div w:id="1825005527">
      <w:bodyDiv w:val="1"/>
      <w:marLeft w:val="0"/>
      <w:marRight w:val="0"/>
      <w:marTop w:val="0"/>
      <w:marBottom w:val="0"/>
      <w:divBdr>
        <w:top w:val="none" w:sz="0" w:space="0" w:color="auto"/>
        <w:left w:val="none" w:sz="0" w:space="0" w:color="auto"/>
        <w:bottom w:val="none" w:sz="0" w:space="0" w:color="auto"/>
        <w:right w:val="none" w:sz="0" w:space="0" w:color="auto"/>
      </w:divBdr>
    </w:div>
    <w:div w:id="1841239870">
      <w:bodyDiv w:val="1"/>
      <w:marLeft w:val="0"/>
      <w:marRight w:val="0"/>
      <w:marTop w:val="0"/>
      <w:marBottom w:val="0"/>
      <w:divBdr>
        <w:top w:val="none" w:sz="0" w:space="0" w:color="auto"/>
        <w:left w:val="none" w:sz="0" w:space="0" w:color="auto"/>
        <w:bottom w:val="none" w:sz="0" w:space="0" w:color="auto"/>
        <w:right w:val="none" w:sz="0" w:space="0" w:color="auto"/>
      </w:divBdr>
    </w:div>
    <w:div w:id="1856337825">
      <w:bodyDiv w:val="1"/>
      <w:marLeft w:val="0"/>
      <w:marRight w:val="0"/>
      <w:marTop w:val="0"/>
      <w:marBottom w:val="0"/>
      <w:divBdr>
        <w:top w:val="none" w:sz="0" w:space="0" w:color="auto"/>
        <w:left w:val="none" w:sz="0" w:space="0" w:color="auto"/>
        <w:bottom w:val="none" w:sz="0" w:space="0" w:color="auto"/>
        <w:right w:val="none" w:sz="0" w:space="0" w:color="auto"/>
      </w:divBdr>
    </w:div>
    <w:div w:id="1863395724">
      <w:bodyDiv w:val="1"/>
      <w:marLeft w:val="0"/>
      <w:marRight w:val="0"/>
      <w:marTop w:val="0"/>
      <w:marBottom w:val="0"/>
      <w:divBdr>
        <w:top w:val="none" w:sz="0" w:space="0" w:color="auto"/>
        <w:left w:val="none" w:sz="0" w:space="0" w:color="auto"/>
        <w:bottom w:val="none" w:sz="0" w:space="0" w:color="auto"/>
        <w:right w:val="none" w:sz="0" w:space="0" w:color="auto"/>
      </w:divBdr>
    </w:div>
    <w:div w:id="1884369017">
      <w:bodyDiv w:val="1"/>
      <w:marLeft w:val="0"/>
      <w:marRight w:val="0"/>
      <w:marTop w:val="0"/>
      <w:marBottom w:val="0"/>
      <w:divBdr>
        <w:top w:val="none" w:sz="0" w:space="0" w:color="auto"/>
        <w:left w:val="none" w:sz="0" w:space="0" w:color="auto"/>
        <w:bottom w:val="none" w:sz="0" w:space="0" w:color="auto"/>
        <w:right w:val="none" w:sz="0" w:space="0" w:color="auto"/>
      </w:divBdr>
    </w:div>
    <w:div w:id="1886486181">
      <w:bodyDiv w:val="1"/>
      <w:marLeft w:val="0"/>
      <w:marRight w:val="0"/>
      <w:marTop w:val="0"/>
      <w:marBottom w:val="0"/>
      <w:divBdr>
        <w:top w:val="none" w:sz="0" w:space="0" w:color="auto"/>
        <w:left w:val="none" w:sz="0" w:space="0" w:color="auto"/>
        <w:bottom w:val="none" w:sz="0" w:space="0" w:color="auto"/>
        <w:right w:val="none" w:sz="0" w:space="0" w:color="auto"/>
      </w:divBdr>
    </w:div>
    <w:div w:id="1910113080">
      <w:bodyDiv w:val="1"/>
      <w:marLeft w:val="0"/>
      <w:marRight w:val="0"/>
      <w:marTop w:val="0"/>
      <w:marBottom w:val="0"/>
      <w:divBdr>
        <w:top w:val="none" w:sz="0" w:space="0" w:color="auto"/>
        <w:left w:val="none" w:sz="0" w:space="0" w:color="auto"/>
        <w:bottom w:val="none" w:sz="0" w:space="0" w:color="auto"/>
        <w:right w:val="none" w:sz="0" w:space="0" w:color="auto"/>
      </w:divBdr>
    </w:div>
    <w:div w:id="1912232941">
      <w:bodyDiv w:val="1"/>
      <w:marLeft w:val="0"/>
      <w:marRight w:val="0"/>
      <w:marTop w:val="0"/>
      <w:marBottom w:val="0"/>
      <w:divBdr>
        <w:top w:val="none" w:sz="0" w:space="0" w:color="auto"/>
        <w:left w:val="none" w:sz="0" w:space="0" w:color="auto"/>
        <w:bottom w:val="none" w:sz="0" w:space="0" w:color="auto"/>
        <w:right w:val="none" w:sz="0" w:space="0" w:color="auto"/>
      </w:divBdr>
    </w:div>
    <w:div w:id="1954053248">
      <w:bodyDiv w:val="1"/>
      <w:marLeft w:val="0"/>
      <w:marRight w:val="0"/>
      <w:marTop w:val="0"/>
      <w:marBottom w:val="0"/>
      <w:divBdr>
        <w:top w:val="none" w:sz="0" w:space="0" w:color="auto"/>
        <w:left w:val="none" w:sz="0" w:space="0" w:color="auto"/>
        <w:bottom w:val="none" w:sz="0" w:space="0" w:color="auto"/>
        <w:right w:val="none" w:sz="0" w:space="0" w:color="auto"/>
      </w:divBdr>
    </w:div>
    <w:div w:id="1962489566">
      <w:bodyDiv w:val="1"/>
      <w:marLeft w:val="0"/>
      <w:marRight w:val="0"/>
      <w:marTop w:val="0"/>
      <w:marBottom w:val="0"/>
      <w:divBdr>
        <w:top w:val="none" w:sz="0" w:space="0" w:color="auto"/>
        <w:left w:val="none" w:sz="0" w:space="0" w:color="auto"/>
        <w:bottom w:val="none" w:sz="0" w:space="0" w:color="auto"/>
        <w:right w:val="none" w:sz="0" w:space="0" w:color="auto"/>
      </w:divBdr>
    </w:div>
    <w:div w:id="1985891507">
      <w:bodyDiv w:val="1"/>
      <w:marLeft w:val="0"/>
      <w:marRight w:val="0"/>
      <w:marTop w:val="0"/>
      <w:marBottom w:val="0"/>
      <w:divBdr>
        <w:top w:val="none" w:sz="0" w:space="0" w:color="auto"/>
        <w:left w:val="none" w:sz="0" w:space="0" w:color="auto"/>
        <w:bottom w:val="none" w:sz="0" w:space="0" w:color="auto"/>
        <w:right w:val="none" w:sz="0" w:space="0" w:color="auto"/>
      </w:divBdr>
    </w:div>
    <w:div w:id="1989673714">
      <w:bodyDiv w:val="1"/>
      <w:marLeft w:val="0"/>
      <w:marRight w:val="0"/>
      <w:marTop w:val="0"/>
      <w:marBottom w:val="0"/>
      <w:divBdr>
        <w:top w:val="none" w:sz="0" w:space="0" w:color="auto"/>
        <w:left w:val="none" w:sz="0" w:space="0" w:color="auto"/>
        <w:bottom w:val="none" w:sz="0" w:space="0" w:color="auto"/>
        <w:right w:val="none" w:sz="0" w:space="0" w:color="auto"/>
      </w:divBdr>
    </w:div>
    <w:div w:id="2002661042">
      <w:bodyDiv w:val="1"/>
      <w:marLeft w:val="0"/>
      <w:marRight w:val="0"/>
      <w:marTop w:val="0"/>
      <w:marBottom w:val="0"/>
      <w:divBdr>
        <w:top w:val="none" w:sz="0" w:space="0" w:color="auto"/>
        <w:left w:val="none" w:sz="0" w:space="0" w:color="auto"/>
        <w:bottom w:val="none" w:sz="0" w:space="0" w:color="auto"/>
        <w:right w:val="none" w:sz="0" w:space="0" w:color="auto"/>
      </w:divBdr>
    </w:div>
    <w:div w:id="2005276522">
      <w:bodyDiv w:val="1"/>
      <w:marLeft w:val="0"/>
      <w:marRight w:val="0"/>
      <w:marTop w:val="0"/>
      <w:marBottom w:val="0"/>
      <w:divBdr>
        <w:top w:val="none" w:sz="0" w:space="0" w:color="auto"/>
        <w:left w:val="none" w:sz="0" w:space="0" w:color="auto"/>
        <w:bottom w:val="none" w:sz="0" w:space="0" w:color="auto"/>
        <w:right w:val="none" w:sz="0" w:space="0" w:color="auto"/>
      </w:divBdr>
    </w:div>
    <w:div w:id="2058048174">
      <w:bodyDiv w:val="1"/>
      <w:marLeft w:val="0"/>
      <w:marRight w:val="0"/>
      <w:marTop w:val="0"/>
      <w:marBottom w:val="0"/>
      <w:divBdr>
        <w:top w:val="none" w:sz="0" w:space="0" w:color="auto"/>
        <w:left w:val="none" w:sz="0" w:space="0" w:color="auto"/>
        <w:bottom w:val="none" w:sz="0" w:space="0" w:color="auto"/>
        <w:right w:val="none" w:sz="0" w:space="0" w:color="auto"/>
      </w:divBdr>
    </w:div>
    <w:div w:id="2073191253">
      <w:bodyDiv w:val="1"/>
      <w:marLeft w:val="0"/>
      <w:marRight w:val="0"/>
      <w:marTop w:val="0"/>
      <w:marBottom w:val="0"/>
      <w:divBdr>
        <w:top w:val="none" w:sz="0" w:space="0" w:color="auto"/>
        <w:left w:val="none" w:sz="0" w:space="0" w:color="auto"/>
        <w:bottom w:val="none" w:sz="0" w:space="0" w:color="auto"/>
        <w:right w:val="none" w:sz="0" w:space="0" w:color="auto"/>
      </w:divBdr>
    </w:div>
    <w:div w:id="2086144306">
      <w:bodyDiv w:val="1"/>
      <w:marLeft w:val="0"/>
      <w:marRight w:val="0"/>
      <w:marTop w:val="0"/>
      <w:marBottom w:val="0"/>
      <w:divBdr>
        <w:top w:val="none" w:sz="0" w:space="0" w:color="auto"/>
        <w:left w:val="none" w:sz="0" w:space="0" w:color="auto"/>
        <w:bottom w:val="none" w:sz="0" w:space="0" w:color="auto"/>
        <w:right w:val="none" w:sz="0" w:space="0" w:color="auto"/>
      </w:divBdr>
    </w:div>
    <w:div w:id="214075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limateactiontracker.org/" TargetMode="External"/><Relationship Id="rId21" Type="http://schemas.openxmlformats.org/officeDocument/2006/relationships/image" Target="media/image10.jpeg"/><Relationship Id="rId324" Type="http://schemas.openxmlformats.org/officeDocument/2006/relationships/hyperlink" Target="http://www.coolplanet.com.au/" TargetMode="External"/><Relationship Id="rId531" Type="http://schemas.openxmlformats.org/officeDocument/2006/relationships/hyperlink" Target="https://www.endscarbonoffsets.com/208/" TargetMode="External"/><Relationship Id="rId170" Type="http://schemas.openxmlformats.org/officeDocument/2006/relationships/hyperlink" Target="http://ghgprotocol.org/node/485/" TargetMode="External"/><Relationship Id="rId268" Type="http://schemas.openxmlformats.org/officeDocument/2006/relationships/hyperlink" Target="http://www.brasilmataviva.com.br/" TargetMode="External"/><Relationship Id="rId475" Type="http://schemas.openxmlformats.org/officeDocument/2006/relationships/hyperlink" Target="https://www.endscarbonoffsets.com/136/" TargetMode="External"/><Relationship Id="rId32" Type="http://schemas.openxmlformats.org/officeDocument/2006/relationships/image" Target="media/image20.jpg"/><Relationship Id="rId128" Type="http://schemas.openxmlformats.org/officeDocument/2006/relationships/hyperlink" Target="http://eur-lex.europa.eu/legal-content/EN/TXT/?uri=CELEX:52016SC0249" TargetMode="External"/><Relationship Id="rId335" Type="http://schemas.openxmlformats.org/officeDocument/2006/relationships/hyperlink" Target="https://www.un-redd.org/how-we-work" TargetMode="External"/><Relationship Id="rId542" Type="http://schemas.openxmlformats.org/officeDocument/2006/relationships/hyperlink" Target="https://www.endscarbonoffsets.com/220/" TargetMode="External"/><Relationship Id="rId181" Type="http://schemas.openxmlformats.org/officeDocument/2006/relationships/hyperlink" Target="https://www.iso.org/obp/ui/" TargetMode="External"/><Relationship Id="rId402" Type="http://schemas.openxmlformats.org/officeDocument/2006/relationships/hyperlink" Target="https://www.endscarbonoffsets.com/50/" TargetMode="External"/><Relationship Id="rId279" Type="http://schemas.openxmlformats.org/officeDocument/2006/relationships/hyperlink" Target="http://www.pacifichydro.cl/" TargetMode="External"/><Relationship Id="rId486" Type="http://schemas.openxmlformats.org/officeDocument/2006/relationships/hyperlink" Target="https://www.endscarbonoffsets.com/154/" TargetMode="External"/><Relationship Id="rId43" Type="http://schemas.openxmlformats.org/officeDocument/2006/relationships/image" Target="media/image31.png"/><Relationship Id="rId139" Type="http://schemas.openxmlformats.org/officeDocument/2006/relationships/hyperlink" Target="http://bookshop.europa.eu/en/agriculture-and-lulucf-in-the-2030-pbML0216575/" TargetMode="External"/><Relationship Id="rId346" Type="http://schemas.openxmlformats.org/officeDocument/2006/relationships/hyperlink" Target="https://doi.org/10.1890/08-1730.1" TargetMode="External"/><Relationship Id="rId553" Type="http://schemas.openxmlformats.org/officeDocument/2006/relationships/hyperlink" Target="https://www.endscarbonoffsets.com/233/" TargetMode="External"/><Relationship Id="rId192" Type="http://schemas.openxmlformats.org/officeDocument/2006/relationships/hyperlink" Target="http://www.ugandacarbon.org/" TargetMode="External"/><Relationship Id="rId206" Type="http://schemas.openxmlformats.org/officeDocument/2006/relationships/hyperlink" Target="http://www.sindicatum.com/" TargetMode="External"/><Relationship Id="rId413" Type="http://schemas.openxmlformats.org/officeDocument/2006/relationships/hyperlink" Target="https://www.endscarbonoffsets.com/61/" TargetMode="External"/><Relationship Id="rId497" Type="http://schemas.openxmlformats.org/officeDocument/2006/relationships/hyperlink" Target="https://www.endscarbonoffsets.com/170/" TargetMode="External"/><Relationship Id="rId357" Type="http://schemas.openxmlformats.org/officeDocument/2006/relationships/hyperlink" Target="https://doi.org/10.1111/j.1523-1739.2007.00879.x" TargetMode="External"/><Relationship Id="rId54" Type="http://schemas.openxmlformats.org/officeDocument/2006/relationships/image" Target="media/image40.jpg"/><Relationship Id="rId217" Type="http://schemas.openxmlformats.org/officeDocument/2006/relationships/hyperlink" Target="http://www.bauminvest.de/" TargetMode="External"/><Relationship Id="rId564" Type="http://schemas.openxmlformats.org/officeDocument/2006/relationships/hyperlink" Target="https://www.endscarbonoffsets.com/245/" TargetMode="External"/><Relationship Id="rId424" Type="http://schemas.openxmlformats.org/officeDocument/2006/relationships/hyperlink" Target="https://www.endscarbonoffsets.com/74/" TargetMode="External"/><Relationship Id="rId270" Type="http://schemas.openxmlformats.org/officeDocument/2006/relationships/hyperlink" Target="http://www.colbun.cl/" TargetMode="External"/><Relationship Id="rId65" Type="http://schemas.openxmlformats.org/officeDocument/2006/relationships/hyperlink" Target="https://ec.europa.eu/environment/archives/forests/ffocus.htm" TargetMode="External"/><Relationship Id="rId130" Type="http://schemas.openxmlformats.org/officeDocument/2006/relationships/hyperlink" Target="https://ec.europa.eu/clima/sites/clima/files/forests/lulucf/docs/com_2012_94_en.pdf" TargetMode="External"/><Relationship Id="rId368" Type="http://schemas.openxmlformats.org/officeDocument/2006/relationships/hyperlink" Target="https://sustainabledevelopment.un.org/content/documents/5987our-common-future.pdf" TargetMode="External"/><Relationship Id="rId575" Type="http://schemas.openxmlformats.org/officeDocument/2006/relationships/hyperlink" Target="https://www.endscarbonoffsets.com/257/" TargetMode="External"/><Relationship Id="rId228" Type="http://schemas.openxmlformats.org/officeDocument/2006/relationships/hyperlink" Target="http://www.climatecare.org/" TargetMode="External"/><Relationship Id="rId435" Type="http://schemas.openxmlformats.org/officeDocument/2006/relationships/hyperlink" Target="https://www.endscarbonoffsets.com/1201/" TargetMode="External"/><Relationship Id="rId281" Type="http://schemas.openxmlformats.org/officeDocument/2006/relationships/hyperlink" Target="http://www.proyectomirador.org/" TargetMode="External"/><Relationship Id="rId502" Type="http://schemas.openxmlformats.org/officeDocument/2006/relationships/hyperlink" Target="https://www.endscarbonoffsets.com/178/" TargetMode="External"/><Relationship Id="rId76" Type="http://schemas.openxmlformats.org/officeDocument/2006/relationships/image" Target="media/image53.png"/><Relationship Id="rId141" Type="http://schemas.openxmlformats.org/officeDocument/2006/relationships/image" Target="media/image59.png"/><Relationship Id="rId379" Type="http://schemas.openxmlformats.org/officeDocument/2006/relationships/hyperlink" Target="https://www.endscarbonoffsets.com/17/" TargetMode="External"/><Relationship Id="rId586" Type="http://schemas.openxmlformats.org/officeDocument/2006/relationships/hyperlink" Target="https://www.endscarbonoffsets.com/270/" TargetMode="External"/><Relationship Id="rId7" Type="http://schemas.openxmlformats.org/officeDocument/2006/relationships/styles" Target="styles.xml"/><Relationship Id="rId239" Type="http://schemas.openxmlformats.org/officeDocument/2006/relationships/hyperlink" Target="http://www.ecoway.it/" TargetMode="External"/><Relationship Id="rId446" Type="http://schemas.openxmlformats.org/officeDocument/2006/relationships/hyperlink" Target="https://www.endscarbonoffsets.com/96/" TargetMode="External"/><Relationship Id="rId292" Type="http://schemas.openxmlformats.org/officeDocument/2006/relationships/hyperlink" Target="http://www.clintonfoundation.org/" TargetMode="External"/><Relationship Id="rId306" Type="http://schemas.openxmlformats.org/officeDocument/2006/relationships/hyperlink" Target="http://www.mikro-tek.com/" TargetMode="External"/><Relationship Id="rId87" Type="http://schemas.openxmlformats.org/officeDocument/2006/relationships/hyperlink" Target="https://ec.europa.eu/clima/policies/effort/framework_en" TargetMode="External"/><Relationship Id="rId513" Type="http://schemas.openxmlformats.org/officeDocument/2006/relationships/hyperlink" Target="https://www.endscarbonoffsets.com/188/" TargetMode="External"/><Relationship Id="rId597" Type="http://schemas.openxmlformats.org/officeDocument/2006/relationships/hyperlink" Target="https://www.endscarbonoffsets.com/281/" TargetMode="External"/><Relationship Id="rId152" Type="http://schemas.openxmlformats.org/officeDocument/2006/relationships/hyperlink" Target="http://www.comlaw.gov.au/Series/C2011A00101" TargetMode="External"/><Relationship Id="rId457" Type="http://schemas.openxmlformats.org/officeDocument/2006/relationships/hyperlink" Target="https://www.endscarbonoffsets.com/113/" TargetMode="External"/><Relationship Id="rId14" Type="http://schemas.openxmlformats.org/officeDocument/2006/relationships/image" Target="media/image3.jpeg"/><Relationship Id="rId56" Type="http://schemas.openxmlformats.org/officeDocument/2006/relationships/image" Target="media/image42.jpg"/><Relationship Id="rId317" Type="http://schemas.openxmlformats.org/officeDocument/2006/relationships/hyperlink" Target="http://www.verus-co2.com/" TargetMode="External"/><Relationship Id="rId359" Type="http://schemas.openxmlformats.org/officeDocument/2006/relationships/hyperlink" Target="https://www.foresteurope.org/docs/other_meetings/2008/Geneva/Guidelines_Aff_Ref_ADOPTED.pdf" TargetMode="External"/><Relationship Id="rId524" Type="http://schemas.openxmlformats.org/officeDocument/2006/relationships/hyperlink" Target="https://www.endscarbonoffsets.com/200/" TargetMode="External"/><Relationship Id="rId566" Type="http://schemas.openxmlformats.org/officeDocument/2006/relationships/hyperlink" Target="https://www.endscarbonoffsets.com/248/" TargetMode="External"/><Relationship Id="rId98" Type="http://schemas.openxmlformats.org/officeDocument/2006/relationships/hyperlink" Target="https://ec.europa.eu/clima/lulucf_en" TargetMode="External"/><Relationship Id="rId121" Type="http://schemas.openxmlformats.org/officeDocument/2006/relationships/hyperlink" Target="https://ec.europa.eu/clima/policies/effort/proposal_en" TargetMode="External"/><Relationship Id="rId163" Type="http://schemas.openxmlformats.org/officeDocument/2006/relationships/hyperlink" Target="https://www.climateactionreserve.org/wp-content/uploads/2015/08/2015_Livestock_WQ_Regulatory_Compliance_Policy_Memo.pdf" TargetMode="External"/><Relationship Id="rId219" Type="http://schemas.openxmlformats.org/officeDocument/2006/relationships/hyperlink" Target="http://www.bd-energy.com/" TargetMode="External"/><Relationship Id="rId370" Type="http://schemas.openxmlformats.org/officeDocument/2006/relationships/hyperlink" Target="https://doi.org/10.3390/ijerph14080948" TargetMode="External"/><Relationship Id="rId426" Type="http://schemas.openxmlformats.org/officeDocument/2006/relationships/hyperlink" Target="https://www.endscarbonoffsets.com/78/" TargetMode="External"/><Relationship Id="rId230" Type="http://schemas.openxmlformats.org/officeDocument/2006/relationships/hyperlink" Target="http://www.climatepartner.com/" TargetMode="External"/><Relationship Id="rId468" Type="http://schemas.openxmlformats.org/officeDocument/2006/relationships/hyperlink" Target="https://www.endscarbonoffsets.com/124/" TargetMode="External"/><Relationship Id="rId25" Type="http://schemas.openxmlformats.org/officeDocument/2006/relationships/image" Target="media/image14.png"/><Relationship Id="rId67" Type="http://schemas.openxmlformats.org/officeDocument/2006/relationships/hyperlink" Target="https://ec.europa.eu/cefdigital/wiki/display/CEFDIGITAL/2020/02/14/Once+Only+Principle+presented+during+ninth+Meeting+of+the+Single+Digital+Gateway+Coordination+Group" TargetMode="External"/><Relationship Id="rId272" Type="http://schemas.openxmlformats.org/officeDocument/2006/relationships/hyperlink" Target="http://www.greenfarmco2free.com.br/" TargetMode="External"/><Relationship Id="rId328" Type="http://schemas.openxmlformats.org/officeDocument/2006/relationships/hyperlink" Target="http://www.greenfleet.com.au/" TargetMode="External"/><Relationship Id="rId535" Type="http://schemas.openxmlformats.org/officeDocument/2006/relationships/hyperlink" Target="https://www.endscarbonoffsets.com/213/" TargetMode="External"/><Relationship Id="rId577" Type="http://schemas.openxmlformats.org/officeDocument/2006/relationships/hyperlink" Target="https://www.endscarbonoffsets.com/259/" TargetMode="External"/><Relationship Id="rId132" Type="http://schemas.openxmlformats.org/officeDocument/2006/relationships/hyperlink" Target="https://ec.europa.eu/clima/sites/clima/files/forests/lulucf/docs/swd_2012_40_en.pdf" TargetMode="External"/><Relationship Id="rId174" Type="http://schemas.openxmlformats.org/officeDocument/2006/relationships/hyperlink" Target="http://ghgprotocol.org/node/487/" TargetMode="External"/><Relationship Id="rId381" Type="http://schemas.openxmlformats.org/officeDocument/2006/relationships/hyperlink" Target="https://www.endscarbonoffsets.com/19/" TargetMode="External"/><Relationship Id="rId602" Type="http://schemas.openxmlformats.org/officeDocument/2006/relationships/hyperlink" Target="https://www.endscarbonoffsets.com/286/" TargetMode="External"/><Relationship Id="rId241" Type="http://schemas.openxmlformats.org/officeDocument/2006/relationships/hyperlink" Target="http://www.fair-recycling.com/" TargetMode="External"/><Relationship Id="rId437" Type="http://schemas.openxmlformats.org/officeDocument/2006/relationships/hyperlink" Target="https://www.endscarbonoffsets.com/89/" TargetMode="External"/><Relationship Id="rId479" Type="http://schemas.openxmlformats.org/officeDocument/2006/relationships/hyperlink" Target="https://www.endscarbonoffsets.com/140/" TargetMode="External"/><Relationship Id="rId36" Type="http://schemas.openxmlformats.org/officeDocument/2006/relationships/image" Target="media/image24.jpeg"/><Relationship Id="rId283" Type="http://schemas.openxmlformats.org/officeDocument/2006/relationships/hyperlink" Target="http://www.sustainablecarbon.com/" TargetMode="External"/><Relationship Id="rId339" Type="http://schemas.openxmlformats.org/officeDocument/2006/relationships/hyperlink" Target="https://www.motorauthority.com/news/porsche" TargetMode="External"/><Relationship Id="rId490" Type="http://schemas.openxmlformats.org/officeDocument/2006/relationships/hyperlink" Target="https://www.endscarbonoffsets.com/163/" TargetMode="External"/><Relationship Id="rId504" Type="http://schemas.openxmlformats.org/officeDocument/2006/relationships/hyperlink" Target="https://www.endscarbonoffsets.com/180/" TargetMode="External"/><Relationship Id="rId546" Type="http://schemas.openxmlformats.org/officeDocument/2006/relationships/hyperlink" Target="https://www.endscarbonoffsets.com/225/" TargetMode="External"/><Relationship Id="rId78" Type="http://schemas.openxmlformats.org/officeDocument/2006/relationships/hyperlink" Target="https://eur-lex.europa.eu/eli/dir/2003/87" TargetMode="External"/><Relationship Id="rId101" Type="http://schemas.openxmlformats.org/officeDocument/2006/relationships/hyperlink" Target="https://cop23.unfccc.int/process/convention/what-united-nations-framework-convention-climate-change" TargetMode="External"/><Relationship Id="rId143" Type="http://schemas.openxmlformats.org/officeDocument/2006/relationships/hyperlink" Target="http://eur-lex.europa.eu/legal-content/EN/TXT/?uri=uriserv:OJ.L_.2014.203.01.0023.01.ENG" TargetMode="External"/><Relationship Id="rId185" Type="http://schemas.openxmlformats.org/officeDocument/2006/relationships/hyperlink" Target="https://www.biocarbonpartners.com/" TargetMode="External"/><Relationship Id="rId350" Type="http://schemas.openxmlformats.org/officeDocument/2006/relationships/hyperlink" Target="https://land.copernicus.eu/pan-european/high-resolution-layers" TargetMode="External"/><Relationship Id="rId406" Type="http://schemas.openxmlformats.org/officeDocument/2006/relationships/hyperlink" Target="https://www.endscarbonoffsets.com/54/" TargetMode="External"/><Relationship Id="rId588" Type="http://schemas.openxmlformats.org/officeDocument/2006/relationships/hyperlink" Target="https://www.endscarbonoffsets.com/272/" TargetMode="External"/><Relationship Id="rId9" Type="http://schemas.openxmlformats.org/officeDocument/2006/relationships/webSettings" Target="webSettings.xml"/><Relationship Id="rId210" Type="http://schemas.openxmlformats.org/officeDocument/2006/relationships/hyperlink" Target="http://www.vnvadvisory.com/" TargetMode="External"/><Relationship Id="rId392" Type="http://schemas.openxmlformats.org/officeDocument/2006/relationships/hyperlink" Target="https://www.endscarbonoffsets.com/34/" TargetMode="External"/><Relationship Id="rId448" Type="http://schemas.openxmlformats.org/officeDocument/2006/relationships/hyperlink" Target="https://www.endscarbonoffsets.com/98/" TargetMode="External"/><Relationship Id="rId252" Type="http://schemas.openxmlformats.org/officeDocument/2006/relationships/hyperlink" Target="http://www.microsol-int.com/" TargetMode="External"/><Relationship Id="rId294" Type="http://schemas.openxmlformats.org/officeDocument/2006/relationships/hyperlink" Target="http://www.communityenergyinc.com/" TargetMode="External"/><Relationship Id="rId308" Type="http://schemas.openxmlformats.org/officeDocument/2006/relationships/hyperlink" Target="https://aristotleuniversity-my.sharepoint.com/personal/tsioukas_office365_auth_gr/Documents/Mail/naturebank.com" TargetMode="External"/><Relationship Id="rId515" Type="http://schemas.openxmlformats.org/officeDocument/2006/relationships/hyperlink" Target="https://www.endscarbonoffsets.com/190/" TargetMode="External"/><Relationship Id="rId47" Type="http://schemas.openxmlformats.org/officeDocument/2006/relationships/header" Target="header1.xml"/><Relationship Id="rId89" Type="http://schemas.openxmlformats.org/officeDocument/2006/relationships/image" Target="media/image56.png"/><Relationship Id="rId112" Type="http://schemas.openxmlformats.org/officeDocument/2006/relationships/hyperlink" Target="https://unfccc.int/land_use_and_climate_change/lulucf/items/4129.php" TargetMode="External"/><Relationship Id="rId154" Type="http://schemas.openxmlformats.org/officeDocument/2006/relationships/hyperlink" Target="http://www.cleanenergyregulator.gov.au/maps/Pages/erf-projects/index.html" TargetMode="External"/><Relationship Id="rId361" Type="http://schemas.openxmlformats.org/officeDocument/2006/relationships/hyperlink" Target="https://doi.org/10.1016/j.oneear.2020.07.018" TargetMode="External"/><Relationship Id="rId557" Type="http://schemas.openxmlformats.org/officeDocument/2006/relationships/hyperlink" Target="https://www.endscarbonoffsets.com/237/" TargetMode="External"/><Relationship Id="rId599" Type="http://schemas.openxmlformats.org/officeDocument/2006/relationships/hyperlink" Target="https://www.endscarbonoffsets.com/283/" TargetMode="External"/><Relationship Id="rId196" Type="http://schemas.openxmlformats.org/officeDocument/2006/relationships/hyperlink" Target="http://www.hydrologichealth.com/" TargetMode="External"/><Relationship Id="rId417" Type="http://schemas.openxmlformats.org/officeDocument/2006/relationships/hyperlink" Target="https://www.endscarbonoffsets.com/66/" TargetMode="External"/><Relationship Id="rId459" Type="http://schemas.openxmlformats.org/officeDocument/2006/relationships/hyperlink" Target="https://www.endscarbonoffsets.com/115/" TargetMode="External"/><Relationship Id="rId16" Type="http://schemas.openxmlformats.org/officeDocument/2006/relationships/image" Target="media/image5.png"/><Relationship Id="rId221" Type="http://schemas.openxmlformats.org/officeDocument/2006/relationships/hyperlink" Target="http://www.carbon-clear.com/" TargetMode="External"/><Relationship Id="rId263" Type="http://schemas.openxmlformats.org/officeDocument/2006/relationships/hyperlink" Target="http://www.worldlandtrust.org/" TargetMode="External"/><Relationship Id="rId319" Type="http://schemas.openxmlformats.org/officeDocument/2006/relationships/hyperlink" Target="http://www.wildlifeworks.com/" TargetMode="External"/><Relationship Id="rId470" Type="http://schemas.openxmlformats.org/officeDocument/2006/relationships/hyperlink" Target="https://www.endscarbonoffsets.com/127/" TargetMode="External"/><Relationship Id="rId526" Type="http://schemas.openxmlformats.org/officeDocument/2006/relationships/hyperlink" Target="https://www.endscarbonoffsets.com/203/" TargetMode="External"/><Relationship Id="rId58" Type="http://schemas.openxmlformats.org/officeDocument/2006/relationships/image" Target="media/image44.jpg"/><Relationship Id="rId123" Type="http://schemas.openxmlformats.org/officeDocument/2006/relationships/hyperlink" Target="https://eur-lex.europa.eu/legal-content/EN/TXT/?uri=CELEX:52019SC0213" TargetMode="External"/><Relationship Id="rId330" Type="http://schemas.openxmlformats.org/officeDocument/2006/relationships/hyperlink" Target="http://www.sigmaglobalcompany.com/" TargetMode="External"/><Relationship Id="rId568" Type="http://schemas.openxmlformats.org/officeDocument/2006/relationships/hyperlink" Target="https://www.endscarbonoffsets.com/250/" TargetMode="External"/><Relationship Id="rId165" Type="http://schemas.openxmlformats.org/officeDocument/2006/relationships/hyperlink" Target="https://www.climateactionreserve.org/wp-content/uploads/2009/04/2013-Manufacturer-Guidance-Policy-Memo-1.pdf" TargetMode="External"/><Relationship Id="rId372" Type="http://schemas.openxmlformats.org/officeDocument/2006/relationships/hyperlink" Target="https://www.endscarbonoffsets.com/8/" TargetMode="External"/><Relationship Id="rId428" Type="http://schemas.openxmlformats.org/officeDocument/2006/relationships/hyperlink" Target="https://www.endscarbonoffsets.com/45/" TargetMode="External"/><Relationship Id="rId232" Type="http://schemas.openxmlformats.org/officeDocument/2006/relationships/hyperlink" Target="http://www.co2solidaire.org/" TargetMode="External"/><Relationship Id="rId274" Type="http://schemas.openxmlformats.org/officeDocument/2006/relationships/hyperlink" Target="http://www.sierragorda.net/" TargetMode="External"/><Relationship Id="rId481" Type="http://schemas.openxmlformats.org/officeDocument/2006/relationships/hyperlink" Target="https://www.endscarbonoffsets.com/142/" TargetMode="External"/><Relationship Id="rId27" Type="http://schemas.openxmlformats.org/officeDocument/2006/relationships/image" Target="media/image15.jpeg"/><Relationship Id="rId69" Type="http://schemas.openxmlformats.org/officeDocument/2006/relationships/hyperlink" Target="https://forest.eea.europa.eu/" TargetMode="External"/><Relationship Id="rId134" Type="http://schemas.openxmlformats.org/officeDocument/2006/relationships/hyperlink" Target="http://europa.eu/rapid/pressReleasesAction.do?reference=MEMO/12/176" TargetMode="External"/><Relationship Id="rId537" Type="http://schemas.openxmlformats.org/officeDocument/2006/relationships/hyperlink" Target="https://www.endscarbonoffsets.com/215/" TargetMode="External"/><Relationship Id="rId579" Type="http://schemas.openxmlformats.org/officeDocument/2006/relationships/hyperlink" Target="https://www.endscarbonoffsets.com/261/" TargetMode="External"/><Relationship Id="rId80" Type="http://schemas.openxmlformats.org/officeDocument/2006/relationships/hyperlink" Target="https://eur-lex.europa.eu/legal-content/EN/TXT/?uri=CELEX:02010R1031-20140227" TargetMode="External"/><Relationship Id="rId176" Type="http://schemas.openxmlformats.org/officeDocument/2006/relationships/hyperlink" Target="https://ghgprotocol.org/standards" TargetMode="External"/><Relationship Id="rId341" Type="http://schemas.openxmlformats.org/officeDocument/2006/relationships/hyperlink" Target="http://www.planvivo.org" TargetMode="External"/><Relationship Id="rId383" Type="http://schemas.openxmlformats.org/officeDocument/2006/relationships/hyperlink" Target="https://www.endscarbonoffsets.com/21/" TargetMode="External"/><Relationship Id="rId439" Type="http://schemas.openxmlformats.org/officeDocument/2006/relationships/hyperlink" Target="https://www.endscarbonoffsets.com/91/" TargetMode="External"/><Relationship Id="rId590" Type="http://schemas.openxmlformats.org/officeDocument/2006/relationships/hyperlink" Target="https://www.endscarbonoffsets.com/274/" TargetMode="External"/><Relationship Id="rId604" Type="http://schemas.openxmlformats.org/officeDocument/2006/relationships/fontTable" Target="fontTable.xml"/><Relationship Id="rId201" Type="http://schemas.openxmlformats.org/officeDocument/2006/relationships/hyperlink" Target="http://www.microenergycredits.com/" TargetMode="External"/><Relationship Id="rId243" Type="http://schemas.openxmlformats.org/officeDocument/2006/relationships/hyperlink" Target="http://www.firstclimate-climateneutral.com/gb" TargetMode="External"/><Relationship Id="rId285" Type="http://schemas.openxmlformats.org/officeDocument/2006/relationships/hyperlink" Target="http://www.bluesource.com/" TargetMode="External"/><Relationship Id="rId450" Type="http://schemas.openxmlformats.org/officeDocument/2006/relationships/hyperlink" Target="https://www.endscarbonoffsets.com/603/" TargetMode="External"/><Relationship Id="rId506" Type="http://schemas.openxmlformats.org/officeDocument/2006/relationships/hyperlink" Target="https://www.endscarbonoffsets.com/182/" TargetMode="External"/><Relationship Id="rId38" Type="http://schemas.openxmlformats.org/officeDocument/2006/relationships/image" Target="media/image26.jpeg"/><Relationship Id="rId103" Type="http://schemas.openxmlformats.org/officeDocument/2006/relationships/hyperlink" Target="https://eur-lex.europa.eu/legal-content/EN/TXT/?uri=CELEX:32012R0600" TargetMode="External"/><Relationship Id="rId310" Type="http://schemas.openxmlformats.org/officeDocument/2006/relationships/hyperlink" Target="http://www.renewablechoice.com/" TargetMode="External"/><Relationship Id="rId492" Type="http://schemas.openxmlformats.org/officeDocument/2006/relationships/hyperlink" Target="https://www.endscarbonoffsets.com/160/" TargetMode="External"/><Relationship Id="rId548" Type="http://schemas.openxmlformats.org/officeDocument/2006/relationships/hyperlink" Target="https://www.endscarbonoffsets.com/228/" TargetMode="External"/><Relationship Id="rId91" Type="http://schemas.openxmlformats.org/officeDocument/2006/relationships/hyperlink" Target="https://ec.europa.eu/clima/policies/international/negotiations/paris_en" TargetMode="External"/><Relationship Id="rId145" Type="http://schemas.openxmlformats.org/officeDocument/2006/relationships/hyperlink" Target="https://aristotleuniversity-my.sharepoint.com/personal/tsioukas_office365_auth_gr/Documents/Mail/americancarbonregistry.org" TargetMode="External"/><Relationship Id="rId187" Type="http://schemas.openxmlformats.org/officeDocument/2006/relationships/hyperlink" Target="http://www.carbontanzania.com/" TargetMode="External"/><Relationship Id="rId352" Type="http://schemas.openxmlformats.org/officeDocument/2006/relationships/hyperlink" Target="https://foresteurope.org/wp-content/uploads/2016/11/III.-ELM_7MC_2_2015_MinisterialDeclaration_adopted-2.pdf" TargetMode="External"/><Relationship Id="rId394" Type="http://schemas.openxmlformats.org/officeDocument/2006/relationships/hyperlink" Target="https://www.endscarbonoffsets.com/37/" TargetMode="External"/><Relationship Id="rId408" Type="http://schemas.openxmlformats.org/officeDocument/2006/relationships/hyperlink" Target="https://www.endscarbonoffsets.com/56/" TargetMode="External"/><Relationship Id="rId212" Type="http://schemas.openxmlformats.org/officeDocument/2006/relationships/hyperlink" Target="http://www.2050.se/" TargetMode="External"/><Relationship Id="rId254" Type="http://schemas.openxmlformats.org/officeDocument/2006/relationships/hyperlink" Target="http://www.naturalcapitalpartners.com/" TargetMode="External"/><Relationship Id="rId49" Type="http://schemas.openxmlformats.org/officeDocument/2006/relationships/header" Target="header2.xml"/><Relationship Id="rId114" Type="http://schemas.openxmlformats.org/officeDocument/2006/relationships/hyperlink" Target="http://unfccc.int/resource/docs/publications/08_unfccc_kp_ref_manual.pdf" TargetMode="External"/><Relationship Id="rId296" Type="http://schemas.openxmlformats.org/officeDocument/2006/relationships/hyperlink" Target="http://www.divpc.com/" TargetMode="External"/><Relationship Id="rId461" Type="http://schemas.openxmlformats.org/officeDocument/2006/relationships/hyperlink" Target="https://www.endscarbonoffsets.com/112/" TargetMode="External"/><Relationship Id="rId517" Type="http://schemas.openxmlformats.org/officeDocument/2006/relationships/hyperlink" Target="https://www.endscarbonoffsets.com/192/" TargetMode="External"/><Relationship Id="rId559" Type="http://schemas.openxmlformats.org/officeDocument/2006/relationships/hyperlink" Target="https://www.endscarbonoffsets.com/239/" TargetMode="External"/><Relationship Id="rId60" Type="http://schemas.openxmlformats.org/officeDocument/2006/relationships/image" Target="media/image46.jpg"/><Relationship Id="rId156" Type="http://schemas.openxmlformats.org/officeDocument/2006/relationships/hyperlink" Target="http://www.cleanenergyregulator.gov.au/ERF" TargetMode="External"/><Relationship Id="rId198" Type="http://schemas.openxmlformats.org/officeDocument/2006/relationships/hyperlink" Target="http://www.infinite-earth.com/" TargetMode="External"/><Relationship Id="rId321" Type="http://schemas.openxmlformats.org/officeDocument/2006/relationships/hyperlink" Target="http://www.ctxglobal.com/" TargetMode="External"/><Relationship Id="rId363" Type="http://schemas.openxmlformats.org/officeDocument/2006/relationships/hyperlink" Target="https://doi.org/10.1371/journal.pone.0118432" TargetMode="External"/><Relationship Id="rId419" Type="http://schemas.openxmlformats.org/officeDocument/2006/relationships/hyperlink" Target="https://www.endscarbonoffsets.com/68/" TargetMode="External"/><Relationship Id="rId570" Type="http://schemas.openxmlformats.org/officeDocument/2006/relationships/hyperlink" Target="https://www.endscarbonoffsets.com/253/" TargetMode="External"/><Relationship Id="rId223" Type="http://schemas.openxmlformats.org/officeDocument/2006/relationships/hyperlink" Target="http://www.carbononline.co/" TargetMode="External"/><Relationship Id="rId430" Type="http://schemas.openxmlformats.org/officeDocument/2006/relationships/hyperlink" Target="https://www.endscarbonoffsets.com/32/" TargetMode="External"/><Relationship Id="rId18" Type="http://schemas.openxmlformats.org/officeDocument/2006/relationships/image" Target="media/image7.jpeg"/><Relationship Id="rId265" Type="http://schemas.openxmlformats.org/officeDocument/2006/relationships/hyperlink" Target="http://www.zeromission.se/" TargetMode="External"/><Relationship Id="rId472" Type="http://schemas.openxmlformats.org/officeDocument/2006/relationships/hyperlink" Target="https://www.endscarbonoffsets.com/129/" TargetMode="External"/><Relationship Id="rId528" Type="http://schemas.openxmlformats.org/officeDocument/2006/relationships/hyperlink" Target="https://www.endscarbonoffsets.com/205/" TargetMode="External"/><Relationship Id="rId125" Type="http://schemas.openxmlformats.org/officeDocument/2006/relationships/hyperlink" Target="http://eur-lex.europa.eu/legal-content/EN/TXT/?uri=CELEX:32013D0529" TargetMode="External"/><Relationship Id="rId167" Type="http://schemas.openxmlformats.org/officeDocument/2006/relationships/hyperlink" Target="https://www.climateactionreserve.org/wp-content/uploads/2011/08/2011-eGRID-Update-Policy-Memo.pdf" TargetMode="External"/><Relationship Id="rId332" Type="http://schemas.openxmlformats.org/officeDocument/2006/relationships/image" Target="media/image65.png"/><Relationship Id="rId374" Type="http://schemas.openxmlformats.org/officeDocument/2006/relationships/hyperlink" Target="https://www.endscarbonoffsets.com/13/" TargetMode="External"/><Relationship Id="rId581" Type="http://schemas.openxmlformats.org/officeDocument/2006/relationships/hyperlink" Target="https://www.endscarbonoffsets.com/263/" TargetMode="External"/><Relationship Id="rId71" Type="http://schemas.openxmlformats.org/officeDocument/2006/relationships/hyperlink" Target="https://www.co2offsetresearch.org/consumer/cobenefits.html" TargetMode="External"/><Relationship Id="rId234" Type="http://schemas.openxmlformats.org/officeDocument/2006/relationships/hyperlink" Target="http://www.co2ol.de/" TargetMode="External"/><Relationship Id="rId2" Type="http://schemas.openxmlformats.org/officeDocument/2006/relationships/customXml" Target="../customXml/item2.xml"/><Relationship Id="rId29" Type="http://schemas.openxmlformats.org/officeDocument/2006/relationships/image" Target="media/image17.jpg"/><Relationship Id="rId276" Type="http://schemas.openxmlformats.org/officeDocument/2006/relationships/hyperlink" Target="http://www.mindocloudforest.org/" TargetMode="External"/><Relationship Id="rId441" Type="http://schemas.openxmlformats.org/officeDocument/2006/relationships/hyperlink" Target="https://www.endscarbonoffsets.com/93/" TargetMode="External"/><Relationship Id="rId483" Type="http://schemas.openxmlformats.org/officeDocument/2006/relationships/hyperlink" Target="https://www.endscarbonoffsets.com/149/" TargetMode="External"/><Relationship Id="rId539" Type="http://schemas.openxmlformats.org/officeDocument/2006/relationships/hyperlink" Target="https://www.endscarbonoffsets.com/217/" TargetMode="External"/><Relationship Id="rId40" Type="http://schemas.openxmlformats.org/officeDocument/2006/relationships/image" Target="media/image28.png"/><Relationship Id="rId136" Type="http://schemas.openxmlformats.org/officeDocument/2006/relationships/hyperlink" Target="https://ec.europa.eu/clima/sites/clima/files/forests/lulucf/docs/synthesis_report_en.pdf" TargetMode="External"/><Relationship Id="rId178" Type="http://schemas.openxmlformats.org/officeDocument/2006/relationships/hyperlink" Target="http://www.cbeex.com.cn/article/en/" TargetMode="External"/><Relationship Id="rId301" Type="http://schemas.openxmlformats.org/officeDocument/2006/relationships/hyperlink" Target="http://www.enviadvi.com/" TargetMode="External"/><Relationship Id="rId343" Type="http://schemas.openxmlformats.org/officeDocument/2006/relationships/hyperlink" Target="https://doi.org/10.3389/ffgc.2018.00001" TargetMode="External"/><Relationship Id="rId550" Type="http://schemas.openxmlformats.org/officeDocument/2006/relationships/hyperlink" Target="https://www.endscarbonoffsets.com/230/" TargetMode="External"/><Relationship Id="rId82" Type="http://schemas.openxmlformats.org/officeDocument/2006/relationships/hyperlink" Target="https://ec.europa.eu/clima/policies/ets_en" TargetMode="External"/><Relationship Id="rId203" Type="http://schemas.openxmlformats.org/officeDocument/2006/relationships/hyperlink" Target="http://www.oecc.or.jp/" TargetMode="External"/><Relationship Id="rId385" Type="http://schemas.openxmlformats.org/officeDocument/2006/relationships/hyperlink" Target="https://www.endscarbonoffsets.com/23/" TargetMode="External"/><Relationship Id="rId592" Type="http://schemas.openxmlformats.org/officeDocument/2006/relationships/hyperlink" Target="https://www.endscarbonoffsets.com/276/" TargetMode="External"/><Relationship Id="rId245" Type="http://schemas.openxmlformats.org/officeDocument/2006/relationships/hyperlink" Target="https://aristotleuniversity-my.sharepoint.com/personal/tsioukas_office365_auth_gr/Documents/Mail/future-camp.de" TargetMode="External"/><Relationship Id="rId287" Type="http://schemas.openxmlformats.org/officeDocument/2006/relationships/hyperlink" Target="http://www.brinkmanclimate.com/" TargetMode="External"/><Relationship Id="rId410" Type="http://schemas.openxmlformats.org/officeDocument/2006/relationships/hyperlink" Target="https://www.endscarbonoffsets.com/31/" TargetMode="External"/><Relationship Id="rId452" Type="http://schemas.openxmlformats.org/officeDocument/2006/relationships/hyperlink" Target="https://www.endscarbonoffsets.com/104/" TargetMode="External"/><Relationship Id="rId494" Type="http://schemas.openxmlformats.org/officeDocument/2006/relationships/hyperlink" Target="https://www.endscarbonoffsets.com/167/" TargetMode="External"/><Relationship Id="rId508" Type="http://schemas.openxmlformats.org/officeDocument/2006/relationships/hyperlink" Target="https://www.endscarbonoffsets.com/184/" TargetMode="External"/><Relationship Id="rId105" Type="http://schemas.openxmlformats.org/officeDocument/2006/relationships/hyperlink" Target="https://eur-lex.europa.eu/legal-content/EN/TXT/?uri=CELEX:32012R0601" TargetMode="External"/><Relationship Id="rId147" Type="http://schemas.openxmlformats.org/officeDocument/2006/relationships/hyperlink" Target="http://unfccc.int/" TargetMode="External"/><Relationship Id="rId312" Type="http://schemas.openxmlformats.org/officeDocument/2006/relationships/hyperlink" Target="http://www.takingroot.org/" TargetMode="External"/><Relationship Id="rId354" Type="http://schemas.openxmlformats.org/officeDocument/2006/relationships/hyperlink" Target="https://doi.org/10.1186/s13021-019-0123-y" TargetMode="External"/><Relationship Id="rId51" Type="http://schemas.openxmlformats.org/officeDocument/2006/relationships/image" Target="media/image37.png"/><Relationship Id="rId93" Type="http://schemas.openxmlformats.org/officeDocument/2006/relationships/hyperlink" Target="https://ec.europa.eu/clima/policies/transport/vehicles_en" TargetMode="External"/><Relationship Id="rId189" Type="http://schemas.openxmlformats.org/officeDocument/2006/relationships/hyperlink" Target="http://www.ecotrust.org/" TargetMode="External"/><Relationship Id="rId396" Type="http://schemas.openxmlformats.org/officeDocument/2006/relationships/hyperlink" Target="https://www.endscarbonoffsets.com/40/" TargetMode="External"/><Relationship Id="rId561" Type="http://schemas.openxmlformats.org/officeDocument/2006/relationships/hyperlink" Target="https://www.endscarbonoffsets.com/242/" TargetMode="External"/><Relationship Id="rId214" Type="http://schemas.openxmlformats.org/officeDocument/2006/relationships/hyperlink" Target="http://www.allcot.com/" TargetMode="External"/><Relationship Id="rId256" Type="http://schemas.openxmlformats.org/officeDocument/2006/relationships/hyperlink" Target="http://www.ouroffset.com/" TargetMode="External"/><Relationship Id="rId298" Type="http://schemas.openxmlformats.org/officeDocument/2006/relationships/hyperlink" Target="http://www.ecotrustforests.com/" TargetMode="External"/><Relationship Id="rId421" Type="http://schemas.openxmlformats.org/officeDocument/2006/relationships/hyperlink" Target="https://www.endscarbonoffsets.com/70/" TargetMode="External"/><Relationship Id="rId463" Type="http://schemas.openxmlformats.org/officeDocument/2006/relationships/hyperlink" Target="https://www.endscarbonoffsets.com/119/" TargetMode="External"/><Relationship Id="rId519" Type="http://schemas.openxmlformats.org/officeDocument/2006/relationships/hyperlink" Target="https://www.endscarbonoffsets.com/194/" TargetMode="External"/><Relationship Id="rId116" Type="http://schemas.openxmlformats.org/officeDocument/2006/relationships/hyperlink" Target="http://unfccc.int/resource/docs/2005/cmp1/eng/08a03.pdf" TargetMode="External"/><Relationship Id="rId158" Type="http://schemas.openxmlformats.org/officeDocument/2006/relationships/hyperlink" Target="https://www.climateactionreserve.org/wp-content/uploads/2009/04/2017-Forest-Verification-Training-Memo.pdf" TargetMode="External"/><Relationship Id="rId323" Type="http://schemas.openxmlformats.org/officeDocument/2006/relationships/hyperlink" Target="http://www.climatefriendly.com/" TargetMode="External"/><Relationship Id="rId530" Type="http://schemas.openxmlformats.org/officeDocument/2006/relationships/hyperlink" Target="https://www.endscarbonoffsets.com/207/" TargetMode="External"/><Relationship Id="rId20" Type="http://schemas.openxmlformats.org/officeDocument/2006/relationships/image" Target="media/image9.png"/><Relationship Id="rId62" Type="http://schemas.openxmlformats.org/officeDocument/2006/relationships/image" Target="media/image48.jpg"/><Relationship Id="rId365" Type="http://schemas.openxmlformats.org/officeDocument/2006/relationships/hyperlink" Target="https://doi.org/10.1071/WF13184" TargetMode="External"/><Relationship Id="rId572" Type="http://schemas.openxmlformats.org/officeDocument/2006/relationships/hyperlink" Target="https://www.endscarbonoffsets.com/254/" TargetMode="External"/><Relationship Id="rId225" Type="http://schemas.openxmlformats.org/officeDocument/2006/relationships/hyperlink" Target="http://www.carbonsink.it/" TargetMode="External"/><Relationship Id="rId267" Type="http://schemas.openxmlformats.org/officeDocument/2006/relationships/hyperlink" Target="http://www.biofilica.com.br/" TargetMode="External"/><Relationship Id="rId432" Type="http://schemas.openxmlformats.org/officeDocument/2006/relationships/hyperlink" Target="https://www.endscarbonoffsets.com/59/" TargetMode="External"/><Relationship Id="rId474" Type="http://schemas.openxmlformats.org/officeDocument/2006/relationships/hyperlink" Target="https://www.endscarbonoffsets.com/132/" TargetMode="External"/><Relationship Id="rId127" Type="http://schemas.openxmlformats.org/officeDocument/2006/relationships/hyperlink" Target="http://eur-lex.europa.eu/legal-content/EN/TXT/?uri=CELEX:52016SC0246" TargetMode="External"/><Relationship Id="rId31" Type="http://schemas.openxmlformats.org/officeDocument/2006/relationships/image" Target="media/image19.jpg"/><Relationship Id="rId73" Type="http://schemas.openxmlformats.org/officeDocument/2006/relationships/hyperlink" Target="https://www.co2offsetresearch.org/consumer/Additionality.html" TargetMode="External"/><Relationship Id="rId169" Type="http://schemas.openxmlformats.org/officeDocument/2006/relationships/hyperlink" Target="https://aristotleuniversity-my.sharepoint.com/personal/tsioukas_office365_auth_gr/Documents/Mail/www.climateactionreserve.org" TargetMode="External"/><Relationship Id="rId334" Type="http://schemas.openxmlformats.org/officeDocument/2006/relationships/hyperlink" Target="https://www.un-redd.org/partner-countries" TargetMode="External"/><Relationship Id="rId376" Type="http://schemas.openxmlformats.org/officeDocument/2006/relationships/hyperlink" Target="https://www.endscarbonoffsets.com/1116/" TargetMode="External"/><Relationship Id="rId541" Type="http://schemas.openxmlformats.org/officeDocument/2006/relationships/hyperlink" Target="https://www.endscarbonoffsets.com/218/" TargetMode="External"/><Relationship Id="rId583" Type="http://schemas.openxmlformats.org/officeDocument/2006/relationships/hyperlink" Target="https://www.endscarbonoffsets.com/266/" TargetMode="External"/><Relationship Id="rId4" Type="http://schemas.openxmlformats.org/officeDocument/2006/relationships/customXml" Target="../customXml/item4.xml"/><Relationship Id="rId180" Type="http://schemas.openxmlformats.org/officeDocument/2006/relationships/hyperlink" Target="http://www.winrock.org/" TargetMode="External"/><Relationship Id="rId236" Type="http://schemas.openxmlformats.org/officeDocument/2006/relationships/hyperlink" Target="http://www.coolearth.org/" TargetMode="External"/><Relationship Id="rId278" Type="http://schemas.openxmlformats.org/officeDocument/2006/relationships/hyperlink" Target="http://www.onfinternational.org/" TargetMode="External"/><Relationship Id="rId401" Type="http://schemas.openxmlformats.org/officeDocument/2006/relationships/hyperlink" Target="https://www.endscarbonoffsets.com/48/" TargetMode="External"/><Relationship Id="rId443" Type="http://schemas.openxmlformats.org/officeDocument/2006/relationships/hyperlink" Target="https://www.endscarbonoffsets.com/832/" TargetMode="External"/><Relationship Id="rId303" Type="http://schemas.openxmlformats.org/officeDocument/2006/relationships/hyperlink" Target="http://www.c2invest.net/" TargetMode="External"/><Relationship Id="rId485" Type="http://schemas.openxmlformats.org/officeDocument/2006/relationships/hyperlink" Target="https://www.endscarbonoffsets.com/151/" TargetMode="External"/><Relationship Id="rId42" Type="http://schemas.openxmlformats.org/officeDocument/2006/relationships/image" Target="media/image30.jpeg"/><Relationship Id="rId84" Type="http://schemas.openxmlformats.org/officeDocument/2006/relationships/hyperlink" Target="https://ec.europa.eu/clima/policies/strategies/2020_en" TargetMode="External"/><Relationship Id="rId138" Type="http://schemas.openxmlformats.org/officeDocument/2006/relationships/hyperlink" Target="http://bookshop.europa.eu/en/mainstreaming-climate-change-into-rural-development-policy-post-2013-pbML0614002/" TargetMode="External"/><Relationship Id="rId345" Type="http://schemas.openxmlformats.org/officeDocument/2006/relationships/hyperlink" Target="https://doi.org/10.1016/j.foreco.2014.04.006" TargetMode="External"/><Relationship Id="rId387" Type="http://schemas.openxmlformats.org/officeDocument/2006/relationships/hyperlink" Target="https://www.endscarbonoffsets.com/833/" TargetMode="External"/><Relationship Id="rId510" Type="http://schemas.openxmlformats.org/officeDocument/2006/relationships/hyperlink" Target="https://www.endscarbonoffsets.com/185/" TargetMode="External"/><Relationship Id="rId552" Type="http://schemas.openxmlformats.org/officeDocument/2006/relationships/hyperlink" Target="https://www.endscarbonoffsets.com/232/" TargetMode="External"/><Relationship Id="rId594" Type="http://schemas.openxmlformats.org/officeDocument/2006/relationships/hyperlink" Target="https://www.endscarbonoffsets.com/1203/" TargetMode="External"/><Relationship Id="rId191" Type="http://schemas.openxmlformats.org/officeDocument/2006/relationships/hyperlink" Target="http://www.nova.org.za/" TargetMode="External"/><Relationship Id="rId205" Type="http://schemas.openxmlformats.org/officeDocument/2006/relationships/hyperlink" Target="http://www.shanshui.org/" TargetMode="External"/><Relationship Id="rId247" Type="http://schemas.openxmlformats.org/officeDocument/2006/relationships/hyperlink" Target="http://www.greenresources.no/" TargetMode="External"/><Relationship Id="rId412" Type="http://schemas.openxmlformats.org/officeDocument/2006/relationships/hyperlink" Target="https://www.endscarbonoffsets.com/60/" TargetMode="External"/><Relationship Id="rId107" Type="http://schemas.openxmlformats.org/officeDocument/2006/relationships/hyperlink" Target="http://unfccc.int/resource/docs/2013/cop19/eng/10a03.pdf" TargetMode="External"/><Relationship Id="rId289" Type="http://schemas.openxmlformats.org/officeDocument/2006/relationships/hyperlink" Target="http://www.carbonfund.org/" TargetMode="External"/><Relationship Id="rId454" Type="http://schemas.openxmlformats.org/officeDocument/2006/relationships/hyperlink" Target="https://www.endscarbonoffsets.com/108/" TargetMode="External"/><Relationship Id="rId496" Type="http://schemas.openxmlformats.org/officeDocument/2006/relationships/hyperlink" Target="https://www.endscarbonoffsets.com/169/" TargetMode="External"/><Relationship Id="rId11" Type="http://schemas.openxmlformats.org/officeDocument/2006/relationships/endnotes" Target="endnotes.xml"/><Relationship Id="rId53" Type="http://schemas.openxmlformats.org/officeDocument/2006/relationships/image" Target="media/image39.jpg"/><Relationship Id="rId149" Type="http://schemas.openxmlformats.org/officeDocument/2006/relationships/hyperlink" Target="https://aristotleuniversity-my.sharepoint.com/personal/tsioukas_office365_auth_gr/Documents/Mail/verra.org" TargetMode="External"/><Relationship Id="rId314" Type="http://schemas.openxmlformats.org/officeDocument/2006/relationships/hyperlink" Target="http://www.climatetrust.org/" TargetMode="External"/><Relationship Id="rId356" Type="http://schemas.openxmlformats.org/officeDocument/2006/relationships/hyperlink" Target="https://doi.org/10.1007/s10457-012-9573-x" TargetMode="External"/><Relationship Id="rId398" Type="http://schemas.openxmlformats.org/officeDocument/2006/relationships/hyperlink" Target="https://www.endscarbonoffsets.com/114/" TargetMode="External"/><Relationship Id="rId521" Type="http://schemas.openxmlformats.org/officeDocument/2006/relationships/hyperlink" Target="https://www.endscarbonoffsets.com/196/" TargetMode="External"/><Relationship Id="rId563" Type="http://schemas.openxmlformats.org/officeDocument/2006/relationships/hyperlink" Target="https://www.endscarbonoffsets.com/244/" TargetMode="External"/><Relationship Id="rId95" Type="http://schemas.openxmlformats.org/officeDocument/2006/relationships/hyperlink" Target="https://ec.europa.eu/clima/policies/strategies/progress/kyoto_1_en" TargetMode="External"/><Relationship Id="rId160" Type="http://schemas.openxmlformats.org/officeDocument/2006/relationships/hyperlink" Target="https://www.climateactionreserve.org/wp-content/uploads/2016/09/2016-ROC-Retirement-or-CRT-Conversion-Memo.pdf" TargetMode="External"/><Relationship Id="rId216" Type="http://schemas.openxmlformats.org/officeDocument/2006/relationships/hyperlink" Target="http://www.azzeroco2.it/" TargetMode="External"/><Relationship Id="rId423" Type="http://schemas.openxmlformats.org/officeDocument/2006/relationships/hyperlink" Target="https://www.endscarbonoffsets.com/73/" TargetMode="External"/><Relationship Id="rId258" Type="http://schemas.openxmlformats.org/officeDocument/2006/relationships/hyperlink" Target="http://www.southpolecarbon.com/" TargetMode="External"/><Relationship Id="rId465" Type="http://schemas.openxmlformats.org/officeDocument/2006/relationships/hyperlink" Target="https://www.endscarbonoffsets.com/121/" TargetMode="External"/><Relationship Id="rId22" Type="http://schemas.openxmlformats.org/officeDocument/2006/relationships/image" Target="media/image11.jpeg"/><Relationship Id="rId64" Type="http://schemas.openxmlformats.org/officeDocument/2006/relationships/hyperlink" Target="https://education-for-climate.ec.europa.eu/_en" TargetMode="External"/><Relationship Id="rId118" Type="http://schemas.openxmlformats.org/officeDocument/2006/relationships/hyperlink" Target="https://ec.europa.eu/clima/policies/strategies/2030_en" TargetMode="External"/><Relationship Id="rId325" Type="http://schemas.openxmlformats.org/officeDocument/2006/relationships/hyperlink" Target="http://www.ekos.org.nz/" TargetMode="External"/><Relationship Id="rId367" Type="http://schemas.openxmlformats.org/officeDocument/2006/relationships/hyperlink" Target="https://verra.org/methodologies/" TargetMode="External"/><Relationship Id="rId532" Type="http://schemas.openxmlformats.org/officeDocument/2006/relationships/hyperlink" Target="https://www.endscarbonoffsets.com/209/" TargetMode="External"/><Relationship Id="rId574" Type="http://schemas.openxmlformats.org/officeDocument/2006/relationships/hyperlink" Target="https://www.endscarbonoffsets.com/707/" TargetMode="External"/><Relationship Id="rId171" Type="http://schemas.openxmlformats.org/officeDocument/2006/relationships/hyperlink" Target="http://ghgprotocol.org/node/586/" TargetMode="External"/><Relationship Id="rId227" Type="http://schemas.openxmlformats.org/officeDocument/2006/relationships/hyperlink" Target="http://www.clevel.co.uk/" TargetMode="External"/><Relationship Id="rId269" Type="http://schemas.openxmlformats.org/officeDocument/2006/relationships/hyperlink" Target="http://www.cima.org.pe/" TargetMode="External"/><Relationship Id="rId434" Type="http://schemas.openxmlformats.org/officeDocument/2006/relationships/hyperlink" Target="https://www.endscarbonoffsets.com/82/" TargetMode="External"/><Relationship Id="rId476" Type="http://schemas.openxmlformats.org/officeDocument/2006/relationships/hyperlink" Target="https://www.endscarbonoffsets.com/135/" TargetMode="External"/><Relationship Id="rId33" Type="http://schemas.openxmlformats.org/officeDocument/2006/relationships/image" Target="media/image21.png"/><Relationship Id="rId129" Type="http://schemas.openxmlformats.org/officeDocument/2006/relationships/hyperlink" Target="https://ec.europa.eu/clima/sites/clima/files/forests/lulucf/docs/com_2012_93_en.pdf" TargetMode="External"/><Relationship Id="rId280" Type="http://schemas.openxmlformats.org/officeDocument/2006/relationships/hyperlink" Target="http://www.pronatura.org.mx/" TargetMode="External"/><Relationship Id="rId336" Type="http://schemas.openxmlformats.org/officeDocument/2006/relationships/image" Target="media/image67.png"/><Relationship Id="rId501" Type="http://schemas.openxmlformats.org/officeDocument/2006/relationships/hyperlink" Target="https://www.endscarbonoffsets.com/177/" TargetMode="External"/><Relationship Id="rId543" Type="http://schemas.openxmlformats.org/officeDocument/2006/relationships/hyperlink" Target="https://www.endscarbonoffsets.com/221/" TargetMode="External"/><Relationship Id="rId75" Type="http://schemas.openxmlformats.org/officeDocument/2006/relationships/image" Target="media/image52.png"/><Relationship Id="rId140" Type="http://schemas.openxmlformats.org/officeDocument/2006/relationships/hyperlink" Target="https://www.ipcc-nggip.iges.or.jp/public/2019rf/index.html" TargetMode="External"/><Relationship Id="rId182" Type="http://schemas.openxmlformats.org/officeDocument/2006/relationships/image" Target="media/image62.png"/><Relationship Id="rId378" Type="http://schemas.openxmlformats.org/officeDocument/2006/relationships/hyperlink" Target="https://www.endscarbonoffsets.com/16/" TargetMode="External"/><Relationship Id="rId403" Type="http://schemas.openxmlformats.org/officeDocument/2006/relationships/hyperlink" Target="https://www.endscarbonoffsets.com/51/" TargetMode="External"/><Relationship Id="rId585" Type="http://schemas.openxmlformats.org/officeDocument/2006/relationships/hyperlink" Target="https://www.endscarbonoffsets.com/268/" TargetMode="External"/><Relationship Id="rId6" Type="http://schemas.openxmlformats.org/officeDocument/2006/relationships/numbering" Target="numbering.xml"/><Relationship Id="rId238" Type="http://schemas.openxmlformats.org/officeDocument/2006/relationships/hyperlink" Target="http://www.eco-act.com/" TargetMode="External"/><Relationship Id="rId445" Type="http://schemas.openxmlformats.org/officeDocument/2006/relationships/hyperlink" Target="https://www.endscarbonoffsets.com/137/" TargetMode="External"/><Relationship Id="rId487" Type="http://schemas.openxmlformats.org/officeDocument/2006/relationships/hyperlink" Target="https://www.endscarbonoffsets.com/155/" TargetMode="External"/><Relationship Id="rId291" Type="http://schemas.openxmlformats.org/officeDocument/2006/relationships/hyperlink" Target="https://aristotleuniversity-my.sharepoint.com/personal/tsioukas_office365_auth_gr/Documents/Mail/climeco.com" TargetMode="External"/><Relationship Id="rId305" Type="http://schemas.openxmlformats.org/officeDocument/2006/relationships/hyperlink" Target="http://www.less.ca/" TargetMode="External"/><Relationship Id="rId347" Type="http://schemas.openxmlformats.org/officeDocument/2006/relationships/hyperlink" Target="https://doi.org/10.1007/s10531-010-9936-4" TargetMode="External"/><Relationship Id="rId512" Type="http://schemas.openxmlformats.org/officeDocument/2006/relationships/hyperlink" Target="https://www.endscarbonoffsets.com/187/" TargetMode="External"/><Relationship Id="rId44" Type="http://schemas.openxmlformats.org/officeDocument/2006/relationships/image" Target="media/image32.png"/><Relationship Id="rId86" Type="http://schemas.openxmlformats.org/officeDocument/2006/relationships/hyperlink" Target="https://ec.europa.eu/clima/policies/strategies/2020_en" TargetMode="External"/><Relationship Id="rId151" Type="http://schemas.openxmlformats.org/officeDocument/2006/relationships/hyperlink" Target="http://www.goldstandard.org" TargetMode="External"/><Relationship Id="rId389" Type="http://schemas.openxmlformats.org/officeDocument/2006/relationships/hyperlink" Target="https://www.endscarbonoffsets.com/28/" TargetMode="External"/><Relationship Id="rId554" Type="http://schemas.openxmlformats.org/officeDocument/2006/relationships/hyperlink" Target="https://www.endscarbonoffsets.com/234/" TargetMode="External"/><Relationship Id="rId596" Type="http://schemas.openxmlformats.org/officeDocument/2006/relationships/hyperlink" Target="https://www.endscarbonoffsets.com/279/" TargetMode="External"/><Relationship Id="rId193" Type="http://schemas.openxmlformats.org/officeDocument/2006/relationships/hyperlink" Target="http://www.cafaca.com/" TargetMode="External"/><Relationship Id="rId207" Type="http://schemas.openxmlformats.org/officeDocument/2006/relationships/hyperlink" Target="http://www.skgsangha.org/" TargetMode="External"/><Relationship Id="rId249" Type="http://schemas.openxmlformats.org/officeDocument/2006/relationships/hyperlink" Target="http://www.id-ong.org/" TargetMode="External"/><Relationship Id="rId414" Type="http://schemas.openxmlformats.org/officeDocument/2006/relationships/hyperlink" Target="https://www.endscarbonoffsets.com/62/" TargetMode="External"/><Relationship Id="rId456" Type="http://schemas.openxmlformats.org/officeDocument/2006/relationships/hyperlink" Target="https://www.endscarbonoffsets.com/110/" TargetMode="External"/><Relationship Id="rId498" Type="http://schemas.openxmlformats.org/officeDocument/2006/relationships/hyperlink" Target="https://www.endscarbonoffsets.com/172/" TargetMode="External"/><Relationship Id="rId13" Type="http://schemas.openxmlformats.org/officeDocument/2006/relationships/image" Target="media/image2.png"/><Relationship Id="rId109" Type="http://schemas.openxmlformats.org/officeDocument/2006/relationships/hyperlink" Target="http://unfccc.int/resource/docs/cop8/07a02.pdf" TargetMode="External"/><Relationship Id="rId260" Type="http://schemas.openxmlformats.org/officeDocument/2006/relationships/hyperlink" Target="http://www.upm-cdm.eu/" TargetMode="External"/><Relationship Id="rId316" Type="http://schemas.openxmlformats.org/officeDocument/2006/relationships/hyperlink" Target="http://www.theparadigmproject.org/" TargetMode="External"/><Relationship Id="rId523" Type="http://schemas.openxmlformats.org/officeDocument/2006/relationships/hyperlink" Target="https://www.endscarbonoffsets.com/198/" TargetMode="External"/><Relationship Id="rId55" Type="http://schemas.openxmlformats.org/officeDocument/2006/relationships/image" Target="media/image41.jpg"/><Relationship Id="rId97" Type="http://schemas.openxmlformats.org/officeDocument/2006/relationships/hyperlink" Target="https://ec.europa.eu/clima/policies/strategies/progress/kyoto_1_en" TargetMode="External"/><Relationship Id="rId120" Type="http://schemas.openxmlformats.org/officeDocument/2006/relationships/hyperlink" Target="https://ec.europa.eu/clima/policies/strategies/progress/kyoto_2_en" TargetMode="External"/><Relationship Id="rId358" Type="http://schemas.openxmlformats.org/officeDocument/2006/relationships/hyperlink" Target="https://doi.org/10.1073/pnas.1719685115" TargetMode="External"/><Relationship Id="rId565" Type="http://schemas.openxmlformats.org/officeDocument/2006/relationships/hyperlink" Target="https://www.endscarbonoffsets.com/246/" TargetMode="External"/><Relationship Id="rId162" Type="http://schemas.openxmlformats.org/officeDocument/2006/relationships/hyperlink" Target="https://www.climateactionreserve.org/wp-content/uploads/2015/10/2015-PIA-Recordation-Policy-Memo.pdf" TargetMode="External"/><Relationship Id="rId218" Type="http://schemas.openxmlformats.org/officeDocument/2006/relationships/hyperlink" Target="http://www.biocarbongroup.com/" TargetMode="External"/><Relationship Id="rId425" Type="http://schemas.openxmlformats.org/officeDocument/2006/relationships/hyperlink" Target="https://www.endscarbonoffsets.com/76/" TargetMode="External"/><Relationship Id="rId467" Type="http://schemas.openxmlformats.org/officeDocument/2006/relationships/hyperlink" Target="https://www.endscarbonoffsets.com/123/" TargetMode="External"/><Relationship Id="rId271" Type="http://schemas.openxmlformats.org/officeDocument/2006/relationships/hyperlink" Target="http://www.acopagro.com.pe/" TargetMode="External"/><Relationship Id="rId24" Type="http://schemas.openxmlformats.org/officeDocument/2006/relationships/image" Target="media/image13.png"/><Relationship Id="rId66" Type="http://schemas.openxmlformats.org/officeDocument/2006/relationships/hyperlink" Target="https://effis.jrc.ec.europa.eu/" TargetMode="External"/><Relationship Id="rId131" Type="http://schemas.openxmlformats.org/officeDocument/2006/relationships/hyperlink" Target="https://ec.europa.eu/clima/sites/clima/files/forests/lulucf/docs/swd_2012_41_en.pdf" TargetMode="External"/><Relationship Id="rId327" Type="http://schemas.openxmlformats.org/officeDocument/2006/relationships/hyperlink" Target="http://www.greencollarclimate.com.au/" TargetMode="External"/><Relationship Id="rId369" Type="http://schemas.openxmlformats.org/officeDocument/2006/relationships/hyperlink" Target="https://doi.org/10.1029/2018GL080211" TargetMode="External"/><Relationship Id="rId534" Type="http://schemas.openxmlformats.org/officeDocument/2006/relationships/hyperlink" Target="https://www.endscarbonoffsets.com/211/" TargetMode="External"/><Relationship Id="rId576" Type="http://schemas.openxmlformats.org/officeDocument/2006/relationships/hyperlink" Target="https://www.endscarbonoffsets.com/258/" TargetMode="External"/><Relationship Id="rId173" Type="http://schemas.openxmlformats.org/officeDocument/2006/relationships/hyperlink" Target="http://ghgprotocol.org/node/589/" TargetMode="External"/><Relationship Id="rId229" Type="http://schemas.openxmlformats.org/officeDocument/2006/relationships/hyperlink" Target="http://www.climateneutralgroup.com/" TargetMode="External"/><Relationship Id="rId380" Type="http://schemas.openxmlformats.org/officeDocument/2006/relationships/hyperlink" Target="https://www.endscarbonoffsets.com/18/" TargetMode="External"/><Relationship Id="rId436" Type="http://schemas.openxmlformats.org/officeDocument/2006/relationships/hyperlink" Target="https://www.endscarbonoffsets.com/1137/" TargetMode="External"/><Relationship Id="rId601" Type="http://schemas.openxmlformats.org/officeDocument/2006/relationships/hyperlink" Target="https://www.endscarbonoffsets.com/285/" TargetMode="External"/><Relationship Id="rId240" Type="http://schemas.openxmlformats.org/officeDocument/2006/relationships/hyperlink" Target="http://www.facethefuture.com/" TargetMode="External"/><Relationship Id="rId478" Type="http://schemas.openxmlformats.org/officeDocument/2006/relationships/hyperlink" Target="https://www.endscarbonoffsets.com/605/" TargetMode="External"/><Relationship Id="rId35" Type="http://schemas.openxmlformats.org/officeDocument/2006/relationships/image" Target="media/image23.jpeg"/><Relationship Id="rId77" Type="http://schemas.openxmlformats.org/officeDocument/2006/relationships/image" Target="media/image54.png"/><Relationship Id="rId100" Type="http://schemas.openxmlformats.org/officeDocument/2006/relationships/hyperlink" Target="http://www.fao.org/forest-resources-assessment/current-assessment/en/" TargetMode="External"/><Relationship Id="rId282" Type="http://schemas.openxmlformats.org/officeDocument/2006/relationships/hyperlink" Target="http://www.gruposecacao.com/" TargetMode="External"/><Relationship Id="rId338" Type="http://schemas.openxmlformats.org/officeDocument/2006/relationships/hyperlink" Target="https://www.motorauthority.com/news/1124305_porsche-taycan-set-to-outsell-911-in-first-year-of-production" TargetMode="External"/><Relationship Id="rId503" Type="http://schemas.openxmlformats.org/officeDocument/2006/relationships/hyperlink" Target="https://www.endscarbonoffsets.com/179/" TargetMode="External"/><Relationship Id="rId545" Type="http://schemas.openxmlformats.org/officeDocument/2006/relationships/hyperlink" Target="https://www.endscarbonoffsets.com/223/" TargetMode="External"/><Relationship Id="rId587" Type="http://schemas.openxmlformats.org/officeDocument/2006/relationships/hyperlink" Target="https://www.endscarbonoffsets.com/271/" TargetMode="External"/><Relationship Id="rId8" Type="http://schemas.openxmlformats.org/officeDocument/2006/relationships/settings" Target="settings.xml"/><Relationship Id="rId142" Type="http://schemas.openxmlformats.org/officeDocument/2006/relationships/hyperlink" Target="http://eur-lex.europa.eu/legal-content/EN/TXT/?uri=CELEX:32013R0525" TargetMode="External"/><Relationship Id="rId184" Type="http://schemas.openxmlformats.org/officeDocument/2006/relationships/image" Target="media/image64.png"/><Relationship Id="rId391" Type="http://schemas.openxmlformats.org/officeDocument/2006/relationships/hyperlink" Target="https://www.endscarbonoffsets.com/38/" TargetMode="External"/><Relationship Id="rId405" Type="http://schemas.openxmlformats.org/officeDocument/2006/relationships/hyperlink" Target="https://www.endscarbonoffsets.com/1191/" TargetMode="External"/><Relationship Id="rId447" Type="http://schemas.openxmlformats.org/officeDocument/2006/relationships/hyperlink" Target="https://www.endscarbonoffsets.com/97/" TargetMode="External"/><Relationship Id="rId251" Type="http://schemas.openxmlformats.org/officeDocument/2006/relationships/hyperlink" Target="http://www.maviconsultants.com/" TargetMode="External"/><Relationship Id="rId489" Type="http://schemas.openxmlformats.org/officeDocument/2006/relationships/hyperlink" Target="https://www.endscarbonoffsets.com/162/" TargetMode="External"/><Relationship Id="rId46" Type="http://schemas.openxmlformats.org/officeDocument/2006/relationships/image" Target="media/image34.png"/><Relationship Id="rId293" Type="http://schemas.openxmlformats.org/officeDocument/2006/relationships/hyperlink" Target="https://aristotleuniversity-my.sharepoint.com/personal/tsioukas_office365_auth_gr/Documents/Mail/www.coderedd.org" TargetMode="External"/><Relationship Id="rId307" Type="http://schemas.openxmlformats.org/officeDocument/2006/relationships/hyperlink" Target="http://www.nativeenergy.com/" TargetMode="External"/><Relationship Id="rId349" Type="http://schemas.openxmlformats.org/officeDocument/2006/relationships/hyperlink" Target="https://doi.org/10.1038/srep19693" TargetMode="External"/><Relationship Id="rId514" Type="http://schemas.openxmlformats.org/officeDocument/2006/relationships/hyperlink" Target="https://www.endscarbonoffsets.com/189/" TargetMode="External"/><Relationship Id="rId556" Type="http://schemas.openxmlformats.org/officeDocument/2006/relationships/hyperlink" Target="https://www.endscarbonoffsets.com/236/" TargetMode="External"/><Relationship Id="rId88" Type="http://schemas.openxmlformats.org/officeDocument/2006/relationships/hyperlink" Target="http://eur-lex.europa.eu/legal-content/EN/TXT/?uri=uriserv:OJ.L_.2009.140.01.0136.01.ENG" TargetMode="External"/><Relationship Id="rId111" Type="http://schemas.openxmlformats.org/officeDocument/2006/relationships/hyperlink" Target="http://unfccc.int/resource/docs/2013/cop19/eng/10a03.pdf" TargetMode="External"/><Relationship Id="rId153" Type="http://schemas.openxmlformats.org/officeDocument/2006/relationships/image" Target="media/image60.png"/><Relationship Id="rId195" Type="http://schemas.openxmlformats.org/officeDocument/2006/relationships/hyperlink" Target="http://www.clpindia.in/" TargetMode="External"/><Relationship Id="rId209" Type="http://schemas.openxmlformats.org/officeDocument/2006/relationships/hyperlink" Target="http://www.carbonconsultingcompany.com/" TargetMode="External"/><Relationship Id="rId360" Type="http://schemas.openxmlformats.org/officeDocument/2006/relationships/hyperlink" Target="https://doi.org/10.1073/pnas.1003669107" TargetMode="External"/><Relationship Id="rId416" Type="http://schemas.openxmlformats.org/officeDocument/2006/relationships/hyperlink" Target="https://www.endscarbonoffsets.com/65/" TargetMode="External"/><Relationship Id="rId598" Type="http://schemas.openxmlformats.org/officeDocument/2006/relationships/hyperlink" Target="https://www.endscarbonoffsets.com/282/" TargetMode="External"/><Relationship Id="rId220" Type="http://schemas.openxmlformats.org/officeDocument/2006/relationships/hyperlink" Target="http://www.bosquessostenibles.com/" TargetMode="External"/><Relationship Id="rId458" Type="http://schemas.openxmlformats.org/officeDocument/2006/relationships/hyperlink" Target="https://www.endscarbonoffsets.com/781/" TargetMode="External"/><Relationship Id="rId15" Type="http://schemas.openxmlformats.org/officeDocument/2006/relationships/image" Target="media/image4.jpeg"/><Relationship Id="rId57" Type="http://schemas.openxmlformats.org/officeDocument/2006/relationships/image" Target="media/image43.jpg"/><Relationship Id="rId262" Type="http://schemas.openxmlformats.org/officeDocument/2006/relationships/hyperlink" Target="http://www.woodland-trust.org.uk/" TargetMode="External"/><Relationship Id="rId318" Type="http://schemas.openxmlformats.org/officeDocument/2006/relationships/hyperlink" Target="http://www.wcs.org/" TargetMode="External"/><Relationship Id="rId525" Type="http://schemas.openxmlformats.org/officeDocument/2006/relationships/hyperlink" Target="https://www.endscarbonoffsets.com/202/" TargetMode="External"/><Relationship Id="rId567" Type="http://schemas.openxmlformats.org/officeDocument/2006/relationships/hyperlink" Target="https://www.endscarbonoffsets.com/249/" TargetMode="External"/><Relationship Id="rId99" Type="http://schemas.openxmlformats.org/officeDocument/2006/relationships/image" Target="media/image57.png"/><Relationship Id="rId122" Type="http://schemas.openxmlformats.org/officeDocument/2006/relationships/image" Target="media/image58.png"/><Relationship Id="rId164" Type="http://schemas.openxmlformats.org/officeDocument/2006/relationships/hyperlink" Target="https://www.climateactionreserve.org/wp-content/uploads/2009/04/2015-Waste-Diversion-Mandates-Policy-Memo.pdf" TargetMode="External"/><Relationship Id="rId371" Type="http://schemas.openxmlformats.org/officeDocument/2006/relationships/hyperlink" Target="file:///I:\work%202020\MAIL\deliverables\WP5\MAIL_D5.2_AUTH.docx" TargetMode="External"/><Relationship Id="rId427" Type="http://schemas.openxmlformats.org/officeDocument/2006/relationships/hyperlink" Target="https://www.endscarbonoffsets.com/83/" TargetMode="External"/><Relationship Id="rId469" Type="http://schemas.openxmlformats.org/officeDocument/2006/relationships/hyperlink" Target="https://www.endscarbonoffsets.com/125/" TargetMode="External"/><Relationship Id="rId26" Type="http://schemas.openxmlformats.org/officeDocument/2006/relationships/hyperlink" Target="https://indices.ihsmarkit.com/Carbonindex" TargetMode="External"/><Relationship Id="rId231" Type="http://schemas.openxmlformats.org/officeDocument/2006/relationships/hyperlink" Target="http://www.climex.com/" TargetMode="External"/><Relationship Id="rId273" Type="http://schemas.openxmlformats.org/officeDocument/2006/relationships/hyperlink" Target="http://www.greenoxx.com/" TargetMode="External"/><Relationship Id="rId329" Type="http://schemas.openxmlformats.org/officeDocument/2006/relationships/hyperlink" Target="https://aristotleuniversity-my.sharepoint.com/personal/tsioukas_office365_auth_gr/Documents/Mail/tasland.org.au" TargetMode="External"/><Relationship Id="rId480" Type="http://schemas.openxmlformats.org/officeDocument/2006/relationships/hyperlink" Target="https://www.endscarbonoffsets.com/141/" TargetMode="External"/><Relationship Id="rId536" Type="http://schemas.openxmlformats.org/officeDocument/2006/relationships/hyperlink" Target="https://www.endscarbonoffsets.com/214/" TargetMode="External"/><Relationship Id="rId68" Type="http://schemas.openxmlformats.org/officeDocument/2006/relationships/hyperlink" Target="https://digital-strategy.ec.europa.eu/en/policies/destination-earth" TargetMode="External"/><Relationship Id="rId133" Type="http://schemas.openxmlformats.org/officeDocument/2006/relationships/hyperlink" Target="http://europa.eu/rapid/pressReleasesAction.do?reference=IP/12/234" TargetMode="External"/><Relationship Id="rId175" Type="http://schemas.openxmlformats.org/officeDocument/2006/relationships/hyperlink" Target="http://ghgprotocol.org/node/4" TargetMode="External"/><Relationship Id="rId340" Type="http://schemas.openxmlformats.org/officeDocument/2006/relationships/hyperlink" Target="http://www.goldstandard.org" TargetMode="External"/><Relationship Id="rId578" Type="http://schemas.openxmlformats.org/officeDocument/2006/relationships/hyperlink" Target="https://www.endscarbonoffsets.com/260/" TargetMode="External"/><Relationship Id="rId200" Type="http://schemas.openxmlformats.org/officeDocument/2006/relationships/hyperlink" Target="http://www.nbp.org.kh/" TargetMode="External"/><Relationship Id="rId382" Type="http://schemas.openxmlformats.org/officeDocument/2006/relationships/hyperlink" Target="https://www.endscarbonoffsets.com/20/" TargetMode="External"/><Relationship Id="rId438" Type="http://schemas.openxmlformats.org/officeDocument/2006/relationships/hyperlink" Target="https://www.endscarbonoffsets.com/90/" TargetMode="External"/><Relationship Id="rId603" Type="http://schemas.openxmlformats.org/officeDocument/2006/relationships/hyperlink" Target="https://www.endscarbonoffsets.com/287/" TargetMode="External"/><Relationship Id="rId242" Type="http://schemas.openxmlformats.org/officeDocument/2006/relationships/hyperlink" Target="http://www.fairclimatefund.nl/" TargetMode="External"/><Relationship Id="rId284" Type="http://schemas.openxmlformats.org/officeDocument/2006/relationships/hyperlink" Target="http://www.3degreesinc.com/" TargetMode="External"/><Relationship Id="rId491" Type="http://schemas.openxmlformats.org/officeDocument/2006/relationships/hyperlink" Target="https://www.endscarbonoffsets.com/164/" TargetMode="External"/><Relationship Id="rId505" Type="http://schemas.openxmlformats.org/officeDocument/2006/relationships/hyperlink" Target="https://www.endscarbonoffsets.com/181/" TargetMode="External"/><Relationship Id="rId37" Type="http://schemas.openxmlformats.org/officeDocument/2006/relationships/image" Target="media/image25.jpeg"/><Relationship Id="rId79" Type="http://schemas.openxmlformats.org/officeDocument/2006/relationships/hyperlink" Target="https://eur-lex.europa.eu/legal-content/EN/TXT/?qid=1546530905387&amp;uri=CELEX:32015D1814" TargetMode="External"/><Relationship Id="rId102" Type="http://schemas.openxmlformats.org/officeDocument/2006/relationships/hyperlink" Target="https://eur-lex.europa.eu/legal-content/EN/TXT/?uri=CELEX:32012R0601" TargetMode="External"/><Relationship Id="rId144" Type="http://schemas.openxmlformats.org/officeDocument/2006/relationships/hyperlink" Target="http://eur-lex.europa.eu/legal-content/EN/TXT/?uri=uriserv:OJ.L_.2014.179.01.0026.01.ENG" TargetMode="External"/><Relationship Id="rId547" Type="http://schemas.openxmlformats.org/officeDocument/2006/relationships/hyperlink" Target="https://www.endscarbonoffsets.com/226/" TargetMode="External"/><Relationship Id="rId589" Type="http://schemas.openxmlformats.org/officeDocument/2006/relationships/hyperlink" Target="https://www.endscarbonoffsets.com/273/" TargetMode="External"/><Relationship Id="rId90" Type="http://schemas.openxmlformats.org/officeDocument/2006/relationships/hyperlink" Target="https://ec.europa.eu/commission/priorities/energy-union-and-climate_en" TargetMode="External"/><Relationship Id="rId186" Type="http://schemas.openxmlformats.org/officeDocument/2006/relationships/hyperlink" Target="http://www.carbonmannaafrica.com/" TargetMode="External"/><Relationship Id="rId351" Type="http://schemas.openxmlformats.org/officeDocument/2006/relationships/hyperlink" Target="https://www.forest-trends.org/wp-content/uploads/imported/final_report_2010_9-1-10_no-crop-pdf.pdf" TargetMode="External"/><Relationship Id="rId393" Type="http://schemas.openxmlformats.org/officeDocument/2006/relationships/hyperlink" Target="https://www.endscarbonoffsets.com/36/" TargetMode="External"/><Relationship Id="rId407" Type="http://schemas.openxmlformats.org/officeDocument/2006/relationships/hyperlink" Target="https://www.endscarbonoffsets.com/55/" TargetMode="External"/><Relationship Id="rId449" Type="http://schemas.openxmlformats.org/officeDocument/2006/relationships/hyperlink" Target="https://www.endscarbonoffsets.com/101/" TargetMode="External"/><Relationship Id="rId211" Type="http://schemas.openxmlformats.org/officeDocument/2006/relationships/hyperlink" Target="http://www.vertconservation.com/" TargetMode="External"/><Relationship Id="rId253" Type="http://schemas.openxmlformats.org/officeDocument/2006/relationships/hyperlink" Target="http://www.myclimate.org/" TargetMode="External"/><Relationship Id="rId295" Type="http://schemas.openxmlformats.org/officeDocument/2006/relationships/hyperlink" Target="https://aristotleuniversity-my.sharepoint.com/personal/tsioukas_office365_auth_gr/Documents/Mail/conservation.org" TargetMode="External"/><Relationship Id="rId309" Type="http://schemas.openxmlformats.org/officeDocument/2006/relationships/hyperlink" Target="http://www.originclimate.com/" TargetMode="External"/><Relationship Id="rId460" Type="http://schemas.openxmlformats.org/officeDocument/2006/relationships/hyperlink" Target="https://www.endscarbonoffsets.com/111/" TargetMode="External"/><Relationship Id="rId516" Type="http://schemas.openxmlformats.org/officeDocument/2006/relationships/hyperlink" Target="https://www.endscarbonoffsets.com/191/" TargetMode="External"/><Relationship Id="rId48" Type="http://schemas.openxmlformats.org/officeDocument/2006/relationships/footer" Target="footer1.xml"/><Relationship Id="rId113" Type="http://schemas.openxmlformats.org/officeDocument/2006/relationships/hyperlink" Target="http://unfccc.int/resource/docs/2005/cmp1/eng/08a03.pdf" TargetMode="External"/><Relationship Id="rId320" Type="http://schemas.openxmlformats.org/officeDocument/2006/relationships/hyperlink" Target="http://www.carbonneutral.com.au/" TargetMode="External"/><Relationship Id="rId558" Type="http://schemas.openxmlformats.org/officeDocument/2006/relationships/hyperlink" Target="https://www.endscarbonoffsets.com/238/" TargetMode="External"/><Relationship Id="rId155" Type="http://schemas.openxmlformats.org/officeDocument/2006/relationships/image" Target="media/image61.png"/><Relationship Id="rId197" Type="http://schemas.openxmlformats.org/officeDocument/2006/relationships/hyperlink" Target="http://www.infisolutions.org/" TargetMode="External"/><Relationship Id="rId362" Type="http://schemas.openxmlformats.org/officeDocument/2006/relationships/hyperlink" Target="https://www.motorauthority.com/news/1124408_porsche-announces-carbon-offset-program-for-us" TargetMode="External"/><Relationship Id="rId418" Type="http://schemas.openxmlformats.org/officeDocument/2006/relationships/hyperlink" Target="https://www.endscarbonoffsets.com/67/" TargetMode="External"/><Relationship Id="rId222" Type="http://schemas.openxmlformats.org/officeDocument/2006/relationships/hyperlink" Target="http://www.carbonexpert.ro/" TargetMode="External"/><Relationship Id="rId264" Type="http://schemas.openxmlformats.org/officeDocument/2006/relationships/hyperlink" Target="http://www.ydmt.org/" TargetMode="External"/><Relationship Id="rId471" Type="http://schemas.openxmlformats.org/officeDocument/2006/relationships/hyperlink" Target="https://www.endscarbonoffsets.com/128/" TargetMode="External"/><Relationship Id="rId17" Type="http://schemas.openxmlformats.org/officeDocument/2006/relationships/image" Target="media/image6.jpeg"/><Relationship Id="rId59" Type="http://schemas.openxmlformats.org/officeDocument/2006/relationships/image" Target="media/image45.jpg"/><Relationship Id="rId124" Type="http://schemas.openxmlformats.org/officeDocument/2006/relationships/hyperlink" Target="https://eur-lex.europa.eu/legal-content/EN/TXT/?uri=uriserv:OJ.L_.2018.156.01.0001.01.ENG" TargetMode="External"/><Relationship Id="rId527" Type="http://schemas.openxmlformats.org/officeDocument/2006/relationships/hyperlink" Target="https://www.endscarbonoffsets.com/204/" TargetMode="External"/><Relationship Id="rId569" Type="http://schemas.openxmlformats.org/officeDocument/2006/relationships/hyperlink" Target="https://www.endscarbonoffsets.com/252/" TargetMode="External"/><Relationship Id="rId70" Type="http://schemas.openxmlformats.org/officeDocument/2006/relationships/image" Target="media/image49.png"/><Relationship Id="rId166" Type="http://schemas.openxmlformats.org/officeDocument/2006/relationships/hyperlink" Target="https://www.climateactionreserve.org/wp-content/uploads/2009/04/2012-Project-Diagrams-Policy-Memo-1.pdf" TargetMode="External"/><Relationship Id="rId331" Type="http://schemas.openxmlformats.org/officeDocument/2006/relationships/hyperlink" Target="http://www.weact.com.au/" TargetMode="External"/><Relationship Id="rId373" Type="http://schemas.openxmlformats.org/officeDocument/2006/relationships/hyperlink" Target="https://www.endscarbonoffsets.com/11/" TargetMode="External"/><Relationship Id="rId429" Type="http://schemas.openxmlformats.org/officeDocument/2006/relationships/hyperlink" Target="https://www.endscarbonoffsets.com/79/" TargetMode="External"/><Relationship Id="rId580" Type="http://schemas.openxmlformats.org/officeDocument/2006/relationships/hyperlink" Target="https://www.endscarbonoffsets.com/262/" TargetMode="External"/><Relationship Id="rId1" Type="http://schemas.openxmlformats.org/officeDocument/2006/relationships/customXml" Target="../customXml/item1.xml"/><Relationship Id="rId233" Type="http://schemas.openxmlformats.org/officeDocument/2006/relationships/hyperlink" Target="http://www.co2balance.com/" TargetMode="External"/><Relationship Id="rId440" Type="http://schemas.openxmlformats.org/officeDocument/2006/relationships/hyperlink" Target="https://www.endscarbonoffsets.com/92/" TargetMode="External"/><Relationship Id="rId28" Type="http://schemas.openxmlformats.org/officeDocument/2006/relationships/image" Target="media/image16.jpeg"/><Relationship Id="rId275" Type="http://schemas.openxmlformats.org/officeDocument/2006/relationships/hyperlink" Target="http://www.mexico2.com.mx/" TargetMode="External"/><Relationship Id="rId300" Type="http://schemas.openxmlformats.org/officeDocument/2006/relationships/hyperlink" Target="http://www.envirofit.org/" TargetMode="External"/><Relationship Id="rId482" Type="http://schemas.openxmlformats.org/officeDocument/2006/relationships/hyperlink" Target="https://www.endscarbonoffsets.com/146/" TargetMode="External"/><Relationship Id="rId538" Type="http://schemas.openxmlformats.org/officeDocument/2006/relationships/hyperlink" Target="https://www.endscarbonoffsets.com/216/" TargetMode="External"/><Relationship Id="rId81" Type="http://schemas.openxmlformats.org/officeDocument/2006/relationships/hyperlink" Target="https://eur-lex.europa.eu/legal-content/EN/TXT/?qid=1547715054952&amp;uri=CELEX:02010R1031-20171108" TargetMode="External"/><Relationship Id="rId135" Type="http://schemas.openxmlformats.org/officeDocument/2006/relationships/hyperlink" Target="http://europa.eu/!kr79Wm" TargetMode="External"/><Relationship Id="rId177" Type="http://schemas.openxmlformats.org/officeDocument/2006/relationships/hyperlink" Target="https://aristotleuniversity-my.sharepoint.com/personal/tsioukas_office365_auth_gr/Documents/Mail/ghgprotocol.org" TargetMode="External"/><Relationship Id="rId342" Type="http://schemas.openxmlformats.org/officeDocument/2006/relationships/hyperlink" Target="http://www.verra.org" TargetMode="External"/><Relationship Id="rId384" Type="http://schemas.openxmlformats.org/officeDocument/2006/relationships/hyperlink" Target="https://www.endscarbonoffsets.com/22/" TargetMode="External"/><Relationship Id="rId591" Type="http://schemas.openxmlformats.org/officeDocument/2006/relationships/hyperlink" Target="https://www.endscarbonoffsets.com/275/" TargetMode="External"/><Relationship Id="rId605" Type="http://schemas.openxmlformats.org/officeDocument/2006/relationships/theme" Target="theme/theme1.xml"/><Relationship Id="rId202" Type="http://schemas.openxmlformats.org/officeDocument/2006/relationships/hyperlink" Target="http://www.nexus-c4d.org/" TargetMode="External"/><Relationship Id="rId244" Type="http://schemas.openxmlformats.org/officeDocument/2006/relationships/hyperlink" Target="http://www.forestcarbon.co.uk/" TargetMode="External"/><Relationship Id="rId39" Type="http://schemas.openxmlformats.org/officeDocument/2006/relationships/image" Target="media/image27.jpeg"/><Relationship Id="rId286" Type="http://schemas.openxmlformats.org/officeDocument/2006/relationships/hyperlink" Target="http://www.b-e-f.org/" TargetMode="External"/><Relationship Id="rId451" Type="http://schemas.openxmlformats.org/officeDocument/2006/relationships/hyperlink" Target="https://www.endscarbonoffsets.com/107/" TargetMode="External"/><Relationship Id="rId493" Type="http://schemas.openxmlformats.org/officeDocument/2006/relationships/hyperlink" Target="https://www.endscarbonoffsets.com/166/" TargetMode="External"/><Relationship Id="rId507" Type="http://schemas.openxmlformats.org/officeDocument/2006/relationships/hyperlink" Target="https://www.endscarbonoffsets.com/183/" TargetMode="External"/><Relationship Id="rId549" Type="http://schemas.openxmlformats.org/officeDocument/2006/relationships/hyperlink" Target="https://www.endscarbonoffsets.com/229/" TargetMode="External"/><Relationship Id="rId50" Type="http://schemas.openxmlformats.org/officeDocument/2006/relationships/footer" Target="footer2.xml"/><Relationship Id="rId146" Type="http://schemas.openxmlformats.org/officeDocument/2006/relationships/hyperlink" Target="http://www.planvivo.org/" TargetMode="External"/><Relationship Id="rId188" Type="http://schemas.openxmlformats.org/officeDocument/2006/relationships/hyperlink" Target="http://www.crediblecarbon.com/" TargetMode="External"/><Relationship Id="rId311" Type="http://schemas.openxmlformats.org/officeDocument/2006/relationships/hyperlink" Target="http://www.sustainabletravel.org/" TargetMode="External"/><Relationship Id="rId353" Type="http://schemas.openxmlformats.org/officeDocument/2006/relationships/hyperlink" Target="https://www.foresteurope.org/docs/fullsoef2015.pdf" TargetMode="External"/><Relationship Id="rId395" Type="http://schemas.openxmlformats.org/officeDocument/2006/relationships/hyperlink" Target="https://www.endscarbonoffsets.com/39/" TargetMode="External"/><Relationship Id="rId409" Type="http://schemas.openxmlformats.org/officeDocument/2006/relationships/hyperlink" Target="https://www.endscarbonoffsets.com/57/" TargetMode="External"/><Relationship Id="rId560" Type="http://schemas.openxmlformats.org/officeDocument/2006/relationships/hyperlink" Target="https://www.endscarbonoffsets.com/240/" TargetMode="External"/><Relationship Id="rId92" Type="http://schemas.openxmlformats.org/officeDocument/2006/relationships/hyperlink" Target="https://eur-lex.europa.eu/legal-content/EN/TXT/?uri=uriserv:OJ.L_.2018.156.01.0026.01.ENG" TargetMode="External"/><Relationship Id="rId213" Type="http://schemas.openxmlformats.org/officeDocument/2006/relationships/hyperlink" Target="https://aristotleuniversity-my.sharepoint.com/personal/tsioukas_office365_auth_gr/Documents/Mail/aera-group.fr" TargetMode="External"/><Relationship Id="rId420" Type="http://schemas.openxmlformats.org/officeDocument/2006/relationships/hyperlink" Target="https://www.endscarbonoffsets.com/69/" TargetMode="External"/><Relationship Id="rId255" Type="http://schemas.openxmlformats.org/officeDocument/2006/relationships/hyperlink" Target="http://www.numerco.com/" TargetMode="External"/><Relationship Id="rId297" Type="http://schemas.openxmlformats.org/officeDocument/2006/relationships/hyperlink" Target="http://www.ecotierra.co/en" TargetMode="External"/><Relationship Id="rId462" Type="http://schemas.openxmlformats.org/officeDocument/2006/relationships/hyperlink" Target="https://www.endscarbonoffsets.com/116/" TargetMode="External"/><Relationship Id="rId518" Type="http://schemas.openxmlformats.org/officeDocument/2006/relationships/hyperlink" Target="https://www.endscarbonoffsets.com/193/" TargetMode="External"/><Relationship Id="rId115" Type="http://schemas.openxmlformats.org/officeDocument/2006/relationships/hyperlink" Target="http://unfccc.int/resource/docs/2011/cmp7/eng/10a01.pdf" TargetMode="External"/><Relationship Id="rId157" Type="http://schemas.openxmlformats.org/officeDocument/2006/relationships/hyperlink" Target="https://www.climateactionreserve.org/wp-content/uploads/2018/05/2018-GWP-Update-Memo.pdf" TargetMode="External"/><Relationship Id="rId322" Type="http://schemas.openxmlformats.org/officeDocument/2006/relationships/hyperlink" Target="http://www.cassinia.com/" TargetMode="External"/><Relationship Id="rId364" Type="http://schemas.openxmlformats.org/officeDocument/2006/relationships/hyperlink" Target="https://doi.org/10.1016/j.envsci.2009.12.005" TargetMode="External"/><Relationship Id="rId61" Type="http://schemas.openxmlformats.org/officeDocument/2006/relationships/image" Target="media/image47.jpg"/><Relationship Id="rId199" Type="http://schemas.openxmlformats.org/officeDocument/2006/relationships/hyperlink" Target="http://www.energy.or.kr" TargetMode="External"/><Relationship Id="rId571" Type="http://schemas.openxmlformats.org/officeDocument/2006/relationships/hyperlink" Target="https://www.endscarbonoffsets.com/106/" TargetMode="External"/><Relationship Id="rId19" Type="http://schemas.openxmlformats.org/officeDocument/2006/relationships/image" Target="media/image8.png"/><Relationship Id="rId224" Type="http://schemas.openxmlformats.org/officeDocument/2006/relationships/hyperlink" Target="http://www.carbon-connect.ch/" TargetMode="External"/><Relationship Id="rId266" Type="http://schemas.openxmlformats.org/officeDocument/2006/relationships/hyperlink" Target="http://www.ambio.org.mx/" TargetMode="External"/><Relationship Id="rId431" Type="http://schemas.openxmlformats.org/officeDocument/2006/relationships/hyperlink" Target="https://www.endscarbonoffsets.com/80/" TargetMode="External"/><Relationship Id="rId473" Type="http://schemas.openxmlformats.org/officeDocument/2006/relationships/hyperlink" Target="https://www.endscarbonoffsets.com/131/" TargetMode="External"/><Relationship Id="rId529" Type="http://schemas.openxmlformats.org/officeDocument/2006/relationships/hyperlink" Target="https://www.endscarbonoffsets.com/206/" TargetMode="External"/><Relationship Id="rId30" Type="http://schemas.openxmlformats.org/officeDocument/2006/relationships/image" Target="media/image18.jpg"/><Relationship Id="rId126" Type="http://schemas.openxmlformats.org/officeDocument/2006/relationships/hyperlink" Target="http://eur-lex.europa.eu/legal-content/EN/TXT/?uri=CELEX:52016PC0479" TargetMode="External"/><Relationship Id="rId168" Type="http://schemas.openxmlformats.org/officeDocument/2006/relationships/hyperlink" Target="https://www.climateactionreserve.org/wp-content/uploads/2009/04/Policy_Brief_on_Immediate_Crediting_of_Future_Avoided_Emissions.pdf" TargetMode="External"/><Relationship Id="rId333" Type="http://schemas.openxmlformats.org/officeDocument/2006/relationships/image" Target="media/image66.png"/><Relationship Id="rId540" Type="http://schemas.openxmlformats.org/officeDocument/2006/relationships/hyperlink" Target="https://www.endscarbonoffsets.com/1176/" TargetMode="External"/><Relationship Id="rId72" Type="http://schemas.openxmlformats.org/officeDocument/2006/relationships/image" Target="media/image50.png"/><Relationship Id="rId375" Type="http://schemas.openxmlformats.org/officeDocument/2006/relationships/hyperlink" Target="https://www.endscarbonoffsets.com/14/" TargetMode="External"/><Relationship Id="rId582" Type="http://schemas.openxmlformats.org/officeDocument/2006/relationships/hyperlink" Target="https://www.endscarbonoffsets.com/264/" TargetMode="External"/><Relationship Id="rId3" Type="http://schemas.openxmlformats.org/officeDocument/2006/relationships/customXml" Target="../customXml/item3.xml"/><Relationship Id="rId235" Type="http://schemas.openxmlformats.org/officeDocument/2006/relationships/hyperlink" Target="http://www.concern-universal.org/" TargetMode="External"/><Relationship Id="rId277" Type="http://schemas.openxmlformats.org/officeDocument/2006/relationships/hyperlink" Target="http://www.pantaleon.com/" TargetMode="External"/><Relationship Id="rId400" Type="http://schemas.openxmlformats.org/officeDocument/2006/relationships/hyperlink" Target="https://www.endscarbonoffsets.com/47/" TargetMode="External"/><Relationship Id="rId442" Type="http://schemas.openxmlformats.org/officeDocument/2006/relationships/hyperlink" Target="https://www.endscarbonoffsets.com/993/" TargetMode="External"/><Relationship Id="rId484" Type="http://schemas.openxmlformats.org/officeDocument/2006/relationships/hyperlink" Target="https://www.endscarbonoffsets.com/153/" TargetMode="External"/><Relationship Id="rId137" Type="http://schemas.openxmlformats.org/officeDocument/2006/relationships/hyperlink" Target="https://ec.europa.eu/clima/consultations/articles/0003_en" TargetMode="External"/><Relationship Id="rId302" Type="http://schemas.openxmlformats.org/officeDocument/2006/relationships/hyperlink" Target="http://www.forestcarbonoffsets.net/" TargetMode="External"/><Relationship Id="rId344" Type="http://schemas.openxmlformats.org/officeDocument/2006/relationships/hyperlink" Target="http://dx.doi.org/10.2788/29442" TargetMode="External"/><Relationship Id="rId41" Type="http://schemas.openxmlformats.org/officeDocument/2006/relationships/image" Target="media/image29.jpeg"/><Relationship Id="rId83" Type="http://schemas.openxmlformats.org/officeDocument/2006/relationships/hyperlink" Target="https://ec.europa.eu/clima/policies/strategies/2020_en" TargetMode="External"/><Relationship Id="rId179" Type="http://schemas.openxmlformats.org/officeDocument/2006/relationships/hyperlink" Target="http://www.bluenext.eu/" TargetMode="External"/><Relationship Id="rId386" Type="http://schemas.openxmlformats.org/officeDocument/2006/relationships/hyperlink" Target="https://www.endscarbonoffsets.com/26/" TargetMode="External"/><Relationship Id="rId551" Type="http://schemas.openxmlformats.org/officeDocument/2006/relationships/hyperlink" Target="https://www.endscarbonoffsets.com/231/" TargetMode="External"/><Relationship Id="rId593" Type="http://schemas.openxmlformats.org/officeDocument/2006/relationships/hyperlink" Target="https://www.endscarbonoffsets.com/277/" TargetMode="External"/><Relationship Id="rId190" Type="http://schemas.openxmlformats.org/officeDocument/2006/relationships/hyperlink" Target="http://www.nedbank.co.za/" TargetMode="External"/><Relationship Id="rId204" Type="http://schemas.openxmlformats.org/officeDocument/2006/relationships/hyperlink" Target="http://www.pear-carbon-offset.org/" TargetMode="External"/><Relationship Id="rId246" Type="http://schemas.openxmlformats.org/officeDocument/2006/relationships/hyperlink" Target="http://www.co2-zero.it/" TargetMode="External"/><Relationship Id="rId288" Type="http://schemas.openxmlformats.org/officeDocument/2006/relationships/hyperlink" Target="https://aristotleuniversity-my.sharepoint.com/personal/tsioukas_office365_auth_gr/Documents/Mail/COTAP.org" TargetMode="External"/><Relationship Id="rId411" Type="http://schemas.openxmlformats.org/officeDocument/2006/relationships/hyperlink" Target="https://www.endscarbonoffsets.com/33/" TargetMode="External"/><Relationship Id="rId453" Type="http://schemas.openxmlformats.org/officeDocument/2006/relationships/hyperlink" Target="https://www.endscarbonoffsets.com/105/" TargetMode="External"/><Relationship Id="rId509" Type="http://schemas.openxmlformats.org/officeDocument/2006/relationships/hyperlink" Target="https://www.endscarbonoffsets.com/971/" TargetMode="External"/><Relationship Id="rId106" Type="http://schemas.openxmlformats.org/officeDocument/2006/relationships/hyperlink" Target="https://eur-lex.europa.eu/legal-content/EN/TXT/?uri=CELEX:32012R0600" TargetMode="External"/><Relationship Id="rId313" Type="http://schemas.openxmlformats.org/officeDocument/2006/relationships/hyperlink" Target="http://www.terrapass.com/" TargetMode="External"/><Relationship Id="rId495" Type="http://schemas.openxmlformats.org/officeDocument/2006/relationships/hyperlink" Target="https://www.endscarbonoffsets.com/909/" TargetMode="External"/><Relationship Id="rId10" Type="http://schemas.openxmlformats.org/officeDocument/2006/relationships/footnotes" Target="footnotes.xml"/><Relationship Id="rId52" Type="http://schemas.openxmlformats.org/officeDocument/2006/relationships/image" Target="media/image38.png"/><Relationship Id="rId94" Type="http://schemas.openxmlformats.org/officeDocument/2006/relationships/hyperlink" Target="https://ec.europa.eu/clima/policies/f-gas_en" TargetMode="External"/><Relationship Id="rId148" Type="http://schemas.openxmlformats.org/officeDocument/2006/relationships/hyperlink" Target="http://www.climate-standards.org/ccb-standards/" TargetMode="External"/><Relationship Id="rId355" Type="http://schemas.openxmlformats.org/officeDocument/2006/relationships/hyperlink" Target="https://doi.org/10.1038/ncomms12717" TargetMode="External"/><Relationship Id="rId397" Type="http://schemas.openxmlformats.org/officeDocument/2006/relationships/hyperlink" Target="https://www.endscarbonoffsets.com/41/" TargetMode="External"/><Relationship Id="rId520" Type="http://schemas.openxmlformats.org/officeDocument/2006/relationships/hyperlink" Target="https://www.endscarbonoffsets.com/195/" TargetMode="External"/><Relationship Id="rId562" Type="http://schemas.openxmlformats.org/officeDocument/2006/relationships/hyperlink" Target="https://www.endscarbonoffsets.com/243/" TargetMode="External"/><Relationship Id="rId215" Type="http://schemas.openxmlformats.org/officeDocument/2006/relationships/hyperlink" Target="http://www.althelia.com/" TargetMode="External"/><Relationship Id="rId257" Type="http://schemas.openxmlformats.org/officeDocument/2006/relationships/hyperlink" Target="http://www.primaklima.org/" TargetMode="External"/><Relationship Id="rId422" Type="http://schemas.openxmlformats.org/officeDocument/2006/relationships/hyperlink" Target="https://www.endscarbonoffsets.com/71/" TargetMode="External"/><Relationship Id="rId464" Type="http://schemas.openxmlformats.org/officeDocument/2006/relationships/hyperlink" Target="https://www.endscarbonoffsets.com/120/" TargetMode="External"/><Relationship Id="rId299" Type="http://schemas.openxmlformats.org/officeDocument/2006/relationships/hyperlink" Target="http://www.elementmarkets.com/" TargetMode="External"/><Relationship Id="rId63" Type="http://schemas.openxmlformats.org/officeDocument/2006/relationships/hyperlink" Target="https://ec.europa.eu/social/main.jsp?catId=1517&amp;langId=en" TargetMode="External"/><Relationship Id="rId159" Type="http://schemas.openxmlformats.org/officeDocument/2006/relationships/hyperlink" Target="https://www.climateactionreserve.org/wp-content/uploads/2009/04/2017-ARB-Reserve-Forest-Project-MRV-Memo.pdf" TargetMode="External"/><Relationship Id="rId366" Type="http://schemas.openxmlformats.org/officeDocument/2006/relationships/hyperlink" Target="https://doi.org/10.1016/j.ecolecon.2009.09.007" TargetMode="External"/><Relationship Id="rId573" Type="http://schemas.openxmlformats.org/officeDocument/2006/relationships/hyperlink" Target="https://www.endscarbonoffsets.com/255/" TargetMode="External"/><Relationship Id="rId226" Type="http://schemas.openxmlformats.org/officeDocument/2006/relationships/hyperlink" Target="http://www.chinacarbonfund.com/" TargetMode="External"/><Relationship Id="rId433" Type="http://schemas.openxmlformats.org/officeDocument/2006/relationships/hyperlink" Target="https://www.endscarbonoffsets.com/81/" TargetMode="External"/><Relationship Id="rId74" Type="http://schemas.openxmlformats.org/officeDocument/2006/relationships/image" Target="media/image51.png"/><Relationship Id="rId377" Type="http://schemas.openxmlformats.org/officeDocument/2006/relationships/hyperlink" Target="https://www.endscarbonoffsets.com/15/" TargetMode="External"/><Relationship Id="rId500" Type="http://schemas.openxmlformats.org/officeDocument/2006/relationships/hyperlink" Target="https://www.endscarbonoffsets.com/175/" TargetMode="External"/><Relationship Id="rId584" Type="http://schemas.openxmlformats.org/officeDocument/2006/relationships/hyperlink" Target="https://www.endscarbonoffsets.com/267/" TargetMode="External"/><Relationship Id="rId5" Type="http://schemas.openxmlformats.org/officeDocument/2006/relationships/customXml" Target="../customXml/item5.xml"/><Relationship Id="rId237" Type="http://schemas.openxmlformats.org/officeDocument/2006/relationships/hyperlink" Target="http://www.ofenmacher.org/" TargetMode="External"/><Relationship Id="rId444" Type="http://schemas.openxmlformats.org/officeDocument/2006/relationships/hyperlink" Target="https://www.endscarbonoffsets.com/94/" TargetMode="External"/><Relationship Id="rId290" Type="http://schemas.openxmlformats.org/officeDocument/2006/relationships/hyperlink" Target="http://www.cleanairaction.com/" TargetMode="External"/><Relationship Id="rId304" Type="http://schemas.openxmlformats.org/officeDocument/2006/relationships/hyperlink" Target="http://www.impactcarbon.org/" TargetMode="External"/><Relationship Id="rId388" Type="http://schemas.openxmlformats.org/officeDocument/2006/relationships/hyperlink" Target="https://www.endscarbonoffsets.com/417/" TargetMode="External"/><Relationship Id="rId511" Type="http://schemas.openxmlformats.org/officeDocument/2006/relationships/hyperlink" Target="https://www.endscarbonoffsets.com/186/" TargetMode="External"/><Relationship Id="rId85" Type="http://schemas.openxmlformats.org/officeDocument/2006/relationships/image" Target="media/image55.png"/><Relationship Id="rId150" Type="http://schemas.openxmlformats.org/officeDocument/2006/relationships/hyperlink" Target="https://registry.goldstandard.org/projects" TargetMode="External"/><Relationship Id="rId595" Type="http://schemas.openxmlformats.org/officeDocument/2006/relationships/hyperlink" Target="https://www.endscarbonoffsets.com/278/" TargetMode="External"/><Relationship Id="rId248" Type="http://schemas.openxmlformats.org/officeDocument/2006/relationships/hyperlink" Target="http://www.gtecarbon.com/" TargetMode="External"/><Relationship Id="rId455" Type="http://schemas.openxmlformats.org/officeDocument/2006/relationships/hyperlink" Target="https://www.endscarbonoffsets.com/109/" TargetMode="External"/><Relationship Id="rId12" Type="http://schemas.openxmlformats.org/officeDocument/2006/relationships/image" Target="media/image1.png"/><Relationship Id="rId108" Type="http://schemas.openxmlformats.org/officeDocument/2006/relationships/hyperlink" Target="http://www.ipcc-nggip.iges.or.jp/public/gpglulucf/gpglulucf.html" TargetMode="External"/><Relationship Id="rId315" Type="http://schemas.openxmlformats.org/officeDocument/2006/relationships/hyperlink" Target="http://www.conservationfund.org/" TargetMode="External"/><Relationship Id="rId522" Type="http://schemas.openxmlformats.org/officeDocument/2006/relationships/hyperlink" Target="https://www.endscarbonoffsets.com/197/" TargetMode="External"/><Relationship Id="rId96" Type="http://schemas.openxmlformats.org/officeDocument/2006/relationships/hyperlink" Target="https://ec.europa.eu/clima/policies/ets_en" TargetMode="External"/><Relationship Id="rId161" Type="http://schemas.openxmlformats.org/officeDocument/2006/relationships/hyperlink" Target="https://www.climateactionreserve.org/wp-content/uploads/2009/04/2016-Forest-Monitoring-Memo.pdf" TargetMode="External"/><Relationship Id="rId399" Type="http://schemas.openxmlformats.org/officeDocument/2006/relationships/hyperlink" Target="https://www.endscarbonoffsets.com/46/" TargetMode="External"/><Relationship Id="rId259" Type="http://schemas.openxmlformats.org/officeDocument/2006/relationships/hyperlink" Target="http://www.hivos.org/" TargetMode="External"/><Relationship Id="rId466" Type="http://schemas.openxmlformats.org/officeDocument/2006/relationships/hyperlink" Target="https://www.endscarbonoffsets.com/122/" TargetMode="External"/><Relationship Id="rId23" Type="http://schemas.openxmlformats.org/officeDocument/2006/relationships/image" Target="media/image12.jpeg"/><Relationship Id="rId119" Type="http://schemas.openxmlformats.org/officeDocument/2006/relationships/hyperlink" Target="https://ec.europa.eu/clima/policies/international/negotiations/paris_en" TargetMode="External"/><Relationship Id="rId326" Type="http://schemas.openxmlformats.org/officeDocument/2006/relationships/hyperlink" Target="http://www.enviro-mark.com/" TargetMode="External"/><Relationship Id="rId533" Type="http://schemas.openxmlformats.org/officeDocument/2006/relationships/hyperlink" Target="https://www.endscarbonoffsets.com/210/" TargetMode="External"/><Relationship Id="rId172" Type="http://schemas.openxmlformats.org/officeDocument/2006/relationships/hyperlink" Target="http://www.wri.org/publication/safe-climate-sound-business-action-agenda" TargetMode="External"/><Relationship Id="rId477" Type="http://schemas.openxmlformats.org/officeDocument/2006/relationships/hyperlink" Target="https://www.endscarbonoffsets.com/138/" TargetMode="External"/><Relationship Id="rId600" Type="http://schemas.openxmlformats.org/officeDocument/2006/relationships/hyperlink" Target="https://www.endscarbonoffsets.com/284/" TargetMode="External"/><Relationship Id="rId337" Type="http://schemas.openxmlformats.org/officeDocument/2006/relationships/hyperlink" Target="http://www.ecosia.org/" TargetMode="External"/><Relationship Id="rId34" Type="http://schemas.openxmlformats.org/officeDocument/2006/relationships/image" Target="media/image22.jpeg"/><Relationship Id="rId544" Type="http://schemas.openxmlformats.org/officeDocument/2006/relationships/hyperlink" Target="https://www.endscarbonoffsets.com/222/" TargetMode="External"/><Relationship Id="rId183" Type="http://schemas.openxmlformats.org/officeDocument/2006/relationships/image" Target="media/image63.png"/><Relationship Id="rId390" Type="http://schemas.openxmlformats.org/officeDocument/2006/relationships/hyperlink" Target="https://www.endscarbonoffsets.com/29/" TargetMode="External"/><Relationship Id="rId404" Type="http://schemas.openxmlformats.org/officeDocument/2006/relationships/hyperlink" Target="https://www.endscarbonoffsets.com/52/" TargetMode="External"/><Relationship Id="rId250" Type="http://schemas.openxmlformats.org/officeDocument/2006/relationships/hyperlink" Target="http://www.clean-co2.com/" TargetMode="External"/><Relationship Id="rId488" Type="http://schemas.openxmlformats.org/officeDocument/2006/relationships/hyperlink" Target="https://www.endscarbonoffsets.com/161/" TargetMode="External"/><Relationship Id="rId45" Type="http://schemas.openxmlformats.org/officeDocument/2006/relationships/image" Target="media/image33.png"/><Relationship Id="rId110" Type="http://schemas.openxmlformats.org/officeDocument/2006/relationships/hyperlink" Target="http://unfccc.int/resource/docs/cop9/06a01.pdf" TargetMode="External"/><Relationship Id="rId348" Type="http://schemas.openxmlformats.org/officeDocument/2006/relationships/hyperlink" Target="https://doi.org/10.1016/S0149-2063(96)90037-9" TargetMode="External"/><Relationship Id="rId555" Type="http://schemas.openxmlformats.org/officeDocument/2006/relationships/hyperlink" Target="https://www.endscarbonoffsets.com/235/" TargetMode="External"/><Relationship Id="rId194" Type="http://schemas.openxmlformats.org/officeDocument/2006/relationships/hyperlink" Target="http://www.carbonyatra.com/" TargetMode="External"/><Relationship Id="rId208" Type="http://schemas.openxmlformats.org/officeDocument/2006/relationships/hyperlink" Target="http://www.tasma.in/" TargetMode="External"/><Relationship Id="rId415" Type="http://schemas.openxmlformats.org/officeDocument/2006/relationships/hyperlink" Target="https://www.endscarbonoffsets.com/63/" TargetMode="External"/><Relationship Id="rId261" Type="http://schemas.openxmlformats.org/officeDocument/2006/relationships/hyperlink" Target="http://www.w2m.es/" TargetMode="External"/><Relationship Id="rId499" Type="http://schemas.openxmlformats.org/officeDocument/2006/relationships/hyperlink" Target="https://www.endscarbonoffsets.com/843/"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fao.org/forestry/sfm/85084/e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_rels/header2.xml.rels><?xml version="1.0" encoding="UTF-8" standalone="yes"?>
<Relationships xmlns="http://schemas.openxmlformats.org/package/2006/relationships"><Relationship Id="rId1" Type="http://schemas.openxmlformats.org/officeDocument/2006/relationships/image" Target="media/image36.jpg"/></Relationships>
</file>

<file path=word/theme/theme1.xml><?xml version="1.0" encoding="utf-8"?>
<a:theme xmlns:a="http://schemas.openxmlformats.org/drawingml/2006/main" name="Office Theme">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41FF51671624843AFAA384D69E8B1C8" ma:contentTypeVersion="0" ma:contentTypeDescription="Ein neues Dokument erstellen." ma:contentTypeScope="" ma:versionID="23c0cf2c573c8448a84d81febf146cbb">
  <xsd:schema xmlns:xsd="http://www.w3.org/2001/XMLSchema" xmlns:xs="http://www.w3.org/2001/XMLSchema" xmlns:p="http://schemas.microsoft.com/office/2006/metadata/properties" xmlns:ns2="ed69c66b-27e3-4ec8-aa0f-1154b8a60c1b" xmlns:ns3="E1F330CF-4162-40C7-A61E-D42318FC0B9B" targetNamespace="http://schemas.microsoft.com/office/2006/metadata/properties" ma:root="true" ma:fieldsID="953ef5715fbd11a4c37c51d43c23d5ac" ns2:_="" ns3:_="">
    <xsd:import namespace="ed69c66b-27e3-4ec8-aa0f-1154b8a60c1b"/>
    <xsd:import namespace="E1F330CF-4162-40C7-A61E-D42318FC0B9B"/>
    <xsd:element name="properties">
      <xsd:complexType>
        <xsd:sequence>
          <xsd:element name="documentManagement">
            <xsd:complexType>
              <xsd:all>
                <xsd:element ref="ns2:_dlc_DocId" minOccurs="0"/>
                <xsd:element ref="ns2:_dlc_DocIdUrl" minOccurs="0"/>
                <xsd:element ref="ns2:_dlc_DocIdPersistId" minOccurs="0"/>
                <xsd:element ref="ns3:Status"/>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69c66b-27e3-4ec8-aa0f-1154b8a60c1b" elementFormDefault="qualified">
    <xsd:import namespace="http://schemas.microsoft.com/office/2006/documentManagement/types"/>
    <xsd:import namespace="http://schemas.microsoft.com/office/infopath/2007/PartnerControls"/>
    <xsd:element name="_dlc_DocId" ma:index="8" nillable="true" ma:displayName="Wert der Dokument-ID" ma:description="Der Wert der diesem Element zugewiesenen Dokument-ID." ma:internalName="_dlc_DocId" ma:readOnly="true">
      <xsd:simpleType>
        <xsd:restriction base="dms:Text"/>
      </xsd:simpleType>
    </xsd:element>
    <xsd:element name="_dlc_DocIdUrl" ma:index="9" nillable="true" ma:displayName="Dokument-ID" ma:description="Permanenter Hyperlink zu diesem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1F330CF-4162-40C7-A61E-D42318FC0B9B" elementFormDefault="qualified">
    <xsd:import namespace="http://schemas.microsoft.com/office/2006/documentManagement/types"/>
    <xsd:import namespace="http://schemas.microsoft.com/office/infopath/2007/PartnerControls"/>
    <xsd:element name="Status" ma:index="11" ma:displayName="Status" ma:decimals="0" ma:default="0" ma:internalName="Status" ma:percentage="TRUE">
      <xsd:simpleType>
        <xsd:restriction base="dms:Number">
          <xsd:maxInclusive value="1"/>
          <xsd:minInclusive value="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ed69c66b-27e3-4ec8-aa0f-1154b8a60c1b">TSVQPAV2QD32-883715478-100</_dlc_DocId>
    <_dlc_DocIdUrl xmlns="ed69c66b-27e3-4ec8-aa0f-1154b8a60c1b">
      <Url>https://proj.iabg.de/MSCA-RISE/_layouts/15/DocIdRedir.aspx?ID=TSVQPAV2QD32-883715478-100</Url>
      <Description>TSVQPAV2QD32-883715478-100</Description>
    </_dlc_DocIdUrl>
    <Status xmlns="E1F330CF-4162-40C7-A61E-D42318FC0B9B">0</Status>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b:Source>
    <b:Tag>Sin18</b:Tag>
    <b:SourceType>ConferenceProceedings</b:SourceType>
    <b:Guid>{446EFA26-2B81-4C28-A59A-D2F070FF95D0}</b:Guid>
    <b:Author>
      <b:Author>
        <b:NameList>
          <b:Person>
            <b:Last>Singhal</b:Last>
            <b:First>P.</b:First>
          </b:Person>
        </b:NameList>
      </b:Author>
    </b:Author>
    <b:Title>Environmental regulations: Lessons from the command-and-control approach (No. 124). </b:Title>
    <b:Year>2018</b:Year>
    <b:ConferenceName>DIW Roundup: Politik im Fokus</b:ConferenceName>
    <b:RefOrder>1</b:RefOrder>
  </b:Source>
  <b:Source>
    <b:Tag>OEC19</b:Tag>
    <b:SourceType>InternetSite</b:SourceType>
    <b:Guid>{B1B2BAF4-E203-46D2-931E-D77AB49C9081}</b:Guid>
    <b:Title>OECD</b:Title>
    <b:InternetSiteTitle>Organisation for Economic Co-operation and Development</b:InternetSiteTitle>
    <b:Year>2019</b:Year>
    <b:Month>Sepetember</b:Month>
    <b:Day>2</b:Day>
    <b:URL>https://www.oecd.org/environment/tools-evaluation/emissiontradingsystems.htm</b:URL>
    <b:RefOrder>2</b:RefOrder>
  </b:Source>
  <b:Source>
    <b:Tag>McL19</b:Tag>
    <b:SourceType>DocumentFromInternetSite</b:SourceType>
    <b:Guid>{D7A547CA-31FC-4369-8669-A788523D6CCD}</b:Guid>
    <b:Title>The Climate Institute</b:Title>
    <b:Year>2019</b:Year>
    <b:Author>
      <b:Author>
        <b:Corporate>McLennan Magasanik Associates</b:Corporate>
      </b:Author>
    </b:Author>
    <b:InternetSiteTitle>The Climate Institute</b:InternetSiteTitle>
    <b:Month>September</b:Month>
    <b:Day>2</b:Day>
    <b:URL>http://www.climateinstitute.org.au/verve/_resources/cap_and_trade_vs_baseline_briefing_paper_june_25_2009.pdf</b:URL>
    <b:RefOrder>3</b:RefOrder>
  </b:Source>
  <b:Source>
    <b:Tag>Tie99</b:Tag>
    <b:SourceType>Report</b:SourceType>
    <b:Guid>{3FD75D31-99AD-42DD-8A3C-27853545A037}</b:Guid>
    <b:Title>International Rules for Greenhouse Gas Emissions Trading</b:Title>
    <b:Year>1999</b:Year>
    <b:Publisher>UNITED NATIONS CONFERENCE ON TRADE AND DEVELOPMENT</b:Publisher>
    <b:Author>
      <b:Author>
        <b:NameList>
          <b:Person>
            <b:Last>Tietenberg</b:Last>
            <b:First>Tom </b:First>
          </b:Person>
          <b:Person>
            <b:Last>Grubb</b:Last>
            <b:First>Michael </b:First>
          </b:Person>
          <b:Person>
            <b:Last>Michaelowa</b:Last>
            <b:First>Axel</b:First>
          </b:Person>
          <b:Person>
            <b:Last>Swift</b:Last>
            <b:First>Byron</b:First>
          </b:Person>
          <b:Person>
            <b:Last>Zhang</b:Last>
            <b:First>ZhongXiang </b:First>
          </b:Person>
        </b:NameList>
      </b:Author>
    </b:Author>
    <b:RefOrder>4</b:RefOrder>
  </b:Source>
  <b:Source>
    <b:Tag>Int19</b:Tag>
    <b:SourceType>DocumentFromInternetSite</b:SourceType>
    <b:Guid>{131CE5A8-0012-4507-B419-83B7C1081BA2}</b:Guid>
    <b:Author>
      <b:Author>
        <b:NameList>
          <b:Person>
            <b:Last>Partnership</b:Last>
            <b:First>International</b:First>
            <b:Middle>Carbon Action</b:Middle>
          </b:Person>
        </b:NameList>
      </b:Author>
    </b:Author>
    <b:Title>ETS Detailed Information</b:Title>
    <b:Year>2019</b:Year>
    <b:InternetSiteTitle>International Carbon Action Partnership</b:InternetSiteTitle>
    <b:Month>April</b:Month>
    <b:Day>9</b:Day>
    <b:URL>https://icapcarbonaction.com/en/?option=com_etsmap&amp;task=export&amp;format=pdf&amp;layout=list</b:URL>
    <b:RefOrder>5</b:RefOrder>
  </b:Source>
  <b:Source>
    <b:Tag>Cél19</b:Tag>
    <b:SourceType>Report</b:SourceType>
    <b:Guid>{DAF92B01-5D61-4445-B19B-2AFC61BD8AFC}</b:Guid>
    <b:Title>State and Trends of Carbon Pricing 2019</b:Title>
    <b:Year>2019</b:Year>
    <b:City>Washington DC</b:City>
    <b:Publisher>World Bank Group</b:Publisher>
    <b:LCID>en-US</b:LCID>
    <b:Author>
      <b:Author>
        <b:NameList>
          <b:Person>
            <b:Last>Ramstein </b:Last>
            <b:First>Céline</b:First>
          </b:Person>
          <b:Person>
            <b:Last>Dominioni</b:Last>
            <b:First>Goran</b:First>
          </b:Person>
          <b:Person>
            <b:Last>Ettehad</b:Last>
            <b:First>Sanaz </b:First>
          </b:Person>
        </b:NameList>
      </b:Author>
    </b:Author>
    <b:RefOrder>6</b:RefOrder>
  </b:Source>
  <b:Source>
    <b:Tag>htt</b:Tag>
    <b:SourceType>InternetSite</b:SourceType>
    <b:Guid>{01838D51-6CBD-41A5-ADA1-E16EE92044B4}</b:Guid>
    <b:URL>https://www.co2offsetresearch.org/policy/MandatoryVsVoluntary.html</b:URL>
    <b:Title>Carbon Offset Research and Education</b:Title>
    <b:InternetSiteTitle>Carbon Offset Research and Education</b:InternetSiteTitle>
    <b:Year>2019</b:Year>
    <b:Month>September</b:Month>
    <b:Day>6</b:Day>
    <b:RefOrder>7</b:RefOrder>
  </b:Source>
  <b:Source>
    <b:Tag>Cle19</b:Tag>
    <b:SourceType>InternetSite</b:SourceType>
    <b:Guid>{F5CC5397-2492-43C8-9527-F747FD7241AA}</b:Guid>
    <b:Author>
      <b:Author>
        <b:Corporate>Clean Development Mechanism</b:Corporate>
      </b:Author>
    </b:Author>
    <b:Title>Clean Development Mechanism Registry</b:Title>
    <b:Year>2019</b:Year>
    <b:Month>September</b:Month>
    <b:Day>6</b:Day>
    <b:URL>https://cdm.unfccc.int/Projects/projsearch.html</b:URL>
    <b:RefOrder>8</b:RefOrder>
  </b:Source>
  <b:Source>
    <b:Tag>CDM18</b:Tag>
    <b:SourceType>InternetSite</b:SourceType>
    <b:Guid>{709BA139-3B77-48B9-9448-F6A75E30E536}</b:Guid>
    <b:Title>CDM Can Inspire, Inform, Outfit Any New Mechanism under Paris Agreement</b:Title>
    <b:InternetSiteTitle>United Nations Framework Convention on Climate Change</b:InternetSiteTitle>
    <b:Year>2018</b:Year>
    <b:Month>May</b:Month>
    <b:Day>3</b:Day>
    <b:URL>https://unfccc.int/news/cdm-can-inspire-inform-outfit-any-new-mechanism-under-paris-agreement</b:URL>
    <b:RefOrder>9</b:RefOrder>
  </b:Source>
  <b:Source>
    <b:Tag>Eco19</b:Tag>
    <b:SourceType>ElectronicSource</b:SourceType>
    <b:Guid>{235D1817-E77A-4977-8119-AACF42FD2F79}</b:Guid>
    <b:Author>
      <b:Author>
        <b:Corporate>Ecosystem Marketplace</b:Corporate>
      </b:Author>
    </b:Author>
    <b:Title>CORSIA and the Voluntary Carbon Markets</b:Title>
    <b:URL>https://www.forest-trends.org/wp-content/uploads/2018/10/CORSIA_infographic.pdf</b:URL>
    <b:YearAccessed>2019</b:YearAccessed>
    <b:MonthAccessed>Sepember</b:MonthAccessed>
    <b:DayAccessed>4</b:DayAccessed>
    <b:RefOrder>10</b:RefOrder>
  </b:Source>
  <b:Source>
    <b:Tag>Ham18</b:Tag>
    <b:SourceType>Report</b:SourceType>
    <b:Guid>{0EFA171B-47CF-4714-94FC-D9FF09D83C9D}</b:Guid>
    <b:Title>Voluntary Carbon Markets Insights: 2018 Outlook and First-Quarter Trends</b:Title>
    <b:Year>2018</b:Year>
    <b:Publisher>Donofrio Stefan, Anne Donofrio</b:Publisher>
    <b:Author>
      <b:Author>
        <b:NameList>
          <b:Person>
            <b:Last>Hamrick</b:Last>
            <b:First>Kelley</b:First>
          </b:Person>
          <b:Person>
            <b:Last>Gallant</b:Last>
            <b:First>Melissa</b:First>
          </b:Person>
        </b:NameList>
      </b:Author>
    </b:Author>
    <b:RefOrder>11</b:RefOrder>
  </b:Source>
  <b:Source>
    <b:Tag>Wor19</b:Tag>
    <b:SourceType>Report</b:SourceType>
    <b:Guid>{CD380220-7EC8-432B-8EE9-5E39F6CD6058}</b:Guid>
    <b:Author>
      <b:Author>
        <b:Corporate>World Bank Group</b:Corporate>
      </b:Author>
    </b:Author>
    <b:Title>State and Trends of Carbon Pricing 2019</b:Title>
    <b:City>Washington DC</b:City>
    <b:Year>2019</b:Year>
    <b:RefOrder>12</b:RefOrder>
  </b:Source>
  <b:Source>
    <b:Tag>Ham</b:Tag>
    <b:SourceType>Report</b:SourceType>
    <b:Guid>{6222F5D6-C719-4E39-92AA-7D50581E83B4}</b:Guid>
    <b:Author>
      <b:Author>
        <b:NameList>
          <b:Person>
            <b:Last>Hamrick</b:Last>
            <b:First>Kelley </b:First>
          </b:Person>
          <b:Person>
            <b:Last>Goldstein</b:Last>
            <b:First>Allie </b:First>
          </b:Person>
        </b:NameList>
      </b:Author>
    </b:Author>
    <b:Title>Raising Ambition - State of the Voluntary Carbon Markets 2016</b:Title>
    <b:Year>2016</b:Year>
    <b:Publisher>Ecosystem Marketplace</b:Publisher>
    <b:RefOrder>13</b:RefOrder>
  </b:Source>
  <b:Source>
    <b:Tag>Ger18</b:Tag>
    <b:SourceType>ElectronicSource</b:SourceType>
    <b:Guid>{28DDC5C1-FFA7-4DF7-97A6-CBFD2A9185FB}</b:Guid>
    <b:Title>Future of the Voluntary Carbon Markets in the Light of the Paris Agreement, Perspectives for Soil Carbon Projects</b:Title>
    <b:Year>2018</b:Year>
    <b:Author>
      <b:Author>
        <b:Corporate>German Emissions Trading Authority (DEHSt) at the German Environment Agency</b:Corporate>
      </b:Author>
    </b:Author>
    <b:City>Berlin</b:City>
    <b:RefOrder>14</b:RefOrder>
  </b:Source>
  <b:Source>
    <b:Tag>Eur15</b:Tag>
    <b:SourceType>Report</b:SourceType>
    <b:Guid>{127C1B0F-39B5-498E-9905-2360836631CE}</b:Guid>
    <b:Author>
      <b:Author>
        <b:Corporate>European Union</b:Corporate>
      </b:Author>
    </b:Author>
    <b:Title>EU ETS Handbook</b:Title>
    <b:Year>2015</b:Year>
    <b:Publisher>European Union</b:Publisher>
    <b:RefOrder>15</b:RefOrder>
  </b:Source>
  <b:Source>
    <b:Tag>Eur18</b:Tag>
    <b:SourceType>DocumentFromInternetSite</b:SourceType>
    <b:Guid>{43CC1BBF-69AE-4EFB-948B-1FDAF5D47CAE}</b:Guid>
    <b:Author>
      <b:Author>
        <b:Corporate>Eurpean Union</b:Corporate>
      </b:Author>
    </b:Author>
    <b:Title>Report on the functioning of the European carbon market</b:Title>
    <b:Year>2018</b:Year>
    <b:InternetSiteTitle>https://ec.europa.eu/</b:InternetSiteTitle>
    <b:Month>December</b:Month>
    <b:Day>17</b:Day>
    <b:URL>https://ec.europa.eu/clima/sites/clima/files/ets/docs/com_2018_842_final_en.pdf</b:URL>
    <b:RefOrder>16</b:RefOrder>
  </b:Source>
  <b:Source>
    <b:Tag>Eur19</b:Tag>
    <b:SourceType>InternetSite</b:SourceType>
    <b:Guid>{5D21C096-C1CB-4A3D-BDCB-086EBA56C598}</b:Guid>
    <b:Title>Effort Sharing Decision</b:Title>
    <b:InternetSiteTitle>https://ec.europa.eu/</b:InternetSiteTitle>
    <b:Year>2019</b:Year>
    <b:Month>September</b:Month>
    <b:Day>3</b:Day>
    <b:URL>https://ec.europa.eu/clima/policies/effort_el#tab-0-0</b:URL>
    <b:Author>
      <b:Author>
        <b:Corporate>European Union</b:Corporate>
      </b:Author>
    </b:Author>
    <b:RefOrder>17</b:RefOrder>
  </b:Source>
  <b:Source>
    <b:Tag>Ama</b:Tag>
    <b:SourceType>Film</b:SourceType>
    <b:Guid>{71B10311-5B5F-46F0-988C-A328F830853D}</b:Guid>
    <b:Title>Amazon rainforest fires: How it affects the world and you</b:Title>
    <b:URL>https://www.youtube.com/watch?v=DMjEeffbedY</b:URL>
    <b:ProductionCompany>Hindustan Times</b:ProductionCompany>
    <b:RefOrder>18</b:RefOrder>
  </b:Source>
  <b:Source>
    <b:Tag>Int191</b:Tag>
    <b:SourceType>InternetSite</b:SourceType>
    <b:Guid>{8AB3DEDE-9DAF-4DC7-B95C-51C69D78785D}</b:Guid>
    <b:Title>Task Forse on National Greenhouse Gas Inventories</b:Title>
    <b:Year>2019</b:Year>
    <b:Author>
      <b:Author>
        <b:Corporate>Intergonvermental Panel on Climate Change</b:Corporate>
      </b:Author>
    </b:Author>
    <b:InternetSiteTitle>Task Forse on National Greenhouse Gas Inventories</b:InternetSiteTitle>
    <b:Month>September</b:Month>
    <b:Day>4</b:Day>
    <b:URL>https://www.ipcc-nggip.iges.or.jp/public/gl/invs1.html</b:URL>
    <b:RefOrder>19</b:RefOrder>
  </b:Source>
  <b:Source>
    <b:Tag>Int192</b:Tag>
    <b:SourceType>InternetSite</b:SourceType>
    <b:Guid>{4C073BE1-B45F-437B-A9BC-3875C583CF30}</b:Guid>
    <b:Title>Task force on National GHG inventories</b:Title>
    <b:Year>2019</b:Year>
    <b:Month>September</b:Month>
    <b:Day>5</b:Day>
    <b:Author>
      <b:Author>
        <b:Corporate>Intergovernmental Panel on Climate Change</b:Corporate>
      </b:Author>
    </b:Author>
    <b:InternetSiteTitle>Task force on National GHG inventories</b:InternetSiteTitle>
    <b:URL>https://www.ipcc-nggip.iges.or.jp/public/2006gl/index.html</b:URL>
    <b:RefOrder>20</b:RefOrder>
  </b:Source>
  <b:Source>
    <b:Tag>Int</b:Tag>
    <b:SourceType>ElectronicSource</b:SourceType>
    <b:Guid>{F1BEFBBB-0EC5-4B7A-8ACB-EDD9CC1989F8}</b:Guid>
    <b:Title>2019 REFINEMENT TO THE 2006 IPCC GUIDELINES FOR NATIONAL GHG INVENTORIES</b:Title>
    <b:Author>
      <b:Author>
        <b:Corporate>Intergovernmental Panel on Climate Change</b:Corporate>
      </b:Author>
    </b:Author>
    <b:RefOrder>21</b:RefOrder>
  </b:Source>
  <b:Source>
    <b:Tag>Int193</b:Tag>
    <b:SourceType>InternetSite</b:SourceType>
    <b:Guid>{3C38712E-E996-471B-B19D-37DB9C5320AB}</b:Guid>
    <b:Title>Task Force on National GHG Inventories</b:Title>
    <b:Year>2019</b:Year>
    <b:Month>September</b:Month>
    <b:Day>5</b:Day>
    <b:InternetSiteTitle>Intergovernmental Panel on Climate Change</b:InternetSiteTitle>
    <b:URL>https://www.ipcc-nggip.iges.or.jp/public/gp/english/</b:URL>
    <b:Author>
      <b:Author>
        <b:Corporate>Intergovernmental Panel on Climate Change</b:Corporate>
      </b:Author>
    </b:Author>
    <b:RefOrder>22</b:RefOrder>
  </b:Source>
  <b:Source>
    <b:Tag>The19</b:Tag>
    <b:SourceType>ElectronicSource</b:SourceType>
    <b:Guid>{59BD6DE6-8EBA-4D8B-821C-01E46699B639}</b:Guid>
    <b:Author>
      <b:Author>
        <b:Corporate>The Intergovernmental Panel on Climate Change</b:Corporate>
      </b:Author>
      <b:Compiler>
        <b:NameList>
          <b:Person>
            <b:Last>Takahiko Hiraishi</b:Last>
            <b:First>Thelma</b:First>
            <b:Middle>Krug, Kiyoto Tanabe, Baasansuren Jamsranjav, Maya Fukuda and Tiffany Troxler</b:Middle>
          </b:Person>
        </b:NameList>
      </b:Compiler>
    </b:Author>
    <b:Title>Supplement to the 2006 IPCC Guidelines for National Greenhouse Gas Inventories: Wetlands (Wetlands Supplement)</b:Title>
    <b:StateProvince>Switzerland</b:StateProvince>
    <b:ProductionCompany>The Intergovernmental Panel on Climate Change</b:ProductionCompany>
    <b:YearAccessed>2019</b:YearAccessed>
    <b:MonthAccessed>September</b:MonthAccessed>
    <b:DayAccessed>5</b:DayAccessed>
    <b:URL>https://www.ipcc-nggip.iges.or.jp/public/wetlands/pdf/Wetlands_Supplement_Entire_Report.pdf</b:URL>
    <b:RefOrder>23</b:RefOrder>
  </b:Source>
  <b:Source>
    <b:Tag>EUR13</b:Tag>
    <b:SourceType>ConferenceProceedings</b:SourceType>
    <b:Guid>{18DA85EA-32D6-48CA-B39E-BFEDF9A00F6E}</b:Guid>
    <b:Title>DECISION No 529/2013/EU OF THE EUROPEAN PARLIAMENT AND OF THE COUNCIL</b:Title>
    <b:City>Brussels</b:City>
    <b:Year>2013</b:Year>
    <b:Author>
      <b:Author>
        <b:Corporate>EUROPEAN PARLIAMENT AND THE COUNCIL OF THE EUROPEAN UNION</b:Corporate>
      </b:Author>
    </b:Author>
    <b:Pages>18</b:Pages>
    <b:ConferenceName>Decision No  529/2013/EU  OF  THE  EUROPEAN  PARLIAMENT  AND  OF  THE  COUNCIL of May 21 2013</b:ConferenceName>
    <b:Publisher>European Union</b:Publisher>
    <b:RefOrder>24</b:RefOrder>
  </b:Source>
  <b:Source>
    <b:Tag>Sch15</b:Tag>
    <b:SourceType>Book</b:SourceType>
    <b:Guid>{FAC1DB6C-33A7-4FCC-B0FD-52025654890B}</b:Guid>
    <b:Title>Corporate Carbon and Climate Change Accounting: Application, Developments and Issues</b:Title>
    <b:Year>2015</b:Year>
    <b:Publisher>Springer</b:Publisher>
    <b:Author>
      <b:Author>
        <b:NameList>
          <b:Person>
            <b:Last>Schaltegger</b:Last>
            <b:First>S.</b:First>
          </b:Person>
          <b:Person>
            <b:Last>Zvezdov</b:Last>
            <b:First>D.</b:First>
          </b:Person>
          <b:Person>
            <b:Last>Guenther</b:Last>
            <b:First>E.</b:First>
          </b:Person>
          <b:Person>
            <b:Last>Csutora </b:Last>
            <b:First>M.</b:First>
          </b:Person>
          <b:Person>
            <b:Last>Alvarez</b:Last>
            <b:First>I.</b:First>
          </b:Person>
        </b:NameList>
      </b:Author>
    </b:Author>
    <b:RefOrder>25</b:RefOrder>
  </b:Source>
  <b:Source>
    <b:Tag>Eur</b:Tag>
    <b:SourceType>ElectronicSource</b:SourceType>
    <b:Guid>{7D38CCCF-E27A-4016-8B5E-27B0588D223F}</b:Guid>
    <b:Author>
      <b:Author>
        <b:Corporate>European Union</b:Corporate>
      </b:Author>
    </b:Author>
    <b:Title>Elements of the Union greenhouse gas inventory system and the Quality Assurance and Control (QA/QC) programme</b:Title>
    <b:City>Brussels</b:City>
    <b:CountryRegion>Belgium</b:CountryRegion>
    <b:Year>2013</b:Year>
    <b:Month>8</b:Month>
    <b:Day>12</b:Day>
    <b:RefOrder>26</b:RefOrder>
  </b:Source>
  <b:Source>
    <b:Tag>Int1</b:Tag>
    <b:SourceType>InternetSite</b:SourceType>
    <b:Guid>{6662DFFD-130B-461F-903D-7F646158480B}</b:Guid>
    <b:Author>
      <b:Author>
        <b:Corporate>Intergovernmental Panel on Climate Change</b:Corporate>
      </b:Author>
    </b:Author>
    <b:Title>2006 IPCC Guidelines for National Greenhouse Gas Inventories</b:Title>
    <b:URL>https://www.ipcc-nggip.iges.or.jp/public/2006gl/index.html</b:URL>
    <b:RefOrder>27</b:RefOrder>
  </b:Source>
  <b:Source>
    <b:Tag>Aal13</b:Tag>
    <b:SourceType>ElectronicSource</b:SourceType>
    <b:Guid>{E39801E4-083E-48D8-98A1-581318F7C98B}</b:Guid>
    <b:Title>MRV Manual for CDM Programme of Activities</b:Title>
    <b:Year>2013</b:Year>
    <b:Author>
      <b:Author>
        <b:NameList>
          <b:Person>
            <b:Last>Aalders</b:Last>
            <b:First>Edwin </b:First>
          </b:Person>
          <b:Person>
            <b:Last>Lehmann</b:Last>
            <b:First>Michael </b:First>
          </b:Person>
        </b:NameList>
      </b:Author>
    </b:Author>
    <b:RefOrder>28</b:RefOrder>
  </b:Source>
  <b:Source>
    <b:Tag>AME19</b:Tag>
    <b:SourceType>ElectronicSource</b:SourceType>
    <b:Guid>{6DB243B7-E408-4BF8-8D21-A04FBA94DC75}</b:Guid>
    <b:Author>
      <b:Author>
        <b:Corporate>AMERICAN CARBON REGISTRY </b:Corporate>
      </b:Author>
    </b:Author>
    <b:Title>THE AMERICAN CARBON REGISTRY STANDARD</b:Title>
    <b:Year>2019</b:Year>
    <b:Month>July</b:Month>
    <b:RefOrder>29</b:RefOrder>
  </b:Source>
  <b:Source>
    <b:Tag>Cqa19</b:Tag>
    <b:SourceType>InternetSite</b:SourceType>
    <b:Guid>{267BE205-4F44-4AB8-B784-285A195D3318}</b:Guid>
    <b:Title>Carbon Accounting Standard</b:Title>
    <b:Year>2019</b:Year>
    <b:Month>September</b:Month>
    <b:Day>9</b:Day>
    <b:URL>https://americancarbonregistry.org/carbon-accounting/standards-methodologies</b:URL>
    <b:RefOrder>30</b:RefOrder>
  </b:Source>
  <b:Source>
    <b:Tag>Ame19</b:Tag>
    <b:SourceType>ElectronicSource</b:SourceType>
    <b:Guid>{0F437019-FD05-4253-9CE3-2DCFBF3FF4E1}</b:Guid>
    <b:Author>
      <b:Author>
        <b:Corporate>American Carbon Registry</b:Corporate>
      </b:Author>
    </b:Author>
    <b:Title>THE AMERICAN CARBON REGISTRY STANDARD</b:Title>
    <b:City>WASHINGTON DC</b:City>
    <b:Year>2019</b:Year>
    <b:Month>July</b:Month>
    <b:RefOrder>31</b:RefOrder>
  </b:Source>
  <b:Source>
    <b:Tag>Nic17</b:Tag>
    <b:SourceType>ElectronicSource</b:SourceType>
    <b:Guid>{F1B66EC8-62CE-495B-BD85-23969FB7D64B}</b:Guid>
    <b:Title>Plan Vivo Guidance and Resources Climate Benefit Estimation</b:Title>
    <b:Year>2017</b:Year>
    <b:Month>May</b:Month>
    <b:Day>24 </b:Day>
    <b:Author>
      <b:Author>
        <b:NameList>
          <b:Person>
            <b:Last>Berry</b:Last>
            <b:First>Nicholas</b:First>
          </b:Person>
        </b:NameList>
      </b:Author>
    </b:Author>
    <b:RefOrder>32</b:RefOrder>
  </b:Source>
  <b:Source>
    <b:Tag>Pla13</b:Tag>
    <b:SourceType>ElectronicSource</b:SourceType>
    <b:Guid>{F5EA083B-0CD9-4BAC-96C5-39EE31E618B7}</b:Guid>
    <b:Author>
      <b:Author>
        <b:Corporate>Plan Vivo</b:Corporate>
      </b:Author>
    </b:Author>
    <b:Title>Plan Vivo Standard</b:Title>
    <b:Year>2013</b:Year>
    <b:RefOrder>33</b:RefOrder>
  </b:Source>
  <b:Source>
    <b:Tag>Ver19</b:Tag>
    <b:SourceType>InternetSite</b:SourceType>
    <b:Guid>{C67C37C0-EFFC-489C-AF42-378B9D2A6B6B}</b:Guid>
    <b:Title>Verra</b:Title>
    <b:InternetSiteTitle>https://verra.org/methodologies/</b:InternetSiteTitle>
    <b:Year>2019</b:Year>
    <b:Month>September</b:Month>
    <b:Day>3</b:Day>
    <b:URL>https://verra.org/methodologies/</b:URL>
    <b:RefOrder>34</b:RefOrder>
  </b:Source>
  <b:Source>
    <b:Tag>Gol</b:Tag>
    <b:SourceType>InternetSite</b:SourceType>
    <b:Guid>{7760EB5E-719E-4089-AF69-6A059F39E2BB}</b:Guid>
    <b:Author>
      <b:Author>
        <b:Corporate>Gold Standard</b:Corporate>
      </b:Author>
    </b:Author>
    <b:Title>GOLD STANDARD</b:Title>
    <b:URL>www.goldstandard.org</b:URL>
    <b:Year>2019</b:Year>
    <b:Month>September</b:Month>
    <b:Day>9</b:Day>
    <b:RefOrder>35</b:RefOrder>
  </b:Source>
  <b:Source>
    <b:Tag>Gol17</b:Tag>
    <b:SourceType>DocumentFromInternetSite</b:SourceType>
    <b:Guid>{8B4D21EC-6452-4CDF-A99C-C5CE7DFA6B38}</b:Guid>
    <b:Title>Gold Standard Afforestation/Reforestation (A/R) GHG Emissions</b:Title>
    <b:InternetSiteTitle>Gold Standard</b:InternetSiteTitle>
    <b:Year>2017</b:Year>
    <b:URL>https://docs.google.com/viewerng/viewer?url=https://globalgoals.goldstandard.org/wp-content/uploads/2017/07/401.13-AR-Methodology-V1-1.pdf&amp;hl=en</b:URL>
    <b:Author>
      <b:Author>
        <b:Corporate>Gold Standard</b:Corporate>
      </b:Author>
    </b:Author>
    <b:RefOrder>36</b:RefOrder>
  </b:Source>
  <b:Source>
    <b:Tag>Cli15</b:Tag>
    <b:SourceType>ElectronicSource</b:SourceType>
    <b:Guid>{E405FF0F-AA86-425C-AEEA-B673209A4C4D}</b:Guid>
    <b:Author>
      <b:Author>
        <b:Corporate>Climate Action Reserve</b:Corporate>
      </b:Author>
    </b:Author>
    <b:Title>Climate Action Reserve Program Manual</b:Title>
    <b:Year>2015</b:Year>
    <b:Month>September</b:Month>
    <b:Day>1</b:Day>
    <b:URL>https://www.climateactionreserve.org/wp-content/uploads/2015/08/Climate_Action_Reserve_Program_Manual_090115.pdf</b:URL>
    <b:City>Los Angeles</b:City>
    <b:CountryRegion>USA</b:CountryRegion>
    <b:RefOrder>37</b:RefOrder>
  </b:Source>
  <b:Source>
    <b:Tag>Gre19</b:Tag>
    <b:SourceType>InternetSite</b:SourceType>
    <b:Guid>{94025261-319E-48BE-8083-41D15955DE92}</b:Guid>
    <b:Title>Greenhouse Gas Protocol</b:Title>
    <b:InternetSiteTitle>Greenhouse Gas Protocol</b:InternetSiteTitle>
    <b:Year>2019</b:Year>
    <b:Month>September</b:Month>
    <b:Day>11</b:Day>
    <b:URL>https://ghgprotocol.org/about-us</b:URL>
    <b:RefOrder>38</b:RefOrder>
  </b:Source>
  <b:Source>
    <b:Tag>Car19</b:Tag>
    <b:SourceType>InternetSite</b:SourceType>
    <b:Guid>{F8A22A95-211F-4738-8EA2-969DB17640B6}</b:Guid>
    <b:Title>Carbon Offset Research and Education</b:Title>
    <b:InternetSiteTitle>Carbon Offset Research and Education</b:InternetSiteTitle>
    <b:Year>2019</b:Year>
    <b:Month>September</b:Month>
    <b:Day>11</b:Day>
    <b:URL>https://www.co2offsetresearch.org/policy/PandaStandard.html</b:URL>
    <b:RefOrder>39</b:RefOrder>
  </b:Source>
  <b:Source>
    <b:Tag>WWF10</b:Tag>
    <b:SourceType>ElectronicSource</b:SourceType>
    <b:Guid>{7A7549FF-20F0-4835-908C-A048C3D9A004}</b:Guid>
    <b:Author>
      <b:Author>
        <b:Corporate>WWF</b:Corporate>
      </b:Author>
    </b:Author>
    <b:Title>Forest Carbon Standards a WWF Assessment Guide</b:Title>
    <b:City>Frankfurt</b:City>
    <b:CountryRegion>Germany</b:CountryRegion>
    <b:Year>2010</b:Year>
    <b:Month>May</b:Month>
    <b:URL>https://mobil.wwf.de/fileadmin/fm-wwf/Publikationen-PDF/Forest_Carbon_Standards_Assessment_Guide.pdf</b:URL>
    <b:RefOrder>40</b:RefOrder>
  </b:Source>
  <b:Source>
    <b:Tag>Eco</b:Tag>
    <b:SourceType>InternetSite</b:SourceType>
    <b:Guid>{16D8526C-2F4A-4B20-9575-418E73BD9AC5}</b:Guid>
    <b:Title>Forest Trends</b:Title>
    <b:Author>
      <b:Author>
        <b:Corporate>Ecosystem Marketplace</b:Corporate>
      </b:Author>
    </b:Author>
    <b:InternetSiteTitle>Forest Trends</b:InternetSiteTitle>
    <b:URL>(https://www.forest-trends.org/publications/?filter=voluntary+markets)</b:URL>
    <b:Year>2019</b:Year>
    <b:Month>September</b:Month>
    <b:Day>9</b:Day>
    <b:RefOrder>41</b:RefOrder>
  </b:Source>
  <b:Source>
    <b:Tag>Eco10</b:Tag>
    <b:SourceType>DocumentFromInternetSite</b:SourceType>
    <b:Guid>{95BE5979-F968-4DFD-9281-CC120F5610B9}</b:Guid>
    <b:Title>Forest Trends</b:Title>
    <b:InternetSiteTitle>Forest Trends</b:InternetSiteTitle>
    <b:Year>2010</b:Year>
    <b:Month>June</b:Month>
    <b:Day>14</b:Day>
    <b:URL>https://www.forest-trends.org/wp-content/uploads/imported/final_report_2010_9-1-10_no-crop-pdf.pdf</b:URL>
    <b:Author>
      <b:Author>
        <b:Corporate>Ecosystem Marketplace</b:Corporate>
      </b:Author>
    </b:Author>
    <b:ShortTitle>Building Bridges:: State of the Voluntary Carbon Markets 2010</b:ShortTitle>
    <b:RefOrder>42</b:RefOrder>
  </b:Source>
  <b:Source>
    <b:Tag>Net17</b:Tag>
    <b:SourceType>Report</b:SourceType>
    <b:Guid>{FC43BAAC-54E3-4C80-8FCA-D8733385ACCC}</b:Guid>
    <b:Title>Leveraging domestic offset projects for a climate-neutral world</b:Title>
    <b:Year>2017</b:Year>
    <b:Publisher>German Emissions Trading Authority (DEHSt)</b:Publisher>
    <b:City>Berlin</b:City>
    <b:Author>
      <b:Author>
        <b:NameList>
          <b:Person>
            <b:Last>Nett</b:Last>
            <b:First>Katharima</b:First>
          </b:Person>
          <b:Person>
            <b:Last>Volters</b:Last>
            <b:First>Stephan</b:First>
          </b:Person>
        </b:NameList>
      </b:Author>
    </b:Author>
    <b:RefOrder>43</b:RefOrder>
  </b:Source>
  <b:Source>
    <b:Tag>Cor</b:Tag>
    <b:SourceType>InternetSite</b:SourceType>
    <b:Guid>{7E2DAA40-8692-4BED-BCFD-1CECE1F5D85D}</b:Guid>
    <b:Title>Core Carbon Offset Research Education</b:Title>
    <b:Author>
      <b:Author>
        <b:Corporate>Core Carbon Offset Research Education</b:Corporate>
      </b:Author>
    </b:Author>
    <b:InternetSiteTitle>Core Carbon Offset Research Education</b:InternetSiteTitle>
    <b:URL>https://www.co2offsetresearch.org/consumer/Additionality.html</b:URL>
    <b:Year>2019</b:Year>
    <b:Month>September</b:Month>
    <b:Day>9</b:Day>
    <b:RefOrder>44</b:RefOrder>
  </b:Source>
  <b:Source>
    <b:Tag>Cle191</b:Tag>
    <b:SourceType>InternetSite</b:SourceType>
    <b:Guid>{FECABD9D-DD79-4135-91E8-50E4F3BC3336}</b:Guid>
    <b:Title>Clean Development Mechanism Projects Registry</b:Title>
    <b:InternetSiteTitle>Clean Development Mechanism</b:InternetSiteTitle>
    <b:Year>2019</b:Year>
    <b:Month>September</b:Month>
    <b:Day>16</b:Day>
    <b:URL>https://cdm.unfccc.int/Projects/projsearch.html</b:URL>
    <b:RefOrder>45</b:RefOrder>
  </b:Source>
  <b:Source>
    <b:Tag>Eur191</b:Tag>
    <b:SourceType>InternetSite</b:SourceType>
    <b:Guid>{ADDB166C-F3F2-4BEF-9BD6-2431F8BAF21F}</b:Guid>
    <b:Title>European Aviation Safety Agency</b:Title>
    <b:Year>2019</b:Year>
    <b:Month>September</b:Month>
    <b:Day>4</b:Day>
    <b:InternetSiteTitle>European Aviation Safety Agency</b:InternetSiteTitle>
    <b:URL>https://www.easa.europa.eu/eaer/topics/market-based-measures/corsia</b:URL>
    <b:RefOrder>46</b:RefOrder>
  </b:Source>
  <b:Source>
    <b:Tag>Int18</b:Tag>
    <b:SourceType>ElectronicSource</b:SourceType>
    <b:Guid>{041E72A5-4840-419B-BDA5-A0B4D359AE26}</b:Guid>
    <b:Author>
      <b:Author>
        <b:Corporate>Internation Civil Aviation Organisation</b:Corporate>
      </b:Author>
    </b:Author>
    <b:Title>Environmental Technical Manual - Volume 4 - Procedures for demonstrating compliance with the Carbon Offsetting and Reduction Scheme for International Aviation (CORSIA)</b:Title>
    <b:Year>2018</b:Year>
    <b:RefOrder>47</b:RefOrder>
  </b:Source>
  <b:Source>
    <b:Tag>nteay</b:Tag>
    <b:SourceType>ElectronicSource</b:SourceType>
    <b:Guid>{D40039BA-9DAC-4B97-BCC7-76335E8BF60B}</b:Guid>
    <b:Title>RESULTS-BASED CLIMATE FINANCE IN PRACTICE:DELIVERING CLIMATE FINANCE FOR LOW-CARBON DEVELOPMENT</b:Title>
    <b:Year>May</b:Year>
    <b:Month>2017</b:Month>
    <b:Author>
      <b:Author>
        <b:Corporate>International Bank for Reconstruction and Development / The World Bank</b:Corporate>
      </b:Author>
    </b:Author>
    <b:City>Washington DC</b:City>
    <b:RefOrder>48</b:RefOrder>
  </b:Source>
  <b:Source>
    <b:Tag>Tim19</b:Tag>
    <b:SourceType>InternetSite</b:SourceType>
    <b:Guid>{8EE0822B-5A6A-4047-8152-579ADB0D268E}</b:Guid>
    <b:Author>
      <b:Author>
        <b:Corporate>Timberland</b:Corporate>
      </b:Author>
    </b:Author>
    <b:Title>Timberland</b:Title>
    <b:InternetSiteTitle>Timberland</b:InternetSiteTitle>
    <b:Year>2019</b:Year>
    <b:Month>September</b:Month>
    <b:Day>16</b:Day>
    <b:URL>https://www.timberland.com/nature-needs-heroes.html</b:URL>
    <b:RefOrder>49</b:RefOrder>
  </b:Source>
  <b:Source>
    <b:Tag>Tim191</b:Tag>
    <b:SourceType>InternetSite</b:SourceType>
    <b:Guid>{86F3AB47-865A-4002-99FA-20AF6A79F3F2}</b:Guid>
    <b:Author>
      <b:Author>
        <b:Corporate>Timberland </b:Corporate>
      </b:Author>
    </b:Author>
    <b:Title>Timberland  Plant the Change</b:Title>
    <b:InternetSiteTitle>Timberland  Plant the Change</b:InternetSiteTitle>
    <b:Year>2019</b:Year>
    <b:Month>September</b:Month>
    <b:Day>16</b:Day>
    <b:URL>https://www.timberland.com/responsibility/stories/plant-the-change.html</b:URL>
    <b:RefOrder>50</b:RefOrder>
  </b:Source>
  <b:Source>
    <b:Tag>Por19</b:Tag>
    <b:SourceType>InternetSite</b:SourceType>
    <b:Guid>{A4FFED7F-5D7A-4658-B925-0BDE541A4518}</b:Guid>
    <b:Title>Porsche</b:Title>
    <b:InternetSiteTitle>Porsche</b:InternetSiteTitle>
    <b:Year>2019</b:Year>
    <b:Month>September</b:Month>
    <b:Day>11</b:Day>
    <b:URL>https://www.motorauthority.com/news/1124408_porsche-announces-carbon-offset-program-for-us</b:URL>
    <b:RefOrder>51</b:RefOrder>
  </b:Source>
  <b:Source>
    <b:Tag>END19</b:Tag>
    <b:SourceType>InternetSite</b:SourceType>
    <b:Guid>{FE11AE65-D493-482C-A359-0D228C72C2D9}</b:Guid>
    <b:Title>ENDS Carbon Offset</b:Title>
    <b:Year>2019</b:Year>
    <b:Month>September</b:Month>
    <b:Day>11</b:Day>
    <b:URL>The ENDS Carbon Offset Providers Directory</b:URL>
    <b:RefOrder>52</b:RefOrder>
  </b:Source>
</b:Sources>
</file>

<file path=customXml/itemProps1.xml><?xml version="1.0" encoding="utf-8"?>
<ds:datastoreItem xmlns:ds="http://schemas.openxmlformats.org/officeDocument/2006/customXml" ds:itemID="{7BF60C3E-2272-4613-8F31-DC1503C386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69c66b-27e3-4ec8-aa0f-1154b8a60c1b"/>
    <ds:schemaRef ds:uri="E1F330CF-4162-40C7-A61E-D42318FC0B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0F07068-376D-492F-BBA5-D7950AA3DE1A}">
  <ds:schemaRefs>
    <ds:schemaRef ds:uri="http://schemas.microsoft.com/sharepoint/v3/contenttype/forms"/>
  </ds:schemaRefs>
</ds:datastoreItem>
</file>

<file path=customXml/itemProps3.xml><?xml version="1.0" encoding="utf-8"?>
<ds:datastoreItem xmlns:ds="http://schemas.openxmlformats.org/officeDocument/2006/customXml" ds:itemID="{62FFD081-21B1-476C-9186-2EA5FE9700A8}">
  <ds:schemaRefs>
    <ds:schemaRef ds:uri="http://schemas.microsoft.com/office/2006/metadata/properties"/>
    <ds:schemaRef ds:uri="http://schemas.microsoft.com/office/infopath/2007/PartnerControls"/>
    <ds:schemaRef ds:uri="ed69c66b-27e3-4ec8-aa0f-1154b8a60c1b"/>
    <ds:schemaRef ds:uri="E1F330CF-4162-40C7-A61E-D42318FC0B9B"/>
  </ds:schemaRefs>
</ds:datastoreItem>
</file>

<file path=customXml/itemProps4.xml><?xml version="1.0" encoding="utf-8"?>
<ds:datastoreItem xmlns:ds="http://schemas.openxmlformats.org/officeDocument/2006/customXml" ds:itemID="{421AF029-6A9E-45A5-A151-32819D576A88}">
  <ds:schemaRefs>
    <ds:schemaRef ds:uri="http://schemas.microsoft.com/sharepoint/events"/>
  </ds:schemaRefs>
</ds:datastoreItem>
</file>

<file path=customXml/itemProps5.xml><?xml version="1.0" encoding="utf-8"?>
<ds:datastoreItem xmlns:ds="http://schemas.openxmlformats.org/officeDocument/2006/customXml" ds:itemID="{A723DCE4-C79B-481E-B429-FDC53E6D9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245</Pages>
  <Words>114735</Words>
  <Characters>619570</Characters>
  <Application>Microsoft Office Word</Application>
  <DocSecurity>0</DocSecurity>
  <Lines>5163</Lines>
  <Paragraphs>1465</Paragraphs>
  <ScaleCrop>false</ScaleCrop>
  <HeadingPairs>
    <vt:vector size="8" baseType="variant">
      <vt:variant>
        <vt:lpstr>Title</vt:lpstr>
      </vt:variant>
      <vt:variant>
        <vt:i4>1</vt:i4>
      </vt:variant>
      <vt:variant>
        <vt:lpstr>Τίτλος</vt:lpstr>
      </vt:variant>
      <vt:variant>
        <vt:i4>1</vt:i4>
      </vt:variant>
      <vt:variant>
        <vt:lpstr>Título</vt:lpstr>
      </vt:variant>
      <vt:variant>
        <vt:i4>1</vt:i4>
      </vt:variant>
      <vt:variant>
        <vt:lpstr>Titel</vt:lpstr>
      </vt:variant>
      <vt:variant>
        <vt:i4>1</vt:i4>
      </vt:variant>
    </vt:vector>
  </HeadingPairs>
  <TitlesOfParts>
    <vt:vector size="4" baseType="lpstr">
      <vt:lpstr/>
      <vt:lpstr/>
      <vt:lpstr/>
      <vt:lpstr/>
    </vt:vector>
  </TitlesOfParts>
  <Company/>
  <LinksUpToDate>false</LinksUpToDate>
  <CharactersWithSpaces>732840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Charalampos Georgiadis</dc:creator>
  <cp:lastModifiedBy>Charalampos Georgiadis</cp:lastModifiedBy>
  <cp:revision>7</cp:revision>
  <cp:lastPrinted>2021-12-30T09:41:00Z</cp:lastPrinted>
  <dcterms:created xsi:type="dcterms:W3CDTF">2021-12-30T08:27:00Z</dcterms:created>
  <dcterms:modified xsi:type="dcterms:W3CDTF">2021-12-30T12:06:00Z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fb5be0bd-bbdf-4589-b50d-dcf14607f602</vt:lpwstr>
  </property>
  <property fmtid="{D5CDD505-2E9C-101B-9397-08002B2CF9AE}" pid="3" name="ContentTypeId">
    <vt:lpwstr>0x010100441FF51671624843AFAA384D69E8B1C8</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11th edition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 6th edition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Document_1">
    <vt:lpwstr>True</vt:lpwstr>
  </property>
  <property fmtid="{D5CDD505-2E9C-101B-9397-08002B2CF9AE}" pid="25" name="Mendeley Unique User Id_1">
    <vt:lpwstr>ba6c8fd2-a230-3a65-abdd-a86581d8575b</vt:lpwstr>
  </property>
  <property fmtid="{D5CDD505-2E9C-101B-9397-08002B2CF9AE}" pid="26" name="Mendeley Citation Style_1">
    <vt:lpwstr>http://www.zotero.org/styles/apa</vt:lpwstr>
  </property>
</Properties>
</file>