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F3CE7" w14:textId="77777777" w:rsidR="00335C78" w:rsidRPr="00C60499" w:rsidRDefault="00335C78" w:rsidP="00D21C20">
      <w:pPr>
        <w:rPr>
          <w:lang w:val="en-GB"/>
        </w:rPr>
      </w:pPr>
    </w:p>
    <w:p w14:paraId="5B80287B" w14:textId="77777777" w:rsidR="00D21C20" w:rsidRPr="00C60499" w:rsidRDefault="00D21C20" w:rsidP="00D21C20">
      <w:pPr>
        <w:rPr>
          <w:lang w:val="en-GB"/>
        </w:rPr>
      </w:pPr>
    </w:p>
    <w:p w14:paraId="5E9DEA39" w14:textId="77777777" w:rsidR="0039315A" w:rsidRDefault="0039315A" w:rsidP="00D21C20">
      <w:pPr>
        <w:rPr>
          <w:lang w:val="en-GB"/>
        </w:rPr>
      </w:pPr>
    </w:p>
    <w:p w14:paraId="6B2F69FE" w14:textId="77777777" w:rsidR="00A822F2" w:rsidRDefault="00F645AD" w:rsidP="00D85139">
      <w:pPr>
        <w:jc w:val="center"/>
        <w:rPr>
          <w:lang w:val="en-GB"/>
        </w:rPr>
      </w:pPr>
      <w:r w:rsidRPr="0039315A">
        <w:rPr>
          <w:noProof/>
          <w:lang w:val="es-ES" w:eastAsia="es-ES"/>
        </w:rPr>
        <w:drawing>
          <wp:inline distT="0" distB="0" distL="0" distR="0" wp14:anchorId="73373134" wp14:editId="2767830A">
            <wp:extent cx="1201406" cy="918294"/>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Stratos\Desktop\IASON_LOGO_TRANSPARENT_BLACK.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11367" cy="925908"/>
                    </a:xfrm>
                    <a:prstGeom prst="rect">
                      <a:avLst/>
                    </a:prstGeom>
                    <a:noFill/>
                  </pic:spPr>
                </pic:pic>
              </a:graphicData>
            </a:graphic>
          </wp:inline>
        </w:drawing>
      </w:r>
    </w:p>
    <w:p w14:paraId="15021496" w14:textId="77777777" w:rsidR="00A822F2" w:rsidRDefault="00A822F2" w:rsidP="00D21C20">
      <w:pPr>
        <w:rPr>
          <w:lang w:val="en-GB"/>
        </w:rPr>
      </w:pPr>
    </w:p>
    <w:p w14:paraId="0BDC73C5" w14:textId="77777777" w:rsidR="0039315A" w:rsidRDefault="0039315A" w:rsidP="00D21C20">
      <w:pPr>
        <w:rPr>
          <w:lang w:val="en-GB"/>
        </w:rPr>
      </w:pPr>
    </w:p>
    <w:p w14:paraId="235205AA" w14:textId="77777777" w:rsidR="00D21C20" w:rsidRPr="00C60499" w:rsidRDefault="00D21C20" w:rsidP="00D21C20">
      <w:pPr>
        <w:rPr>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229"/>
      </w:tblGrid>
      <w:tr w:rsidR="00B96825" w14:paraId="1B3C5306" w14:textId="77777777" w:rsidTr="00FD04F7">
        <w:trPr>
          <w:trHeight w:val="567"/>
        </w:trPr>
        <w:tc>
          <w:tcPr>
            <w:tcW w:w="1276" w:type="dxa"/>
            <w:tcBorders>
              <w:bottom w:val="single" w:sz="4" w:space="0" w:color="auto"/>
            </w:tcBorders>
            <w:shd w:val="clear" w:color="auto" w:fill="auto"/>
            <w:vAlign w:val="center"/>
          </w:tcPr>
          <w:p w14:paraId="1CB00DF9" w14:textId="2CF41FBA" w:rsidR="00B96825" w:rsidRDefault="00A822F2" w:rsidP="00A822F2">
            <w:pPr>
              <w:pStyle w:val="Title"/>
              <w:spacing w:after="0"/>
              <w:rPr>
                <w:lang w:val="en-GB"/>
              </w:rPr>
            </w:pPr>
            <w:r w:rsidRPr="00030FEE">
              <w:rPr>
                <w:color w:val="auto"/>
                <w:lang w:val="en-GB"/>
              </w:rPr>
              <w:t>D</w:t>
            </w:r>
            <w:r w:rsidR="00030FEE">
              <w:rPr>
                <w:color w:val="auto"/>
                <w:lang w:val="en-GB"/>
              </w:rPr>
              <w:t>2</w:t>
            </w:r>
            <w:r w:rsidR="00B96825" w:rsidRPr="00030FEE">
              <w:rPr>
                <w:color w:val="auto"/>
                <w:lang w:val="en-GB"/>
              </w:rPr>
              <w:t>.</w:t>
            </w:r>
            <w:r w:rsidR="00030FEE">
              <w:rPr>
                <w:color w:val="auto"/>
                <w:lang w:val="en-GB"/>
              </w:rPr>
              <w:t>6</w:t>
            </w:r>
          </w:p>
        </w:tc>
        <w:tc>
          <w:tcPr>
            <w:tcW w:w="7229" w:type="dxa"/>
            <w:tcBorders>
              <w:bottom w:val="single" w:sz="4" w:space="0" w:color="auto"/>
            </w:tcBorders>
            <w:shd w:val="clear" w:color="auto" w:fill="auto"/>
            <w:vAlign w:val="center"/>
          </w:tcPr>
          <w:p w14:paraId="5E07C4F2" w14:textId="77777777" w:rsidR="001313AC" w:rsidRDefault="001313AC" w:rsidP="009D5ED8">
            <w:pPr>
              <w:pStyle w:val="Title"/>
              <w:spacing w:after="0"/>
              <w:ind w:left="-67"/>
            </w:pPr>
            <w:r>
              <w:t xml:space="preserve">MLs classification in </w:t>
            </w:r>
          </w:p>
          <w:p w14:paraId="2914BA50" w14:textId="7C2AAF14" w:rsidR="00B96825" w:rsidRPr="00B96825" w:rsidRDefault="001313AC" w:rsidP="009D5ED8">
            <w:pPr>
              <w:pStyle w:val="Title"/>
              <w:spacing w:after="0"/>
              <w:ind w:left="-67"/>
            </w:pPr>
            <w:r>
              <w:t xml:space="preserve">Carbon sequestration capacity </w:t>
            </w:r>
            <w:r w:rsidR="009D5ED8">
              <w:t>g</w:t>
            </w:r>
            <w:r>
              <w:t>roups</w:t>
            </w:r>
          </w:p>
        </w:tc>
      </w:tr>
      <w:tr w:rsidR="00B96825" w14:paraId="50BDAD2C" w14:textId="77777777" w:rsidTr="00FD04F7">
        <w:trPr>
          <w:trHeight w:val="283"/>
        </w:trPr>
        <w:tc>
          <w:tcPr>
            <w:tcW w:w="8505" w:type="dxa"/>
            <w:gridSpan w:val="2"/>
            <w:tcBorders>
              <w:top w:val="single" w:sz="4" w:space="0" w:color="auto"/>
              <w:bottom w:val="single" w:sz="4" w:space="0" w:color="auto"/>
            </w:tcBorders>
            <w:shd w:val="clear" w:color="auto" w:fill="auto"/>
            <w:vAlign w:val="center"/>
          </w:tcPr>
          <w:p w14:paraId="7449DD5A" w14:textId="77777777" w:rsidR="00B96825" w:rsidRPr="00B96825" w:rsidRDefault="00B96825" w:rsidP="00B96825"/>
        </w:tc>
      </w:tr>
      <w:tr w:rsidR="00A61E11" w14:paraId="53C81C69" w14:textId="77777777" w:rsidTr="00FD04F7">
        <w:trPr>
          <w:trHeight w:val="283"/>
        </w:trPr>
        <w:tc>
          <w:tcPr>
            <w:tcW w:w="8505" w:type="dxa"/>
            <w:gridSpan w:val="2"/>
            <w:tcBorders>
              <w:top w:val="single" w:sz="4" w:space="0" w:color="auto"/>
            </w:tcBorders>
            <w:shd w:val="clear" w:color="auto" w:fill="auto"/>
            <w:vAlign w:val="center"/>
          </w:tcPr>
          <w:p w14:paraId="17A944FB" w14:textId="77777777" w:rsidR="0039315A" w:rsidRPr="0039315A" w:rsidRDefault="000909EF" w:rsidP="0039315A">
            <w:pPr>
              <w:pStyle w:val="Subtitle"/>
              <w:spacing w:line="240" w:lineRule="auto"/>
              <w:rPr>
                <w:lang w:val="en-GB"/>
              </w:rPr>
            </w:pPr>
            <w:r>
              <w:rPr>
                <w:b/>
                <w:lang w:val="en-GB"/>
              </w:rPr>
              <w:t>MAIL</w:t>
            </w:r>
            <w:r>
              <w:rPr>
                <w:lang w:val="en-GB"/>
              </w:rPr>
              <w:t xml:space="preserve">: </w:t>
            </w:r>
            <w:r>
              <w:rPr>
                <w:rFonts w:eastAsia="Times New Roman"/>
                <w:i w:val="0"/>
                <w:iCs w:val="0"/>
                <w:lang w:val="en-GB"/>
              </w:rPr>
              <w:t>Identifying Marginal Lands in Europe and strengthening their contribution potentialities in a CO2 sequestration strategy</w:t>
            </w:r>
          </w:p>
        </w:tc>
      </w:tr>
    </w:tbl>
    <w:p w14:paraId="3EF6D012" w14:textId="77777777" w:rsidR="00D21C20" w:rsidRPr="00C60499" w:rsidRDefault="00D21C20" w:rsidP="00D21C20">
      <w:pPr>
        <w:rPr>
          <w:lang w:val="en-GB"/>
        </w:rPr>
      </w:pPr>
    </w:p>
    <w:p w14:paraId="1D9919E8" w14:textId="77777777" w:rsidR="00D21C20" w:rsidRPr="00C60499" w:rsidRDefault="00D21C20" w:rsidP="00D21C20">
      <w:pPr>
        <w:rPr>
          <w:lang w:val="en-GB"/>
        </w:rPr>
      </w:pPr>
    </w:p>
    <w:p w14:paraId="1583AB2E" w14:textId="5883484A" w:rsidR="00D21C20" w:rsidRDefault="00D21C20" w:rsidP="00D21C20">
      <w:pPr>
        <w:rPr>
          <w:lang w:val="en-GB"/>
        </w:rPr>
      </w:pPr>
    </w:p>
    <w:p w14:paraId="3F792755" w14:textId="25E6C9AA" w:rsidR="009D4DC1" w:rsidRDefault="009D4DC1" w:rsidP="00D21C20">
      <w:pPr>
        <w:rPr>
          <w:lang w:val="en-GB"/>
        </w:rPr>
      </w:pPr>
    </w:p>
    <w:p w14:paraId="3E7756C1" w14:textId="77777777" w:rsidR="009D4DC1" w:rsidRPr="00157BBF" w:rsidRDefault="009D4DC1" w:rsidP="009D4DC1">
      <w:pPr>
        <w:spacing w:line="240" w:lineRule="auto"/>
        <w:rPr>
          <w:sz w:val="20"/>
          <w:szCs w:val="20"/>
          <w:lang w:val="en-GB"/>
        </w:rPr>
      </w:pPr>
      <w:r w:rsidRPr="00157BBF">
        <w:rPr>
          <w:sz w:val="20"/>
          <w:szCs w:val="20"/>
          <w:lang w:val="en-GB"/>
        </w:rPr>
        <w:t>MAIL project has received funding from the European Union’s Horizon 2020 research and innovation programme under the Marie Skłodowska-Curie grant agreement No 823805; [H2020 MSCA RISE 2018]</w:t>
      </w:r>
    </w:p>
    <w:p w14:paraId="21D333CF" w14:textId="77777777" w:rsidR="009D4DC1" w:rsidRPr="00C60499" w:rsidRDefault="009D4DC1" w:rsidP="00D21C20">
      <w:pPr>
        <w:rPr>
          <w:lang w:val="en-GB"/>
        </w:rPr>
      </w:pPr>
    </w:p>
    <w:p w14:paraId="774ACBA4" w14:textId="77777777" w:rsidR="00D21C20" w:rsidRPr="00C60499" w:rsidRDefault="00D21C20" w:rsidP="00D21C20">
      <w:pPr>
        <w:rPr>
          <w:lang w:val="en-GB"/>
        </w:rPr>
      </w:pPr>
    </w:p>
    <w:p w14:paraId="0B733ACF" w14:textId="77777777" w:rsidR="00D21C20" w:rsidRPr="00C60499" w:rsidRDefault="00D21C20" w:rsidP="00D21C20">
      <w:pPr>
        <w:rPr>
          <w:lang w:val="en-GB"/>
        </w:rPr>
      </w:pPr>
    </w:p>
    <w:p w14:paraId="5EA3BDC9" w14:textId="77777777" w:rsidR="00D21C20" w:rsidRDefault="00D21C20" w:rsidP="00D21C20">
      <w:pPr>
        <w:rPr>
          <w:lang w:val="en-GB"/>
        </w:rPr>
      </w:pPr>
    </w:p>
    <w:p w14:paraId="4AB4B6C3" w14:textId="77777777" w:rsidR="00A822F2" w:rsidRPr="00C60499" w:rsidRDefault="00A822F2" w:rsidP="00D21C20">
      <w:pPr>
        <w:rPr>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0"/>
        <w:gridCol w:w="1845"/>
        <w:gridCol w:w="4672"/>
      </w:tblGrid>
      <w:tr w:rsidR="000909EF" w:rsidRPr="009D5BD6" w14:paraId="30C9CE00" w14:textId="77777777" w:rsidTr="00E14330">
        <w:trPr>
          <w:trHeight w:val="567"/>
          <w:jc w:val="center"/>
        </w:trPr>
        <w:tc>
          <w:tcPr>
            <w:tcW w:w="1870" w:type="dxa"/>
            <w:shd w:val="clear" w:color="auto" w:fill="FFFF66"/>
            <w:vAlign w:val="center"/>
          </w:tcPr>
          <w:p w14:paraId="746E4892" w14:textId="77777777" w:rsidR="000909EF" w:rsidRPr="009D5BD6" w:rsidRDefault="000909EF" w:rsidP="00C13A59">
            <w:pPr>
              <w:spacing w:before="0" w:after="0" w:line="240" w:lineRule="auto"/>
              <w:jc w:val="left"/>
              <w:rPr>
                <w:rFonts w:cs="Arial"/>
              </w:rPr>
            </w:pPr>
            <w:bookmarkStart w:id="0" w:name="_Toc223361308"/>
            <w:r w:rsidRPr="009D5BD6">
              <w:rPr>
                <w:rFonts w:cs="Arial"/>
              </w:rPr>
              <w:lastRenderedPageBreak/>
              <w:t>Project title</w:t>
            </w:r>
          </w:p>
        </w:tc>
        <w:tc>
          <w:tcPr>
            <w:tcW w:w="6517" w:type="dxa"/>
            <w:gridSpan w:val="2"/>
            <w:vAlign w:val="center"/>
          </w:tcPr>
          <w:p w14:paraId="45E301D3" w14:textId="77777777" w:rsidR="000909EF" w:rsidRPr="009D5BD6" w:rsidRDefault="000909EF" w:rsidP="00C13A59">
            <w:pPr>
              <w:spacing w:before="0" w:after="0" w:line="240" w:lineRule="auto"/>
              <w:jc w:val="left"/>
              <w:rPr>
                <w:rFonts w:cs="Arial"/>
              </w:rPr>
            </w:pPr>
            <w:r>
              <w:rPr>
                <w:rFonts w:eastAsia="Times New Roman"/>
                <w:lang w:val="en-GB"/>
              </w:rPr>
              <w:t>Identifying Marginal Lands in Europe and strengthening their contribution potentialities in a CO2 sequestration strategy</w:t>
            </w:r>
          </w:p>
        </w:tc>
      </w:tr>
      <w:tr w:rsidR="000909EF" w:rsidRPr="009D5BD6" w14:paraId="0DF382CA" w14:textId="77777777" w:rsidTr="00E14330">
        <w:trPr>
          <w:trHeight w:val="567"/>
          <w:jc w:val="center"/>
        </w:trPr>
        <w:tc>
          <w:tcPr>
            <w:tcW w:w="1870" w:type="dxa"/>
            <w:shd w:val="clear" w:color="auto" w:fill="FFFF66"/>
            <w:vAlign w:val="center"/>
          </w:tcPr>
          <w:p w14:paraId="48F0A161" w14:textId="77777777" w:rsidR="000909EF" w:rsidRPr="009D5BD6" w:rsidRDefault="000909EF" w:rsidP="00C13A59">
            <w:pPr>
              <w:spacing w:before="0" w:after="0" w:line="240" w:lineRule="auto"/>
              <w:jc w:val="left"/>
              <w:rPr>
                <w:rFonts w:cs="Arial"/>
              </w:rPr>
            </w:pPr>
            <w:r w:rsidRPr="009D5BD6">
              <w:rPr>
                <w:rFonts w:cs="Arial"/>
              </w:rPr>
              <w:t>Call identifier</w:t>
            </w:r>
          </w:p>
        </w:tc>
        <w:tc>
          <w:tcPr>
            <w:tcW w:w="6517" w:type="dxa"/>
            <w:gridSpan w:val="2"/>
            <w:vAlign w:val="center"/>
          </w:tcPr>
          <w:p w14:paraId="526BD5BD" w14:textId="77777777" w:rsidR="000909EF" w:rsidRPr="009D5BD6" w:rsidRDefault="000909EF" w:rsidP="00C13A59">
            <w:pPr>
              <w:spacing w:before="0" w:after="0" w:line="240" w:lineRule="auto"/>
              <w:jc w:val="left"/>
              <w:rPr>
                <w:rFonts w:cs="Arial"/>
              </w:rPr>
            </w:pPr>
            <w:r>
              <w:rPr>
                <w:sz w:val="20"/>
              </w:rPr>
              <w:t>H2020 MSCA RISE 2018</w:t>
            </w:r>
          </w:p>
        </w:tc>
      </w:tr>
      <w:tr w:rsidR="000909EF" w:rsidRPr="009D5BD6" w14:paraId="2B5A321B" w14:textId="77777777" w:rsidTr="00E14330">
        <w:trPr>
          <w:trHeight w:val="567"/>
          <w:jc w:val="center"/>
        </w:trPr>
        <w:tc>
          <w:tcPr>
            <w:tcW w:w="1870" w:type="dxa"/>
            <w:shd w:val="clear" w:color="auto" w:fill="FFFF66"/>
            <w:vAlign w:val="center"/>
          </w:tcPr>
          <w:p w14:paraId="51ED2BAA" w14:textId="77777777" w:rsidR="000909EF" w:rsidRPr="009D5BD6" w:rsidRDefault="000909EF" w:rsidP="00C13A59">
            <w:pPr>
              <w:spacing w:before="0" w:after="0" w:line="240" w:lineRule="auto"/>
              <w:jc w:val="left"/>
              <w:rPr>
                <w:rFonts w:cs="Arial"/>
              </w:rPr>
            </w:pPr>
            <w:r w:rsidRPr="009D5BD6">
              <w:rPr>
                <w:rFonts w:cs="Arial"/>
              </w:rPr>
              <w:t>Project acronym</w:t>
            </w:r>
          </w:p>
        </w:tc>
        <w:tc>
          <w:tcPr>
            <w:tcW w:w="6517" w:type="dxa"/>
            <w:gridSpan w:val="2"/>
            <w:vAlign w:val="center"/>
          </w:tcPr>
          <w:p w14:paraId="12B10003" w14:textId="77777777" w:rsidR="000909EF" w:rsidRPr="009D5BD6" w:rsidRDefault="000909EF" w:rsidP="00C13A59">
            <w:pPr>
              <w:spacing w:before="0" w:after="0" w:line="240" w:lineRule="auto"/>
              <w:jc w:val="left"/>
              <w:rPr>
                <w:rFonts w:cs="Arial"/>
              </w:rPr>
            </w:pPr>
            <w:r>
              <w:rPr>
                <w:rFonts w:cs="Arial"/>
              </w:rPr>
              <w:t>MAIL</w:t>
            </w:r>
          </w:p>
        </w:tc>
      </w:tr>
      <w:tr w:rsidR="000909EF" w:rsidRPr="009D5BD6" w14:paraId="2E7C83A9" w14:textId="77777777" w:rsidTr="00E14330">
        <w:trPr>
          <w:trHeight w:val="567"/>
          <w:jc w:val="center"/>
        </w:trPr>
        <w:tc>
          <w:tcPr>
            <w:tcW w:w="1870" w:type="dxa"/>
            <w:shd w:val="clear" w:color="auto" w:fill="FFFF66"/>
            <w:vAlign w:val="center"/>
          </w:tcPr>
          <w:p w14:paraId="3E41066F" w14:textId="77777777" w:rsidR="000909EF" w:rsidRPr="009D5BD6" w:rsidRDefault="000909EF" w:rsidP="00C13A59">
            <w:pPr>
              <w:spacing w:before="0" w:after="0" w:line="240" w:lineRule="auto"/>
              <w:jc w:val="left"/>
              <w:rPr>
                <w:rFonts w:cs="Arial"/>
              </w:rPr>
            </w:pPr>
            <w:r w:rsidRPr="009D5BD6">
              <w:rPr>
                <w:rFonts w:cs="Arial"/>
              </w:rPr>
              <w:t>Starting date</w:t>
            </w:r>
          </w:p>
        </w:tc>
        <w:tc>
          <w:tcPr>
            <w:tcW w:w="6517" w:type="dxa"/>
            <w:gridSpan w:val="2"/>
            <w:vAlign w:val="center"/>
          </w:tcPr>
          <w:p w14:paraId="5FA094E2" w14:textId="77777777" w:rsidR="000909EF" w:rsidRPr="009D5BD6" w:rsidRDefault="000909EF" w:rsidP="00C13A59">
            <w:pPr>
              <w:spacing w:before="0" w:after="0" w:line="240" w:lineRule="auto"/>
              <w:jc w:val="left"/>
              <w:rPr>
                <w:rFonts w:cs="Arial"/>
              </w:rPr>
            </w:pPr>
            <w:r w:rsidRPr="009D5BD6">
              <w:rPr>
                <w:rFonts w:cs="Arial"/>
              </w:rPr>
              <w:t>01.</w:t>
            </w:r>
            <w:r>
              <w:rPr>
                <w:rFonts w:cs="Arial"/>
              </w:rPr>
              <w:t>01.2019</w:t>
            </w:r>
          </w:p>
        </w:tc>
      </w:tr>
      <w:tr w:rsidR="000909EF" w:rsidRPr="009D5BD6" w14:paraId="46C73431" w14:textId="77777777" w:rsidTr="00E14330">
        <w:trPr>
          <w:trHeight w:val="567"/>
          <w:jc w:val="center"/>
        </w:trPr>
        <w:tc>
          <w:tcPr>
            <w:tcW w:w="1870" w:type="dxa"/>
            <w:shd w:val="clear" w:color="auto" w:fill="FFFF66"/>
            <w:vAlign w:val="center"/>
          </w:tcPr>
          <w:p w14:paraId="79D3B0E6" w14:textId="77777777" w:rsidR="000909EF" w:rsidRPr="009D5BD6" w:rsidRDefault="000909EF" w:rsidP="00C13A59">
            <w:pPr>
              <w:spacing w:before="0" w:after="0" w:line="240" w:lineRule="auto"/>
              <w:jc w:val="left"/>
              <w:rPr>
                <w:rFonts w:cs="Arial"/>
              </w:rPr>
            </w:pPr>
            <w:r w:rsidRPr="009D5BD6">
              <w:rPr>
                <w:rFonts w:cs="Arial"/>
              </w:rPr>
              <w:t>End date</w:t>
            </w:r>
          </w:p>
        </w:tc>
        <w:tc>
          <w:tcPr>
            <w:tcW w:w="6517" w:type="dxa"/>
            <w:gridSpan w:val="2"/>
            <w:vAlign w:val="center"/>
          </w:tcPr>
          <w:p w14:paraId="493664D6" w14:textId="20A077C4" w:rsidR="000909EF" w:rsidRPr="009D5BD6" w:rsidRDefault="000909EF" w:rsidP="00C13A59">
            <w:pPr>
              <w:spacing w:before="0" w:after="0" w:line="240" w:lineRule="auto"/>
              <w:jc w:val="left"/>
              <w:rPr>
                <w:rFonts w:cs="Arial"/>
              </w:rPr>
            </w:pPr>
            <w:r>
              <w:rPr>
                <w:rFonts w:cs="Arial"/>
              </w:rPr>
              <w:t>31.</w:t>
            </w:r>
            <w:r w:rsidR="00596797">
              <w:rPr>
                <w:rFonts w:cs="Arial"/>
              </w:rPr>
              <w:t>12</w:t>
            </w:r>
            <w:r>
              <w:rPr>
                <w:rFonts w:cs="Arial"/>
              </w:rPr>
              <w:t>.2021</w:t>
            </w:r>
          </w:p>
        </w:tc>
      </w:tr>
      <w:tr w:rsidR="000909EF" w:rsidRPr="009D5BD6" w14:paraId="503D42B0" w14:textId="77777777" w:rsidTr="00E14330">
        <w:trPr>
          <w:trHeight w:val="567"/>
          <w:jc w:val="center"/>
        </w:trPr>
        <w:tc>
          <w:tcPr>
            <w:tcW w:w="1870" w:type="dxa"/>
            <w:shd w:val="clear" w:color="auto" w:fill="FFFF66"/>
            <w:vAlign w:val="center"/>
          </w:tcPr>
          <w:p w14:paraId="632A1C75" w14:textId="77777777" w:rsidR="000909EF" w:rsidRPr="009D5BD6" w:rsidRDefault="000909EF" w:rsidP="00C13A59">
            <w:pPr>
              <w:spacing w:before="0" w:after="0" w:line="240" w:lineRule="auto"/>
              <w:jc w:val="left"/>
              <w:rPr>
                <w:rFonts w:cs="Arial"/>
              </w:rPr>
            </w:pPr>
            <w:r w:rsidRPr="009D5BD6">
              <w:rPr>
                <w:rFonts w:cs="Arial"/>
              </w:rPr>
              <w:t>Funding scheme</w:t>
            </w:r>
          </w:p>
        </w:tc>
        <w:tc>
          <w:tcPr>
            <w:tcW w:w="6517" w:type="dxa"/>
            <w:gridSpan w:val="2"/>
            <w:vAlign w:val="center"/>
          </w:tcPr>
          <w:p w14:paraId="61929A7B" w14:textId="77777777" w:rsidR="000909EF" w:rsidRPr="00523EFA" w:rsidRDefault="00523EFA" w:rsidP="00C13A59">
            <w:pPr>
              <w:spacing w:before="0" w:after="0" w:line="240" w:lineRule="auto"/>
              <w:jc w:val="left"/>
              <w:rPr>
                <w:rFonts w:cs="Arial"/>
              </w:rPr>
            </w:pPr>
            <w:r w:rsidRPr="00523EFA">
              <w:rPr>
                <w:rFonts w:eastAsia="Calibri"/>
              </w:rPr>
              <w:t>Marie Skłodowska-Curie</w:t>
            </w:r>
          </w:p>
        </w:tc>
      </w:tr>
      <w:tr w:rsidR="000909EF" w:rsidRPr="009D5BD6" w14:paraId="29083652" w14:textId="77777777" w:rsidTr="00E14330">
        <w:trPr>
          <w:trHeight w:val="567"/>
          <w:jc w:val="center"/>
        </w:trPr>
        <w:tc>
          <w:tcPr>
            <w:tcW w:w="1870" w:type="dxa"/>
            <w:shd w:val="clear" w:color="auto" w:fill="FFFF66"/>
            <w:vAlign w:val="center"/>
          </w:tcPr>
          <w:p w14:paraId="59344A41" w14:textId="77777777" w:rsidR="000909EF" w:rsidRPr="009D5BD6" w:rsidRDefault="000909EF" w:rsidP="00C13A59">
            <w:pPr>
              <w:spacing w:before="0" w:after="0" w:line="240" w:lineRule="auto"/>
              <w:jc w:val="left"/>
              <w:rPr>
                <w:rFonts w:cs="Arial"/>
              </w:rPr>
            </w:pPr>
            <w:r w:rsidRPr="009D5BD6">
              <w:rPr>
                <w:rFonts w:cs="Arial"/>
              </w:rPr>
              <w:t>Contract no.</w:t>
            </w:r>
          </w:p>
        </w:tc>
        <w:tc>
          <w:tcPr>
            <w:tcW w:w="6517" w:type="dxa"/>
            <w:gridSpan w:val="2"/>
            <w:vAlign w:val="center"/>
          </w:tcPr>
          <w:p w14:paraId="4611842B" w14:textId="77777777" w:rsidR="000909EF" w:rsidRPr="00523EFA" w:rsidRDefault="00523EFA" w:rsidP="00C13A59">
            <w:pPr>
              <w:spacing w:before="0" w:after="0" w:line="240" w:lineRule="auto"/>
              <w:jc w:val="left"/>
              <w:rPr>
                <w:rFonts w:cs="Arial"/>
              </w:rPr>
            </w:pPr>
            <w:r w:rsidRPr="00523EFA">
              <w:rPr>
                <w:rFonts w:eastAsia="Calibri"/>
              </w:rPr>
              <w:t>823805</w:t>
            </w:r>
          </w:p>
        </w:tc>
      </w:tr>
      <w:tr w:rsidR="000909EF" w:rsidRPr="009D5BD6" w14:paraId="3DA407DD" w14:textId="77777777" w:rsidTr="00E14330">
        <w:trPr>
          <w:trHeight w:val="737"/>
          <w:jc w:val="center"/>
        </w:trPr>
        <w:tc>
          <w:tcPr>
            <w:tcW w:w="8387" w:type="dxa"/>
            <w:gridSpan w:val="3"/>
            <w:shd w:val="clear" w:color="auto" w:fill="CC9900"/>
            <w:vAlign w:val="center"/>
          </w:tcPr>
          <w:p w14:paraId="3B18B351" w14:textId="77777777" w:rsidR="000909EF" w:rsidRPr="009D5BD6" w:rsidRDefault="000909EF" w:rsidP="00C13A59">
            <w:pPr>
              <w:spacing w:before="0" w:after="0" w:line="240" w:lineRule="auto"/>
              <w:rPr>
                <w:rFonts w:cs="Arial"/>
              </w:rPr>
            </w:pPr>
          </w:p>
        </w:tc>
      </w:tr>
      <w:tr w:rsidR="000909EF" w:rsidRPr="009D5BD6" w14:paraId="00117AAA" w14:textId="77777777" w:rsidTr="00E14330">
        <w:trPr>
          <w:trHeight w:val="567"/>
          <w:jc w:val="center"/>
        </w:trPr>
        <w:tc>
          <w:tcPr>
            <w:tcW w:w="1870" w:type="dxa"/>
            <w:shd w:val="clear" w:color="auto" w:fill="FFFF66"/>
            <w:vAlign w:val="center"/>
          </w:tcPr>
          <w:p w14:paraId="58CE702B" w14:textId="77777777" w:rsidR="000909EF" w:rsidRPr="009D5BD6" w:rsidRDefault="000909EF" w:rsidP="00C13A59">
            <w:pPr>
              <w:spacing w:before="0" w:after="0" w:line="240" w:lineRule="auto"/>
              <w:rPr>
                <w:rFonts w:cs="Arial"/>
              </w:rPr>
            </w:pPr>
            <w:r w:rsidRPr="009D5BD6">
              <w:rPr>
                <w:rFonts w:cs="Arial"/>
              </w:rPr>
              <w:t>Deliverable no.</w:t>
            </w:r>
          </w:p>
        </w:tc>
        <w:tc>
          <w:tcPr>
            <w:tcW w:w="6517" w:type="dxa"/>
            <w:gridSpan w:val="2"/>
            <w:vAlign w:val="center"/>
          </w:tcPr>
          <w:p w14:paraId="02B1F505" w14:textId="506C82B9" w:rsidR="000909EF" w:rsidRPr="009D5BD6" w:rsidRDefault="000909EF" w:rsidP="00C13A59">
            <w:pPr>
              <w:spacing w:before="0" w:after="0" w:line="240" w:lineRule="auto"/>
              <w:rPr>
                <w:rFonts w:cs="Arial"/>
              </w:rPr>
            </w:pPr>
            <w:r>
              <w:rPr>
                <w:rFonts w:cs="Arial"/>
              </w:rPr>
              <w:t>D</w:t>
            </w:r>
            <w:r w:rsidR="00030FEE">
              <w:rPr>
                <w:rFonts w:cs="Arial"/>
              </w:rPr>
              <w:t>2.6</w:t>
            </w:r>
          </w:p>
        </w:tc>
      </w:tr>
      <w:tr w:rsidR="000909EF" w:rsidRPr="009D5BD6" w14:paraId="72F8FB4C" w14:textId="77777777" w:rsidTr="00E14330">
        <w:trPr>
          <w:trHeight w:val="567"/>
          <w:jc w:val="center"/>
        </w:trPr>
        <w:tc>
          <w:tcPr>
            <w:tcW w:w="1870" w:type="dxa"/>
            <w:shd w:val="clear" w:color="auto" w:fill="FFFF66"/>
            <w:vAlign w:val="center"/>
          </w:tcPr>
          <w:p w14:paraId="399B87EE" w14:textId="77777777" w:rsidR="000909EF" w:rsidRPr="009D5BD6" w:rsidRDefault="000909EF" w:rsidP="00C13A59">
            <w:pPr>
              <w:spacing w:before="0" w:after="0" w:line="240" w:lineRule="auto"/>
              <w:rPr>
                <w:rFonts w:cs="Arial"/>
              </w:rPr>
            </w:pPr>
            <w:r w:rsidRPr="009D5BD6">
              <w:rPr>
                <w:rFonts w:cs="Arial"/>
              </w:rPr>
              <w:t>Document name</w:t>
            </w:r>
          </w:p>
        </w:tc>
        <w:tc>
          <w:tcPr>
            <w:tcW w:w="6517" w:type="dxa"/>
            <w:gridSpan w:val="2"/>
            <w:vAlign w:val="center"/>
          </w:tcPr>
          <w:p w14:paraId="1EBA7A77" w14:textId="64DC2706" w:rsidR="000909EF" w:rsidRPr="009D5BD6" w:rsidRDefault="00523EFA" w:rsidP="00C13A59">
            <w:pPr>
              <w:spacing w:before="0" w:after="0" w:line="240" w:lineRule="auto"/>
              <w:rPr>
                <w:rFonts w:cs="Arial"/>
                <w:highlight w:val="yellow"/>
              </w:rPr>
            </w:pPr>
            <w:r>
              <w:rPr>
                <w:rFonts w:cs="Arial"/>
              </w:rPr>
              <w:t>MAIL_D</w:t>
            </w:r>
            <w:r w:rsidR="0035582B">
              <w:rPr>
                <w:rFonts w:cs="Arial"/>
              </w:rPr>
              <w:t>2</w:t>
            </w:r>
            <w:r w:rsidR="00CD0F4C">
              <w:rPr>
                <w:rFonts w:cs="Arial"/>
              </w:rPr>
              <w:t>.</w:t>
            </w:r>
            <w:r w:rsidR="0035582B">
              <w:rPr>
                <w:rFonts w:cs="Arial"/>
              </w:rPr>
              <w:t>6</w:t>
            </w:r>
            <w:r>
              <w:rPr>
                <w:rFonts w:cs="Arial"/>
              </w:rPr>
              <w:t>.pdf</w:t>
            </w:r>
          </w:p>
        </w:tc>
      </w:tr>
      <w:tr w:rsidR="000909EF" w:rsidRPr="009D5BD6" w14:paraId="59C51135" w14:textId="77777777" w:rsidTr="00E14330">
        <w:trPr>
          <w:trHeight w:val="567"/>
          <w:jc w:val="center"/>
        </w:trPr>
        <w:tc>
          <w:tcPr>
            <w:tcW w:w="1870" w:type="dxa"/>
            <w:shd w:val="clear" w:color="auto" w:fill="FFFF66"/>
            <w:vAlign w:val="center"/>
          </w:tcPr>
          <w:p w14:paraId="54CD8B2B" w14:textId="77777777" w:rsidR="000909EF" w:rsidRPr="009D5BD6" w:rsidRDefault="000909EF" w:rsidP="00C13A59">
            <w:pPr>
              <w:spacing w:before="0" w:after="0" w:line="240" w:lineRule="auto"/>
              <w:rPr>
                <w:rFonts w:cs="Arial"/>
              </w:rPr>
            </w:pPr>
            <w:r w:rsidRPr="009D5BD6">
              <w:rPr>
                <w:rFonts w:cs="Arial"/>
              </w:rPr>
              <w:t>Deliverable name</w:t>
            </w:r>
          </w:p>
        </w:tc>
        <w:tc>
          <w:tcPr>
            <w:tcW w:w="6517" w:type="dxa"/>
            <w:gridSpan w:val="2"/>
            <w:vAlign w:val="center"/>
          </w:tcPr>
          <w:p w14:paraId="6C60D480" w14:textId="4CCDC0EC" w:rsidR="000909EF" w:rsidRPr="009D5BD6" w:rsidRDefault="00030FEE" w:rsidP="00C13A59">
            <w:pPr>
              <w:spacing w:before="0" w:after="0" w:line="240" w:lineRule="auto"/>
              <w:rPr>
                <w:rFonts w:cs="Arial"/>
              </w:rPr>
            </w:pPr>
            <w:r w:rsidRPr="00030FEE">
              <w:rPr>
                <w:rFonts w:cs="Arial"/>
              </w:rPr>
              <w:t>MLs classification in Carbon sequestration capacity groups</w:t>
            </w:r>
          </w:p>
        </w:tc>
      </w:tr>
      <w:tr w:rsidR="000909EF" w:rsidRPr="009D5BD6" w14:paraId="1EBFCEA2" w14:textId="77777777" w:rsidTr="00E14330">
        <w:trPr>
          <w:trHeight w:val="567"/>
          <w:jc w:val="center"/>
        </w:trPr>
        <w:tc>
          <w:tcPr>
            <w:tcW w:w="1870" w:type="dxa"/>
            <w:shd w:val="clear" w:color="auto" w:fill="FFFF66"/>
            <w:vAlign w:val="center"/>
          </w:tcPr>
          <w:p w14:paraId="78320EDE" w14:textId="77777777" w:rsidR="000909EF" w:rsidRPr="009D5BD6" w:rsidRDefault="000909EF" w:rsidP="00C13A59">
            <w:pPr>
              <w:spacing w:before="0" w:after="0" w:line="240" w:lineRule="auto"/>
              <w:rPr>
                <w:rFonts w:cs="Arial"/>
              </w:rPr>
            </w:pPr>
            <w:r w:rsidRPr="009D5BD6">
              <w:rPr>
                <w:rFonts w:cs="Arial"/>
              </w:rPr>
              <w:t>Work Package</w:t>
            </w:r>
          </w:p>
        </w:tc>
        <w:tc>
          <w:tcPr>
            <w:tcW w:w="6517" w:type="dxa"/>
            <w:gridSpan w:val="2"/>
            <w:vAlign w:val="center"/>
          </w:tcPr>
          <w:p w14:paraId="33715B14" w14:textId="52CB6F11" w:rsidR="000909EF" w:rsidRPr="009D5BD6" w:rsidRDefault="00030FEE" w:rsidP="00C13A59">
            <w:pPr>
              <w:spacing w:before="0" w:after="0" w:line="240" w:lineRule="auto"/>
              <w:rPr>
                <w:rFonts w:cs="Arial"/>
              </w:rPr>
            </w:pPr>
            <w:r w:rsidRPr="00030FEE">
              <w:rPr>
                <w:rFonts w:cs="Arial"/>
              </w:rPr>
              <w:t>WP</w:t>
            </w:r>
            <w:r w:rsidR="00CD0F4C">
              <w:rPr>
                <w:rFonts w:cs="Arial"/>
              </w:rPr>
              <w:t>2</w:t>
            </w:r>
          </w:p>
        </w:tc>
      </w:tr>
      <w:tr w:rsidR="000909EF" w:rsidRPr="009D5BD6" w14:paraId="0E285731" w14:textId="77777777" w:rsidTr="00E14330">
        <w:trPr>
          <w:trHeight w:val="567"/>
          <w:jc w:val="center"/>
        </w:trPr>
        <w:tc>
          <w:tcPr>
            <w:tcW w:w="1870" w:type="dxa"/>
            <w:shd w:val="clear" w:color="auto" w:fill="FFFF66"/>
            <w:vAlign w:val="center"/>
          </w:tcPr>
          <w:p w14:paraId="3F66D174" w14:textId="77777777" w:rsidR="000909EF" w:rsidRPr="009D5BD6" w:rsidRDefault="000909EF" w:rsidP="00C13A59">
            <w:pPr>
              <w:spacing w:before="0" w:after="0" w:line="240" w:lineRule="auto"/>
              <w:rPr>
                <w:rFonts w:cs="Arial"/>
              </w:rPr>
            </w:pPr>
            <w:r w:rsidRPr="009D5BD6">
              <w:rPr>
                <w:rFonts w:cs="Arial"/>
              </w:rPr>
              <w:t>Nature</w:t>
            </w:r>
            <w:r w:rsidRPr="009D5BD6">
              <w:rPr>
                <w:rStyle w:val="FootnoteReference"/>
                <w:rFonts w:cs="Arial"/>
              </w:rPr>
              <w:footnoteReference w:id="1"/>
            </w:r>
          </w:p>
        </w:tc>
        <w:tc>
          <w:tcPr>
            <w:tcW w:w="6517" w:type="dxa"/>
            <w:gridSpan w:val="2"/>
            <w:vAlign w:val="center"/>
          </w:tcPr>
          <w:p w14:paraId="667E163F" w14:textId="6AB9981D" w:rsidR="000909EF" w:rsidRPr="009D5BD6" w:rsidRDefault="00030FEE" w:rsidP="00C13A59">
            <w:pPr>
              <w:spacing w:before="0" w:after="0" w:line="240" w:lineRule="auto"/>
              <w:rPr>
                <w:rFonts w:cs="Arial"/>
              </w:rPr>
            </w:pPr>
            <w:r>
              <w:rPr>
                <w:rFonts w:cs="Arial"/>
              </w:rPr>
              <w:t>R</w:t>
            </w:r>
          </w:p>
        </w:tc>
      </w:tr>
      <w:tr w:rsidR="000909EF" w:rsidRPr="009D5BD6" w14:paraId="3B9E6E5E" w14:textId="77777777" w:rsidTr="00E14330">
        <w:trPr>
          <w:trHeight w:val="567"/>
          <w:jc w:val="center"/>
        </w:trPr>
        <w:tc>
          <w:tcPr>
            <w:tcW w:w="1870" w:type="dxa"/>
            <w:tcBorders>
              <w:bottom w:val="single" w:sz="4" w:space="0" w:color="auto"/>
            </w:tcBorders>
            <w:shd w:val="clear" w:color="auto" w:fill="FFFF66"/>
            <w:vAlign w:val="center"/>
          </w:tcPr>
          <w:p w14:paraId="3CA5A048" w14:textId="77777777" w:rsidR="000909EF" w:rsidRPr="009D5BD6" w:rsidRDefault="000909EF" w:rsidP="00C13A59">
            <w:pPr>
              <w:spacing w:before="0" w:after="0" w:line="240" w:lineRule="auto"/>
              <w:rPr>
                <w:rFonts w:cs="Arial"/>
              </w:rPr>
            </w:pPr>
            <w:r w:rsidRPr="009D5BD6">
              <w:rPr>
                <w:rFonts w:cs="Arial"/>
              </w:rPr>
              <w:t>Dissemination</w:t>
            </w:r>
            <w:r w:rsidRPr="009D5BD6">
              <w:rPr>
                <w:rStyle w:val="FootnoteReference"/>
                <w:rFonts w:cs="Arial"/>
              </w:rPr>
              <w:footnoteReference w:id="2"/>
            </w:r>
          </w:p>
        </w:tc>
        <w:tc>
          <w:tcPr>
            <w:tcW w:w="6517" w:type="dxa"/>
            <w:gridSpan w:val="2"/>
            <w:tcBorders>
              <w:bottom w:val="single" w:sz="4" w:space="0" w:color="auto"/>
            </w:tcBorders>
            <w:vAlign w:val="center"/>
          </w:tcPr>
          <w:p w14:paraId="3902CDD0" w14:textId="0C3AAD03" w:rsidR="000909EF" w:rsidRPr="009D5BD6" w:rsidRDefault="00030FEE" w:rsidP="00C13A59">
            <w:pPr>
              <w:spacing w:before="0" w:after="0" w:line="240" w:lineRule="auto"/>
              <w:rPr>
                <w:rFonts w:cs="Arial"/>
              </w:rPr>
            </w:pPr>
            <w:r w:rsidRPr="00030FEE">
              <w:rPr>
                <w:rFonts w:cs="Arial"/>
              </w:rPr>
              <w:t>PU</w:t>
            </w:r>
          </w:p>
        </w:tc>
      </w:tr>
      <w:tr w:rsidR="000909EF" w:rsidRPr="000853EE" w14:paraId="14202039" w14:textId="77777777" w:rsidTr="00E14330">
        <w:trPr>
          <w:trHeight w:val="567"/>
          <w:jc w:val="center"/>
        </w:trPr>
        <w:tc>
          <w:tcPr>
            <w:tcW w:w="1870" w:type="dxa"/>
            <w:tcBorders>
              <w:top w:val="single" w:sz="4" w:space="0" w:color="auto"/>
              <w:left w:val="single" w:sz="4" w:space="0" w:color="auto"/>
              <w:bottom w:val="single" w:sz="4" w:space="0" w:color="auto"/>
              <w:right w:val="single" w:sz="4" w:space="0" w:color="auto"/>
            </w:tcBorders>
            <w:shd w:val="clear" w:color="auto" w:fill="FFFF66"/>
            <w:vAlign w:val="center"/>
          </w:tcPr>
          <w:p w14:paraId="47FCE2C4" w14:textId="77777777" w:rsidR="000909EF" w:rsidRPr="009D5BD6" w:rsidRDefault="000909EF" w:rsidP="00C13A59">
            <w:pPr>
              <w:spacing w:before="0" w:after="0" w:line="240" w:lineRule="auto"/>
              <w:rPr>
                <w:rFonts w:cs="Arial"/>
              </w:rPr>
            </w:pPr>
            <w:r w:rsidRPr="009D5BD6">
              <w:rPr>
                <w:rFonts w:cs="Arial"/>
              </w:rPr>
              <w:t>Editor</w:t>
            </w:r>
          </w:p>
        </w:tc>
        <w:tc>
          <w:tcPr>
            <w:tcW w:w="6517" w:type="dxa"/>
            <w:gridSpan w:val="2"/>
            <w:tcBorders>
              <w:top w:val="single" w:sz="4" w:space="0" w:color="auto"/>
              <w:left w:val="single" w:sz="4" w:space="0" w:color="auto"/>
              <w:bottom w:val="single" w:sz="4" w:space="0" w:color="auto"/>
              <w:right w:val="single" w:sz="4" w:space="0" w:color="auto"/>
            </w:tcBorders>
            <w:vAlign w:val="center"/>
          </w:tcPr>
          <w:p w14:paraId="4B945225" w14:textId="6C763292" w:rsidR="000909EF" w:rsidRPr="00506BBE" w:rsidRDefault="00336768" w:rsidP="00C13A59">
            <w:pPr>
              <w:spacing w:before="0" w:after="0" w:line="240" w:lineRule="auto"/>
              <w:rPr>
                <w:rFonts w:cs="Arial"/>
                <w:lang w:val="it-IT"/>
              </w:rPr>
            </w:pPr>
            <w:r w:rsidRPr="00D41D52">
              <w:rPr>
                <w:rFonts w:cs="Arial"/>
                <w:lang w:val="it-IT"/>
              </w:rPr>
              <w:t>Franscisco Gallego Ciprés</w:t>
            </w:r>
            <w:r w:rsidR="00E14330">
              <w:rPr>
                <w:rFonts w:cs="Arial"/>
                <w:lang w:val="it-IT"/>
              </w:rPr>
              <w:t xml:space="preserve">, Fernando Bezares </w:t>
            </w:r>
            <w:r w:rsidR="00E14330" w:rsidRPr="00E14330">
              <w:rPr>
                <w:rFonts w:cs="Arial"/>
                <w:lang w:val="it-IT"/>
              </w:rPr>
              <w:t>Sanfelip</w:t>
            </w:r>
            <w:r w:rsidR="00E14330">
              <w:rPr>
                <w:rFonts w:cs="Arial"/>
                <w:lang w:val="it-IT"/>
              </w:rPr>
              <w:t xml:space="preserve"> </w:t>
            </w:r>
            <w:r w:rsidRPr="00D41D52">
              <w:rPr>
                <w:rFonts w:cs="Arial"/>
                <w:lang w:val="it-IT"/>
              </w:rPr>
              <w:t>(Cesefor)</w:t>
            </w:r>
            <w:r w:rsidR="0030715A">
              <w:rPr>
                <w:rFonts w:cs="Arial"/>
                <w:lang w:val="it-IT"/>
              </w:rPr>
              <w:t>, Charalampos Georgiadis (AUTH)</w:t>
            </w:r>
          </w:p>
        </w:tc>
      </w:tr>
      <w:tr w:rsidR="00F94E64" w:rsidRPr="003C5C96" w14:paraId="212B6F41" w14:textId="77777777" w:rsidTr="00E14330">
        <w:trPr>
          <w:trHeight w:val="603"/>
          <w:jc w:val="center"/>
        </w:trPr>
        <w:tc>
          <w:tcPr>
            <w:tcW w:w="1870" w:type="dxa"/>
            <w:vMerge w:val="restart"/>
            <w:tcBorders>
              <w:top w:val="single" w:sz="4" w:space="0" w:color="auto"/>
              <w:left w:val="single" w:sz="4" w:space="0" w:color="auto"/>
              <w:bottom w:val="single" w:sz="4" w:space="0" w:color="auto"/>
              <w:right w:val="single" w:sz="4" w:space="0" w:color="auto"/>
            </w:tcBorders>
            <w:shd w:val="clear" w:color="auto" w:fill="FFFF66"/>
            <w:vAlign w:val="center"/>
          </w:tcPr>
          <w:p w14:paraId="2F80E8D3" w14:textId="77777777" w:rsidR="003C5C96" w:rsidRPr="009D5BD6" w:rsidRDefault="003C5C96" w:rsidP="00C13A59">
            <w:pPr>
              <w:spacing w:before="0" w:after="0" w:line="240" w:lineRule="auto"/>
              <w:rPr>
                <w:rFonts w:cs="Arial"/>
              </w:rPr>
            </w:pPr>
            <w:r>
              <w:rPr>
                <w:rFonts w:cs="Arial"/>
              </w:rPr>
              <w:t>Authors</w:t>
            </w:r>
          </w:p>
        </w:tc>
        <w:tc>
          <w:tcPr>
            <w:tcW w:w="1845" w:type="dxa"/>
            <w:tcBorders>
              <w:top w:val="single" w:sz="4" w:space="0" w:color="auto"/>
              <w:left w:val="single" w:sz="4" w:space="0" w:color="auto"/>
              <w:bottom w:val="nil"/>
              <w:right w:val="nil"/>
            </w:tcBorders>
            <w:vAlign w:val="center"/>
          </w:tcPr>
          <w:p w14:paraId="78204AFB" w14:textId="1B31AFED" w:rsidR="003C5C96" w:rsidRDefault="003C5C96" w:rsidP="00F94E64">
            <w:pPr>
              <w:spacing w:before="0" w:after="0" w:line="240" w:lineRule="auto"/>
              <w:jc w:val="left"/>
              <w:rPr>
                <w:rFonts w:cs="Arial"/>
                <w:lang w:val="it-IT"/>
              </w:rPr>
            </w:pPr>
            <w:r>
              <w:rPr>
                <w:rFonts w:cs="Arial"/>
                <w:lang w:val="it-IT"/>
              </w:rPr>
              <w:t xml:space="preserve">Pilot site level: </w:t>
            </w:r>
          </w:p>
        </w:tc>
        <w:tc>
          <w:tcPr>
            <w:tcW w:w="4672" w:type="dxa"/>
            <w:tcBorders>
              <w:top w:val="single" w:sz="4" w:space="0" w:color="auto"/>
              <w:left w:val="nil"/>
              <w:bottom w:val="nil"/>
              <w:right w:val="single" w:sz="4" w:space="0" w:color="auto"/>
            </w:tcBorders>
            <w:vAlign w:val="center"/>
          </w:tcPr>
          <w:p w14:paraId="7F70B061" w14:textId="3DA733D5" w:rsidR="003C5C96" w:rsidRPr="000E28B9" w:rsidRDefault="003C5C96" w:rsidP="003C5C96">
            <w:pPr>
              <w:spacing w:before="0" w:after="0" w:line="240" w:lineRule="auto"/>
              <w:ind w:left="82"/>
              <w:jc w:val="left"/>
              <w:rPr>
                <w:rFonts w:cs="Arial"/>
                <w:lang w:val="it-IT"/>
              </w:rPr>
            </w:pPr>
            <w:r w:rsidRPr="00030FEE">
              <w:rPr>
                <w:rFonts w:cs="Arial"/>
                <w:lang w:val="it-IT"/>
              </w:rPr>
              <w:t>Dzhaner</w:t>
            </w:r>
            <w:r>
              <w:rPr>
                <w:rFonts w:cs="Arial"/>
                <w:lang w:val="it-IT"/>
              </w:rPr>
              <w:t xml:space="preserve"> </w:t>
            </w:r>
            <w:r w:rsidRPr="00030FEE">
              <w:rPr>
                <w:rFonts w:cs="Arial"/>
                <w:lang w:val="it-IT"/>
              </w:rPr>
              <w:t>Emin, Giulia Molisse</w:t>
            </w:r>
            <w:r>
              <w:rPr>
                <w:rFonts w:cs="Arial"/>
                <w:lang w:val="it-IT"/>
              </w:rPr>
              <w:t>,</w:t>
            </w:r>
            <w:r>
              <w:rPr>
                <w:rFonts w:cs="Arial"/>
                <w:lang w:val="it-IT"/>
              </w:rPr>
              <w:br/>
            </w:r>
            <w:r w:rsidRPr="00EF2643">
              <w:rPr>
                <w:rFonts w:cs="Arial"/>
                <w:lang w:val="it-IT"/>
              </w:rPr>
              <w:t>Ragasree</w:t>
            </w:r>
            <w:r>
              <w:rPr>
                <w:rFonts w:cs="Arial"/>
                <w:lang w:val="it-IT"/>
              </w:rPr>
              <w:t xml:space="preserve"> </w:t>
            </w:r>
            <w:r w:rsidRPr="00EF2643">
              <w:rPr>
                <w:rFonts w:cs="Arial"/>
                <w:lang w:val="it-IT"/>
              </w:rPr>
              <w:t>Polepally</w:t>
            </w:r>
            <w:r>
              <w:rPr>
                <w:rFonts w:cs="Arial"/>
                <w:lang w:val="it-IT"/>
              </w:rPr>
              <w:t xml:space="preserve"> </w:t>
            </w:r>
            <w:r w:rsidRPr="00030FEE">
              <w:rPr>
                <w:rFonts w:cs="Arial"/>
                <w:lang w:val="it-IT"/>
              </w:rPr>
              <w:t>(IABG</w:t>
            </w:r>
            <w:r>
              <w:rPr>
                <w:rFonts w:cs="Arial"/>
                <w:lang w:val="it-IT"/>
              </w:rPr>
              <w:t>)</w:t>
            </w:r>
          </w:p>
        </w:tc>
      </w:tr>
      <w:tr w:rsidR="00F94E64" w:rsidRPr="00F935E5" w14:paraId="7708E8F7" w14:textId="77777777" w:rsidTr="00E14330">
        <w:trPr>
          <w:trHeight w:val="885"/>
          <w:jc w:val="center"/>
        </w:trPr>
        <w:tc>
          <w:tcPr>
            <w:tcW w:w="1870" w:type="dxa"/>
            <w:vMerge/>
            <w:tcBorders>
              <w:top w:val="single" w:sz="4" w:space="0" w:color="auto"/>
              <w:left w:val="single" w:sz="4" w:space="0" w:color="auto"/>
              <w:bottom w:val="single" w:sz="4" w:space="0" w:color="auto"/>
              <w:right w:val="single" w:sz="4" w:space="0" w:color="auto"/>
            </w:tcBorders>
            <w:shd w:val="clear" w:color="auto" w:fill="FFFF66"/>
            <w:vAlign w:val="center"/>
          </w:tcPr>
          <w:p w14:paraId="1079949D" w14:textId="77777777" w:rsidR="003C5C96" w:rsidRDefault="003C5C96" w:rsidP="00C13A59">
            <w:pPr>
              <w:spacing w:before="0" w:after="0" w:line="240" w:lineRule="auto"/>
              <w:rPr>
                <w:rFonts w:cs="Arial"/>
              </w:rPr>
            </w:pPr>
          </w:p>
        </w:tc>
        <w:tc>
          <w:tcPr>
            <w:tcW w:w="1845" w:type="dxa"/>
            <w:tcBorders>
              <w:top w:val="nil"/>
              <w:left w:val="single" w:sz="4" w:space="0" w:color="auto"/>
              <w:bottom w:val="single" w:sz="4" w:space="0" w:color="auto"/>
              <w:right w:val="nil"/>
            </w:tcBorders>
            <w:vAlign w:val="center"/>
          </w:tcPr>
          <w:p w14:paraId="7F6C4858" w14:textId="06B3B29E" w:rsidR="003C5C96" w:rsidRPr="003C5C96" w:rsidRDefault="003C5C96" w:rsidP="00F94E64">
            <w:pPr>
              <w:spacing w:before="0" w:after="0" w:line="240" w:lineRule="auto"/>
              <w:jc w:val="left"/>
              <w:rPr>
                <w:rFonts w:cs="Arial"/>
              </w:rPr>
            </w:pPr>
            <w:r>
              <w:rPr>
                <w:rFonts w:cs="Arial"/>
                <w:lang w:val="it-IT"/>
              </w:rPr>
              <w:t>European level:</w:t>
            </w:r>
          </w:p>
        </w:tc>
        <w:tc>
          <w:tcPr>
            <w:tcW w:w="4672" w:type="dxa"/>
            <w:tcBorders>
              <w:top w:val="nil"/>
              <w:left w:val="nil"/>
              <w:bottom w:val="single" w:sz="4" w:space="0" w:color="auto"/>
              <w:right w:val="single" w:sz="4" w:space="0" w:color="auto"/>
            </w:tcBorders>
            <w:vAlign w:val="center"/>
          </w:tcPr>
          <w:p w14:paraId="1F9EBC01" w14:textId="77777777" w:rsidR="003C5C96" w:rsidRDefault="003C5C96" w:rsidP="003C5C96">
            <w:pPr>
              <w:spacing w:before="0" w:after="0" w:line="240" w:lineRule="auto"/>
              <w:ind w:left="82" w:hanging="45"/>
              <w:jc w:val="left"/>
              <w:rPr>
                <w:rFonts w:cs="Arial"/>
                <w:lang w:val="it-IT"/>
              </w:rPr>
            </w:pPr>
            <w:r>
              <w:rPr>
                <w:rFonts w:cs="Arial"/>
                <w:lang w:val="it-IT"/>
              </w:rPr>
              <w:t xml:space="preserve">Lefteris Mystakidis, </w:t>
            </w:r>
          </w:p>
          <w:p w14:paraId="234707F4" w14:textId="75C1132B" w:rsidR="003C5C96" w:rsidRDefault="003C5C96" w:rsidP="003C5C96">
            <w:pPr>
              <w:spacing w:before="0" w:after="0" w:line="240" w:lineRule="auto"/>
              <w:ind w:left="82" w:hanging="45"/>
              <w:jc w:val="left"/>
              <w:rPr>
                <w:rFonts w:cs="Arial"/>
                <w:lang w:val="it-IT"/>
              </w:rPr>
            </w:pPr>
            <w:r w:rsidRPr="00DB38D6">
              <w:rPr>
                <w:rFonts w:cs="Arial"/>
                <w:lang w:val="it-IT"/>
              </w:rPr>
              <w:t>Lampros Papalampros</w:t>
            </w:r>
            <w:r>
              <w:rPr>
                <w:rFonts w:cs="Arial"/>
                <w:lang w:val="it-IT"/>
              </w:rPr>
              <w:t xml:space="preserve"> (HOMEOTECH)</w:t>
            </w:r>
          </w:p>
        </w:tc>
      </w:tr>
      <w:tr w:rsidR="000909EF" w:rsidRPr="00F935E5" w14:paraId="04C5B120" w14:textId="77777777" w:rsidTr="00E14330">
        <w:trPr>
          <w:trHeight w:val="567"/>
          <w:jc w:val="center"/>
        </w:trPr>
        <w:tc>
          <w:tcPr>
            <w:tcW w:w="1870" w:type="dxa"/>
            <w:tcBorders>
              <w:top w:val="single" w:sz="4" w:space="0" w:color="auto"/>
              <w:left w:val="single" w:sz="4" w:space="0" w:color="auto"/>
              <w:bottom w:val="single" w:sz="4" w:space="0" w:color="auto"/>
              <w:right w:val="single" w:sz="4" w:space="0" w:color="auto"/>
            </w:tcBorders>
            <w:shd w:val="clear" w:color="auto" w:fill="FFFF66"/>
            <w:vAlign w:val="center"/>
          </w:tcPr>
          <w:p w14:paraId="1A57C763" w14:textId="77777777" w:rsidR="000909EF" w:rsidRPr="009D5BD6" w:rsidRDefault="000909EF" w:rsidP="00C13A59">
            <w:pPr>
              <w:spacing w:before="0" w:after="0" w:line="240" w:lineRule="auto"/>
              <w:rPr>
                <w:rFonts w:cs="Arial"/>
              </w:rPr>
            </w:pPr>
            <w:r w:rsidRPr="009D5BD6">
              <w:rPr>
                <w:rFonts w:cs="Arial"/>
              </w:rPr>
              <w:t>Contributors</w:t>
            </w:r>
          </w:p>
        </w:tc>
        <w:tc>
          <w:tcPr>
            <w:tcW w:w="6517" w:type="dxa"/>
            <w:gridSpan w:val="2"/>
            <w:tcBorders>
              <w:top w:val="single" w:sz="4" w:space="0" w:color="auto"/>
              <w:left w:val="single" w:sz="4" w:space="0" w:color="auto"/>
              <w:bottom w:val="single" w:sz="4" w:space="0" w:color="auto"/>
              <w:right w:val="single" w:sz="4" w:space="0" w:color="auto"/>
            </w:tcBorders>
            <w:vAlign w:val="center"/>
          </w:tcPr>
          <w:p w14:paraId="3488F257" w14:textId="22EA4A05" w:rsidR="000909EF" w:rsidRPr="009F01F1" w:rsidRDefault="00030FEE" w:rsidP="00C13A59">
            <w:pPr>
              <w:spacing w:before="0" w:after="0" w:line="240" w:lineRule="auto"/>
              <w:rPr>
                <w:rFonts w:cs="Arial"/>
                <w:lang w:val="pt-PT"/>
              </w:rPr>
            </w:pPr>
            <w:r w:rsidRPr="00030FEE">
              <w:rPr>
                <w:rFonts w:cs="Arial"/>
                <w:lang w:val="pt-PT"/>
              </w:rPr>
              <w:t>All consortium Partners</w:t>
            </w:r>
          </w:p>
        </w:tc>
      </w:tr>
      <w:tr w:rsidR="000909EF" w:rsidRPr="009D5BD6" w14:paraId="44D2E22E" w14:textId="77777777" w:rsidTr="00E14330">
        <w:trPr>
          <w:trHeight w:val="567"/>
          <w:jc w:val="center"/>
        </w:trPr>
        <w:tc>
          <w:tcPr>
            <w:tcW w:w="1870" w:type="dxa"/>
            <w:tcBorders>
              <w:top w:val="single" w:sz="4" w:space="0" w:color="auto"/>
            </w:tcBorders>
            <w:shd w:val="clear" w:color="auto" w:fill="FFFF66"/>
            <w:vAlign w:val="center"/>
          </w:tcPr>
          <w:p w14:paraId="2F28D0F9" w14:textId="77777777" w:rsidR="000909EF" w:rsidRPr="009D5BD6" w:rsidRDefault="000909EF" w:rsidP="00C13A59">
            <w:pPr>
              <w:spacing w:before="0" w:after="0" w:line="240" w:lineRule="auto"/>
              <w:rPr>
                <w:rFonts w:cs="Arial"/>
              </w:rPr>
            </w:pPr>
            <w:r w:rsidRPr="009D5BD6">
              <w:rPr>
                <w:rFonts w:cs="Arial"/>
              </w:rPr>
              <w:t>Date</w:t>
            </w:r>
          </w:p>
        </w:tc>
        <w:tc>
          <w:tcPr>
            <w:tcW w:w="6517" w:type="dxa"/>
            <w:gridSpan w:val="2"/>
            <w:tcBorders>
              <w:top w:val="single" w:sz="4" w:space="0" w:color="auto"/>
            </w:tcBorders>
            <w:vAlign w:val="center"/>
          </w:tcPr>
          <w:p w14:paraId="4BE5AAB6" w14:textId="6B1A2FC1" w:rsidR="000909EF" w:rsidRPr="009D5BD6" w:rsidRDefault="00CD0F4C" w:rsidP="00C13A59">
            <w:pPr>
              <w:spacing w:before="0" w:after="0" w:line="240" w:lineRule="auto"/>
              <w:rPr>
                <w:rFonts w:cs="Arial"/>
              </w:rPr>
            </w:pPr>
            <w:r>
              <w:rPr>
                <w:rFonts w:cs="Arial"/>
              </w:rPr>
              <w:t>28</w:t>
            </w:r>
            <w:r w:rsidR="00336768" w:rsidRPr="000853EE">
              <w:rPr>
                <w:rFonts w:cs="Arial"/>
              </w:rPr>
              <w:t>.12.202</w:t>
            </w:r>
            <w:r w:rsidR="00BF13BC" w:rsidRPr="000853EE">
              <w:rPr>
                <w:rFonts w:cs="Arial"/>
              </w:rPr>
              <w:t>1</w:t>
            </w:r>
          </w:p>
        </w:tc>
      </w:tr>
    </w:tbl>
    <w:p w14:paraId="693BE549" w14:textId="77777777" w:rsidR="00523EFA" w:rsidRPr="009D5BD6" w:rsidRDefault="00523EFA" w:rsidP="00523EFA">
      <w:pPr>
        <w:pStyle w:val="Heading1"/>
        <w:numPr>
          <w:ilvl w:val="0"/>
          <w:numId w:val="0"/>
        </w:numPr>
      </w:pPr>
      <w:bookmarkStart w:id="1" w:name="_Toc382650060"/>
      <w:bookmarkStart w:id="2" w:name="_Toc91575508"/>
      <w:r>
        <w:lastRenderedPageBreak/>
        <w:t>MAIL</w:t>
      </w:r>
      <w:r w:rsidRPr="009D5BD6">
        <w:t xml:space="preserve"> Consortium</w:t>
      </w:r>
      <w:bookmarkEnd w:id="1"/>
      <w:bookmarkEnd w:id="2"/>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389"/>
      </w:tblGrid>
      <w:tr w:rsidR="00DF11E2" w14:paraId="4D8969B6" w14:textId="77777777" w:rsidTr="00335131">
        <w:tc>
          <w:tcPr>
            <w:tcW w:w="4106" w:type="dxa"/>
            <w:vAlign w:val="bottom"/>
          </w:tcPr>
          <w:p w14:paraId="39D814E9" w14:textId="77777777" w:rsidR="00DF11E2" w:rsidRDefault="00DF11E2" w:rsidP="00335131">
            <w:pPr>
              <w:spacing w:after="120" w:line="240" w:lineRule="auto"/>
              <w:jc w:val="center"/>
              <w:rPr>
                <w:lang w:val="en-GB"/>
              </w:rPr>
            </w:pPr>
            <w:r w:rsidRPr="00870446">
              <w:rPr>
                <w:noProof/>
                <w:lang w:val="es-ES" w:eastAsia="es-ES"/>
              </w:rPr>
              <w:drawing>
                <wp:inline distT="0" distB="0" distL="0" distR="0" wp14:anchorId="491AE6E1" wp14:editId="2818342F">
                  <wp:extent cx="647505" cy="619760"/>
                  <wp:effectExtent l="0" t="0" r="635" b="8890"/>
                  <wp:docPr id="23" name="Picture 5"/>
                  <wp:cNvGraphicFramePr/>
                  <a:graphic xmlns:a="http://schemas.openxmlformats.org/drawingml/2006/main">
                    <a:graphicData uri="http://schemas.openxmlformats.org/drawingml/2006/picture">
                      <pic:pic xmlns:pic="http://schemas.openxmlformats.org/drawingml/2006/picture">
                        <pic:nvPicPr>
                          <pic:cNvPr id="8282" name="Picture 15" descr="auth_logo_colo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1571" cy="623652"/>
                          </a:xfrm>
                          <a:prstGeom prst="rect">
                            <a:avLst/>
                          </a:prstGeom>
                          <a:noFill/>
                          <a:ln w="9525">
                            <a:noFill/>
                            <a:miter lim="800000"/>
                            <a:headEnd/>
                            <a:tailEnd/>
                          </a:ln>
                        </pic:spPr>
                      </pic:pic>
                    </a:graphicData>
                  </a:graphic>
                </wp:inline>
              </w:drawing>
            </w:r>
          </w:p>
          <w:p w14:paraId="31A6FDFF" w14:textId="77777777" w:rsidR="00DF11E2" w:rsidRDefault="00DF11E2" w:rsidP="00335131">
            <w:pPr>
              <w:spacing w:after="120" w:line="240" w:lineRule="auto"/>
              <w:jc w:val="center"/>
              <w:rPr>
                <w:lang w:val="en-GB"/>
              </w:rPr>
            </w:pPr>
            <w:r>
              <w:rPr>
                <w:lang w:val="en-GB"/>
              </w:rPr>
              <w:t>Aristotle University of Thessaloniki (AUTH) Greece</w:t>
            </w:r>
          </w:p>
        </w:tc>
        <w:tc>
          <w:tcPr>
            <w:tcW w:w="4389" w:type="dxa"/>
            <w:vAlign w:val="bottom"/>
          </w:tcPr>
          <w:p w14:paraId="6E6AE0D2" w14:textId="77777777" w:rsidR="00DF11E2" w:rsidRDefault="00DF11E2" w:rsidP="00335131">
            <w:pPr>
              <w:spacing w:after="120" w:line="240" w:lineRule="auto"/>
              <w:jc w:val="center"/>
              <w:rPr>
                <w:lang w:val="en-GB"/>
              </w:rPr>
            </w:pPr>
            <w:r w:rsidRPr="00870446">
              <w:rPr>
                <w:noProof/>
                <w:lang w:val="es-ES" w:eastAsia="es-ES"/>
              </w:rPr>
              <w:drawing>
                <wp:inline distT="0" distB="0" distL="0" distR="0" wp14:anchorId="4396BEDF" wp14:editId="09255C03">
                  <wp:extent cx="751967" cy="3048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8285"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5831" cy="306366"/>
                          </a:xfrm>
                          <a:prstGeom prst="rect">
                            <a:avLst/>
                          </a:prstGeom>
                          <a:noFill/>
                          <a:ln w="9525">
                            <a:noFill/>
                            <a:miter lim="800000"/>
                            <a:headEnd/>
                            <a:tailEnd/>
                          </a:ln>
                        </pic:spPr>
                      </pic:pic>
                    </a:graphicData>
                  </a:graphic>
                </wp:inline>
              </w:drawing>
            </w:r>
          </w:p>
          <w:p w14:paraId="153FD98B" w14:textId="77777777" w:rsidR="00DF11E2" w:rsidRDefault="00DF11E2" w:rsidP="00335131">
            <w:pPr>
              <w:spacing w:after="120" w:line="240" w:lineRule="auto"/>
              <w:jc w:val="center"/>
              <w:rPr>
                <w:lang w:val="en-GB"/>
              </w:rPr>
            </w:pPr>
            <w:r>
              <w:rPr>
                <w:lang w:val="en-GB"/>
              </w:rPr>
              <w:t>Industrieanlagen Betriebsgesellschaft MBH (IABG) Germany</w:t>
            </w:r>
          </w:p>
        </w:tc>
      </w:tr>
      <w:tr w:rsidR="00DF11E2" w14:paraId="0C5069B7" w14:textId="77777777" w:rsidTr="00335131">
        <w:tc>
          <w:tcPr>
            <w:tcW w:w="4106" w:type="dxa"/>
            <w:vAlign w:val="center"/>
          </w:tcPr>
          <w:p w14:paraId="2BA93825" w14:textId="77777777" w:rsidR="00DF11E2" w:rsidRDefault="00DF11E2" w:rsidP="00335131">
            <w:pPr>
              <w:spacing w:after="120" w:line="240" w:lineRule="auto"/>
              <w:jc w:val="center"/>
              <w:rPr>
                <w:lang w:val="en-GB"/>
              </w:rPr>
            </w:pPr>
            <w:r w:rsidRPr="00870446">
              <w:rPr>
                <w:noProof/>
                <w:lang w:val="es-ES" w:eastAsia="es-ES"/>
              </w:rPr>
              <w:drawing>
                <wp:inline distT="0" distB="0" distL="0" distR="0" wp14:anchorId="7947A140" wp14:editId="4C01FD00">
                  <wp:extent cx="411480" cy="462280"/>
                  <wp:effectExtent l="0" t="0" r="7620" b="0"/>
                  <wp:docPr id="21" name="Picture 21"/>
                  <wp:cNvGraphicFramePr/>
                  <a:graphic xmlns:a="http://schemas.openxmlformats.org/drawingml/2006/main">
                    <a:graphicData uri="http://schemas.openxmlformats.org/drawingml/2006/picture">
                      <pic:pic xmlns:pic="http://schemas.openxmlformats.org/drawingml/2006/picture">
                        <pic:nvPicPr>
                          <pic:cNvPr id="8284" name="Picture 18" descr="images.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12008" cy="462873"/>
                          </a:xfrm>
                          <a:prstGeom prst="rect">
                            <a:avLst/>
                          </a:prstGeom>
                          <a:noFill/>
                          <a:ln w="9525">
                            <a:noFill/>
                            <a:miter lim="800000"/>
                            <a:headEnd/>
                            <a:tailEnd/>
                          </a:ln>
                        </pic:spPr>
                      </pic:pic>
                    </a:graphicData>
                  </a:graphic>
                </wp:inline>
              </w:drawing>
            </w:r>
          </w:p>
          <w:p w14:paraId="15DBB2CB" w14:textId="77777777" w:rsidR="00DF11E2" w:rsidRDefault="00DF11E2" w:rsidP="00335131">
            <w:pPr>
              <w:spacing w:after="120" w:line="240" w:lineRule="auto"/>
              <w:jc w:val="center"/>
              <w:rPr>
                <w:lang w:val="en-GB"/>
              </w:rPr>
            </w:pPr>
            <w:r>
              <w:rPr>
                <w:lang w:val="en-GB"/>
              </w:rPr>
              <w:t>Gounaris N. – Kontos K. OE (HOMEOTECH) Greece</w:t>
            </w:r>
          </w:p>
        </w:tc>
        <w:tc>
          <w:tcPr>
            <w:tcW w:w="4389" w:type="dxa"/>
            <w:vAlign w:val="center"/>
          </w:tcPr>
          <w:p w14:paraId="2866D6EF" w14:textId="77777777" w:rsidR="00DF11E2" w:rsidRDefault="00DF11E2" w:rsidP="00335131">
            <w:pPr>
              <w:spacing w:after="120" w:line="240" w:lineRule="auto"/>
              <w:jc w:val="center"/>
              <w:rPr>
                <w:lang w:val="en-GB"/>
              </w:rPr>
            </w:pPr>
            <w:r w:rsidRPr="00870446">
              <w:rPr>
                <w:noProof/>
                <w:lang w:val="es-ES" w:eastAsia="es-ES"/>
              </w:rPr>
              <w:drawing>
                <wp:anchor distT="0" distB="0" distL="114300" distR="114300" simplePos="0" relativeHeight="251658240" behindDoc="0" locked="0" layoutInCell="1" allowOverlap="1" wp14:anchorId="0353C072" wp14:editId="3F0A87EB">
                  <wp:simplePos x="0" y="0"/>
                  <wp:positionH relativeFrom="column">
                    <wp:posOffset>1071880</wp:posOffset>
                  </wp:positionH>
                  <wp:positionV relativeFrom="paragraph">
                    <wp:posOffset>-427355</wp:posOffset>
                  </wp:positionV>
                  <wp:extent cx="682625" cy="404495"/>
                  <wp:effectExtent l="0" t="0" r="3175" b="0"/>
                  <wp:wrapTopAndBottom/>
                  <wp:docPr id="25" name="Picture 25"/>
                  <wp:cNvGraphicFramePr/>
                  <a:graphic xmlns:a="http://schemas.openxmlformats.org/drawingml/2006/main">
                    <a:graphicData uri="http://schemas.openxmlformats.org/drawingml/2006/picture">
                      <pic:pic xmlns:pic="http://schemas.openxmlformats.org/drawingml/2006/picture">
                        <pic:nvPicPr>
                          <pic:cNvPr id="8283" name="Picture 1" descr="cnr_iia"/>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82625" cy="404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lang w:val="en-GB"/>
              </w:rPr>
              <w:t>Centrum Badan Kosmicznych Polskiej Akademii Nauk (CBK PAN) Poland</w:t>
            </w:r>
            <w:r w:rsidRPr="00870446">
              <w:rPr>
                <w:noProof/>
              </w:rPr>
              <w:t xml:space="preserve"> </w:t>
            </w:r>
          </w:p>
        </w:tc>
      </w:tr>
      <w:tr w:rsidR="00DF11E2" w:rsidRPr="000853EE" w14:paraId="13CD5B15" w14:textId="77777777" w:rsidTr="00335131">
        <w:tc>
          <w:tcPr>
            <w:tcW w:w="4106" w:type="dxa"/>
            <w:vAlign w:val="center"/>
          </w:tcPr>
          <w:p w14:paraId="03F451A0" w14:textId="77777777" w:rsidR="00DF11E2" w:rsidRDefault="00DF11E2" w:rsidP="00335131">
            <w:pPr>
              <w:spacing w:after="120" w:line="240" w:lineRule="auto"/>
              <w:jc w:val="center"/>
              <w:rPr>
                <w:lang w:val="en-GB"/>
              </w:rPr>
            </w:pPr>
            <w:r w:rsidRPr="00870446">
              <w:rPr>
                <w:noProof/>
                <w:lang w:val="es-ES" w:eastAsia="es-ES"/>
              </w:rPr>
              <w:drawing>
                <wp:inline distT="0" distB="0" distL="0" distR="0" wp14:anchorId="120D0630" wp14:editId="18B31251">
                  <wp:extent cx="1127095" cy="398376"/>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 name="Picture 17" descr="geo"/>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27095" cy="398376"/>
                          </a:xfrm>
                          <a:prstGeom prst="rect">
                            <a:avLst/>
                          </a:prstGeom>
                          <a:noFill/>
                          <a:ln w="9525">
                            <a:noFill/>
                            <a:miter lim="800000"/>
                            <a:headEnd/>
                            <a:tailEnd/>
                          </a:ln>
                        </pic:spPr>
                      </pic:pic>
                    </a:graphicData>
                  </a:graphic>
                </wp:inline>
              </w:drawing>
            </w:r>
          </w:p>
          <w:p w14:paraId="4EEC06D2" w14:textId="77777777" w:rsidR="00DF11E2" w:rsidRPr="000853EE" w:rsidRDefault="00DF11E2" w:rsidP="00335131">
            <w:pPr>
              <w:spacing w:after="120" w:line="240" w:lineRule="auto"/>
              <w:jc w:val="center"/>
              <w:rPr>
                <w:lang w:val="es-ES"/>
              </w:rPr>
            </w:pPr>
            <w:r w:rsidRPr="000853EE">
              <w:rPr>
                <w:lang w:val="es-ES"/>
              </w:rPr>
              <w:t>Universitat Politecnica de Valencia (UPV) Spain</w:t>
            </w:r>
          </w:p>
        </w:tc>
        <w:tc>
          <w:tcPr>
            <w:tcW w:w="4389" w:type="dxa"/>
            <w:vAlign w:val="center"/>
          </w:tcPr>
          <w:p w14:paraId="4FCE79C2" w14:textId="77777777" w:rsidR="00DF11E2" w:rsidRDefault="00DF11E2" w:rsidP="00335131">
            <w:pPr>
              <w:spacing w:after="120" w:line="240" w:lineRule="auto"/>
              <w:jc w:val="center"/>
              <w:rPr>
                <w:lang w:val="en-GB"/>
              </w:rPr>
            </w:pPr>
            <w:r w:rsidRPr="00870446">
              <w:rPr>
                <w:noProof/>
                <w:lang w:val="es-ES" w:eastAsia="es-ES"/>
              </w:rPr>
              <w:drawing>
                <wp:inline distT="0" distB="0" distL="0" distR="0" wp14:anchorId="28D26DB7" wp14:editId="2BC7D97A">
                  <wp:extent cx="892800" cy="374860"/>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 name="Picture 6" descr="121008Logo HCP.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92800" cy="374860"/>
                          </a:xfrm>
                          <a:prstGeom prst="rect">
                            <a:avLst/>
                          </a:prstGeom>
                          <a:noFill/>
                          <a:ln w="9525">
                            <a:noFill/>
                            <a:miter lim="800000"/>
                            <a:headEnd/>
                            <a:tailEnd/>
                          </a:ln>
                        </pic:spPr>
                      </pic:pic>
                    </a:graphicData>
                  </a:graphic>
                </wp:inline>
              </w:drawing>
            </w:r>
          </w:p>
          <w:p w14:paraId="3F21EEA7" w14:textId="70842276" w:rsidR="00DF11E2" w:rsidRPr="000853EE" w:rsidRDefault="00DF11E2" w:rsidP="00335131">
            <w:pPr>
              <w:spacing w:after="120" w:line="240" w:lineRule="auto"/>
              <w:jc w:val="center"/>
              <w:rPr>
                <w:lang w:val="es-ES"/>
              </w:rPr>
            </w:pPr>
            <w:r w:rsidRPr="000853EE">
              <w:rPr>
                <w:lang w:val="es-ES"/>
              </w:rPr>
              <w:t>Fundacion Ce</w:t>
            </w:r>
            <w:r w:rsidR="000853EE" w:rsidRPr="000853EE">
              <w:rPr>
                <w:lang w:val="es-ES"/>
              </w:rPr>
              <w:t>ntro De Servicios Y Promocion Fo</w:t>
            </w:r>
            <w:r w:rsidRPr="000853EE">
              <w:rPr>
                <w:lang w:val="es-ES"/>
              </w:rPr>
              <w:t>restral Y de su Industria De Castilla y Leon (CESEFOR) Spain</w:t>
            </w:r>
          </w:p>
        </w:tc>
      </w:tr>
    </w:tbl>
    <w:p w14:paraId="65BA8F76" w14:textId="77777777" w:rsidR="009638A2" w:rsidRPr="000853EE" w:rsidRDefault="009638A2">
      <w:pPr>
        <w:spacing w:line="300" w:lineRule="exact"/>
        <w:jc w:val="left"/>
        <w:rPr>
          <w:rFonts w:eastAsiaTheme="majorEastAsia" w:cstheme="majorBidi"/>
          <w:b/>
          <w:bCs/>
          <w:smallCaps/>
          <w:color w:val="212745" w:themeColor="text2"/>
          <w:sz w:val="26"/>
          <w:szCs w:val="28"/>
          <w:lang w:val="es-ES"/>
        </w:rPr>
      </w:pPr>
      <w:r w:rsidRPr="000853EE">
        <w:rPr>
          <w:lang w:val="es-ES"/>
        </w:rPr>
        <w:br w:type="page"/>
      </w:r>
    </w:p>
    <w:p w14:paraId="07656189" w14:textId="414A981E" w:rsidR="009B3BE6" w:rsidRPr="00C60499" w:rsidRDefault="009B3BE6" w:rsidP="009B3BE6">
      <w:pPr>
        <w:pStyle w:val="Heading1"/>
        <w:numPr>
          <w:ilvl w:val="0"/>
          <w:numId w:val="0"/>
        </w:numPr>
        <w:rPr>
          <w:lang w:val="en-GB"/>
        </w:rPr>
      </w:pPr>
      <w:bookmarkStart w:id="3" w:name="_Toc91575509"/>
      <w:r w:rsidRPr="00C60499">
        <w:rPr>
          <w:lang w:val="en-GB"/>
        </w:rPr>
        <w:lastRenderedPageBreak/>
        <w:t>Abbreviations</w:t>
      </w:r>
      <w:bookmarkEnd w:id="0"/>
      <w:bookmarkEnd w:id="3"/>
    </w:p>
    <w:tbl>
      <w:tblPr>
        <w:tblW w:w="0" w:type="auto"/>
        <w:tblInd w:w="108" w:type="dxa"/>
        <w:tblLook w:val="04A0" w:firstRow="1" w:lastRow="0" w:firstColumn="1" w:lastColumn="0" w:noHBand="0" w:noVBand="1"/>
      </w:tblPr>
      <w:tblGrid>
        <w:gridCol w:w="2103"/>
        <w:gridCol w:w="6294"/>
      </w:tblGrid>
      <w:tr w:rsidR="009B3BE6" w:rsidRPr="00C60499" w14:paraId="52ADE20F" w14:textId="77777777" w:rsidTr="00C35B2C">
        <w:trPr>
          <w:trHeight w:hRule="exact" w:val="567"/>
        </w:trPr>
        <w:tc>
          <w:tcPr>
            <w:tcW w:w="2103" w:type="dxa"/>
            <w:tcBorders>
              <w:right w:val="single" w:sz="4" w:space="0" w:color="auto"/>
            </w:tcBorders>
            <w:shd w:val="clear" w:color="auto" w:fill="FFC000"/>
            <w:vAlign w:val="center"/>
          </w:tcPr>
          <w:p w14:paraId="575B7A7E" w14:textId="77777777" w:rsidR="009B3BE6" w:rsidRPr="00C60499" w:rsidRDefault="009B3BE6" w:rsidP="009F4FAE">
            <w:pPr>
              <w:spacing w:before="0" w:after="0" w:line="240" w:lineRule="auto"/>
              <w:jc w:val="center"/>
              <w:rPr>
                <w:rStyle w:val="Strong"/>
                <w:lang w:val="en-GB"/>
              </w:rPr>
            </w:pPr>
            <w:r w:rsidRPr="00C60499">
              <w:rPr>
                <w:rStyle w:val="Strong"/>
                <w:lang w:val="en-GB"/>
              </w:rPr>
              <w:t>Term</w:t>
            </w:r>
          </w:p>
        </w:tc>
        <w:tc>
          <w:tcPr>
            <w:tcW w:w="6294" w:type="dxa"/>
            <w:tcBorders>
              <w:left w:val="single" w:sz="4" w:space="0" w:color="auto"/>
            </w:tcBorders>
            <w:shd w:val="clear" w:color="auto" w:fill="FFC000"/>
            <w:vAlign w:val="center"/>
          </w:tcPr>
          <w:p w14:paraId="6B7716AD" w14:textId="77777777" w:rsidR="009B3BE6" w:rsidRPr="00C60499" w:rsidRDefault="009B3BE6" w:rsidP="009F4FAE">
            <w:pPr>
              <w:spacing w:before="0" w:after="0" w:line="240" w:lineRule="auto"/>
              <w:jc w:val="center"/>
              <w:rPr>
                <w:rStyle w:val="Strong"/>
                <w:lang w:val="en-GB"/>
              </w:rPr>
            </w:pPr>
            <w:r w:rsidRPr="00C60499">
              <w:rPr>
                <w:rStyle w:val="Strong"/>
                <w:lang w:val="en-GB"/>
              </w:rPr>
              <w:t>Explanation</w:t>
            </w:r>
          </w:p>
        </w:tc>
      </w:tr>
      <w:tr w:rsidR="00E67E27" w:rsidRPr="00E67E27" w14:paraId="543ACC20" w14:textId="77777777" w:rsidTr="00C35B2C">
        <w:trPr>
          <w:trHeight w:hRule="exact" w:val="567"/>
        </w:trPr>
        <w:tc>
          <w:tcPr>
            <w:tcW w:w="2103" w:type="dxa"/>
            <w:shd w:val="clear" w:color="auto" w:fill="DBF6B9" w:themeFill="accent3" w:themeFillTint="66"/>
            <w:vAlign w:val="center"/>
          </w:tcPr>
          <w:p w14:paraId="72BFA1BF" w14:textId="77777777" w:rsidR="00E67E27" w:rsidRPr="00E67E27" w:rsidRDefault="00E67E27" w:rsidP="00E67E27">
            <w:pPr>
              <w:spacing w:before="0" w:after="0" w:line="240" w:lineRule="auto"/>
              <w:jc w:val="left"/>
              <w:rPr>
                <w:lang w:val="en-GB"/>
              </w:rPr>
            </w:pPr>
            <w:r w:rsidRPr="00E67E27">
              <w:rPr>
                <w:lang w:val="en-GB"/>
              </w:rPr>
              <w:t>AGB</w:t>
            </w:r>
          </w:p>
        </w:tc>
        <w:tc>
          <w:tcPr>
            <w:tcW w:w="6294" w:type="dxa"/>
            <w:shd w:val="clear" w:color="auto" w:fill="auto"/>
            <w:vAlign w:val="center"/>
          </w:tcPr>
          <w:p w14:paraId="3CAD0237" w14:textId="77777777" w:rsidR="00E67E27" w:rsidRPr="00E67E27" w:rsidRDefault="00E67E27" w:rsidP="00E67E27">
            <w:pPr>
              <w:spacing w:before="0" w:after="0" w:line="240" w:lineRule="auto"/>
              <w:jc w:val="left"/>
              <w:rPr>
                <w:lang w:val="en-GB"/>
              </w:rPr>
            </w:pPr>
            <w:r w:rsidRPr="00E67E27">
              <w:rPr>
                <w:lang w:val="en-GB"/>
              </w:rPr>
              <w:t>Above Ground Biomass</w:t>
            </w:r>
          </w:p>
        </w:tc>
      </w:tr>
      <w:tr w:rsidR="00E67E27" w:rsidRPr="00E67E27" w14:paraId="3CAD955E" w14:textId="77777777" w:rsidTr="00E67E27">
        <w:trPr>
          <w:trHeight w:hRule="exact" w:val="567"/>
        </w:trPr>
        <w:tc>
          <w:tcPr>
            <w:tcW w:w="2103" w:type="dxa"/>
            <w:shd w:val="clear" w:color="auto" w:fill="DBF6B9" w:themeFill="accent3" w:themeFillTint="66"/>
            <w:vAlign w:val="center"/>
          </w:tcPr>
          <w:p w14:paraId="6EB5C0CA" w14:textId="77777777" w:rsidR="00E67E27" w:rsidRPr="00E67E27" w:rsidRDefault="00E67E27" w:rsidP="00E67E27">
            <w:pPr>
              <w:spacing w:before="0" w:after="0" w:line="240" w:lineRule="auto"/>
              <w:jc w:val="left"/>
              <w:rPr>
                <w:lang w:val="en-GB"/>
              </w:rPr>
            </w:pPr>
            <w:r w:rsidRPr="00E67E27">
              <w:rPr>
                <w:lang w:val="en-GB"/>
              </w:rPr>
              <w:t>AGBC</w:t>
            </w:r>
          </w:p>
        </w:tc>
        <w:tc>
          <w:tcPr>
            <w:tcW w:w="6294" w:type="dxa"/>
            <w:shd w:val="clear" w:color="auto" w:fill="auto"/>
            <w:vAlign w:val="center"/>
          </w:tcPr>
          <w:p w14:paraId="4DB1E511" w14:textId="77777777" w:rsidR="00E67E27" w:rsidRPr="00E67E27" w:rsidRDefault="00E67E27" w:rsidP="00E67E27">
            <w:pPr>
              <w:spacing w:before="0" w:after="0" w:line="240" w:lineRule="auto"/>
              <w:jc w:val="left"/>
              <w:rPr>
                <w:lang w:val="en-GB"/>
              </w:rPr>
            </w:pPr>
            <w:r w:rsidRPr="00E67E27">
              <w:rPr>
                <w:lang w:val="en-GB"/>
              </w:rPr>
              <w:t>Above Ground Biomass Carbon</w:t>
            </w:r>
          </w:p>
        </w:tc>
      </w:tr>
      <w:tr w:rsidR="00E67E27" w:rsidRPr="00E67E27" w14:paraId="03496A39" w14:textId="77777777" w:rsidTr="00E67E27">
        <w:trPr>
          <w:trHeight w:hRule="exact" w:val="567"/>
        </w:trPr>
        <w:tc>
          <w:tcPr>
            <w:tcW w:w="2103" w:type="dxa"/>
            <w:shd w:val="clear" w:color="auto" w:fill="DBF6B9" w:themeFill="accent3" w:themeFillTint="66"/>
            <w:vAlign w:val="center"/>
          </w:tcPr>
          <w:p w14:paraId="6A4808F8" w14:textId="77777777" w:rsidR="00E67E27" w:rsidRPr="00E67E27" w:rsidRDefault="00E67E27" w:rsidP="00E67E27">
            <w:pPr>
              <w:spacing w:before="0" w:after="0" w:line="240" w:lineRule="auto"/>
              <w:jc w:val="left"/>
              <w:rPr>
                <w:lang w:val="en-GB"/>
              </w:rPr>
            </w:pPr>
            <w:r w:rsidRPr="00E67E27">
              <w:rPr>
                <w:lang w:val="en-GB"/>
              </w:rPr>
              <w:t>AOI</w:t>
            </w:r>
          </w:p>
        </w:tc>
        <w:tc>
          <w:tcPr>
            <w:tcW w:w="6294" w:type="dxa"/>
            <w:shd w:val="clear" w:color="auto" w:fill="auto"/>
            <w:vAlign w:val="center"/>
          </w:tcPr>
          <w:p w14:paraId="688CF96B" w14:textId="77777777" w:rsidR="00E67E27" w:rsidRPr="00E67E27" w:rsidRDefault="00E67E27" w:rsidP="00E67E27">
            <w:pPr>
              <w:spacing w:before="0" w:after="0" w:line="240" w:lineRule="auto"/>
              <w:jc w:val="left"/>
              <w:rPr>
                <w:lang w:val="en-GB"/>
              </w:rPr>
            </w:pPr>
            <w:r w:rsidRPr="00E67E27">
              <w:rPr>
                <w:lang w:val="en-GB"/>
              </w:rPr>
              <w:t>Area Of Interest</w:t>
            </w:r>
          </w:p>
        </w:tc>
      </w:tr>
      <w:tr w:rsidR="008945CE" w:rsidRPr="00E67E27" w14:paraId="35EFCB40" w14:textId="77777777" w:rsidTr="00E67E27">
        <w:trPr>
          <w:trHeight w:hRule="exact" w:val="567"/>
        </w:trPr>
        <w:tc>
          <w:tcPr>
            <w:tcW w:w="2103" w:type="dxa"/>
            <w:shd w:val="clear" w:color="auto" w:fill="DBF6B9" w:themeFill="accent3" w:themeFillTint="66"/>
            <w:vAlign w:val="center"/>
          </w:tcPr>
          <w:p w14:paraId="6F4C5B36" w14:textId="0565A83A" w:rsidR="008945CE" w:rsidRPr="00E67E27" w:rsidRDefault="008945CE" w:rsidP="00E67E27">
            <w:pPr>
              <w:spacing w:before="0" w:after="0" w:line="240" w:lineRule="auto"/>
              <w:jc w:val="left"/>
              <w:rPr>
                <w:lang w:val="en-GB"/>
              </w:rPr>
            </w:pPr>
            <w:r>
              <w:rPr>
                <w:lang w:val="en-GB"/>
              </w:rPr>
              <w:t>API</w:t>
            </w:r>
          </w:p>
        </w:tc>
        <w:tc>
          <w:tcPr>
            <w:tcW w:w="6294" w:type="dxa"/>
            <w:shd w:val="clear" w:color="auto" w:fill="auto"/>
            <w:vAlign w:val="center"/>
          </w:tcPr>
          <w:p w14:paraId="5F540925" w14:textId="5F9C61CE" w:rsidR="008945CE" w:rsidRPr="00E67E27" w:rsidRDefault="008945CE" w:rsidP="00E67E27">
            <w:pPr>
              <w:spacing w:before="0" w:after="0" w:line="240" w:lineRule="auto"/>
              <w:jc w:val="left"/>
              <w:rPr>
                <w:lang w:val="en-GB"/>
              </w:rPr>
            </w:pPr>
            <w:r w:rsidRPr="008945CE">
              <w:rPr>
                <w:lang w:val="en-GB"/>
              </w:rPr>
              <w:t>Application Programming Interface</w:t>
            </w:r>
          </w:p>
        </w:tc>
      </w:tr>
      <w:tr w:rsidR="00E67E27" w:rsidRPr="00E67E27" w14:paraId="34C59B3E" w14:textId="77777777" w:rsidTr="00E67E27">
        <w:trPr>
          <w:trHeight w:hRule="exact" w:val="567"/>
        </w:trPr>
        <w:tc>
          <w:tcPr>
            <w:tcW w:w="2103" w:type="dxa"/>
            <w:shd w:val="clear" w:color="auto" w:fill="DBF6B9" w:themeFill="accent3" w:themeFillTint="66"/>
            <w:vAlign w:val="center"/>
          </w:tcPr>
          <w:p w14:paraId="327CB2D9" w14:textId="77777777" w:rsidR="00E67E27" w:rsidRPr="00E67E27" w:rsidRDefault="00E67E27" w:rsidP="00E67E27">
            <w:pPr>
              <w:spacing w:before="0" w:after="0" w:line="240" w:lineRule="auto"/>
              <w:jc w:val="left"/>
              <w:rPr>
                <w:lang w:val="en-GB"/>
              </w:rPr>
            </w:pPr>
            <w:r w:rsidRPr="00E67E27">
              <w:rPr>
                <w:lang w:val="en-GB"/>
              </w:rPr>
              <w:t>CCC</w:t>
            </w:r>
          </w:p>
        </w:tc>
        <w:tc>
          <w:tcPr>
            <w:tcW w:w="6294" w:type="dxa"/>
            <w:shd w:val="clear" w:color="auto" w:fill="auto"/>
            <w:vAlign w:val="center"/>
          </w:tcPr>
          <w:p w14:paraId="74E5F3C4" w14:textId="77777777" w:rsidR="00E67E27" w:rsidRPr="00E67E27" w:rsidRDefault="00E67E27" w:rsidP="00E67E27">
            <w:pPr>
              <w:spacing w:before="0" w:after="0" w:line="240" w:lineRule="auto"/>
              <w:jc w:val="left"/>
              <w:rPr>
                <w:lang w:val="en-GB"/>
              </w:rPr>
            </w:pPr>
            <w:r w:rsidRPr="00E67E27">
              <w:rPr>
                <w:lang w:val="en-GB"/>
              </w:rPr>
              <w:t>Carbon Carrying Capacity</w:t>
            </w:r>
          </w:p>
        </w:tc>
      </w:tr>
      <w:tr w:rsidR="00E67E27" w:rsidRPr="00E67E27" w14:paraId="40E4E133" w14:textId="77777777" w:rsidTr="00E67E27">
        <w:trPr>
          <w:trHeight w:hRule="exact" w:val="567"/>
        </w:trPr>
        <w:tc>
          <w:tcPr>
            <w:tcW w:w="2103" w:type="dxa"/>
            <w:shd w:val="clear" w:color="auto" w:fill="DBF6B9" w:themeFill="accent3" w:themeFillTint="66"/>
            <w:vAlign w:val="center"/>
          </w:tcPr>
          <w:p w14:paraId="1BE168E0" w14:textId="77777777" w:rsidR="00E67E27" w:rsidRPr="00E67E27" w:rsidRDefault="00E67E27" w:rsidP="00E67E27">
            <w:pPr>
              <w:spacing w:before="0" w:after="0" w:line="240" w:lineRule="auto"/>
              <w:jc w:val="left"/>
              <w:rPr>
                <w:lang w:val="en-GB"/>
              </w:rPr>
            </w:pPr>
            <w:r w:rsidRPr="00E67E27">
              <w:rPr>
                <w:lang w:val="en-GB"/>
              </w:rPr>
              <w:t>CCS</w:t>
            </w:r>
          </w:p>
        </w:tc>
        <w:tc>
          <w:tcPr>
            <w:tcW w:w="6294" w:type="dxa"/>
            <w:shd w:val="clear" w:color="auto" w:fill="auto"/>
            <w:vAlign w:val="center"/>
          </w:tcPr>
          <w:p w14:paraId="31811A90" w14:textId="77777777" w:rsidR="00E67E27" w:rsidRPr="00E67E27" w:rsidRDefault="00E67E27" w:rsidP="00E67E27">
            <w:pPr>
              <w:spacing w:before="0" w:after="0" w:line="240" w:lineRule="auto"/>
              <w:jc w:val="left"/>
              <w:rPr>
                <w:lang w:val="en-GB"/>
              </w:rPr>
            </w:pPr>
            <w:r w:rsidRPr="00E67E27">
              <w:rPr>
                <w:lang w:val="en-GB"/>
              </w:rPr>
              <w:t xml:space="preserve">Current Carbon Sequestration </w:t>
            </w:r>
          </w:p>
        </w:tc>
      </w:tr>
      <w:tr w:rsidR="00305680" w:rsidRPr="00E67E27" w14:paraId="04C686C5" w14:textId="77777777" w:rsidTr="00E67E27">
        <w:trPr>
          <w:trHeight w:hRule="exact" w:val="567"/>
        </w:trPr>
        <w:tc>
          <w:tcPr>
            <w:tcW w:w="2103" w:type="dxa"/>
            <w:shd w:val="clear" w:color="auto" w:fill="DBF6B9" w:themeFill="accent3" w:themeFillTint="66"/>
            <w:vAlign w:val="center"/>
          </w:tcPr>
          <w:p w14:paraId="173A747B" w14:textId="4E226FA0" w:rsidR="00305680" w:rsidRPr="00E67E27" w:rsidRDefault="00305680" w:rsidP="00E67E27">
            <w:pPr>
              <w:spacing w:before="0" w:after="0" w:line="240" w:lineRule="auto"/>
              <w:jc w:val="left"/>
              <w:rPr>
                <w:lang w:val="en-GB"/>
              </w:rPr>
            </w:pPr>
            <w:r>
              <w:rPr>
                <w:lang w:val="en-GB"/>
              </w:rPr>
              <w:t>CGAT</w:t>
            </w:r>
          </w:p>
        </w:tc>
        <w:tc>
          <w:tcPr>
            <w:tcW w:w="6294" w:type="dxa"/>
            <w:shd w:val="clear" w:color="auto" w:fill="auto"/>
            <w:vAlign w:val="center"/>
          </w:tcPr>
          <w:p w14:paraId="389344E3" w14:textId="4F2CDFEC" w:rsidR="00305680" w:rsidRPr="00E67E27" w:rsidRDefault="00305680" w:rsidP="00E67E27">
            <w:pPr>
              <w:spacing w:before="0" w:after="0" w:line="240" w:lineRule="auto"/>
              <w:jc w:val="left"/>
              <w:rPr>
                <w:lang w:val="en-GB"/>
              </w:rPr>
            </w:pPr>
            <w:r>
              <w:t>Geo-Environmental Cartography and Remote Sensing Group</w:t>
            </w:r>
          </w:p>
        </w:tc>
      </w:tr>
      <w:tr w:rsidR="00E67E27" w:rsidRPr="00E67E27" w14:paraId="2C157734" w14:textId="77777777" w:rsidTr="00E67E27">
        <w:trPr>
          <w:trHeight w:hRule="exact" w:val="567"/>
        </w:trPr>
        <w:tc>
          <w:tcPr>
            <w:tcW w:w="2103" w:type="dxa"/>
            <w:shd w:val="clear" w:color="auto" w:fill="DBF6B9" w:themeFill="accent3" w:themeFillTint="66"/>
            <w:vAlign w:val="center"/>
          </w:tcPr>
          <w:p w14:paraId="27A04808" w14:textId="77777777" w:rsidR="00E67E27" w:rsidRPr="00E67E27" w:rsidRDefault="00E67E27" w:rsidP="00E67E27">
            <w:pPr>
              <w:spacing w:before="0" w:after="0" w:line="240" w:lineRule="auto"/>
              <w:jc w:val="left"/>
              <w:rPr>
                <w:lang w:val="en-GB"/>
              </w:rPr>
            </w:pPr>
            <w:r w:rsidRPr="00E67E27">
              <w:rPr>
                <w:lang w:val="en-GB"/>
              </w:rPr>
              <w:t>CHM</w:t>
            </w:r>
          </w:p>
        </w:tc>
        <w:tc>
          <w:tcPr>
            <w:tcW w:w="6294" w:type="dxa"/>
            <w:shd w:val="clear" w:color="auto" w:fill="auto"/>
            <w:vAlign w:val="center"/>
          </w:tcPr>
          <w:p w14:paraId="4AF820F7" w14:textId="77777777" w:rsidR="00E67E27" w:rsidRPr="00E67E27" w:rsidRDefault="00E67E27" w:rsidP="00E67E27">
            <w:pPr>
              <w:spacing w:before="0" w:after="0" w:line="240" w:lineRule="auto"/>
              <w:jc w:val="left"/>
              <w:rPr>
                <w:lang w:val="en-GB"/>
              </w:rPr>
            </w:pPr>
            <w:r w:rsidRPr="00E67E27">
              <w:rPr>
                <w:lang w:val="en-GB"/>
              </w:rPr>
              <w:t>Canopy Height Model</w:t>
            </w:r>
          </w:p>
        </w:tc>
      </w:tr>
      <w:tr w:rsidR="008945CE" w:rsidRPr="00E67E27" w14:paraId="2A46C077" w14:textId="77777777" w:rsidTr="00E67E27">
        <w:trPr>
          <w:trHeight w:hRule="exact" w:val="567"/>
        </w:trPr>
        <w:tc>
          <w:tcPr>
            <w:tcW w:w="2103" w:type="dxa"/>
            <w:shd w:val="clear" w:color="auto" w:fill="DBF6B9" w:themeFill="accent3" w:themeFillTint="66"/>
            <w:vAlign w:val="center"/>
          </w:tcPr>
          <w:p w14:paraId="255152D7" w14:textId="5D33B97F" w:rsidR="008945CE" w:rsidRPr="00E67E27" w:rsidRDefault="008945CE" w:rsidP="00E67E27">
            <w:pPr>
              <w:spacing w:before="0" w:after="0" w:line="240" w:lineRule="auto"/>
              <w:jc w:val="left"/>
              <w:rPr>
                <w:lang w:val="en-GB"/>
              </w:rPr>
            </w:pPr>
            <w:r>
              <w:rPr>
                <w:lang w:val="en-GB"/>
              </w:rPr>
              <w:t>CPU</w:t>
            </w:r>
          </w:p>
        </w:tc>
        <w:tc>
          <w:tcPr>
            <w:tcW w:w="6294" w:type="dxa"/>
            <w:shd w:val="clear" w:color="auto" w:fill="auto"/>
            <w:vAlign w:val="center"/>
          </w:tcPr>
          <w:p w14:paraId="3BE3B941" w14:textId="3FDFA5FB" w:rsidR="008945CE" w:rsidRPr="00E67E27" w:rsidRDefault="008945CE" w:rsidP="00E67E27">
            <w:pPr>
              <w:spacing w:before="0" w:after="0" w:line="240" w:lineRule="auto"/>
              <w:jc w:val="left"/>
              <w:rPr>
                <w:lang w:val="en-GB"/>
              </w:rPr>
            </w:pPr>
            <w:r>
              <w:rPr>
                <w:lang w:val="en-GB"/>
              </w:rPr>
              <w:t>C</w:t>
            </w:r>
            <w:r w:rsidRPr="008945CE">
              <w:rPr>
                <w:lang w:val="en-GB"/>
              </w:rPr>
              <w:t xml:space="preserve">entral </w:t>
            </w:r>
            <w:r>
              <w:rPr>
                <w:lang w:val="en-GB"/>
              </w:rPr>
              <w:t>P</w:t>
            </w:r>
            <w:r w:rsidRPr="008945CE">
              <w:rPr>
                <w:lang w:val="en-GB"/>
              </w:rPr>
              <w:t xml:space="preserve">rocessing </w:t>
            </w:r>
            <w:r>
              <w:rPr>
                <w:lang w:val="en-GB"/>
              </w:rPr>
              <w:t>U</w:t>
            </w:r>
            <w:r w:rsidRPr="008945CE">
              <w:rPr>
                <w:lang w:val="en-GB"/>
              </w:rPr>
              <w:t>nit</w:t>
            </w:r>
          </w:p>
        </w:tc>
      </w:tr>
      <w:tr w:rsidR="00E67E27" w:rsidRPr="00E67E27" w14:paraId="3BB21E38" w14:textId="77777777" w:rsidTr="00E67E27">
        <w:trPr>
          <w:trHeight w:hRule="exact" w:val="567"/>
        </w:trPr>
        <w:tc>
          <w:tcPr>
            <w:tcW w:w="2103" w:type="dxa"/>
            <w:shd w:val="clear" w:color="auto" w:fill="DBF6B9" w:themeFill="accent3" w:themeFillTint="66"/>
            <w:vAlign w:val="center"/>
          </w:tcPr>
          <w:p w14:paraId="4E8AC6B4" w14:textId="77777777" w:rsidR="00E67E27" w:rsidRPr="00E67E27" w:rsidRDefault="00E67E27" w:rsidP="00E67E27">
            <w:pPr>
              <w:spacing w:before="0" w:after="0" w:line="240" w:lineRule="auto"/>
              <w:jc w:val="left"/>
              <w:rPr>
                <w:lang w:val="en-GB"/>
              </w:rPr>
            </w:pPr>
            <w:r w:rsidRPr="00E67E27">
              <w:rPr>
                <w:lang w:val="en-GB"/>
              </w:rPr>
              <w:t>CSC</w:t>
            </w:r>
          </w:p>
        </w:tc>
        <w:tc>
          <w:tcPr>
            <w:tcW w:w="6294" w:type="dxa"/>
            <w:shd w:val="clear" w:color="auto" w:fill="auto"/>
            <w:vAlign w:val="center"/>
          </w:tcPr>
          <w:p w14:paraId="3CF5C5CD" w14:textId="77777777" w:rsidR="00E67E27" w:rsidRPr="00E67E27" w:rsidRDefault="00E67E27" w:rsidP="00E67E27">
            <w:pPr>
              <w:spacing w:before="0" w:after="0" w:line="240" w:lineRule="auto"/>
              <w:jc w:val="left"/>
              <w:rPr>
                <w:lang w:val="en-GB"/>
              </w:rPr>
            </w:pPr>
            <w:r w:rsidRPr="00E67E27">
              <w:rPr>
                <w:lang w:val="en-GB"/>
              </w:rPr>
              <w:t xml:space="preserve">Carbon Sequestration Capacity </w:t>
            </w:r>
          </w:p>
        </w:tc>
      </w:tr>
      <w:tr w:rsidR="00E67E27" w:rsidRPr="00E67E27" w14:paraId="26E91E60" w14:textId="77777777" w:rsidTr="00E67E27">
        <w:trPr>
          <w:trHeight w:hRule="exact" w:val="567"/>
        </w:trPr>
        <w:tc>
          <w:tcPr>
            <w:tcW w:w="2103" w:type="dxa"/>
            <w:shd w:val="clear" w:color="auto" w:fill="DBF6B9" w:themeFill="accent3" w:themeFillTint="66"/>
            <w:vAlign w:val="center"/>
          </w:tcPr>
          <w:p w14:paraId="3B3E0E87" w14:textId="77777777" w:rsidR="00E67E27" w:rsidRPr="00E67E27" w:rsidRDefault="00E67E27" w:rsidP="00E67E27">
            <w:pPr>
              <w:spacing w:before="0" w:after="0" w:line="240" w:lineRule="auto"/>
              <w:jc w:val="left"/>
              <w:rPr>
                <w:lang w:val="en-GB"/>
              </w:rPr>
            </w:pPr>
            <w:r w:rsidRPr="00E67E27">
              <w:rPr>
                <w:lang w:val="en-GB"/>
              </w:rPr>
              <w:t>CSP</w:t>
            </w:r>
          </w:p>
        </w:tc>
        <w:tc>
          <w:tcPr>
            <w:tcW w:w="6294" w:type="dxa"/>
            <w:shd w:val="clear" w:color="auto" w:fill="auto"/>
            <w:vAlign w:val="center"/>
          </w:tcPr>
          <w:p w14:paraId="56C0361F" w14:textId="77777777" w:rsidR="00E67E27" w:rsidRPr="00E67E27" w:rsidRDefault="00E67E27" w:rsidP="00E67E27">
            <w:pPr>
              <w:spacing w:before="0" w:after="0" w:line="240" w:lineRule="auto"/>
              <w:jc w:val="left"/>
              <w:rPr>
                <w:lang w:val="en-GB"/>
              </w:rPr>
            </w:pPr>
            <w:r w:rsidRPr="00E67E27">
              <w:rPr>
                <w:lang w:val="en-GB"/>
              </w:rPr>
              <w:t>Carbon Sequestration Potential</w:t>
            </w:r>
          </w:p>
        </w:tc>
      </w:tr>
      <w:tr w:rsidR="00E67E27" w:rsidRPr="00E67E27" w14:paraId="23F6708F" w14:textId="77777777" w:rsidTr="00E67E27">
        <w:trPr>
          <w:trHeight w:hRule="exact" w:val="567"/>
        </w:trPr>
        <w:tc>
          <w:tcPr>
            <w:tcW w:w="2103" w:type="dxa"/>
            <w:shd w:val="clear" w:color="auto" w:fill="DBF6B9" w:themeFill="accent3" w:themeFillTint="66"/>
            <w:vAlign w:val="center"/>
          </w:tcPr>
          <w:p w14:paraId="583F1DEB" w14:textId="77777777" w:rsidR="00E67E27" w:rsidRPr="00E67E27" w:rsidRDefault="00E67E27" w:rsidP="00E67E27">
            <w:pPr>
              <w:spacing w:before="0" w:after="0" w:line="240" w:lineRule="auto"/>
              <w:jc w:val="left"/>
              <w:rPr>
                <w:lang w:val="en-GB"/>
              </w:rPr>
            </w:pPr>
            <w:r w:rsidRPr="00E67E27">
              <w:rPr>
                <w:lang w:val="en-GB"/>
              </w:rPr>
              <w:t>DBH</w:t>
            </w:r>
          </w:p>
        </w:tc>
        <w:tc>
          <w:tcPr>
            <w:tcW w:w="6294" w:type="dxa"/>
            <w:shd w:val="clear" w:color="auto" w:fill="auto"/>
            <w:vAlign w:val="center"/>
          </w:tcPr>
          <w:p w14:paraId="086BA06F" w14:textId="77777777" w:rsidR="00E67E27" w:rsidRPr="00E67E27" w:rsidRDefault="00E67E27" w:rsidP="00E67E27">
            <w:pPr>
              <w:spacing w:before="0" w:after="0" w:line="240" w:lineRule="auto"/>
              <w:jc w:val="left"/>
              <w:rPr>
                <w:lang w:val="en-GB"/>
              </w:rPr>
            </w:pPr>
            <w:r w:rsidRPr="00E67E27">
              <w:rPr>
                <w:lang w:val="en-GB"/>
              </w:rPr>
              <w:t>Diameter at Breast Height</w:t>
            </w:r>
          </w:p>
        </w:tc>
      </w:tr>
      <w:tr w:rsidR="00E67E27" w:rsidRPr="00E67E27" w14:paraId="631EC269" w14:textId="77777777" w:rsidTr="00E67E27">
        <w:trPr>
          <w:trHeight w:hRule="exact" w:val="567"/>
        </w:trPr>
        <w:tc>
          <w:tcPr>
            <w:tcW w:w="2103" w:type="dxa"/>
            <w:shd w:val="clear" w:color="auto" w:fill="DBF6B9" w:themeFill="accent3" w:themeFillTint="66"/>
            <w:vAlign w:val="center"/>
          </w:tcPr>
          <w:p w14:paraId="4048D433" w14:textId="77777777" w:rsidR="00E67E27" w:rsidRPr="00E67E27" w:rsidRDefault="00E67E27" w:rsidP="00E67E27">
            <w:pPr>
              <w:spacing w:before="0" w:after="0" w:line="240" w:lineRule="auto"/>
              <w:jc w:val="left"/>
              <w:rPr>
                <w:lang w:val="en-GB"/>
              </w:rPr>
            </w:pPr>
            <w:r w:rsidRPr="00E67E27">
              <w:rPr>
                <w:lang w:val="en-GB"/>
              </w:rPr>
              <w:t>DTM</w:t>
            </w:r>
          </w:p>
        </w:tc>
        <w:tc>
          <w:tcPr>
            <w:tcW w:w="6294" w:type="dxa"/>
            <w:shd w:val="clear" w:color="auto" w:fill="auto"/>
            <w:vAlign w:val="center"/>
          </w:tcPr>
          <w:p w14:paraId="45016F7C" w14:textId="77777777" w:rsidR="00E67E27" w:rsidRPr="00E67E27" w:rsidRDefault="00E67E27" w:rsidP="00E67E27">
            <w:pPr>
              <w:spacing w:before="0" w:after="0" w:line="240" w:lineRule="auto"/>
              <w:jc w:val="left"/>
              <w:rPr>
                <w:lang w:val="en-GB"/>
              </w:rPr>
            </w:pPr>
            <w:r w:rsidRPr="00E67E27">
              <w:rPr>
                <w:lang w:val="en-GB"/>
              </w:rPr>
              <w:t>Digital Terrain Model</w:t>
            </w:r>
          </w:p>
        </w:tc>
      </w:tr>
      <w:tr w:rsidR="00E67E27" w:rsidRPr="00E67E27" w14:paraId="566F8E74" w14:textId="77777777" w:rsidTr="00E67E27">
        <w:trPr>
          <w:trHeight w:hRule="exact" w:val="567"/>
        </w:trPr>
        <w:tc>
          <w:tcPr>
            <w:tcW w:w="2103" w:type="dxa"/>
            <w:shd w:val="clear" w:color="auto" w:fill="DBF6B9" w:themeFill="accent3" w:themeFillTint="66"/>
            <w:vAlign w:val="center"/>
          </w:tcPr>
          <w:p w14:paraId="2E15123C" w14:textId="77777777" w:rsidR="00E67E27" w:rsidRPr="00E67E27" w:rsidRDefault="00E67E27" w:rsidP="00E67E27">
            <w:pPr>
              <w:spacing w:before="0" w:after="0" w:line="240" w:lineRule="auto"/>
              <w:jc w:val="left"/>
              <w:rPr>
                <w:lang w:val="en-GB"/>
              </w:rPr>
            </w:pPr>
            <w:r w:rsidRPr="00E67E27">
              <w:rPr>
                <w:lang w:val="en-GB"/>
              </w:rPr>
              <w:t>EEA</w:t>
            </w:r>
          </w:p>
        </w:tc>
        <w:tc>
          <w:tcPr>
            <w:tcW w:w="6294" w:type="dxa"/>
            <w:shd w:val="clear" w:color="auto" w:fill="auto"/>
            <w:vAlign w:val="center"/>
          </w:tcPr>
          <w:p w14:paraId="79694456" w14:textId="77777777" w:rsidR="00E67E27" w:rsidRPr="00E67E27" w:rsidRDefault="00E67E27" w:rsidP="00E67E27">
            <w:pPr>
              <w:spacing w:before="0" w:after="0" w:line="240" w:lineRule="auto"/>
              <w:jc w:val="left"/>
              <w:rPr>
                <w:lang w:val="en-GB"/>
              </w:rPr>
            </w:pPr>
            <w:r w:rsidRPr="00E67E27">
              <w:rPr>
                <w:lang w:val="en-GB"/>
              </w:rPr>
              <w:t>European Environmental Agency</w:t>
            </w:r>
          </w:p>
        </w:tc>
      </w:tr>
      <w:tr w:rsidR="00E67E27" w:rsidRPr="00E67E27" w14:paraId="42231263" w14:textId="77777777" w:rsidTr="00E67E27">
        <w:trPr>
          <w:trHeight w:hRule="exact" w:val="567"/>
        </w:trPr>
        <w:tc>
          <w:tcPr>
            <w:tcW w:w="2103" w:type="dxa"/>
            <w:shd w:val="clear" w:color="auto" w:fill="DBF6B9" w:themeFill="accent3" w:themeFillTint="66"/>
            <w:vAlign w:val="center"/>
          </w:tcPr>
          <w:p w14:paraId="10B8D1AF" w14:textId="77777777" w:rsidR="00E67E27" w:rsidRPr="00E67E27" w:rsidRDefault="00E67E27" w:rsidP="00E67E27">
            <w:pPr>
              <w:spacing w:before="0" w:after="0" w:line="240" w:lineRule="auto"/>
              <w:jc w:val="left"/>
              <w:rPr>
                <w:lang w:val="en-GB"/>
              </w:rPr>
            </w:pPr>
            <w:r w:rsidRPr="00E67E27">
              <w:rPr>
                <w:lang w:val="en-GB"/>
              </w:rPr>
              <w:t>EFI</w:t>
            </w:r>
          </w:p>
        </w:tc>
        <w:tc>
          <w:tcPr>
            <w:tcW w:w="6294" w:type="dxa"/>
            <w:shd w:val="clear" w:color="auto" w:fill="auto"/>
            <w:vAlign w:val="center"/>
          </w:tcPr>
          <w:p w14:paraId="1D50DC60" w14:textId="77777777" w:rsidR="00E67E27" w:rsidRPr="00E67E27" w:rsidRDefault="00E67E27" w:rsidP="00E67E27">
            <w:pPr>
              <w:spacing w:before="0" w:after="0" w:line="240" w:lineRule="auto"/>
              <w:jc w:val="left"/>
              <w:rPr>
                <w:lang w:val="en-GB"/>
              </w:rPr>
            </w:pPr>
            <w:r w:rsidRPr="00E67E27">
              <w:rPr>
                <w:lang w:val="en-GB"/>
              </w:rPr>
              <w:t>European Forest Institute</w:t>
            </w:r>
          </w:p>
        </w:tc>
      </w:tr>
      <w:tr w:rsidR="00E67E27" w:rsidRPr="00E67E27" w14:paraId="64ABA2C0" w14:textId="77777777" w:rsidTr="00E67E27">
        <w:trPr>
          <w:trHeight w:hRule="exact" w:val="567"/>
        </w:trPr>
        <w:tc>
          <w:tcPr>
            <w:tcW w:w="2103" w:type="dxa"/>
            <w:shd w:val="clear" w:color="auto" w:fill="DBF6B9" w:themeFill="accent3" w:themeFillTint="66"/>
            <w:vAlign w:val="center"/>
          </w:tcPr>
          <w:p w14:paraId="56852CB1" w14:textId="77777777" w:rsidR="00E67E27" w:rsidRPr="00E67E27" w:rsidRDefault="00E67E27" w:rsidP="00E67E27">
            <w:pPr>
              <w:spacing w:before="0" w:after="0" w:line="240" w:lineRule="auto"/>
              <w:jc w:val="left"/>
              <w:rPr>
                <w:lang w:val="en-GB"/>
              </w:rPr>
            </w:pPr>
            <w:r w:rsidRPr="00E67E27">
              <w:rPr>
                <w:lang w:val="en-GB"/>
              </w:rPr>
              <w:t>ESA</w:t>
            </w:r>
          </w:p>
        </w:tc>
        <w:tc>
          <w:tcPr>
            <w:tcW w:w="6294" w:type="dxa"/>
            <w:shd w:val="clear" w:color="auto" w:fill="auto"/>
            <w:vAlign w:val="center"/>
          </w:tcPr>
          <w:p w14:paraId="4E105C24" w14:textId="77777777" w:rsidR="00E67E27" w:rsidRPr="00E67E27" w:rsidRDefault="00E67E27" w:rsidP="00E67E27">
            <w:pPr>
              <w:spacing w:before="0" w:after="0" w:line="240" w:lineRule="auto"/>
              <w:jc w:val="left"/>
              <w:rPr>
                <w:lang w:val="en-GB"/>
              </w:rPr>
            </w:pPr>
            <w:r w:rsidRPr="00E67E27">
              <w:rPr>
                <w:lang w:val="en-GB"/>
              </w:rPr>
              <w:t>European Space Agency</w:t>
            </w:r>
          </w:p>
        </w:tc>
      </w:tr>
      <w:tr w:rsidR="00E67E27" w:rsidRPr="00E67E27" w14:paraId="67420416" w14:textId="77777777" w:rsidTr="00E67E27">
        <w:trPr>
          <w:trHeight w:hRule="exact" w:val="567"/>
        </w:trPr>
        <w:tc>
          <w:tcPr>
            <w:tcW w:w="2103" w:type="dxa"/>
            <w:shd w:val="clear" w:color="auto" w:fill="DBF6B9" w:themeFill="accent3" w:themeFillTint="66"/>
            <w:vAlign w:val="center"/>
          </w:tcPr>
          <w:p w14:paraId="278F7924" w14:textId="77777777" w:rsidR="00E67E27" w:rsidRPr="00E67E27" w:rsidRDefault="00E67E27" w:rsidP="00E67E27">
            <w:pPr>
              <w:spacing w:before="0" w:after="0" w:line="240" w:lineRule="auto"/>
              <w:jc w:val="left"/>
              <w:rPr>
                <w:lang w:val="en-GB"/>
              </w:rPr>
            </w:pPr>
            <w:r w:rsidRPr="00E67E27">
              <w:rPr>
                <w:lang w:val="en-GB"/>
              </w:rPr>
              <w:t>FAO</w:t>
            </w:r>
          </w:p>
        </w:tc>
        <w:tc>
          <w:tcPr>
            <w:tcW w:w="6294" w:type="dxa"/>
            <w:shd w:val="clear" w:color="auto" w:fill="auto"/>
            <w:vAlign w:val="center"/>
          </w:tcPr>
          <w:p w14:paraId="4627284E" w14:textId="77777777" w:rsidR="00E67E27" w:rsidRPr="00E67E27" w:rsidRDefault="00E67E27" w:rsidP="00E67E27">
            <w:pPr>
              <w:spacing w:before="0" w:after="0" w:line="240" w:lineRule="auto"/>
              <w:jc w:val="left"/>
              <w:rPr>
                <w:lang w:val="en-GB"/>
              </w:rPr>
            </w:pPr>
            <w:r w:rsidRPr="00E67E27">
              <w:rPr>
                <w:lang w:val="en-GB"/>
              </w:rPr>
              <w:t>Food and Agriculture Organization</w:t>
            </w:r>
          </w:p>
        </w:tc>
      </w:tr>
      <w:tr w:rsidR="00E67E27" w:rsidRPr="00E67E27" w14:paraId="23B6D85C" w14:textId="77777777" w:rsidTr="00E67E27">
        <w:trPr>
          <w:trHeight w:hRule="exact" w:val="567"/>
        </w:trPr>
        <w:tc>
          <w:tcPr>
            <w:tcW w:w="2103" w:type="dxa"/>
            <w:shd w:val="clear" w:color="auto" w:fill="DBF6B9" w:themeFill="accent3" w:themeFillTint="66"/>
            <w:vAlign w:val="center"/>
          </w:tcPr>
          <w:p w14:paraId="6AA3B255" w14:textId="77777777" w:rsidR="00E67E27" w:rsidRPr="00E67E27" w:rsidRDefault="00E67E27" w:rsidP="00E67E27">
            <w:pPr>
              <w:spacing w:before="0" w:after="0" w:line="240" w:lineRule="auto"/>
              <w:jc w:val="left"/>
              <w:rPr>
                <w:lang w:val="en-GB"/>
              </w:rPr>
            </w:pPr>
            <w:r w:rsidRPr="00E67E27">
              <w:rPr>
                <w:lang w:val="en-GB"/>
              </w:rPr>
              <w:t>GEE</w:t>
            </w:r>
          </w:p>
        </w:tc>
        <w:tc>
          <w:tcPr>
            <w:tcW w:w="6294" w:type="dxa"/>
            <w:shd w:val="clear" w:color="auto" w:fill="auto"/>
            <w:vAlign w:val="center"/>
          </w:tcPr>
          <w:p w14:paraId="24FD47C3" w14:textId="77777777" w:rsidR="00E67E27" w:rsidRPr="00E67E27" w:rsidRDefault="00E67E27" w:rsidP="00E67E27">
            <w:pPr>
              <w:spacing w:before="0" w:after="0" w:line="240" w:lineRule="auto"/>
              <w:jc w:val="left"/>
              <w:rPr>
                <w:lang w:val="en-GB"/>
              </w:rPr>
            </w:pPr>
            <w:r w:rsidRPr="00E67E27">
              <w:rPr>
                <w:lang w:val="en-GB"/>
              </w:rPr>
              <w:t>Google Earth Engine</w:t>
            </w:r>
          </w:p>
        </w:tc>
      </w:tr>
      <w:tr w:rsidR="00E67E27" w:rsidRPr="00E67E27" w14:paraId="5A2F419A" w14:textId="77777777" w:rsidTr="00E67E27">
        <w:trPr>
          <w:trHeight w:hRule="exact" w:val="567"/>
        </w:trPr>
        <w:tc>
          <w:tcPr>
            <w:tcW w:w="2103" w:type="dxa"/>
            <w:shd w:val="clear" w:color="auto" w:fill="DBF6B9" w:themeFill="accent3" w:themeFillTint="66"/>
            <w:vAlign w:val="center"/>
          </w:tcPr>
          <w:p w14:paraId="38971711" w14:textId="77777777" w:rsidR="00E67E27" w:rsidRPr="00E67E27" w:rsidRDefault="00E67E27" w:rsidP="00E67E27">
            <w:pPr>
              <w:spacing w:before="0" w:after="0" w:line="240" w:lineRule="auto"/>
              <w:jc w:val="left"/>
              <w:rPr>
                <w:lang w:val="en-GB"/>
              </w:rPr>
            </w:pPr>
            <w:r w:rsidRPr="00E67E27">
              <w:rPr>
                <w:lang w:val="en-GB"/>
              </w:rPr>
              <w:t>GIS</w:t>
            </w:r>
          </w:p>
        </w:tc>
        <w:tc>
          <w:tcPr>
            <w:tcW w:w="6294" w:type="dxa"/>
            <w:shd w:val="clear" w:color="auto" w:fill="auto"/>
            <w:vAlign w:val="center"/>
          </w:tcPr>
          <w:p w14:paraId="175CB242" w14:textId="77777777" w:rsidR="00E67E27" w:rsidRPr="00E67E27" w:rsidRDefault="00E67E27" w:rsidP="00E67E27">
            <w:pPr>
              <w:spacing w:before="0" w:after="0" w:line="240" w:lineRule="auto"/>
              <w:jc w:val="left"/>
              <w:rPr>
                <w:lang w:val="en-GB"/>
              </w:rPr>
            </w:pPr>
            <w:r w:rsidRPr="00E67E27">
              <w:rPr>
                <w:lang w:val="en-GB"/>
              </w:rPr>
              <w:t>Geographical Information Systems</w:t>
            </w:r>
          </w:p>
        </w:tc>
      </w:tr>
      <w:tr w:rsidR="009E3247" w:rsidRPr="00E67E27" w14:paraId="56458763" w14:textId="77777777" w:rsidTr="00E67E27">
        <w:trPr>
          <w:trHeight w:hRule="exact" w:val="567"/>
        </w:trPr>
        <w:tc>
          <w:tcPr>
            <w:tcW w:w="2103" w:type="dxa"/>
            <w:shd w:val="clear" w:color="auto" w:fill="DBF6B9" w:themeFill="accent3" w:themeFillTint="66"/>
            <w:vAlign w:val="center"/>
          </w:tcPr>
          <w:p w14:paraId="5AF9F3D2" w14:textId="74FE02EB" w:rsidR="009E3247" w:rsidRPr="00E67E27" w:rsidRDefault="009E3247" w:rsidP="00E67E27">
            <w:pPr>
              <w:spacing w:before="0" w:after="0" w:line="240" w:lineRule="auto"/>
              <w:jc w:val="left"/>
              <w:rPr>
                <w:lang w:val="en-GB"/>
              </w:rPr>
            </w:pPr>
            <w:r w:rsidRPr="009E3247">
              <w:rPr>
                <w:lang w:val="en-GB"/>
              </w:rPr>
              <w:t>GLCM</w:t>
            </w:r>
          </w:p>
        </w:tc>
        <w:tc>
          <w:tcPr>
            <w:tcW w:w="6294" w:type="dxa"/>
            <w:shd w:val="clear" w:color="auto" w:fill="auto"/>
            <w:vAlign w:val="center"/>
          </w:tcPr>
          <w:p w14:paraId="420BB5AD" w14:textId="0E541340" w:rsidR="009E3247" w:rsidRPr="00E67E27" w:rsidRDefault="009E3247" w:rsidP="00E67E27">
            <w:pPr>
              <w:spacing w:before="0" w:after="0" w:line="240" w:lineRule="auto"/>
              <w:jc w:val="left"/>
              <w:rPr>
                <w:lang w:val="en-GB"/>
              </w:rPr>
            </w:pPr>
            <w:r w:rsidRPr="009E3247">
              <w:rPr>
                <w:lang w:val="en-GB"/>
              </w:rPr>
              <w:t>Gray Level Co-occurrence Matrix</w:t>
            </w:r>
          </w:p>
        </w:tc>
      </w:tr>
      <w:tr w:rsidR="00E67E27" w:rsidRPr="00E67E27" w14:paraId="6D70C345" w14:textId="77777777" w:rsidTr="00E67E27">
        <w:trPr>
          <w:trHeight w:hRule="exact" w:val="567"/>
        </w:trPr>
        <w:tc>
          <w:tcPr>
            <w:tcW w:w="2103" w:type="dxa"/>
            <w:shd w:val="clear" w:color="auto" w:fill="DBF6B9" w:themeFill="accent3" w:themeFillTint="66"/>
            <w:vAlign w:val="center"/>
          </w:tcPr>
          <w:p w14:paraId="61F4908D" w14:textId="77777777" w:rsidR="00E67E27" w:rsidRPr="00E67E27" w:rsidRDefault="00E67E27" w:rsidP="00E67E27">
            <w:pPr>
              <w:spacing w:before="0" w:after="0" w:line="240" w:lineRule="auto"/>
              <w:jc w:val="left"/>
              <w:rPr>
                <w:lang w:val="en-GB"/>
              </w:rPr>
            </w:pPr>
            <w:r w:rsidRPr="00E67E27">
              <w:rPr>
                <w:lang w:val="en-GB"/>
              </w:rPr>
              <w:t>IPCC</w:t>
            </w:r>
          </w:p>
        </w:tc>
        <w:tc>
          <w:tcPr>
            <w:tcW w:w="6294" w:type="dxa"/>
            <w:shd w:val="clear" w:color="auto" w:fill="auto"/>
            <w:vAlign w:val="center"/>
          </w:tcPr>
          <w:p w14:paraId="7E5A68BB" w14:textId="77777777" w:rsidR="00E67E27" w:rsidRPr="00E67E27" w:rsidRDefault="00E67E27" w:rsidP="00E67E27">
            <w:pPr>
              <w:spacing w:before="0" w:after="0" w:line="240" w:lineRule="auto"/>
              <w:jc w:val="left"/>
              <w:rPr>
                <w:lang w:val="en-GB"/>
              </w:rPr>
            </w:pPr>
            <w:r w:rsidRPr="00E67E27">
              <w:rPr>
                <w:lang w:val="en-GB"/>
              </w:rPr>
              <w:t>Intergovernmental Panel on Climate Change</w:t>
            </w:r>
          </w:p>
        </w:tc>
      </w:tr>
      <w:tr w:rsidR="0000343B" w:rsidRPr="00E67E27" w14:paraId="63EEFC61" w14:textId="77777777" w:rsidTr="00E67E27">
        <w:trPr>
          <w:trHeight w:hRule="exact" w:val="567"/>
        </w:trPr>
        <w:tc>
          <w:tcPr>
            <w:tcW w:w="2103" w:type="dxa"/>
            <w:shd w:val="clear" w:color="auto" w:fill="DBF6B9" w:themeFill="accent3" w:themeFillTint="66"/>
            <w:vAlign w:val="center"/>
          </w:tcPr>
          <w:p w14:paraId="2D705D71" w14:textId="4880D0D5" w:rsidR="0000343B" w:rsidRPr="00E67E27" w:rsidRDefault="0000343B" w:rsidP="00E67E27">
            <w:pPr>
              <w:spacing w:before="0" w:after="0" w:line="240" w:lineRule="auto"/>
              <w:jc w:val="left"/>
              <w:rPr>
                <w:lang w:val="en-GB"/>
              </w:rPr>
            </w:pPr>
            <w:r w:rsidRPr="0000343B">
              <w:rPr>
                <w:lang w:val="en-GB"/>
              </w:rPr>
              <w:lastRenderedPageBreak/>
              <w:t>KNN</w:t>
            </w:r>
          </w:p>
        </w:tc>
        <w:tc>
          <w:tcPr>
            <w:tcW w:w="6294" w:type="dxa"/>
            <w:shd w:val="clear" w:color="auto" w:fill="auto"/>
            <w:vAlign w:val="center"/>
          </w:tcPr>
          <w:p w14:paraId="4ABD86F3" w14:textId="42602AF7" w:rsidR="0000343B" w:rsidRPr="00E67E27" w:rsidRDefault="0000343B" w:rsidP="00E67E27">
            <w:pPr>
              <w:spacing w:before="0" w:after="0" w:line="240" w:lineRule="auto"/>
              <w:jc w:val="left"/>
              <w:rPr>
                <w:lang w:val="en-GB"/>
              </w:rPr>
            </w:pPr>
            <w:r w:rsidRPr="0000343B">
              <w:rPr>
                <w:lang w:val="en-GB"/>
              </w:rPr>
              <w:t>K-Nearest Neighbor</w:t>
            </w:r>
          </w:p>
        </w:tc>
      </w:tr>
      <w:tr w:rsidR="00E67E27" w:rsidRPr="00E67E27" w14:paraId="239BE089" w14:textId="77777777" w:rsidTr="00E67E27">
        <w:trPr>
          <w:trHeight w:hRule="exact" w:val="567"/>
        </w:trPr>
        <w:tc>
          <w:tcPr>
            <w:tcW w:w="2103" w:type="dxa"/>
            <w:shd w:val="clear" w:color="auto" w:fill="DBF6B9" w:themeFill="accent3" w:themeFillTint="66"/>
            <w:vAlign w:val="center"/>
          </w:tcPr>
          <w:p w14:paraId="1A00194B" w14:textId="77777777" w:rsidR="00E67E27" w:rsidRPr="00E67E27" w:rsidRDefault="00E67E27" w:rsidP="00E67E27">
            <w:pPr>
              <w:spacing w:before="0" w:after="0" w:line="240" w:lineRule="auto"/>
              <w:jc w:val="left"/>
              <w:rPr>
                <w:lang w:val="en-GB"/>
              </w:rPr>
            </w:pPr>
            <w:r w:rsidRPr="00E67E27">
              <w:rPr>
                <w:lang w:val="en-GB"/>
              </w:rPr>
              <w:t>LIDAR</w:t>
            </w:r>
          </w:p>
        </w:tc>
        <w:tc>
          <w:tcPr>
            <w:tcW w:w="6294" w:type="dxa"/>
            <w:shd w:val="clear" w:color="auto" w:fill="auto"/>
            <w:vAlign w:val="center"/>
          </w:tcPr>
          <w:p w14:paraId="10D70307" w14:textId="46EA1729" w:rsidR="00E67E27" w:rsidRPr="00E67E27" w:rsidRDefault="00E67E27" w:rsidP="00E67E27">
            <w:pPr>
              <w:spacing w:before="0" w:after="0" w:line="240" w:lineRule="auto"/>
              <w:jc w:val="left"/>
              <w:rPr>
                <w:lang w:val="en-GB"/>
              </w:rPr>
            </w:pPr>
            <w:r w:rsidRPr="00E67E27">
              <w:rPr>
                <w:lang w:val="en-GB"/>
              </w:rPr>
              <w:t xml:space="preserve">Light Detection </w:t>
            </w:r>
            <w:r w:rsidR="00C35B2C" w:rsidRPr="00E67E27">
              <w:rPr>
                <w:lang w:val="en-GB"/>
              </w:rPr>
              <w:t>and</w:t>
            </w:r>
            <w:r w:rsidRPr="00E67E27">
              <w:rPr>
                <w:lang w:val="en-GB"/>
              </w:rPr>
              <w:t xml:space="preserve"> Ranging</w:t>
            </w:r>
          </w:p>
        </w:tc>
      </w:tr>
      <w:tr w:rsidR="00E67E27" w:rsidRPr="00E67E27" w14:paraId="602F2073" w14:textId="77777777" w:rsidTr="00E67E27">
        <w:trPr>
          <w:trHeight w:hRule="exact" w:val="567"/>
        </w:trPr>
        <w:tc>
          <w:tcPr>
            <w:tcW w:w="2103" w:type="dxa"/>
            <w:shd w:val="clear" w:color="auto" w:fill="DBF6B9" w:themeFill="accent3" w:themeFillTint="66"/>
            <w:vAlign w:val="center"/>
          </w:tcPr>
          <w:p w14:paraId="2E01BC11" w14:textId="77777777" w:rsidR="00E67E27" w:rsidRPr="00E67E27" w:rsidRDefault="00E67E27" w:rsidP="00E67E27">
            <w:pPr>
              <w:spacing w:before="0" w:after="0" w:line="240" w:lineRule="auto"/>
              <w:jc w:val="left"/>
              <w:rPr>
                <w:lang w:val="en-GB"/>
              </w:rPr>
            </w:pPr>
            <w:r w:rsidRPr="00E67E27">
              <w:rPr>
                <w:lang w:val="en-GB"/>
              </w:rPr>
              <w:t>ML</w:t>
            </w:r>
          </w:p>
        </w:tc>
        <w:tc>
          <w:tcPr>
            <w:tcW w:w="6294" w:type="dxa"/>
            <w:shd w:val="clear" w:color="auto" w:fill="auto"/>
            <w:vAlign w:val="center"/>
          </w:tcPr>
          <w:p w14:paraId="139898EB" w14:textId="77777777" w:rsidR="00E67E27" w:rsidRPr="00E67E27" w:rsidRDefault="00E67E27" w:rsidP="00E67E27">
            <w:pPr>
              <w:spacing w:before="0" w:after="0" w:line="240" w:lineRule="auto"/>
              <w:jc w:val="left"/>
              <w:rPr>
                <w:lang w:val="en-GB"/>
              </w:rPr>
            </w:pPr>
            <w:r w:rsidRPr="00E67E27">
              <w:rPr>
                <w:lang w:val="en-GB"/>
              </w:rPr>
              <w:t xml:space="preserve">Marginal Land </w:t>
            </w:r>
          </w:p>
        </w:tc>
      </w:tr>
      <w:tr w:rsidR="00E67E27" w:rsidRPr="00E67E27" w14:paraId="05A36B5B" w14:textId="77777777" w:rsidTr="00E67E27">
        <w:trPr>
          <w:trHeight w:hRule="exact" w:val="567"/>
        </w:trPr>
        <w:tc>
          <w:tcPr>
            <w:tcW w:w="2103" w:type="dxa"/>
            <w:shd w:val="clear" w:color="auto" w:fill="DBF6B9" w:themeFill="accent3" w:themeFillTint="66"/>
            <w:vAlign w:val="center"/>
          </w:tcPr>
          <w:p w14:paraId="0AFCB4A5" w14:textId="77777777" w:rsidR="00E67E27" w:rsidRPr="00E67E27" w:rsidRDefault="00E67E27" w:rsidP="00E67E27">
            <w:pPr>
              <w:spacing w:before="0" w:after="0" w:line="240" w:lineRule="auto"/>
              <w:jc w:val="left"/>
              <w:rPr>
                <w:lang w:val="en-GB"/>
              </w:rPr>
            </w:pPr>
            <w:r w:rsidRPr="00E67E27">
              <w:rPr>
                <w:lang w:val="en-GB"/>
              </w:rPr>
              <w:t>RADAR</w:t>
            </w:r>
          </w:p>
        </w:tc>
        <w:tc>
          <w:tcPr>
            <w:tcW w:w="6294" w:type="dxa"/>
            <w:shd w:val="clear" w:color="auto" w:fill="auto"/>
            <w:vAlign w:val="center"/>
          </w:tcPr>
          <w:p w14:paraId="1BAAE1C1" w14:textId="6CC6B040" w:rsidR="00E67E27" w:rsidRPr="00E67E27" w:rsidRDefault="00E67E27" w:rsidP="00E67E27">
            <w:pPr>
              <w:spacing w:before="0" w:after="0" w:line="240" w:lineRule="auto"/>
              <w:jc w:val="left"/>
              <w:rPr>
                <w:lang w:val="en-GB"/>
              </w:rPr>
            </w:pPr>
            <w:r w:rsidRPr="00E67E27">
              <w:rPr>
                <w:lang w:val="en-GB"/>
              </w:rPr>
              <w:t xml:space="preserve">Radio Detection </w:t>
            </w:r>
            <w:r w:rsidR="00C35B2C" w:rsidRPr="00E67E27">
              <w:rPr>
                <w:lang w:val="en-GB"/>
              </w:rPr>
              <w:t>and</w:t>
            </w:r>
            <w:r w:rsidRPr="00E67E27">
              <w:rPr>
                <w:lang w:val="en-GB"/>
              </w:rPr>
              <w:t xml:space="preserve"> Ranging</w:t>
            </w:r>
          </w:p>
        </w:tc>
      </w:tr>
      <w:tr w:rsidR="00E67E27" w:rsidRPr="00E67E27" w14:paraId="00E2BA80" w14:textId="77777777" w:rsidTr="00E67E27">
        <w:trPr>
          <w:trHeight w:hRule="exact" w:val="567"/>
        </w:trPr>
        <w:tc>
          <w:tcPr>
            <w:tcW w:w="2103" w:type="dxa"/>
            <w:shd w:val="clear" w:color="auto" w:fill="DBF6B9" w:themeFill="accent3" w:themeFillTint="66"/>
            <w:vAlign w:val="center"/>
          </w:tcPr>
          <w:p w14:paraId="695A250C" w14:textId="77777777" w:rsidR="00E67E27" w:rsidRPr="00E67E27" w:rsidRDefault="00E67E27" w:rsidP="00E67E27">
            <w:pPr>
              <w:spacing w:before="0" w:after="0" w:line="240" w:lineRule="auto"/>
              <w:jc w:val="left"/>
              <w:rPr>
                <w:lang w:val="en-GB"/>
              </w:rPr>
            </w:pPr>
            <w:r w:rsidRPr="00E67E27">
              <w:rPr>
                <w:lang w:val="en-GB"/>
              </w:rPr>
              <w:t>RF</w:t>
            </w:r>
          </w:p>
        </w:tc>
        <w:tc>
          <w:tcPr>
            <w:tcW w:w="6294" w:type="dxa"/>
            <w:shd w:val="clear" w:color="auto" w:fill="auto"/>
            <w:vAlign w:val="center"/>
          </w:tcPr>
          <w:p w14:paraId="424C36E5" w14:textId="77777777" w:rsidR="00E67E27" w:rsidRPr="00E67E27" w:rsidRDefault="00E67E27" w:rsidP="00E67E27">
            <w:pPr>
              <w:spacing w:before="0" w:after="0" w:line="240" w:lineRule="auto"/>
              <w:jc w:val="left"/>
              <w:rPr>
                <w:lang w:val="en-GB"/>
              </w:rPr>
            </w:pPr>
            <w:r w:rsidRPr="00E67E27">
              <w:rPr>
                <w:lang w:val="en-GB"/>
              </w:rPr>
              <w:t xml:space="preserve">Random Forest </w:t>
            </w:r>
          </w:p>
        </w:tc>
      </w:tr>
      <w:tr w:rsidR="00E67E27" w:rsidRPr="00E67E27" w14:paraId="196CACED" w14:textId="77777777" w:rsidTr="00E67E27">
        <w:trPr>
          <w:trHeight w:hRule="exact" w:val="567"/>
        </w:trPr>
        <w:tc>
          <w:tcPr>
            <w:tcW w:w="2103" w:type="dxa"/>
            <w:shd w:val="clear" w:color="auto" w:fill="DBF6B9" w:themeFill="accent3" w:themeFillTint="66"/>
            <w:vAlign w:val="center"/>
          </w:tcPr>
          <w:p w14:paraId="151962AC" w14:textId="77777777" w:rsidR="00E67E27" w:rsidRPr="00E67E27" w:rsidRDefault="00E67E27" w:rsidP="00E67E27">
            <w:pPr>
              <w:spacing w:before="0" w:after="0" w:line="240" w:lineRule="auto"/>
              <w:jc w:val="left"/>
              <w:rPr>
                <w:lang w:val="en-GB"/>
              </w:rPr>
            </w:pPr>
            <w:r w:rsidRPr="00E67E27">
              <w:rPr>
                <w:lang w:val="en-GB"/>
              </w:rPr>
              <w:t>RMSE</w:t>
            </w:r>
          </w:p>
        </w:tc>
        <w:tc>
          <w:tcPr>
            <w:tcW w:w="6294" w:type="dxa"/>
            <w:shd w:val="clear" w:color="auto" w:fill="auto"/>
            <w:vAlign w:val="center"/>
          </w:tcPr>
          <w:p w14:paraId="09EB0D5F" w14:textId="77777777" w:rsidR="00E67E27" w:rsidRPr="00E67E27" w:rsidRDefault="00E67E27" w:rsidP="00E67E27">
            <w:pPr>
              <w:spacing w:before="0" w:after="0" w:line="240" w:lineRule="auto"/>
              <w:jc w:val="left"/>
              <w:rPr>
                <w:lang w:val="en-GB"/>
              </w:rPr>
            </w:pPr>
            <w:r w:rsidRPr="00E67E27">
              <w:rPr>
                <w:lang w:val="en-GB"/>
              </w:rPr>
              <w:t xml:space="preserve">Root Mean Squared Error </w:t>
            </w:r>
          </w:p>
        </w:tc>
      </w:tr>
      <w:tr w:rsidR="009E3247" w:rsidRPr="00E67E27" w14:paraId="10EAD9F1" w14:textId="77777777" w:rsidTr="00E67E27">
        <w:trPr>
          <w:trHeight w:hRule="exact" w:val="567"/>
        </w:trPr>
        <w:tc>
          <w:tcPr>
            <w:tcW w:w="2103" w:type="dxa"/>
            <w:shd w:val="clear" w:color="auto" w:fill="DBF6B9" w:themeFill="accent3" w:themeFillTint="66"/>
            <w:vAlign w:val="center"/>
          </w:tcPr>
          <w:p w14:paraId="3697C3AB" w14:textId="4283D49D" w:rsidR="009E3247" w:rsidRPr="00E67E27" w:rsidRDefault="009E3247" w:rsidP="00E67E27">
            <w:pPr>
              <w:spacing w:before="0" w:after="0" w:line="240" w:lineRule="auto"/>
              <w:jc w:val="left"/>
              <w:rPr>
                <w:lang w:val="en-GB"/>
              </w:rPr>
            </w:pPr>
            <w:r>
              <w:rPr>
                <w:lang w:val="en-GB"/>
              </w:rPr>
              <w:t>SNAP</w:t>
            </w:r>
          </w:p>
        </w:tc>
        <w:tc>
          <w:tcPr>
            <w:tcW w:w="6294" w:type="dxa"/>
            <w:shd w:val="clear" w:color="auto" w:fill="auto"/>
            <w:vAlign w:val="center"/>
          </w:tcPr>
          <w:p w14:paraId="773A415F" w14:textId="383C097F" w:rsidR="009E3247" w:rsidRPr="00E67E27" w:rsidRDefault="009E3247" w:rsidP="00E67E27">
            <w:pPr>
              <w:spacing w:before="0" w:after="0" w:line="240" w:lineRule="auto"/>
              <w:jc w:val="left"/>
              <w:rPr>
                <w:lang w:val="en-GB"/>
              </w:rPr>
            </w:pPr>
            <w:r w:rsidRPr="009E3247">
              <w:rPr>
                <w:lang w:val="en-GB"/>
              </w:rPr>
              <w:t>Sentinel Application Platform</w:t>
            </w:r>
          </w:p>
        </w:tc>
      </w:tr>
      <w:tr w:rsidR="00E67E27" w:rsidRPr="00E67E27" w14:paraId="4AFFA339" w14:textId="77777777" w:rsidTr="00E67E27">
        <w:trPr>
          <w:trHeight w:hRule="exact" w:val="567"/>
        </w:trPr>
        <w:tc>
          <w:tcPr>
            <w:tcW w:w="2103" w:type="dxa"/>
            <w:shd w:val="clear" w:color="auto" w:fill="DBF6B9" w:themeFill="accent3" w:themeFillTint="66"/>
            <w:vAlign w:val="center"/>
          </w:tcPr>
          <w:p w14:paraId="7932ACCA" w14:textId="77777777" w:rsidR="00E67E27" w:rsidRPr="00E67E27" w:rsidRDefault="00E67E27" w:rsidP="00E67E27">
            <w:pPr>
              <w:spacing w:before="0" w:after="0" w:line="240" w:lineRule="auto"/>
              <w:jc w:val="left"/>
              <w:rPr>
                <w:lang w:val="en-GB"/>
              </w:rPr>
            </w:pPr>
            <w:r w:rsidRPr="00E67E27">
              <w:rPr>
                <w:lang w:val="en-GB"/>
              </w:rPr>
              <w:t>SOM</w:t>
            </w:r>
          </w:p>
        </w:tc>
        <w:tc>
          <w:tcPr>
            <w:tcW w:w="6294" w:type="dxa"/>
            <w:shd w:val="clear" w:color="auto" w:fill="auto"/>
            <w:vAlign w:val="center"/>
          </w:tcPr>
          <w:p w14:paraId="281BBBC8" w14:textId="77777777" w:rsidR="00E67E27" w:rsidRPr="00E67E27" w:rsidRDefault="00E67E27" w:rsidP="00E67E27">
            <w:pPr>
              <w:spacing w:before="0" w:after="0" w:line="240" w:lineRule="auto"/>
              <w:jc w:val="left"/>
              <w:rPr>
                <w:lang w:val="en-GB"/>
              </w:rPr>
            </w:pPr>
            <w:r w:rsidRPr="00E67E27">
              <w:rPr>
                <w:lang w:val="en-GB"/>
              </w:rPr>
              <w:t>Soil Organic Matter</w:t>
            </w:r>
          </w:p>
        </w:tc>
      </w:tr>
      <w:tr w:rsidR="008514D9" w:rsidRPr="00E67E27" w14:paraId="242BEFD3" w14:textId="77777777" w:rsidTr="00E67E27">
        <w:trPr>
          <w:trHeight w:hRule="exact" w:val="567"/>
        </w:trPr>
        <w:tc>
          <w:tcPr>
            <w:tcW w:w="2103" w:type="dxa"/>
            <w:shd w:val="clear" w:color="auto" w:fill="DBF6B9" w:themeFill="accent3" w:themeFillTint="66"/>
            <w:vAlign w:val="center"/>
          </w:tcPr>
          <w:p w14:paraId="7A991F7F" w14:textId="53BB0D72" w:rsidR="008514D9" w:rsidRPr="00E67E27" w:rsidRDefault="008514D9" w:rsidP="00E67E27">
            <w:pPr>
              <w:spacing w:before="0" w:after="0" w:line="240" w:lineRule="auto"/>
              <w:jc w:val="left"/>
              <w:rPr>
                <w:lang w:val="en-GB"/>
              </w:rPr>
            </w:pPr>
            <w:r>
              <w:rPr>
                <w:lang w:val="en-GB"/>
              </w:rPr>
              <w:t>SWIR</w:t>
            </w:r>
          </w:p>
        </w:tc>
        <w:tc>
          <w:tcPr>
            <w:tcW w:w="6294" w:type="dxa"/>
            <w:shd w:val="clear" w:color="auto" w:fill="auto"/>
            <w:vAlign w:val="center"/>
          </w:tcPr>
          <w:p w14:paraId="5F5A3EE6" w14:textId="75697DD7" w:rsidR="008514D9" w:rsidRPr="00E67E27" w:rsidRDefault="008514D9" w:rsidP="00E67E27">
            <w:pPr>
              <w:spacing w:before="0" w:after="0" w:line="240" w:lineRule="auto"/>
              <w:jc w:val="left"/>
              <w:rPr>
                <w:lang w:val="en-GB"/>
              </w:rPr>
            </w:pPr>
            <w:r>
              <w:rPr>
                <w:lang w:val="en-GB"/>
              </w:rPr>
              <w:t>S</w:t>
            </w:r>
            <w:r w:rsidRPr="008514D9">
              <w:rPr>
                <w:lang w:val="en-GB"/>
              </w:rPr>
              <w:t xml:space="preserve">hortwave </w:t>
            </w:r>
            <w:r>
              <w:rPr>
                <w:lang w:val="en-GB"/>
              </w:rPr>
              <w:t>I</w:t>
            </w:r>
            <w:r w:rsidRPr="008514D9">
              <w:rPr>
                <w:lang w:val="en-GB"/>
              </w:rPr>
              <w:t>nfrared</w:t>
            </w:r>
          </w:p>
        </w:tc>
      </w:tr>
      <w:tr w:rsidR="00E67E27" w:rsidRPr="00E67E27" w14:paraId="5795A929" w14:textId="77777777" w:rsidTr="00E67E27">
        <w:trPr>
          <w:trHeight w:hRule="exact" w:val="567"/>
        </w:trPr>
        <w:tc>
          <w:tcPr>
            <w:tcW w:w="2103" w:type="dxa"/>
            <w:shd w:val="clear" w:color="auto" w:fill="DBF6B9" w:themeFill="accent3" w:themeFillTint="66"/>
            <w:vAlign w:val="center"/>
          </w:tcPr>
          <w:p w14:paraId="4C25AB0E" w14:textId="77777777" w:rsidR="00E67E27" w:rsidRPr="00E67E27" w:rsidRDefault="00E67E27" w:rsidP="00E67E27">
            <w:pPr>
              <w:spacing w:before="0" w:after="0" w:line="240" w:lineRule="auto"/>
              <w:jc w:val="left"/>
              <w:rPr>
                <w:lang w:val="en-GB"/>
              </w:rPr>
            </w:pPr>
            <w:r w:rsidRPr="00E67E27">
              <w:rPr>
                <w:lang w:val="en-GB"/>
              </w:rPr>
              <w:t>VI</w:t>
            </w:r>
          </w:p>
        </w:tc>
        <w:tc>
          <w:tcPr>
            <w:tcW w:w="6294" w:type="dxa"/>
            <w:shd w:val="clear" w:color="auto" w:fill="auto"/>
            <w:vAlign w:val="center"/>
          </w:tcPr>
          <w:p w14:paraId="5C2020C2" w14:textId="77777777" w:rsidR="00E67E27" w:rsidRPr="00E67E27" w:rsidRDefault="00E67E27" w:rsidP="00E67E27">
            <w:pPr>
              <w:spacing w:before="0" w:after="0" w:line="240" w:lineRule="auto"/>
              <w:jc w:val="left"/>
              <w:rPr>
                <w:lang w:val="en-GB"/>
              </w:rPr>
            </w:pPr>
            <w:r w:rsidRPr="00E67E27">
              <w:rPr>
                <w:lang w:val="en-GB"/>
              </w:rPr>
              <w:t>Vegetation Indices</w:t>
            </w:r>
          </w:p>
        </w:tc>
      </w:tr>
      <w:tr w:rsidR="009B3BE6" w:rsidRPr="00C60499" w14:paraId="24CF5D4B" w14:textId="77777777" w:rsidTr="00C35B2C">
        <w:trPr>
          <w:trHeight w:hRule="exact" w:val="567"/>
        </w:trPr>
        <w:tc>
          <w:tcPr>
            <w:tcW w:w="2103" w:type="dxa"/>
            <w:shd w:val="clear" w:color="auto" w:fill="DBF6B9" w:themeFill="accent3" w:themeFillTint="66"/>
            <w:vAlign w:val="center"/>
          </w:tcPr>
          <w:p w14:paraId="21F08AFA" w14:textId="73BD9363" w:rsidR="009B3BE6" w:rsidRPr="00C60499" w:rsidRDefault="0000343B" w:rsidP="009F4FAE">
            <w:pPr>
              <w:spacing w:before="0" w:after="0" w:line="240" w:lineRule="auto"/>
              <w:jc w:val="left"/>
              <w:rPr>
                <w:lang w:val="en-GB"/>
              </w:rPr>
            </w:pPr>
            <w:r w:rsidRPr="0000343B">
              <w:rPr>
                <w:lang w:val="en-GB"/>
              </w:rPr>
              <w:t>XGB</w:t>
            </w:r>
          </w:p>
        </w:tc>
        <w:tc>
          <w:tcPr>
            <w:tcW w:w="6294" w:type="dxa"/>
            <w:vAlign w:val="center"/>
          </w:tcPr>
          <w:p w14:paraId="24106A6B" w14:textId="483515D9" w:rsidR="009B3BE6" w:rsidRPr="00C60499" w:rsidRDefault="0000343B" w:rsidP="009F4FAE">
            <w:pPr>
              <w:spacing w:before="0" w:after="0" w:line="240" w:lineRule="auto"/>
              <w:jc w:val="left"/>
              <w:rPr>
                <w:lang w:val="en-GB"/>
              </w:rPr>
            </w:pPr>
            <w:r w:rsidRPr="0000343B">
              <w:rPr>
                <w:lang w:val="en-GB"/>
              </w:rPr>
              <w:t>Extreme Gradient Boosting</w:t>
            </w:r>
          </w:p>
        </w:tc>
      </w:tr>
    </w:tbl>
    <w:p w14:paraId="4E3D1BCE" w14:textId="77777777" w:rsidR="009B3BE6" w:rsidRPr="00C60499" w:rsidRDefault="009B3BE6" w:rsidP="00D21C20">
      <w:pPr>
        <w:rPr>
          <w:lang w:val="en-GB"/>
        </w:rPr>
      </w:pPr>
    </w:p>
    <w:p w14:paraId="2A35C782" w14:textId="742B9626" w:rsidR="0056757E" w:rsidRDefault="0056757E">
      <w:pPr>
        <w:spacing w:line="300" w:lineRule="exact"/>
        <w:jc w:val="left"/>
        <w:rPr>
          <w:lang w:val="en-GB"/>
        </w:rPr>
      </w:pPr>
      <w:r>
        <w:rPr>
          <w:lang w:val="en-GB"/>
        </w:rPr>
        <w:br w:type="page"/>
      </w:r>
    </w:p>
    <w:sdt>
      <w:sdtPr>
        <w:rPr>
          <w:rFonts w:ascii="Tahoma" w:eastAsiaTheme="minorHAnsi" w:hAnsi="Tahoma" w:cs="Tahoma"/>
          <w:b w:val="0"/>
          <w:bCs w:val="0"/>
          <w:color w:val="auto"/>
          <w:sz w:val="22"/>
          <w:szCs w:val="22"/>
        </w:rPr>
        <w:id w:val="727306473"/>
        <w:docPartObj>
          <w:docPartGallery w:val="Table of Contents"/>
          <w:docPartUnique/>
        </w:docPartObj>
      </w:sdtPr>
      <w:sdtEndPr>
        <w:rPr>
          <w:rFonts w:ascii="Arial" w:hAnsi="Arial" w:cstheme="minorBidi"/>
        </w:rPr>
      </w:sdtEndPr>
      <w:sdtContent>
        <w:p w14:paraId="6C3395F3" w14:textId="77777777" w:rsidR="00976AF8" w:rsidRPr="00976AF8" w:rsidRDefault="00976AF8">
          <w:pPr>
            <w:pStyle w:val="TOCHeading"/>
            <w:rPr>
              <w:rFonts w:ascii="Tahoma" w:hAnsi="Tahoma" w:cs="Tahoma"/>
            </w:rPr>
          </w:pPr>
          <w:r w:rsidRPr="00976AF8">
            <w:rPr>
              <w:rFonts w:ascii="Tahoma" w:hAnsi="Tahoma" w:cs="Tahoma"/>
            </w:rPr>
            <w:t>Contents</w:t>
          </w:r>
        </w:p>
        <w:p w14:paraId="120C6F4F" w14:textId="77777777" w:rsidR="00976AF8" w:rsidRDefault="00976AF8" w:rsidP="001424AA">
          <w:pPr>
            <w:pStyle w:val="TOC1"/>
          </w:pPr>
        </w:p>
        <w:p w14:paraId="53B6EFF8" w14:textId="2DD4D351" w:rsidR="000E79F2" w:rsidRDefault="00121AB0">
          <w:pPr>
            <w:pStyle w:val="TOC1"/>
            <w:rPr>
              <w:rFonts w:asciiTheme="minorHAnsi" w:eastAsiaTheme="minorEastAsia" w:hAnsiTheme="minorHAnsi"/>
              <w:noProof/>
              <w:lang w:val="el-GR" w:eastAsia="el-GR"/>
            </w:rPr>
          </w:pPr>
          <w:r>
            <w:fldChar w:fldCharType="begin"/>
          </w:r>
          <w:r w:rsidR="00976AF8">
            <w:instrText xml:space="preserve"> TOC \o "1-3" \h \z \u </w:instrText>
          </w:r>
          <w:r>
            <w:fldChar w:fldCharType="separate"/>
          </w:r>
          <w:hyperlink w:anchor="_Toc91575508" w:history="1">
            <w:r w:rsidR="000E79F2" w:rsidRPr="00182205">
              <w:rPr>
                <w:rStyle w:val="Hyperlink"/>
                <w:noProof/>
              </w:rPr>
              <w:t>MAIL Consortium</w:t>
            </w:r>
            <w:r w:rsidR="000E79F2">
              <w:rPr>
                <w:noProof/>
                <w:webHidden/>
              </w:rPr>
              <w:tab/>
            </w:r>
            <w:r w:rsidR="000E79F2">
              <w:rPr>
                <w:noProof/>
                <w:webHidden/>
              </w:rPr>
              <w:fldChar w:fldCharType="begin"/>
            </w:r>
            <w:r w:rsidR="000E79F2">
              <w:rPr>
                <w:noProof/>
                <w:webHidden/>
              </w:rPr>
              <w:instrText xml:space="preserve"> PAGEREF _Toc91575508 \h </w:instrText>
            </w:r>
            <w:r w:rsidR="000E79F2">
              <w:rPr>
                <w:noProof/>
                <w:webHidden/>
              </w:rPr>
            </w:r>
            <w:r w:rsidR="000E79F2">
              <w:rPr>
                <w:noProof/>
                <w:webHidden/>
              </w:rPr>
              <w:fldChar w:fldCharType="separate"/>
            </w:r>
            <w:r w:rsidR="000655D3">
              <w:rPr>
                <w:noProof/>
                <w:webHidden/>
              </w:rPr>
              <w:t>3</w:t>
            </w:r>
            <w:r w:rsidR="000E79F2">
              <w:rPr>
                <w:noProof/>
                <w:webHidden/>
              </w:rPr>
              <w:fldChar w:fldCharType="end"/>
            </w:r>
          </w:hyperlink>
        </w:p>
        <w:p w14:paraId="2C20E89E" w14:textId="306CE12D" w:rsidR="000E79F2" w:rsidRDefault="00AD71EB">
          <w:pPr>
            <w:pStyle w:val="TOC1"/>
            <w:rPr>
              <w:rFonts w:asciiTheme="minorHAnsi" w:eastAsiaTheme="minorEastAsia" w:hAnsiTheme="minorHAnsi"/>
              <w:noProof/>
              <w:lang w:val="el-GR" w:eastAsia="el-GR"/>
            </w:rPr>
          </w:pPr>
          <w:hyperlink w:anchor="_Toc91575509" w:history="1">
            <w:r w:rsidR="000E79F2" w:rsidRPr="00182205">
              <w:rPr>
                <w:rStyle w:val="Hyperlink"/>
                <w:noProof/>
                <w:lang w:val="en-GB"/>
              </w:rPr>
              <w:t>Abbreviations</w:t>
            </w:r>
            <w:r w:rsidR="000E79F2">
              <w:rPr>
                <w:noProof/>
                <w:webHidden/>
              </w:rPr>
              <w:tab/>
            </w:r>
            <w:r w:rsidR="000E79F2">
              <w:rPr>
                <w:noProof/>
                <w:webHidden/>
              </w:rPr>
              <w:fldChar w:fldCharType="begin"/>
            </w:r>
            <w:r w:rsidR="000E79F2">
              <w:rPr>
                <w:noProof/>
                <w:webHidden/>
              </w:rPr>
              <w:instrText xml:space="preserve"> PAGEREF _Toc91575509 \h </w:instrText>
            </w:r>
            <w:r w:rsidR="000E79F2">
              <w:rPr>
                <w:noProof/>
                <w:webHidden/>
              </w:rPr>
            </w:r>
            <w:r w:rsidR="000E79F2">
              <w:rPr>
                <w:noProof/>
                <w:webHidden/>
              </w:rPr>
              <w:fldChar w:fldCharType="separate"/>
            </w:r>
            <w:r w:rsidR="000655D3">
              <w:rPr>
                <w:noProof/>
                <w:webHidden/>
              </w:rPr>
              <w:t>4</w:t>
            </w:r>
            <w:r w:rsidR="000E79F2">
              <w:rPr>
                <w:noProof/>
                <w:webHidden/>
              </w:rPr>
              <w:fldChar w:fldCharType="end"/>
            </w:r>
          </w:hyperlink>
        </w:p>
        <w:p w14:paraId="0588C1FB" w14:textId="1BC15923" w:rsidR="000E79F2" w:rsidRDefault="00AD71EB">
          <w:pPr>
            <w:pStyle w:val="TOC1"/>
            <w:rPr>
              <w:rFonts w:asciiTheme="minorHAnsi" w:eastAsiaTheme="minorEastAsia" w:hAnsiTheme="minorHAnsi"/>
              <w:noProof/>
              <w:lang w:val="el-GR" w:eastAsia="el-GR"/>
            </w:rPr>
          </w:pPr>
          <w:hyperlink w:anchor="_Toc91575510" w:history="1">
            <w:r w:rsidR="000E79F2" w:rsidRPr="00182205">
              <w:rPr>
                <w:rStyle w:val="Hyperlink"/>
                <w:noProof/>
              </w:rPr>
              <w:t>Executive Summary</w:t>
            </w:r>
            <w:r w:rsidR="000E79F2">
              <w:rPr>
                <w:noProof/>
                <w:webHidden/>
              </w:rPr>
              <w:tab/>
            </w:r>
            <w:r w:rsidR="000E79F2">
              <w:rPr>
                <w:noProof/>
                <w:webHidden/>
              </w:rPr>
              <w:fldChar w:fldCharType="begin"/>
            </w:r>
            <w:r w:rsidR="000E79F2">
              <w:rPr>
                <w:noProof/>
                <w:webHidden/>
              </w:rPr>
              <w:instrText xml:space="preserve"> PAGEREF _Toc91575510 \h </w:instrText>
            </w:r>
            <w:r w:rsidR="000E79F2">
              <w:rPr>
                <w:noProof/>
                <w:webHidden/>
              </w:rPr>
            </w:r>
            <w:r w:rsidR="000E79F2">
              <w:rPr>
                <w:noProof/>
                <w:webHidden/>
              </w:rPr>
              <w:fldChar w:fldCharType="separate"/>
            </w:r>
            <w:r w:rsidR="000655D3">
              <w:rPr>
                <w:noProof/>
                <w:webHidden/>
              </w:rPr>
              <w:t>8</w:t>
            </w:r>
            <w:r w:rsidR="000E79F2">
              <w:rPr>
                <w:noProof/>
                <w:webHidden/>
              </w:rPr>
              <w:fldChar w:fldCharType="end"/>
            </w:r>
          </w:hyperlink>
        </w:p>
        <w:p w14:paraId="6A865FB8" w14:textId="0B36F268" w:rsidR="000E79F2" w:rsidRDefault="00AD71EB">
          <w:pPr>
            <w:pStyle w:val="TOC1"/>
            <w:rPr>
              <w:rFonts w:asciiTheme="minorHAnsi" w:eastAsiaTheme="minorEastAsia" w:hAnsiTheme="minorHAnsi"/>
              <w:noProof/>
              <w:lang w:val="el-GR" w:eastAsia="el-GR"/>
            </w:rPr>
          </w:pPr>
          <w:hyperlink w:anchor="_Toc91575511" w:history="1">
            <w:r w:rsidR="000E79F2" w:rsidRPr="00182205">
              <w:rPr>
                <w:rStyle w:val="Hyperlink"/>
                <w:noProof/>
                <w:lang w:val="en-GB"/>
              </w:rPr>
              <w:t>1. Introduction and goals</w:t>
            </w:r>
            <w:r w:rsidR="000E79F2">
              <w:rPr>
                <w:noProof/>
                <w:webHidden/>
              </w:rPr>
              <w:tab/>
            </w:r>
            <w:r w:rsidR="000E79F2">
              <w:rPr>
                <w:noProof/>
                <w:webHidden/>
              </w:rPr>
              <w:fldChar w:fldCharType="begin"/>
            </w:r>
            <w:r w:rsidR="000E79F2">
              <w:rPr>
                <w:noProof/>
                <w:webHidden/>
              </w:rPr>
              <w:instrText xml:space="preserve"> PAGEREF _Toc91575511 \h </w:instrText>
            </w:r>
            <w:r w:rsidR="000E79F2">
              <w:rPr>
                <w:noProof/>
                <w:webHidden/>
              </w:rPr>
            </w:r>
            <w:r w:rsidR="000E79F2">
              <w:rPr>
                <w:noProof/>
                <w:webHidden/>
              </w:rPr>
              <w:fldChar w:fldCharType="separate"/>
            </w:r>
            <w:r w:rsidR="000655D3">
              <w:rPr>
                <w:noProof/>
                <w:webHidden/>
              </w:rPr>
              <w:t>9</w:t>
            </w:r>
            <w:r w:rsidR="000E79F2">
              <w:rPr>
                <w:noProof/>
                <w:webHidden/>
              </w:rPr>
              <w:fldChar w:fldCharType="end"/>
            </w:r>
          </w:hyperlink>
        </w:p>
        <w:p w14:paraId="4013161F" w14:textId="158DEACE" w:rsidR="000E79F2" w:rsidRDefault="00AD71EB">
          <w:pPr>
            <w:pStyle w:val="TOC1"/>
            <w:rPr>
              <w:rFonts w:asciiTheme="minorHAnsi" w:eastAsiaTheme="minorEastAsia" w:hAnsiTheme="minorHAnsi"/>
              <w:noProof/>
              <w:lang w:val="el-GR" w:eastAsia="el-GR"/>
            </w:rPr>
          </w:pPr>
          <w:hyperlink w:anchor="_Toc91575512" w:history="1">
            <w:r w:rsidR="000E79F2" w:rsidRPr="00182205">
              <w:rPr>
                <w:rStyle w:val="Hyperlink"/>
                <w:noProof/>
              </w:rPr>
              <w:t>2. Definitions</w:t>
            </w:r>
            <w:r w:rsidR="000E79F2">
              <w:rPr>
                <w:noProof/>
                <w:webHidden/>
              </w:rPr>
              <w:tab/>
            </w:r>
            <w:r w:rsidR="000E79F2">
              <w:rPr>
                <w:noProof/>
                <w:webHidden/>
              </w:rPr>
              <w:fldChar w:fldCharType="begin"/>
            </w:r>
            <w:r w:rsidR="000E79F2">
              <w:rPr>
                <w:noProof/>
                <w:webHidden/>
              </w:rPr>
              <w:instrText xml:space="preserve"> PAGEREF _Toc91575512 \h </w:instrText>
            </w:r>
            <w:r w:rsidR="000E79F2">
              <w:rPr>
                <w:noProof/>
                <w:webHidden/>
              </w:rPr>
            </w:r>
            <w:r w:rsidR="000E79F2">
              <w:rPr>
                <w:noProof/>
                <w:webHidden/>
              </w:rPr>
              <w:fldChar w:fldCharType="separate"/>
            </w:r>
            <w:r w:rsidR="000655D3">
              <w:rPr>
                <w:noProof/>
                <w:webHidden/>
              </w:rPr>
              <w:t>10</w:t>
            </w:r>
            <w:r w:rsidR="000E79F2">
              <w:rPr>
                <w:noProof/>
                <w:webHidden/>
              </w:rPr>
              <w:fldChar w:fldCharType="end"/>
            </w:r>
          </w:hyperlink>
        </w:p>
        <w:p w14:paraId="37447BE7" w14:textId="3AB907DF" w:rsidR="000E79F2" w:rsidRDefault="00AD71EB">
          <w:pPr>
            <w:pStyle w:val="TOC2"/>
            <w:rPr>
              <w:rFonts w:asciiTheme="minorHAnsi" w:eastAsiaTheme="minorEastAsia" w:hAnsiTheme="minorHAnsi"/>
              <w:noProof/>
              <w:lang w:val="el-GR" w:eastAsia="el-GR"/>
            </w:rPr>
          </w:pPr>
          <w:hyperlink w:anchor="_Toc91575513" w:history="1">
            <w:r w:rsidR="000E79F2" w:rsidRPr="00182205">
              <w:rPr>
                <w:rStyle w:val="Hyperlink"/>
                <w:noProof/>
              </w:rPr>
              <w:t>2.1. Above Ground Biomass and Current Carbon Sequestration</w:t>
            </w:r>
            <w:r w:rsidR="000E79F2">
              <w:rPr>
                <w:noProof/>
                <w:webHidden/>
              </w:rPr>
              <w:tab/>
            </w:r>
            <w:r w:rsidR="000E79F2">
              <w:rPr>
                <w:noProof/>
                <w:webHidden/>
              </w:rPr>
              <w:fldChar w:fldCharType="begin"/>
            </w:r>
            <w:r w:rsidR="000E79F2">
              <w:rPr>
                <w:noProof/>
                <w:webHidden/>
              </w:rPr>
              <w:instrText xml:space="preserve"> PAGEREF _Toc91575513 \h </w:instrText>
            </w:r>
            <w:r w:rsidR="000E79F2">
              <w:rPr>
                <w:noProof/>
                <w:webHidden/>
              </w:rPr>
            </w:r>
            <w:r w:rsidR="000E79F2">
              <w:rPr>
                <w:noProof/>
                <w:webHidden/>
              </w:rPr>
              <w:fldChar w:fldCharType="separate"/>
            </w:r>
            <w:r w:rsidR="000655D3">
              <w:rPr>
                <w:noProof/>
                <w:webHidden/>
              </w:rPr>
              <w:t>10</w:t>
            </w:r>
            <w:r w:rsidR="000E79F2">
              <w:rPr>
                <w:noProof/>
                <w:webHidden/>
              </w:rPr>
              <w:fldChar w:fldCharType="end"/>
            </w:r>
          </w:hyperlink>
        </w:p>
        <w:p w14:paraId="5952222F" w14:textId="4751FDA9" w:rsidR="000E79F2" w:rsidRDefault="00AD71EB">
          <w:pPr>
            <w:pStyle w:val="TOC2"/>
            <w:rPr>
              <w:rFonts w:asciiTheme="minorHAnsi" w:eastAsiaTheme="minorEastAsia" w:hAnsiTheme="minorHAnsi"/>
              <w:noProof/>
              <w:lang w:val="el-GR" w:eastAsia="el-GR"/>
            </w:rPr>
          </w:pPr>
          <w:hyperlink w:anchor="_Toc91575514" w:history="1">
            <w:r w:rsidR="000E79F2" w:rsidRPr="00182205">
              <w:rPr>
                <w:rStyle w:val="Hyperlink"/>
                <w:noProof/>
              </w:rPr>
              <w:t>2.2. Carbon Carrying Capacity and Carbon Sequestration Capacity</w:t>
            </w:r>
            <w:r w:rsidR="000E79F2">
              <w:rPr>
                <w:noProof/>
                <w:webHidden/>
              </w:rPr>
              <w:tab/>
            </w:r>
            <w:r w:rsidR="000E79F2">
              <w:rPr>
                <w:noProof/>
                <w:webHidden/>
              </w:rPr>
              <w:fldChar w:fldCharType="begin"/>
            </w:r>
            <w:r w:rsidR="000E79F2">
              <w:rPr>
                <w:noProof/>
                <w:webHidden/>
              </w:rPr>
              <w:instrText xml:space="preserve"> PAGEREF _Toc91575514 \h </w:instrText>
            </w:r>
            <w:r w:rsidR="000E79F2">
              <w:rPr>
                <w:noProof/>
                <w:webHidden/>
              </w:rPr>
            </w:r>
            <w:r w:rsidR="000E79F2">
              <w:rPr>
                <w:noProof/>
                <w:webHidden/>
              </w:rPr>
              <w:fldChar w:fldCharType="separate"/>
            </w:r>
            <w:r w:rsidR="000655D3">
              <w:rPr>
                <w:noProof/>
                <w:webHidden/>
              </w:rPr>
              <w:t>12</w:t>
            </w:r>
            <w:r w:rsidR="000E79F2">
              <w:rPr>
                <w:noProof/>
                <w:webHidden/>
              </w:rPr>
              <w:fldChar w:fldCharType="end"/>
            </w:r>
          </w:hyperlink>
        </w:p>
        <w:p w14:paraId="3EF65A0A" w14:textId="6B24407A" w:rsidR="000E79F2" w:rsidRDefault="00AD71EB">
          <w:pPr>
            <w:pStyle w:val="TOC1"/>
            <w:rPr>
              <w:rFonts w:asciiTheme="minorHAnsi" w:eastAsiaTheme="minorEastAsia" w:hAnsiTheme="minorHAnsi"/>
              <w:noProof/>
              <w:lang w:val="el-GR" w:eastAsia="el-GR"/>
            </w:rPr>
          </w:pPr>
          <w:hyperlink w:anchor="_Toc91575515" w:history="1">
            <w:r w:rsidR="000E79F2" w:rsidRPr="00182205">
              <w:rPr>
                <w:rStyle w:val="Hyperlink"/>
                <w:noProof/>
                <w:lang w:val="en-GB"/>
              </w:rPr>
              <w:t>3. Carbon Sequestration Capacity mapping at the pilot site level</w:t>
            </w:r>
            <w:r w:rsidR="000E79F2">
              <w:rPr>
                <w:noProof/>
                <w:webHidden/>
              </w:rPr>
              <w:tab/>
            </w:r>
            <w:r w:rsidR="000E79F2">
              <w:rPr>
                <w:noProof/>
                <w:webHidden/>
              </w:rPr>
              <w:fldChar w:fldCharType="begin"/>
            </w:r>
            <w:r w:rsidR="000E79F2">
              <w:rPr>
                <w:noProof/>
                <w:webHidden/>
              </w:rPr>
              <w:instrText xml:space="preserve"> PAGEREF _Toc91575515 \h </w:instrText>
            </w:r>
            <w:r w:rsidR="000E79F2">
              <w:rPr>
                <w:noProof/>
                <w:webHidden/>
              </w:rPr>
            </w:r>
            <w:r w:rsidR="000E79F2">
              <w:rPr>
                <w:noProof/>
                <w:webHidden/>
              </w:rPr>
              <w:fldChar w:fldCharType="separate"/>
            </w:r>
            <w:r w:rsidR="000655D3">
              <w:rPr>
                <w:noProof/>
                <w:webHidden/>
              </w:rPr>
              <w:t>12</w:t>
            </w:r>
            <w:r w:rsidR="000E79F2">
              <w:rPr>
                <w:noProof/>
                <w:webHidden/>
              </w:rPr>
              <w:fldChar w:fldCharType="end"/>
            </w:r>
          </w:hyperlink>
        </w:p>
        <w:p w14:paraId="0BE8F9DE" w14:textId="3B9F7D1E" w:rsidR="000E79F2" w:rsidRDefault="00AD71EB">
          <w:pPr>
            <w:pStyle w:val="TOC2"/>
            <w:rPr>
              <w:rFonts w:asciiTheme="minorHAnsi" w:eastAsiaTheme="minorEastAsia" w:hAnsiTheme="minorHAnsi"/>
              <w:noProof/>
              <w:lang w:val="el-GR" w:eastAsia="el-GR"/>
            </w:rPr>
          </w:pPr>
          <w:hyperlink w:anchor="_Toc91575516" w:history="1">
            <w:r w:rsidR="000E79F2" w:rsidRPr="00182205">
              <w:rPr>
                <w:rStyle w:val="Hyperlink"/>
                <w:noProof/>
                <w:lang w:val="en-GB"/>
              </w:rPr>
              <w:t>3.1. Objectives</w:t>
            </w:r>
            <w:r w:rsidR="000E79F2">
              <w:rPr>
                <w:noProof/>
                <w:webHidden/>
              </w:rPr>
              <w:tab/>
            </w:r>
            <w:r w:rsidR="000E79F2">
              <w:rPr>
                <w:noProof/>
                <w:webHidden/>
              </w:rPr>
              <w:fldChar w:fldCharType="begin"/>
            </w:r>
            <w:r w:rsidR="000E79F2">
              <w:rPr>
                <w:noProof/>
                <w:webHidden/>
              </w:rPr>
              <w:instrText xml:space="preserve"> PAGEREF _Toc91575516 \h </w:instrText>
            </w:r>
            <w:r w:rsidR="000E79F2">
              <w:rPr>
                <w:noProof/>
                <w:webHidden/>
              </w:rPr>
            </w:r>
            <w:r w:rsidR="000E79F2">
              <w:rPr>
                <w:noProof/>
                <w:webHidden/>
              </w:rPr>
              <w:fldChar w:fldCharType="separate"/>
            </w:r>
            <w:r w:rsidR="000655D3">
              <w:rPr>
                <w:noProof/>
                <w:webHidden/>
              </w:rPr>
              <w:t>13</w:t>
            </w:r>
            <w:r w:rsidR="000E79F2">
              <w:rPr>
                <w:noProof/>
                <w:webHidden/>
              </w:rPr>
              <w:fldChar w:fldCharType="end"/>
            </w:r>
          </w:hyperlink>
        </w:p>
        <w:p w14:paraId="03C67106" w14:textId="531A0316" w:rsidR="000E79F2" w:rsidRDefault="00AD71EB">
          <w:pPr>
            <w:pStyle w:val="TOC2"/>
            <w:rPr>
              <w:rFonts w:asciiTheme="minorHAnsi" w:eastAsiaTheme="minorEastAsia" w:hAnsiTheme="minorHAnsi"/>
              <w:noProof/>
              <w:lang w:val="el-GR" w:eastAsia="el-GR"/>
            </w:rPr>
          </w:pPr>
          <w:hyperlink w:anchor="_Toc91575517" w:history="1">
            <w:r w:rsidR="000E79F2" w:rsidRPr="00182205">
              <w:rPr>
                <w:rStyle w:val="Hyperlink"/>
                <w:noProof/>
                <w:lang w:val="en-GB"/>
              </w:rPr>
              <w:t>3.2. Related studies</w:t>
            </w:r>
            <w:r w:rsidR="000E79F2">
              <w:rPr>
                <w:noProof/>
                <w:webHidden/>
              </w:rPr>
              <w:tab/>
            </w:r>
            <w:r w:rsidR="000E79F2">
              <w:rPr>
                <w:noProof/>
                <w:webHidden/>
              </w:rPr>
              <w:fldChar w:fldCharType="begin"/>
            </w:r>
            <w:r w:rsidR="000E79F2">
              <w:rPr>
                <w:noProof/>
                <w:webHidden/>
              </w:rPr>
              <w:instrText xml:space="preserve"> PAGEREF _Toc91575517 \h </w:instrText>
            </w:r>
            <w:r w:rsidR="000E79F2">
              <w:rPr>
                <w:noProof/>
                <w:webHidden/>
              </w:rPr>
            </w:r>
            <w:r w:rsidR="000E79F2">
              <w:rPr>
                <w:noProof/>
                <w:webHidden/>
              </w:rPr>
              <w:fldChar w:fldCharType="separate"/>
            </w:r>
            <w:r w:rsidR="000655D3">
              <w:rPr>
                <w:noProof/>
                <w:webHidden/>
              </w:rPr>
              <w:t>13</w:t>
            </w:r>
            <w:r w:rsidR="000E79F2">
              <w:rPr>
                <w:noProof/>
                <w:webHidden/>
              </w:rPr>
              <w:fldChar w:fldCharType="end"/>
            </w:r>
          </w:hyperlink>
        </w:p>
        <w:p w14:paraId="6EEAAF92" w14:textId="0653C73E" w:rsidR="000E79F2" w:rsidRDefault="00AD71EB">
          <w:pPr>
            <w:pStyle w:val="TOC2"/>
            <w:rPr>
              <w:rFonts w:asciiTheme="minorHAnsi" w:eastAsiaTheme="minorEastAsia" w:hAnsiTheme="minorHAnsi"/>
              <w:noProof/>
              <w:lang w:val="el-GR" w:eastAsia="el-GR"/>
            </w:rPr>
          </w:pPr>
          <w:hyperlink w:anchor="_Toc91575518" w:history="1">
            <w:r w:rsidR="000E79F2" w:rsidRPr="00182205">
              <w:rPr>
                <w:rStyle w:val="Hyperlink"/>
                <w:noProof/>
              </w:rPr>
              <w:t>3.3. Materials &amp; Methodology</w:t>
            </w:r>
            <w:r w:rsidR="000E79F2">
              <w:rPr>
                <w:noProof/>
                <w:webHidden/>
              </w:rPr>
              <w:tab/>
            </w:r>
            <w:r w:rsidR="000E79F2">
              <w:rPr>
                <w:noProof/>
                <w:webHidden/>
              </w:rPr>
              <w:fldChar w:fldCharType="begin"/>
            </w:r>
            <w:r w:rsidR="000E79F2">
              <w:rPr>
                <w:noProof/>
                <w:webHidden/>
              </w:rPr>
              <w:instrText xml:space="preserve"> PAGEREF _Toc91575518 \h </w:instrText>
            </w:r>
            <w:r w:rsidR="000E79F2">
              <w:rPr>
                <w:noProof/>
                <w:webHidden/>
              </w:rPr>
            </w:r>
            <w:r w:rsidR="000E79F2">
              <w:rPr>
                <w:noProof/>
                <w:webHidden/>
              </w:rPr>
              <w:fldChar w:fldCharType="separate"/>
            </w:r>
            <w:r w:rsidR="000655D3">
              <w:rPr>
                <w:noProof/>
                <w:webHidden/>
              </w:rPr>
              <w:t>15</w:t>
            </w:r>
            <w:r w:rsidR="000E79F2">
              <w:rPr>
                <w:noProof/>
                <w:webHidden/>
              </w:rPr>
              <w:fldChar w:fldCharType="end"/>
            </w:r>
          </w:hyperlink>
        </w:p>
        <w:p w14:paraId="3C5E5D50" w14:textId="0339369A" w:rsidR="000E79F2" w:rsidRDefault="00AD71EB">
          <w:pPr>
            <w:pStyle w:val="TOC3"/>
            <w:rPr>
              <w:rFonts w:asciiTheme="minorHAnsi" w:eastAsiaTheme="minorEastAsia" w:hAnsiTheme="minorHAnsi"/>
              <w:noProof/>
              <w:lang w:val="el-GR" w:eastAsia="el-GR"/>
            </w:rPr>
          </w:pPr>
          <w:hyperlink w:anchor="_Toc91575519" w:history="1">
            <w:r w:rsidR="000E79F2" w:rsidRPr="00182205">
              <w:rPr>
                <w:rStyle w:val="Hyperlink"/>
                <w:noProof/>
              </w:rPr>
              <w:t>3.3.1. Study area</w:t>
            </w:r>
            <w:r w:rsidR="000E79F2">
              <w:rPr>
                <w:noProof/>
                <w:webHidden/>
              </w:rPr>
              <w:tab/>
            </w:r>
            <w:r w:rsidR="000E79F2">
              <w:rPr>
                <w:noProof/>
                <w:webHidden/>
              </w:rPr>
              <w:fldChar w:fldCharType="begin"/>
            </w:r>
            <w:r w:rsidR="000E79F2">
              <w:rPr>
                <w:noProof/>
                <w:webHidden/>
              </w:rPr>
              <w:instrText xml:space="preserve"> PAGEREF _Toc91575519 \h </w:instrText>
            </w:r>
            <w:r w:rsidR="000E79F2">
              <w:rPr>
                <w:noProof/>
                <w:webHidden/>
              </w:rPr>
            </w:r>
            <w:r w:rsidR="000E79F2">
              <w:rPr>
                <w:noProof/>
                <w:webHidden/>
              </w:rPr>
              <w:fldChar w:fldCharType="separate"/>
            </w:r>
            <w:r w:rsidR="000655D3">
              <w:rPr>
                <w:noProof/>
                <w:webHidden/>
              </w:rPr>
              <w:t>15</w:t>
            </w:r>
            <w:r w:rsidR="000E79F2">
              <w:rPr>
                <w:noProof/>
                <w:webHidden/>
              </w:rPr>
              <w:fldChar w:fldCharType="end"/>
            </w:r>
          </w:hyperlink>
        </w:p>
        <w:p w14:paraId="0B2EA7D9" w14:textId="576F5AE3" w:rsidR="000E79F2" w:rsidRDefault="00AD71EB">
          <w:pPr>
            <w:pStyle w:val="TOC3"/>
            <w:rPr>
              <w:rFonts w:asciiTheme="minorHAnsi" w:eastAsiaTheme="minorEastAsia" w:hAnsiTheme="minorHAnsi"/>
              <w:noProof/>
              <w:lang w:val="el-GR" w:eastAsia="el-GR"/>
            </w:rPr>
          </w:pPr>
          <w:hyperlink w:anchor="_Toc91575520" w:history="1">
            <w:r w:rsidR="000E79F2" w:rsidRPr="00182205">
              <w:rPr>
                <w:rStyle w:val="Hyperlink"/>
                <w:noProof/>
              </w:rPr>
              <w:t>3.3.2. Field data and field based AGB</w:t>
            </w:r>
            <w:r w:rsidR="000E79F2">
              <w:rPr>
                <w:noProof/>
                <w:webHidden/>
              </w:rPr>
              <w:tab/>
            </w:r>
            <w:r w:rsidR="000E79F2">
              <w:rPr>
                <w:noProof/>
                <w:webHidden/>
              </w:rPr>
              <w:fldChar w:fldCharType="begin"/>
            </w:r>
            <w:r w:rsidR="000E79F2">
              <w:rPr>
                <w:noProof/>
                <w:webHidden/>
              </w:rPr>
              <w:instrText xml:space="preserve"> PAGEREF _Toc91575520 \h </w:instrText>
            </w:r>
            <w:r w:rsidR="000E79F2">
              <w:rPr>
                <w:noProof/>
                <w:webHidden/>
              </w:rPr>
            </w:r>
            <w:r w:rsidR="000E79F2">
              <w:rPr>
                <w:noProof/>
                <w:webHidden/>
              </w:rPr>
              <w:fldChar w:fldCharType="separate"/>
            </w:r>
            <w:r w:rsidR="000655D3">
              <w:rPr>
                <w:noProof/>
                <w:webHidden/>
              </w:rPr>
              <w:t>16</w:t>
            </w:r>
            <w:r w:rsidR="000E79F2">
              <w:rPr>
                <w:noProof/>
                <w:webHidden/>
              </w:rPr>
              <w:fldChar w:fldCharType="end"/>
            </w:r>
          </w:hyperlink>
        </w:p>
        <w:p w14:paraId="17E9E4E2" w14:textId="74A1D319" w:rsidR="000E79F2" w:rsidRDefault="00AD71EB">
          <w:pPr>
            <w:pStyle w:val="TOC3"/>
            <w:rPr>
              <w:rFonts w:asciiTheme="minorHAnsi" w:eastAsiaTheme="minorEastAsia" w:hAnsiTheme="minorHAnsi"/>
              <w:noProof/>
              <w:lang w:val="el-GR" w:eastAsia="el-GR"/>
            </w:rPr>
          </w:pPr>
          <w:hyperlink w:anchor="_Toc91575521" w:history="1">
            <w:r w:rsidR="000E79F2" w:rsidRPr="00182205">
              <w:rPr>
                <w:rStyle w:val="Hyperlink"/>
                <w:noProof/>
              </w:rPr>
              <w:t>3.3.3. Sentinel-2 collection and pre-processing</w:t>
            </w:r>
            <w:r w:rsidR="000E79F2">
              <w:rPr>
                <w:noProof/>
                <w:webHidden/>
              </w:rPr>
              <w:tab/>
            </w:r>
            <w:r w:rsidR="000E79F2">
              <w:rPr>
                <w:noProof/>
                <w:webHidden/>
              </w:rPr>
              <w:fldChar w:fldCharType="begin"/>
            </w:r>
            <w:r w:rsidR="000E79F2">
              <w:rPr>
                <w:noProof/>
                <w:webHidden/>
              </w:rPr>
              <w:instrText xml:space="preserve"> PAGEREF _Toc91575521 \h </w:instrText>
            </w:r>
            <w:r w:rsidR="000E79F2">
              <w:rPr>
                <w:noProof/>
                <w:webHidden/>
              </w:rPr>
            </w:r>
            <w:r w:rsidR="000E79F2">
              <w:rPr>
                <w:noProof/>
                <w:webHidden/>
              </w:rPr>
              <w:fldChar w:fldCharType="separate"/>
            </w:r>
            <w:r w:rsidR="000655D3">
              <w:rPr>
                <w:noProof/>
                <w:webHidden/>
              </w:rPr>
              <w:t>17</w:t>
            </w:r>
            <w:r w:rsidR="000E79F2">
              <w:rPr>
                <w:noProof/>
                <w:webHidden/>
              </w:rPr>
              <w:fldChar w:fldCharType="end"/>
            </w:r>
          </w:hyperlink>
        </w:p>
        <w:p w14:paraId="02FE7CA9" w14:textId="616BDD95" w:rsidR="000E79F2" w:rsidRDefault="00AD71EB">
          <w:pPr>
            <w:pStyle w:val="TOC3"/>
            <w:rPr>
              <w:rFonts w:asciiTheme="minorHAnsi" w:eastAsiaTheme="minorEastAsia" w:hAnsiTheme="minorHAnsi"/>
              <w:noProof/>
              <w:lang w:val="el-GR" w:eastAsia="el-GR"/>
            </w:rPr>
          </w:pPr>
          <w:hyperlink w:anchor="_Toc91575522" w:history="1">
            <w:r w:rsidR="000E79F2" w:rsidRPr="00182205">
              <w:rPr>
                <w:rStyle w:val="Hyperlink"/>
                <w:noProof/>
              </w:rPr>
              <w:t>3.3.4. Vegetation Indices and biophysical parameters generation</w:t>
            </w:r>
            <w:r w:rsidR="000E79F2">
              <w:rPr>
                <w:noProof/>
                <w:webHidden/>
              </w:rPr>
              <w:tab/>
            </w:r>
            <w:r w:rsidR="000E79F2">
              <w:rPr>
                <w:noProof/>
                <w:webHidden/>
              </w:rPr>
              <w:fldChar w:fldCharType="begin"/>
            </w:r>
            <w:r w:rsidR="000E79F2">
              <w:rPr>
                <w:noProof/>
                <w:webHidden/>
              </w:rPr>
              <w:instrText xml:space="preserve"> PAGEREF _Toc91575522 \h </w:instrText>
            </w:r>
            <w:r w:rsidR="000E79F2">
              <w:rPr>
                <w:noProof/>
                <w:webHidden/>
              </w:rPr>
            </w:r>
            <w:r w:rsidR="000E79F2">
              <w:rPr>
                <w:noProof/>
                <w:webHidden/>
              </w:rPr>
              <w:fldChar w:fldCharType="separate"/>
            </w:r>
            <w:r w:rsidR="000655D3">
              <w:rPr>
                <w:noProof/>
                <w:webHidden/>
              </w:rPr>
              <w:t>18</w:t>
            </w:r>
            <w:r w:rsidR="000E79F2">
              <w:rPr>
                <w:noProof/>
                <w:webHidden/>
              </w:rPr>
              <w:fldChar w:fldCharType="end"/>
            </w:r>
          </w:hyperlink>
        </w:p>
        <w:p w14:paraId="7801089A" w14:textId="36802BBA" w:rsidR="000E79F2" w:rsidRDefault="00AD71EB">
          <w:pPr>
            <w:pStyle w:val="TOC3"/>
            <w:rPr>
              <w:rFonts w:asciiTheme="minorHAnsi" w:eastAsiaTheme="minorEastAsia" w:hAnsiTheme="minorHAnsi"/>
              <w:noProof/>
              <w:lang w:val="el-GR" w:eastAsia="el-GR"/>
            </w:rPr>
          </w:pPr>
          <w:hyperlink w:anchor="_Toc91575523" w:history="1">
            <w:r w:rsidR="000E79F2" w:rsidRPr="00182205">
              <w:rPr>
                <w:rStyle w:val="Hyperlink"/>
                <w:noProof/>
              </w:rPr>
              <w:t>3.3.5. Texture measures generation</w:t>
            </w:r>
            <w:r w:rsidR="000E79F2">
              <w:rPr>
                <w:noProof/>
                <w:webHidden/>
              </w:rPr>
              <w:tab/>
            </w:r>
            <w:r w:rsidR="000E79F2">
              <w:rPr>
                <w:noProof/>
                <w:webHidden/>
              </w:rPr>
              <w:fldChar w:fldCharType="begin"/>
            </w:r>
            <w:r w:rsidR="000E79F2">
              <w:rPr>
                <w:noProof/>
                <w:webHidden/>
              </w:rPr>
              <w:instrText xml:space="preserve"> PAGEREF _Toc91575523 \h </w:instrText>
            </w:r>
            <w:r w:rsidR="000E79F2">
              <w:rPr>
                <w:noProof/>
                <w:webHidden/>
              </w:rPr>
            </w:r>
            <w:r w:rsidR="000E79F2">
              <w:rPr>
                <w:noProof/>
                <w:webHidden/>
              </w:rPr>
              <w:fldChar w:fldCharType="separate"/>
            </w:r>
            <w:r w:rsidR="000655D3">
              <w:rPr>
                <w:noProof/>
                <w:webHidden/>
              </w:rPr>
              <w:t>19</w:t>
            </w:r>
            <w:r w:rsidR="000E79F2">
              <w:rPr>
                <w:noProof/>
                <w:webHidden/>
              </w:rPr>
              <w:fldChar w:fldCharType="end"/>
            </w:r>
          </w:hyperlink>
        </w:p>
        <w:p w14:paraId="5AB3F867" w14:textId="0248EDA3" w:rsidR="000E79F2" w:rsidRDefault="00AD71EB">
          <w:pPr>
            <w:pStyle w:val="TOC2"/>
            <w:rPr>
              <w:rFonts w:asciiTheme="minorHAnsi" w:eastAsiaTheme="minorEastAsia" w:hAnsiTheme="minorHAnsi"/>
              <w:noProof/>
              <w:lang w:val="el-GR" w:eastAsia="el-GR"/>
            </w:rPr>
          </w:pPr>
          <w:hyperlink w:anchor="_Toc91575524" w:history="1">
            <w:r w:rsidR="000E79F2" w:rsidRPr="00182205">
              <w:rPr>
                <w:rStyle w:val="Hyperlink"/>
                <w:noProof/>
              </w:rPr>
              <w:t>3.3.6. Topographic data collection and pre-processing</w:t>
            </w:r>
            <w:r w:rsidR="000E79F2">
              <w:rPr>
                <w:noProof/>
                <w:webHidden/>
              </w:rPr>
              <w:tab/>
            </w:r>
            <w:r w:rsidR="000E79F2">
              <w:rPr>
                <w:noProof/>
                <w:webHidden/>
              </w:rPr>
              <w:fldChar w:fldCharType="begin"/>
            </w:r>
            <w:r w:rsidR="000E79F2">
              <w:rPr>
                <w:noProof/>
                <w:webHidden/>
              </w:rPr>
              <w:instrText xml:space="preserve"> PAGEREF _Toc91575524 \h </w:instrText>
            </w:r>
            <w:r w:rsidR="000E79F2">
              <w:rPr>
                <w:noProof/>
                <w:webHidden/>
              </w:rPr>
            </w:r>
            <w:r w:rsidR="000E79F2">
              <w:rPr>
                <w:noProof/>
                <w:webHidden/>
              </w:rPr>
              <w:fldChar w:fldCharType="separate"/>
            </w:r>
            <w:r w:rsidR="000655D3">
              <w:rPr>
                <w:noProof/>
                <w:webHidden/>
              </w:rPr>
              <w:t>21</w:t>
            </w:r>
            <w:r w:rsidR="000E79F2">
              <w:rPr>
                <w:noProof/>
                <w:webHidden/>
              </w:rPr>
              <w:fldChar w:fldCharType="end"/>
            </w:r>
          </w:hyperlink>
        </w:p>
        <w:p w14:paraId="454D6CF2" w14:textId="6E011F98" w:rsidR="000E79F2" w:rsidRDefault="00AD71EB">
          <w:pPr>
            <w:pStyle w:val="TOC3"/>
            <w:rPr>
              <w:rFonts w:asciiTheme="minorHAnsi" w:eastAsiaTheme="minorEastAsia" w:hAnsiTheme="minorHAnsi"/>
              <w:noProof/>
              <w:lang w:val="el-GR" w:eastAsia="el-GR"/>
            </w:rPr>
          </w:pPr>
          <w:hyperlink w:anchor="_Toc91575525" w:history="1">
            <w:r w:rsidR="000E79F2" w:rsidRPr="00182205">
              <w:rPr>
                <w:rStyle w:val="Hyperlink"/>
                <w:noProof/>
              </w:rPr>
              <w:t>3.3.7. Methodology workflow</w:t>
            </w:r>
            <w:r w:rsidR="000E79F2">
              <w:rPr>
                <w:noProof/>
                <w:webHidden/>
              </w:rPr>
              <w:tab/>
            </w:r>
            <w:r w:rsidR="000E79F2">
              <w:rPr>
                <w:noProof/>
                <w:webHidden/>
              </w:rPr>
              <w:fldChar w:fldCharType="begin"/>
            </w:r>
            <w:r w:rsidR="000E79F2">
              <w:rPr>
                <w:noProof/>
                <w:webHidden/>
              </w:rPr>
              <w:instrText xml:space="preserve"> PAGEREF _Toc91575525 \h </w:instrText>
            </w:r>
            <w:r w:rsidR="000E79F2">
              <w:rPr>
                <w:noProof/>
                <w:webHidden/>
              </w:rPr>
            </w:r>
            <w:r w:rsidR="000E79F2">
              <w:rPr>
                <w:noProof/>
                <w:webHidden/>
              </w:rPr>
              <w:fldChar w:fldCharType="separate"/>
            </w:r>
            <w:r w:rsidR="000655D3">
              <w:rPr>
                <w:noProof/>
                <w:webHidden/>
              </w:rPr>
              <w:t>21</w:t>
            </w:r>
            <w:r w:rsidR="000E79F2">
              <w:rPr>
                <w:noProof/>
                <w:webHidden/>
              </w:rPr>
              <w:fldChar w:fldCharType="end"/>
            </w:r>
          </w:hyperlink>
        </w:p>
        <w:p w14:paraId="46595E79" w14:textId="1ABDFF29" w:rsidR="000E79F2" w:rsidRDefault="00AD71EB">
          <w:pPr>
            <w:pStyle w:val="TOC2"/>
            <w:rPr>
              <w:rFonts w:asciiTheme="minorHAnsi" w:eastAsiaTheme="minorEastAsia" w:hAnsiTheme="minorHAnsi"/>
              <w:noProof/>
              <w:lang w:val="el-GR" w:eastAsia="el-GR"/>
            </w:rPr>
          </w:pPr>
          <w:hyperlink w:anchor="_Toc91575526" w:history="1">
            <w:r w:rsidR="000E79F2" w:rsidRPr="00182205">
              <w:rPr>
                <w:rStyle w:val="Hyperlink"/>
                <w:noProof/>
              </w:rPr>
              <w:t>3.4. Implementation &amp; Results</w:t>
            </w:r>
            <w:r w:rsidR="000E79F2">
              <w:rPr>
                <w:noProof/>
                <w:webHidden/>
              </w:rPr>
              <w:tab/>
            </w:r>
            <w:r w:rsidR="000E79F2">
              <w:rPr>
                <w:noProof/>
                <w:webHidden/>
              </w:rPr>
              <w:fldChar w:fldCharType="begin"/>
            </w:r>
            <w:r w:rsidR="000E79F2">
              <w:rPr>
                <w:noProof/>
                <w:webHidden/>
              </w:rPr>
              <w:instrText xml:space="preserve"> PAGEREF _Toc91575526 \h </w:instrText>
            </w:r>
            <w:r w:rsidR="000E79F2">
              <w:rPr>
                <w:noProof/>
                <w:webHidden/>
              </w:rPr>
            </w:r>
            <w:r w:rsidR="000E79F2">
              <w:rPr>
                <w:noProof/>
                <w:webHidden/>
              </w:rPr>
              <w:fldChar w:fldCharType="separate"/>
            </w:r>
            <w:r w:rsidR="000655D3">
              <w:rPr>
                <w:noProof/>
                <w:webHidden/>
              </w:rPr>
              <w:t>24</w:t>
            </w:r>
            <w:r w:rsidR="000E79F2">
              <w:rPr>
                <w:noProof/>
                <w:webHidden/>
              </w:rPr>
              <w:fldChar w:fldCharType="end"/>
            </w:r>
          </w:hyperlink>
        </w:p>
        <w:p w14:paraId="6D8A2AA3" w14:textId="41B8E597" w:rsidR="000E79F2" w:rsidRDefault="00AD71EB">
          <w:pPr>
            <w:pStyle w:val="TOC3"/>
            <w:rPr>
              <w:rFonts w:asciiTheme="minorHAnsi" w:eastAsiaTheme="minorEastAsia" w:hAnsiTheme="minorHAnsi"/>
              <w:noProof/>
              <w:lang w:val="el-GR" w:eastAsia="el-GR"/>
            </w:rPr>
          </w:pPr>
          <w:hyperlink w:anchor="_Toc91575527" w:history="1">
            <w:r w:rsidR="000E79F2" w:rsidRPr="00182205">
              <w:rPr>
                <w:rStyle w:val="Hyperlink"/>
                <w:noProof/>
              </w:rPr>
              <w:t>3.4.1. Relevance of Indicators</w:t>
            </w:r>
            <w:r w:rsidR="000E79F2">
              <w:rPr>
                <w:noProof/>
                <w:webHidden/>
              </w:rPr>
              <w:tab/>
            </w:r>
            <w:r w:rsidR="000E79F2">
              <w:rPr>
                <w:noProof/>
                <w:webHidden/>
              </w:rPr>
              <w:fldChar w:fldCharType="begin"/>
            </w:r>
            <w:r w:rsidR="000E79F2">
              <w:rPr>
                <w:noProof/>
                <w:webHidden/>
              </w:rPr>
              <w:instrText xml:space="preserve"> PAGEREF _Toc91575527 \h </w:instrText>
            </w:r>
            <w:r w:rsidR="000E79F2">
              <w:rPr>
                <w:noProof/>
                <w:webHidden/>
              </w:rPr>
            </w:r>
            <w:r w:rsidR="000E79F2">
              <w:rPr>
                <w:noProof/>
                <w:webHidden/>
              </w:rPr>
              <w:fldChar w:fldCharType="separate"/>
            </w:r>
            <w:r w:rsidR="000655D3">
              <w:rPr>
                <w:noProof/>
                <w:webHidden/>
              </w:rPr>
              <w:t>24</w:t>
            </w:r>
            <w:r w:rsidR="000E79F2">
              <w:rPr>
                <w:noProof/>
                <w:webHidden/>
              </w:rPr>
              <w:fldChar w:fldCharType="end"/>
            </w:r>
          </w:hyperlink>
        </w:p>
        <w:p w14:paraId="68929185" w14:textId="31387F47" w:rsidR="000E79F2" w:rsidRDefault="00AD71EB">
          <w:pPr>
            <w:pStyle w:val="TOC3"/>
            <w:rPr>
              <w:rFonts w:asciiTheme="minorHAnsi" w:eastAsiaTheme="minorEastAsia" w:hAnsiTheme="minorHAnsi"/>
              <w:noProof/>
              <w:lang w:val="el-GR" w:eastAsia="el-GR"/>
            </w:rPr>
          </w:pPr>
          <w:hyperlink w:anchor="_Toc91575528" w:history="1">
            <w:r w:rsidR="000E79F2" w:rsidRPr="00182205">
              <w:rPr>
                <w:rStyle w:val="Hyperlink"/>
                <w:noProof/>
              </w:rPr>
              <w:t>3.4.2. Mapping of AGB, CCS and CSC groups</w:t>
            </w:r>
            <w:r w:rsidR="000E79F2">
              <w:rPr>
                <w:noProof/>
                <w:webHidden/>
              </w:rPr>
              <w:tab/>
            </w:r>
            <w:r w:rsidR="000E79F2">
              <w:rPr>
                <w:noProof/>
                <w:webHidden/>
              </w:rPr>
              <w:fldChar w:fldCharType="begin"/>
            </w:r>
            <w:r w:rsidR="000E79F2">
              <w:rPr>
                <w:noProof/>
                <w:webHidden/>
              </w:rPr>
              <w:instrText xml:space="preserve"> PAGEREF _Toc91575528 \h </w:instrText>
            </w:r>
            <w:r w:rsidR="000E79F2">
              <w:rPr>
                <w:noProof/>
                <w:webHidden/>
              </w:rPr>
            </w:r>
            <w:r w:rsidR="000E79F2">
              <w:rPr>
                <w:noProof/>
                <w:webHidden/>
              </w:rPr>
              <w:fldChar w:fldCharType="separate"/>
            </w:r>
            <w:r w:rsidR="000655D3">
              <w:rPr>
                <w:noProof/>
                <w:webHidden/>
              </w:rPr>
              <w:t>28</w:t>
            </w:r>
            <w:r w:rsidR="000E79F2">
              <w:rPr>
                <w:noProof/>
                <w:webHidden/>
              </w:rPr>
              <w:fldChar w:fldCharType="end"/>
            </w:r>
          </w:hyperlink>
        </w:p>
        <w:p w14:paraId="59E58125" w14:textId="090FD2E9" w:rsidR="000E79F2" w:rsidRDefault="00AD71EB">
          <w:pPr>
            <w:pStyle w:val="TOC2"/>
            <w:rPr>
              <w:rFonts w:asciiTheme="minorHAnsi" w:eastAsiaTheme="minorEastAsia" w:hAnsiTheme="minorHAnsi"/>
              <w:noProof/>
              <w:lang w:val="el-GR" w:eastAsia="el-GR"/>
            </w:rPr>
          </w:pPr>
          <w:hyperlink w:anchor="_Toc91575529" w:history="1">
            <w:r w:rsidR="000E79F2" w:rsidRPr="00182205">
              <w:rPr>
                <w:rStyle w:val="Hyperlink"/>
                <w:noProof/>
              </w:rPr>
              <w:t>3.5. Discussion &amp; Conclusions</w:t>
            </w:r>
            <w:r w:rsidR="000E79F2">
              <w:rPr>
                <w:noProof/>
                <w:webHidden/>
              </w:rPr>
              <w:tab/>
            </w:r>
            <w:r w:rsidR="000E79F2">
              <w:rPr>
                <w:noProof/>
                <w:webHidden/>
              </w:rPr>
              <w:fldChar w:fldCharType="begin"/>
            </w:r>
            <w:r w:rsidR="000E79F2">
              <w:rPr>
                <w:noProof/>
                <w:webHidden/>
              </w:rPr>
              <w:instrText xml:space="preserve"> PAGEREF _Toc91575529 \h </w:instrText>
            </w:r>
            <w:r w:rsidR="000E79F2">
              <w:rPr>
                <w:noProof/>
                <w:webHidden/>
              </w:rPr>
            </w:r>
            <w:r w:rsidR="000E79F2">
              <w:rPr>
                <w:noProof/>
                <w:webHidden/>
              </w:rPr>
              <w:fldChar w:fldCharType="separate"/>
            </w:r>
            <w:r w:rsidR="000655D3">
              <w:rPr>
                <w:noProof/>
                <w:webHidden/>
              </w:rPr>
              <w:t>33</w:t>
            </w:r>
            <w:r w:rsidR="000E79F2">
              <w:rPr>
                <w:noProof/>
                <w:webHidden/>
              </w:rPr>
              <w:fldChar w:fldCharType="end"/>
            </w:r>
          </w:hyperlink>
        </w:p>
        <w:p w14:paraId="54983C83" w14:textId="05B80567" w:rsidR="000E79F2" w:rsidRDefault="00AD71EB">
          <w:pPr>
            <w:pStyle w:val="TOC1"/>
            <w:rPr>
              <w:rFonts w:asciiTheme="minorHAnsi" w:eastAsiaTheme="minorEastAsia" w:hAnsiTheme="minorHAnsi"/>
              <w:noProof/>
              <w:lang w:val="el-GR" w:eastAsia="el-GR"/>
            </w:rPr>
          </w:pPr>
          <w:hyperlink w:anchor="_Toc91575530" w:history="1">
            <w:r w:rsidR="000E79F2" w:rsidRPr="00182205">
              <w:rPr>
                <w:rStyle w:val="Hyperlink"/>
                <w:noProof/>
              </w:rPr>
              <w:t>4.</w:t>
            </w:r>
            <w:r w:rsidR="000E79F2">
              <w:rPr>
                <w:rFonts w:asciiTheme="minorHAnsi" w:eastAsiaTheme="minorEastAsia" w:hAnsiTheme="minorHAnsi"/>
                <w:noProof/>
                <w:lang w:val="el-GR" w:eastAsia="el-GR"/>
              </w:rPr>
              <w:tab/>
            </w:r>
            <w:r w:rsidR="000E79F2" w:rsidRPr="00182205">
              <w:rPr>
                <w:rStyle w:val="Hyperlink"/>
                <w:noProof/>
              </w:rPr>
              <w:t>Carbon Sequestration Capacity Groups Mapping at European level</w:t>
            </w:r>
            <w:r w:rsidR="000E79F2">
              <w:rPr>
                <w:noProof/>
                <w:webHidden/>
              </w:rPr>
              <w:tab/>
            </w:r>
            <w:r w:rsidR="000E79F2">
              <w:rPr>
                <w:noProof/>
                <w:webHidden/>
              </w:rPr>
              <w:fldChar w:fldCharType="begin"/>
            </w:r>
            <w:r w:rsidR="000E79F2">
              <w:rPr>
                <w:noProof/>
                <w:webHidden/>
              </w:rPr>
              <w:instrText xml:space="preserve"> PAGEREF _Toc91575530 \h </w:instrText>
            </w:r>
            <w:r w:rsidR="000E79F2">
              <w:rPr>
                <w:noProof/>
                <w:webHidden/>
              </w:rPr>
            </w:r>
            <w:r w:rsidR="000E79F2">
              <w:rPr>
                <w:noProof/>
                <w:webHidden/>
              </w:rPr>
              <w:fldChar w:fldCharType="separate"/>
            </w:r>
            <w:r w:rsidR="000655D3">
              <w:rPr>
                <w:noProof/>
                <w:webHidden/>
              </w:rPr>
              <w:t>34</w:t>
            </w:r>
            <w:r w:rsidR="000E79F2">
              <w:rPr>
                <w:noProof/>
                <w:webHidden/>
              </w:rPr>
              <w:fldChar w:fldCharType="end"/>
            </w:r>
          </w:hyperlink>
        </w:p>
        <w:p w14:paraId="6F563FC9" w14:textId="37B15211" w:rsidR="000E79F2" w:rsidRDefault="00AD71EB">
          <w:pPr>
            <w:pStyle w:val="TOC2"/>
            <w:rPr>
              <w:rFonts w:asciiTheme="minorHAnsi" w:eastAsiaTheme="minorEastAsia" w:hAnsiTheme="minorHAnsi"/>
              <w:noProof/>
              <w:lang w:val="el-GR" w:eastAsia="el-GR"/>
            </w:rPr>
          </w:pPr>
          <w:hyperlink w:anchor="_Toc91575531" w:history="1">
            <w:r w:rsidR="000E79F2" w:rsidRPr="00182205">
              <w:rPr>
                <w:rStyle w:val="Hyperlink"/>
                <w:noProof/>
              </w:rPr>
              <w:t>4.1. Methodology and Approach</w:t>
            </w:r>
            <w:r w:rsidR="000E79F2">
              <w:rPr>
                <w:noProof/>
                <w:webHidden/>
              </w:rPr>
              <w:tab/>
            </w:r>
            <w:r w:rsidR="000E79F2">
              <w:rPr>
                <w:noProof/>
                <w:webHidden/>
              </w:rPr>
              <w:fldChar w:fldCharType="begin"/>
            </w:r>
            <w:r w:rsidR="000E79F2">
              <w:rPr>
                <w:noProof/>
                <w:webHidden/>
              </w:rPr>
              <w:instrText xml:space="preserve"> PAGEREF _Toc91575531 \h </w:instrText>
            </w:r>
            <w:r w:rsidR="000E79F2">
              <w:rPr>
                <w:noProof/>
                <w:webHidden/>
              </w:rPr>
            </w:r>
            <w:r w:rsidR="000E79F2">
              <w:rPr>
                <w:noProof/>
                <w:webHidden/>
              </w:rPr>
              <w:fldChar w:fldCharType="separate"/>
            </w:r>
            <w:r w:rsidR="000655D3">
              <w:rPr>
                <w:noProof/>
                <w:webHidden/>
              </w:rPr>
              <w:t>34</w:t>
            </w:r>
            <w:r w:rsidR="000E79F2">
              <w:rPr>
                <w:noProof/>
                <w:webHidden/>
              </w:rPr>
              <w:fldChar w:fldCharType="end"/>
            </w:r>
          </w:hyperlink>
        </w:p>
        <w:p w14:paraId="5AD9E5D3" w14:textId="0BDA4C20" w:rsidR="000E79F2" w:rsidRDefault="00AD71EB">
          <w:pPr>
            <w:pStyle w:val="TOC2"/>
            <w:rPr>
              <w:rFonts w:asciiTheme="minorHAnsi" w:eastAsiaTheme="minorEastAsia" w:hAnsiTheme="minorHAnsi"/>
              <w:noProof/>
              <w:lang w:val="el-GR" w:eastAsia="el-GR"/>
            </w:rPr>
          </w:pPr>
          <w:hyperlink w:anchor="_Toc91575532" w:history="1">
            <w:r w:rsidR="000E79F2" w:rsidRPr="00182205">
              <w:rPr>
                <w:rStyle w:val="Hyperlink"/>
                <w:noProof/>
              </w:rPr>
              <w:t>4.2. Google Earth Engine implementation</w:t>
            </w:r>
            <w:r w:rsidR="000E79F2">
              <w:rPr>
                <w:noProof/>
                <w:webHidden/>
              </w:rPr>
              <w:tab/>
            </w:r>
            <w:r w:rsidR="000E79F2">
              <w:rPr>
                <w:noProof/>
                <w:webHidden/>
              </w:rPr>
              <w:fldChar w:fldCharType="begin"/>
            </w:r>
            <w:r w:rsidR="000E79F2">
              <w:rPr>
                <w:noProof/>
                <w:webHidden/>
              </w:rPr>
              <w:instrText xml:space="preserve"> PAGEREF _Toc91575532 \h </w:instrText>
            </w:r>
            <w:r w:rsidR="000E79F2">
              <w:rPr>
                <w:noProof/>
                <w:webHidden/>
              </w:rPr>
            </w:r>
            <w:r w:rsidR="000E79F2">
              <w:rPr>
                <w:noProof/>
                <w:webHidden/>
              </w:rPr>
              <w:fldChar w:fldCharType="separate"/>
            </w:r>
            <w:r w:rsidR="000655D3">
              <w:rPr>
                <w:noProof/>
                <w:webHidden/>
              </w:rPr>
              <w:t>34</w:t>
            </w:r>
            <w:r w:rsidR="000E79F2">
              <w:rPr>
                <w:noProof/>
                <w:webHidden/>
              </w:rPr>
              <w:fldChar w:fldCharType="end"/>
            </w:r>
          </w:hyperlink>
        </w:p>
        <w:p w14:paraId="7452A764" w14:textId="38CFA333" w:rsidR="000E79F2" w:rsidRDefault="00AD71EB">
          <w:pPr>
            <w:pStyle w:val="TOC2"/>
            <w:rPr>
              <w:rFonts w:asciiTheme="minorHAnsi" w:eastAsiaTheme="minorEastAsia" w:hAnsiTheme="minorHAnsi"/>
              <w:noProof/>
              <w:lang w:val="el-GR" w:eastAsia="el-GR"/>
            </w:rPr>
          </w:pPr>
          <w:hyperlink w:anchor="_Toc91575533" w:history="1">
            <w:r w:rsidR="000E79F2" w:rsidRPr="00182205">
              <w:rPr>
                <w:rStyle w:val="Hyperlink"/>
                <w:noProof/>
              </w:rPr>
              <w:t>4.3. Dataset selection</w:t>
            </w:r>
            <w:r w:rsidR="000E79F2">
              <w:rPr>
                <w:noProof/>
                <w:webHidden/>
              </w:rPr>
              <w:tab/>
            </w:r>
            <w:r w:rsidR="000E79F2">
              <w:rPr>
                <w:noProof/>
                <w:webHidden/>
              </w:rPr>
              <w:fldChar w:fldCharType="begin"/>
            </w:r>
            <w:r w:rsidR="000E79F2">
              <w:rPr>
                <w:noProof/>
                <w:webHidden/>
              </w:rPr>
              <w:instrText xml:space="preserve"> PAGEREF _Toc91575533 \h </w:instrText>
            </w:r>
            <w:r w:rsidR="000E79F2">
              <w:rPr>
                <w:noProof/>
                <w:webHidden/>
              </w:rPr>
            </w:r>
            <w:r w:rsidR="000E79F2">
              <w:rPr>
                <w:noProof/>
                <w:webHidden/>
              </w:rPr>
              <w:fldChar w:fldCharType="separate"/>
            </w:r>
            <w:r w:rsidR="000655D3">
              <w:rPr>
                <w:noProof/>
                <w:webHidden/>
              </w:rPr>
              <w:t>35</w:t>
            </w:r>
            <w:r w:rsidR="000E79F2">
              <w:rPr>
                <w:noProof/>
                <w:webHidden/>
              </w:rPr>
              <w:fldChar w:fldCharType="end"/>
            </w:r>
          </w:hyperlink>
        </w:p>
        <w:p w14:paraId="21EC9C12" w14:textId="7F87A9DA" w:rsidR="000E79F2" w:rsidRDefault="00AD71EB">
          <w:pPr>
            <w:pStyle w:val="TOC3"/>
            <w:rPr>
              <w:rFonts w:asciiTheme="minorHAnsi" w:eastAsiaTheme="minorEastAsia" w:hAnsiTheme="minorHAnsi"/>
              <w:noProof/>
              <w:lang w:val="el-GR" w:eastAsia="el-GR"/>
            </w:rPr>
          </w:pPr>
          <w:hyperlink w:anchor="_Toc91575534" w:history="1">
            <w:r w:rsidR="000E79F2" w:rsidRPr="00182205">
              <w:rPr>
                <w:rStyle w:val="Hyperlink"/>
                <w:noProof/>
              </w:rPr>
              <w:t>4.3.1 Tree species in Europe according to European Forest Institute (EFI)</w:t>
            </w:r>
            <w:r w:rsidR="000E79F2">
              <w:rPr>
                <w:noProof/>
                <w:webHidden/>
              </w:rPr>
              <w:tab/>
            </w:r>
            <w:r w:rsidR="000E79F2">
              <w:rPr>
                <w:noProof/>
                <w:webHidden/>
              </w:rPr>
              <w:fldChar w:fldCharType="begin"/>
            </w:r>
            <w:r w:rsidR="000E79F2">
              <w:rPr>
                <w:noProof/>
                <w:webHidden/>
              </w:rPr>
              <w:instrText xml:space="preserve"> PAGEREF _Toc91575534 \h </w:instrText>
            </w:r>
            <w:r w:rsidR="000E79F2">
              <w:rPr>
                <w:noProof/>
                <w:webHidden/>
              </w:rPr>
            </w:r>
            <w:r w:rsidR="000E79F2">
              <w:rPr>
                <w:noProof/>
                <w:webHidden/>
              </w:rPr>
              <w:fldChar w:fldCharType="separate"/>
            </w:r>
            <w:r w:rsidR="000655D3">
              <w:rPr>
                <w:noProof/>
                <w:webHidden/>
              </w:rPr>
              <w:t>35</w:t>
            </w:r>
            <w:r w:rsidR="000E79F2">
              <w:rPr>
                <w:noProof/>
                <w:webHidden/>
              </w:rPr>
              <w:fldChar w:fldCharType="end"/>
            </w:r>
          </w:hyperlink>
        </w:p>
        <w:p w14:paraId="0D2C1205" w14:textId="217DB4E4" w:rsidR="000E79F2" w:rsidRDefault="00AD71EB">
          <w:pPr>
            <w:pStyle w:val="TOC3"/>
            <w:rPr>
              <w:rFonts w:asciiTheme="minorHAnsi" w:eastAsiaTheme="minorEastAsia" w:hAnsiTheme="minorHAnsi"/>
              <w:noProof/>
              <w:lang w:val="el-GR" w:eastAsia="el-GR"/>
            </w:rPr>
          </w:pPr>
          <w:hyperlink w:anchor="_Toc91575535" w:history="1">
            <w:r w:rsidR="000E79F2" w:rsidRPr="00182205">
              <w:rPr>
                <w:rStyle w:val="Hyperlink"/>
                <w:noProof/>
              </w:rPr>
              <w:t>4.3.2. Global Aboveground and Belowground Biomass Carbon Density Maps</w:t>
            </w:r>
            <w:r w:rsidR="000E79F2">
              <w:rPr>
                <w:noProof/>
                <w:webHidden/>
              </w:rPr>
              <w:tab/>
            </w:r>
            <w:r w:rsidR="000E79F2">
              <w:rPr>
                <w:noProof/>
                <w:webHidden/>
              </w:rPr>
              <w:fldChar w:fldCharType="begin"/>
            </w:r>
            <w:r w:rsidR="000E79F2">
              <w:rPr>
                <w:noProof/>
                <w:webHidden/>
              </w:rPr>
              <w:instrText xml:space="preserve"> PAGEREF _Toc91575535 \h </w:instrText>
            </w:r>
            <w:r w:rsidR="000E79F2">
              <w:rPr>
                <w:noProof/>
                <w:webHidden/>
              </w:rPr>
            </w:r>
            <w:r w:rsidR="000E79F2">
              <w:rPr>
                <w:noProof/>
                <w:webHidden/>
              </w:rPr>
              <w:fldChar w:fldCharType="separate"/>
            </w:r>
            <w:r w:rsidR="000655D3">
              <w:rPr>
                <w:noProof/>
                <w:webHidden/>
              </w:rPr>
              <w:t>37</w:t>
            </w:r>
            <w:r w:rsidR="000E79F2">
              <w:rPr>
                <w:noProof/>
                <w:webHidden/>
              </w:rPr>
              <w:fldChar w:fldCharType="end"/>
            </w:r>
          </w:hyperlink>
        </w:p>
        <w:p w14:paraId="6EBBF51F" w14:textId="58D137AB" w:rsidR="000E79F2" w:rsidRDefault="00AD71EB">
          <w:pPr>
            <w:pStyle w:val="TOC3"/>
            <w:rPr>
              <w:rFonts w:asciiTheme="minorHAnsi" w:eastAsiaTheme="minorEastAsia" w:hAnsiTheme="minorHAnsi"/>
              <w:noProof/>
              <w:lang w:val="el-GR" w:eastAsia="el-GR"/>
            </w:rPr>
          </w:pPr>
          <w:hyperlink w:anchor="_Toc91575536" w:history="1">
            <w:r w:rsidR="000E79F2" w:rsidRPr="00182205">
              <w:rPr>
                <w:rStyle w:val="Hyperlink"/>
                <w:noProof/>
              </w:rPr>
              <w:t>4.3.3. S2GLC</w:t>
            </w:r>
            <w:r w:rsidR="000E79F2">
              <w:rPr>
                <w:noProof/>
                <w:webHidden/>
              </w:rPr>
              <w:tab/>
            </w:r>
            <w:r w:rsidR="000E79F2">
              <w:rPr>
                <w:noProof/>
                <w:webHidden/>
              </w:rPr>
              <w:fldChar w:fldCharType="begin"/>
            </w:r>
            <w:r w:rsidR="000E79F2">
              <w:rPr>
                <w:noProof/>
                <w:webHidden/>
              </w:rPr>
              <w:instrText xml:space="preserve"> PAGEREF _Toc91575536 \h </w:instrText>
            </w:r>
            <w:r w:rsidR="000E79F2">
              <w:rPr>
                <w:noProof/>
                <w:webHidden/>
              </w:rPr>
            </w:r>
            <w:r w:rsidR="000E79F2">
              <w:rPr>
                <w:noProof/>
                <w:webHidden/>
              </w:rPr>
              <w:fldChar w:fldCharType="separate"/>
            </w:r>
            <w:r w:rsidR="000655D3">
              <w:rPr>
                <w:noProof/>
                <w:webHidden/>
              </w:rPr>
              <w:t>39</w:t>
            </w:r>
            <w:r w:rsidR="000E79F2">
              <w:rPr>
                <w:noProof/>
                <w:webHidden/>
              </w:rPr>
              <w:fldChar w:fldCharType="end"/>
            </w:r>
          </w:hyperlink>
        </w:p>
        <w:p w14:paraId="3BB7A604" w14:textId="67E15FF8" w:rsidR="000E79F2" w:rsidRDefault="00AD71EB">
          <w:pPr>
            <w:pStyle w:val="TOC2"/>
            <w:rPr>
              <w:rFonts w:asciiTheme="minorHAnsi" w:eastAsiaTheme="minorEastAsia" w:hAnsiTheme="minorHAnsi"/>
              <w:noProof/>
              <w:lang w:val="el-GR" w:eastAsia="el-GR"/>
            </w:rPr>
          </w:pPr>
          <w:hyperlink w:anchor="_Toc91575537" w:history="1">
            <w:r w:rsidR="000E79F2" w:rsidRPr="00182205">
              <w:rPr>
                <w:rStyle w:val="Hyperlink"/>
                <w:noProof/>
              </w:rPr>
              <w:t>4.4. Dataset pre-processing</w:t>
            </w:r>
            <w:r w:rsidR="000E79F2">
              <w:rPr>
                <w:noProof/>
                <w:webHidden/>
              </w:rPr>
              <w:tab/>
            </w:r>
            <w:r w:rsidR="000E79F2">
              <w:rPr>
                <w:noProof/>
                <w:webHidden/>
              </w:rPr>
              <w:fldChar w:fldCharType="begin"/>
            </w:r>
            <w:r w:rsidR="000E79F2">
              <w:rPr>
                <w:noProof/>
                <w:webHidden/>
              </w:rPr>
              <w:instrText xml:space="preserve"> PAGEREF _Toc91575537 \h </w:instrText>
            </w:r>
            <w:r w:rsidR="000E79F2">
              <w:rPr>
                <w:noProof/>
                <w:webHidden/>
              </w:rPr>
            </w:r>
            <w:r w:rsidR="000E79F2">
              <w:rPr>
                <w:noProof/>
                <w:webHidden/>
              </w:rPr>
              <w:fldChar w:fldCharType="separate"/>
            </w:r>
            <w:r w:rsidR="000655D3">
              <w:rPr>
                <w:noProof/>
                <w:webHidden/>
              </w:rPr>
              <w:t>40</w:t>
            </w:r>
            <w:r w:rsidR="000E79F2">
              <w:rPr>
                <w:noProof/>
                <w:webHidden/>
              </w:rPr>
              <w:fldChar w:fldCharType="end"/>
            </w:r>
          </w:hyperlink>
        </w:p>
        <w:p w14:paraId="0F68B5C2" w14:textId="411D1FDF" w:rsidR="000E79F2" w:rsidRDefault="00AD71EB">
          <w:pPr>
            <w:pStyle w:val="TOC2"/>
            <w:rPr>
              <w:rFonts w:asciiTheme="minorHAnsi" w:eastAsiaTheme="minorEastAsia" w:hAnsiTheme="minorHAnsi"/>
              <w:noProof/>
              <w:lang w:val="el-GR" w:eastAsia="el-GR"/>
            </w:rPr>
          </w:pPr>
          <w:hyperlink w:anchor="_Toc91575538" w:history="1">
            <w:r w:rsidR="000E79F2" w:rsidRPr="00182205">
              <w:rPr>
                <w:rStyle w:val="Hyperlink"/>
                <w:noProof/>
              </w:rPr>
              <w:t>4.5. Classification into CSC groups</w:t>
            </w:r>
            <w:r w:rsidR="000E79F2">
              <w:rPr>
                <w:noProof/>
                <w:webHidden/>
              </w:rPr>
              <w:tab/>
            </w:r>
            <w:r w:rsidR="000E79F2">
              <w:rPr>
                <w:noProof/>
                <w:webHidden/>
              </w:rPr>
              <w:fldChar w:fldCharType="begin"/>
            </w:r>
            <w:r w:rsidR="000E79F2">
              <w:rPr>
                <w:noProof/>
                <w:webHidden/>
              </w:rPr>
              <w:instrText xml:space="preserve"> PAGEREF _Toc91575538 \h </w:instrText>
            </w:r>
            <w:r w:rsidR="000E79F2">
              <w:rPr>
                <w:noProof/>
                <w:webHidden/>
              </w:rPr>
            </w:r>
            <w:r w:rsidR="000E79F2">
              <w:rPr>
                <w:noProof/>
                <w:webHidden/>
              </w:rPr>
              <w:fldChar w:fldCharType="separate"/>
            </w:r>
            <w:r w:rsidR="000655D3">
              <w:rPr>
                <w:noProof/>
                <w:webHidden/>
              </w:rPr>
              <w:t>46</w:t>
            </w:r>
            <w:r w:rsidR="000E79F2">
              <w:rPr>
                <w:noProof/>
                <w:webHidden/>
              </w:rPr>
              <w:fldChar w:fldCharType="end"/>
            </w:r>
          </w:hyperlink>
        </w:p>
        <w:p w14:paraId="3F117FD6" w14:textId="17846283" w:rsidR="000E79F2" w:rsidRDefault="00AD71EB">
          <w:pPr>
            <w:pStyle w:val="TOC2"/>
            <w:rPr>
              <w:rFonts w:asciiTheme="minorHAnsi" w:eastAsiaTheme="minorEastAsia" w:hAnsiTheme="minorHAnsi"/>
              <w:noProof/>
              <w:lang w:val="el-GR" w:eastAsia="el-GR"/>
            </w:rPr>
          </w:pPr>
          <w:hyperlink w:anchor="_Toc91575539" w:history="1">
            <w:r w:rsidR="000E79F2" w:rsidRPr="00182205">
              <w:rPr>
                <w:rStyle w:val="Hyperlink"/>
                <w:noProof/>
              </w:rPr>
              <w:t>4.6. Google Earth Engine Tool</w:t>
            </w:r>
            <w:r w:rsidR="000E79F2">
              <w:rPr>
                <w:noProof/>
                <w:webHidden/>
              </w:rPr>
              <w:tab/>
            </w:r>
            <w:r w:rsidR="000E79F2">
              <w:rPr>
                <w:noProof/>
                <w:webHidden/>
              </w:rPr>
              <w:fldChar w:fldCharType="begin"/>
            </w:r>
            <w:r w:rsidR="000E79F2">
              <w:rPr>
                <w:noProof/>
                <w:webHidden/>
              </w:rPr>
              <w:instrText xml:space="preserve"> PAGEREF _Toc91575539 \h </w:instrText>
            </w:r>
            <w:r w:rsidR="000E79F2">
              <w:rPr>
                <w:noProof/>
                <w:webHidden/>
              </w:rPr>
            </w:r>
            <w:r w:rsidR="000E79F2">
              <w:rPr>
                <w:noProof/>
                <w:webHidden/>
              </w:rPr>
              <w:fldChar w:fldCharType="separate"/>
            </w:r>
            <w:r w:rsidR="000655D3">
              <w:rPr>
                <w:noProof/>
                <w:webHidden/>
              </w:rPr>
              <w:t>49</w:t>
            </w:r>
            <w:r w:rsidR="000E79F2">
              <w:rPr>
                <w:noProof/>
                <w:webHidden/>
              </w:rPr>
              <w:fldChar w:fldCharType="end"/>
            </w:r>
          </w:hyperlink>
        </w:p>
        <w:p w14:paraId="1D61FC9A" w14:textId="1463A917" w:rsidR="000E79F2" w:rsidRDefault="00AD71EB">
          <w:pPr>
            <w:pStyle w:val="TOC2"/>
            <w:rPr>
              <w:rFonts w:asciiTheme="minorHAnsi" w:eastAsiaTheme="minorEastAsia" w:hAnsiTheme="minorHAnsi"/>
              <w:noProof/>
              <w:lang w:val="el-GR" w:eastAsia="el-GR"/>
            </w:rPr>
          </w:pPr>
          <w:hyperlink w:anchor="_Toc91575540" w:history="1">
            <w:r w:rsidR="000E79F2" w:rsidRPr="00182205">
              <w:rPr>
                <w:rStyle w:val="Hyperlink"/>
                <w:noProof/>
              </w:rPr>
              <w:t>4.7. Discussion &amp; Conclusions</w:t>
            </w:r>
            <w:r w:rsidR="000E79F2">
              <w:rPr>
                <w:noProof/>
                <w:webHidden/>
              </w:rPr>
              <w:tab/>
            </w:r>
            <w:r w:rsidR="000E79F2">
              <w:rPr>
                <w:noProof/>
                <w:webHidden/>
              </w:rPr>
              <w:fldChar w:fldCharType="begin"/>
            </w:r>
            <w:r w:rsidR="000E79F2">
              <w:rPr>
                <w:noProof/>
                <w:webHidden/>
              </w:rPr>
              <w:instrText xml:space="preserve"> PAGEREF _Toc91575540 \h </w:instrText>
            </w:r>
            <w:r w:rsidR="000E79F2">
              <w:rPr>
                <w:noProof/>
                <w:webHidden/>
              </w:rPr>
            </w:r>
            <w:r w:rsidR="000E79F2">
              <w:rPr>
                <w:noProof/>
                <w:webHidden/>
              </w:rPr>
              <w:fldChar w:fldCharType="separate"/>
            </w:r>
            <w:r w:rsidR="000655D3">
              <w:rPr>
                <w:noProof/>
                <w:webHidden/>
              </w:rPr>
              <w:t>50</w:t>
            </w:r>
            <w:r w:rsidR="000E79F2">
              <w:rPr>
                <w:noProof/>
                <w:webHidden/>
              </w:rPr>
              <w:fldChar w:fldCharType="end"/>
            </w:r>
          </w:hyperlink>
        </w:p>
        <w:p w14:paraId="53245AD7" w14:textId="05ABFB1A" w:rsidR="000E79F2" w:rsidRDefault="00AD71EB">
          <w:pPr>
            <w:pStyle w:val="TOC1"/>
            <w:rPr>
              <w:rFonts w:asciiTheme="minorHAnsi" w:eastAsiaTheme="minorEastAsia" w:hAnsiTheme="minorHAnsi"/>
              <w:noProof/>
              <w:lang w:val="el-GR" w:eastAsia="el-GR"/>
            </w:rPr>
          </w:pPr>
          <w:hyperlink w:anchor="_Toc91575541" w:history="1">
            <w:r w:rsidR="000E79F2" w:rsidRPr="00182205">
              <w:rPr>
                <w:rStyle w:val="Hyperlink"/>
                <w:noProof/>
                <w:lang w:val="en-GB"/>
              </w:rPr>
              <w:t>References</w:t>
            </w:r>
            <w:r w:rsidR="000E79F2">
              <w:rPr>
                <w:noProof/>
                <w:webHidden/>
              </w:rPr>
              <w:tab/>
            </w:r>
            <w:r w:rsidR="000E79F2">
              <w:rPr>
                <w:noProof/>
                <w:webHidden/>
              </w:rPr>
              <w:fldChar w:fldCharType="begin"/>
            </w:r>
            <w:r w:rsidR="000E79F2">
              <w:rPr>
                <w:noProof/>
                <w:webHidden/>
              </w:rPr>
              <w:instrText xml:space="preserve"> PAGEREF _Toc91575541 \h </w:instrText>
            </w:r>
            <w:r w:rsidR="000E79F2">
              <w:rPr>
                <w:noProof/>
                <w:webHidden/>
              </w:rPr>
            </w:r>
            <w:r w:rsidR="000E79F2">
              <w:rPr>
                <w:noProof/>
                <w:webHidden/>
              </w:rPr>
              <w:fldChar w:fldCharType="separate"/>
            </w:r>
            <w:r w:rsidR="000655D3">
              <w:rPr>
                <w:noProof/>
                <w:webHidden/>
              </w:rPr>
              <w:t>52</w:t>
            </w:r>
            <w:r w:rsidR="000E79F2">
              <w:rPr>
                <w:noProof/>
                <w:webHidden/>
              </w:rPr>
              <w:fldChar w:fldCharType="end"/>
            </w:r>
          </w:hyperlink>
        </w:p>
        <w:p w14:paraId="34BDBB1B" w14:textId="18D67222" w:rsidR="000E79F2" w:rsidRDefault="00AD71EB">
          <w:pPr>
            <w:pStyle w:val="TOC1"/>
            <w:rPr>
              <w:rFonts w:asciiTheme="minorHAnsi" w:eastAsiaTheme="minorEastAsia" w:hAnsiTheme="minorHAnsi"/>
              <w:noProof/>
              <w:lang w:val="el-GR" w:eastAsia="el-GR"/>
            </w:rPr>
          </w:pPr>
          <w:hyperlink w:anchor="_Toc91575542" w:history="1">
            <w:r w:rsidR="000E79F2" w:rsidRPr="00182205">
              <w:rPr>
                <w:rStyle w:val="Hyperlink"/>
                <w:noProof/>
                <w:lang w:val="en-GB"/>
              </w:rPr>
              <w:t>Annex I: Table of figures</w:t>
            </w:r>
            <w:r w:rsidR="000E79F2">
              <w:rPr>
                <w:noProof/>
                <w:webHidden/>
              </w:rPr>
              <w:tab/>
            </w:r>
            <w:r w:rsidR="000E79F2">
              <w:rPr>
                <w:noProof/>
                <w:webHidden/>
              </w:rPr>
              <w:fldChar w:fldCharType="begin"/>
            </w:r>
            <w:r w:rsidR="000E79F2">
              <w:rPr>
                <w:noProof/>
                <w:webHidden/>
              </w:rPr>
              <w:instrText xml:space="preserve"> PAGEREF _Toc91575542 \h </w:instrText>
            </w:r>
            <w:r w:rsidR="000E79F2">
              <w:rPr>
                <w:noProof/>
                <w:webHidden/>
              </w:rPr>
            </w:r>
            <w:r w:rsidR="000E79F2">
              <w:rPr>
                <w:noProof/>
                <w:webHidden/>
              </w:rPr>
              <w:fldChar w:fldCharType="separate"/>
            </w:r>
            <w:r w:rsidR="000655D3">
              <w:rPr>
                <w:noProof/>
                <w:webHidden/>
              </w:rPr>
              <w:t>56</w:t>
            </w:r>
            <w:r w:rsidR="000E79F2">
              <w:rPr>
                <w:noProof/>
                <w:webHidden/>
              </w:rPr>
              <w:fldChar w:fldCharType="end"/>
            </w:r>
          </w:hyperlink>
        </w:p>
        <w:p w14:paraId="6DBFBBD8" w14:textId="75F5902F" w:rsidR="000E79F2" w:rsidRDefault="00AD71EB">
          <w:pPr>
            <w:pStyle w:val="TOC1"/>
            <w:rPr>
              <w:rFonts w:asciiTheme="minorHAnsi" w:eastAsiaTheme="minorEastAsia" w:hAnsiTheme="minorHAnsi"/>
              <w:noProof/>
              <w:lang w:val="el-GR" w:eastAsia="el-GR"/>
            </w:rPr>
          </w:pPr>
          <w:hyperlink w:anchor="_Toc91575543" w:history="1">
            <w:r w:rsidR="000E79F2" w:rsidRPr="00182205">
              <w:rPr>
                <w:rStyle w:val="Hyperlink"/>
                <w:noProof/>
              </w:rPr>
              <w:t>Annex II: List of Tables</w:t>
            </w:r>
            <w:r w:rsidR="000E79F2">
              <w:rPr>
                <w:noProof/>
                <w:webHidden/>
              </w:rPr>
              <w:tab/>
            </w:r>
            <w:r w:rsidR="000E79F2">
              <w:rPr>
                <w:noProof/>
                <w:webHidden/>
              </w:rPr>
              <w:fldChar w:fldCharType="begin"/>
            </w:r>
            <w:r w:rsidR="000E79F2">
              <w:rPr>
                <w:noProof/>
                <w:webHidden/>
              </w:rPr>
              <w:instrText xml:space="preserve"> PAGEREF _Toc91575543 \h </w:instrText>
            </w:r>
            <w:r w:rsidR="000E79F2">
              <w:rPr>
                <w:noProof/>
                <w:webHidden/>
              </w:rPr>
            </w:r>
            <w:r w:rsidR="000E79F2">
              <w:rPr>
                <w:noProof/>
                <w:webHidden/>
              </w:rPr>
              <w:fldChar w:fldCharType="separate"/>
            </w:r>
            <w:r w:rsidR="000655D3">
              <w:rPr>
                <w:noProof/>
                <w:webHidden/>
              </w:rPr>
              <w:t>58</w:t>
            </w:r>
            <w:r w:rsidR="000E79F2">
              <w:rPr>
                <w:noProof/>
                <w:webHidden/>
              </w:rPr>
              <w:fldChar w:fldCharType="end"/>
            </w:r>
          </w:hyperlink>
        </w:p>
        <w:p w14:paraId="76CE153D" w14:textId="6F9640C8" w:rsidR="00976AF8" w:rsidRDefault="00121AB0">
          <w:r>
            <w:fldChar w:fldCharType="end"/>
          </w:r>
        </w:p>
      </w:sdtContent>
    </w:sdt>
    <w:p w14:paraId="5B11AE95" w14:textId="77777777" w:rsidR="009B3BE6" w:rsidRPr="00C60499" w:rsidRDefault="009B3BE6" w:rsidP="00D21C20">
      <w:pPr>
        <w:rPr>
          <w:lang w:val="en-GB"/>
        </w:rPr>
      </w:pPr>
    </w:p>
    <w:p w14:paraId="43F12157" w14:textId="77777777" w:rsidR="000853EE" w:rsidRDefault="000853EE">
      <w:pPr>
        <w:spacing w:line="300" w:lineRule="exact"/>
        <w:jc w:val="left"/>
        <w:rPr>
          <w:rFonts w:eastAsiaTheme="majorEastAsia" w:cstheme="majorBidi"/>
          <w:b/>
          <w:bCs/>
          <w:smallCaps/>
          <w:color w:val="212745" w:themeColor="text2"/>
          <w:sz w:val="26"/>
          <w:szCs w:val="28"/>
        </w:rPr>
      </w:pPr>
      <w:r>
        <w:br w:type="page"/>
      </w:r>
    </w:p>
    <w:p w14:paraId="3885C560" w14:textId="182AFB23" w:rsidR="001424AA" w:rsidRDefault="001166CA" w:rsidP="001166CA">
      <w:pPr>
        <w:pStyle w:val="Heading1"/>
        <w:numPr>
          <w:ilvl w:val="0"/>
          <w:numId w:val="0"/>
        </w:numPr>
        <w:ind w:left="360" w:hanging="360"/>
      </w:pPr>
      <w:bookmarkStart w:id="4" w:name="_Toc91575510"/>
      <w:r>
        <w:lastRenderedPageBreak/>
        <w:t>Executive Summary</w:t>
      </w:r>
      <w:bookmarkEnd w:id="4"/>
    </w:p>
    <w:p w14:paraId="5C3E8AEA" w14:textId="4676CF6F" w:rsidR="00105CDD" w:rsidRDefault="009E79C2" w:rsidP="009E79C2">
      <w:r>
        <w:t xml:space="preserve">The objective of this task </w:t>
      </w:r>
      <w:r w:rsidR="00CD0025">
        <w:t>was</w:t>
      </w:r>
      <w:r>
        <w:t xml:space="preserve"> the development of </w:t>
      </w:r>
      <w:r w:rsidR="00F011D2">
        <w:t>a methodology</w:t>
      </w:r>
      <w:r>
        <w:t xml:space="preserve"> for Marginal Lands</w:t>
      </w:r>
      <w:r w:rsidR="00D60B7E">
        <w:t xml:space="preserve"> </w:t>
      </w:r>
      <w:r>
        <w:t>classification in</w:t>
      </w:r>
      <w:r w:rsidR="00CF4C99">
        <w:t>to</w:t>
      </w:r>
      <w:r>
        <w:t xml:space="preserve"> Carbon Sequestration Capacity</w:t>
      </w:r>
      <w:r w:rsidR="00920B9B">
        <w:t xml:space="preserve"> (CSC)</w:t>
      </w:r>
      <w:r>
        <w:t xml:space="preserve"> groups.</w:t>
      </w:r>
      <w:r w:rsidR="00F011D2">
        <w:t xml:space="preserve"> </w:t>
      </w:r>
      <w:r w:rsidR="00105CDD" w:rsidRPr="00105CDD">
        <w:t xml:space="preserve">In the framework of the </w:t>
      </w:r>
      <w:r w:rsidR="00105CDD" w:rsidRPr="00105CDD">
        <w:rPr>
          <w:b/>
          <w:i/>
          <w:color w:val="31479E" w:themeColor="accent1" w:themeShade="BF"/>
        </w:rPr>
        <w:t>MAIL</w:t>
      </w:r>
      <w:r w:rsidR="00105CDD" w:rsidRPr="00105CDD">
        <w:rPr>
          <w:color w:val="31479E" w:themeColor="accent1" w:themeShade="BF"/>
        </w:rPr>
        <w:t xml:space="preserve"> </w:t>
      </w:r>
      <w:r w:rsidR="00105CDD" w:rsidRPr="00105CDD">
        <w:t>project, this task used the knowledge acquired in tasks 2.</w:t>
      </w:r>
      <w:r w:rsidR="00105CDD">
        <w:t>3</w:t>
      </w:r>
      <w:r w:rsidR="005779E8">
        <w:t xml:space="preserve">, </w:t>
      </w:r>
      <w:r w:rsidR="00105CDD" w:rsidRPr="00105CDD">
        <w:t>2.</w:t>
      </w:r>
      <w:r w:rsidR="00105CDD">
        <w:t>5</w:t>
      </w:r>
      <w:r w:rsidR="005779E8">
        <w:t xml:space="preserve"> and 4.2</w:t>
      </w:r>
      <w:r w:rsidR="00105CDD">
        <w:t>.</w:t>
      </w:r>
    </w:p>
    <w:p w14:paraId="1B9F0192" w14:textId="56899830" w:rsidR="00F406F7" w:rsidRDefault="00105CDD" w:rsidP="00647B7E">
      <w:pPr>
        <w:rPr>
          <w:lang w:val="en-GB"/>
        </w:rPr>
      </w:pPr>
      <w:r>
        <w:t>In order to</w:t>
      </w:r>
      <w:r w:rsidR="008E156A">
        <w:t xml:space="preserve"> meet the objective, two different approaches were developed, d</w:t>
      </w:r>
      <w:r w:rsidR="00F011D2">
        <w:t>ue to the different scale levels</w:t>
      </w:r>
      <w:r w:rsidR="00647B7E">
        <w:t xml:space="preserve"> reported on this task, </w:t>
      </w:r>
      <w:r w:rsidR="0030715A">
        <w:t xml:space="preserve">at </w:t>
      </w:r>
      <w:r w:rsidR="00647B7E">
        <w:t>pilot site level and</w:t>
      </w:r>
      <w:r w:rsidR="0030715A">
        <w:t xml:space="preserve"> at </w:t>
      </w:r>
      <w:r w:rsidR="00647B7E">
        <w:t>European level</w:t>
      </w:r>
      <w:r>
        <w:rPr>
          <w:lang w:val="en-GB"/>
        </w:rPr>
        <w:t>.</w:t>
      </w:r>
    </w:p>
    <w:p w14:paraId="745D29CE" w14:textId="2463DE28" w:rsidR="001775DA" w:rsidRPr="008D28E4" w:rsidRDefault="00647B7E" w:rsidP="00A06792">
      <w:pPr>
        <w:rPr>
          <w:lang w:val="en-GB"/>
        </w:rPr>
      </w:pPr>
      <w:r>
        <w:t>The methodology implemented regarding pilot site level consisted</w:t>
      </w:r>
      <w:r w:rsidR="008E156A">
        <w:t xml:space="preserve"> </w:t>
      </w:r>
      <w:r w:rsidR="00F406F7">
        <w:t>of</w:t>
      </w:r>
      <w:r w:rsidR="008E156A">
        <w:t xml:space="preserve"> </w:t>
      </w:r>
      <w:r w:rsidR="00435E51">
        <w:t xml:space="preserve">defining and </w:t>
      </w:r>
      <w:r w:rsidR="003B5556">
        <w:rPr>
          <w:lang w:val="en-GB"/>
        </w:rPr>
        <w:t>estimating Above Ground Biomass</w:t>
      </w:r>
      <w:r w:rsidR="003319FC">
        <w:rPr>
          <w:lang w:val="en-GB"/>
        </w:rPr>
        <w:t xml:space="preserve"> (AGB)</w:t>
      </w:r>
      <w:r w:rsidR="003B5556">
        <w:rPr>
          <w:lang w:val="en-GB"/>
        </w:rPr>
        <w:t>,</w:t>
      </w:r>
      <w:r w:rsidR="00B8118D">
        <w:rPr>
          <w:lang w:val="en-GB"/>
        </w:rPr>
        <w:t xml:space="preserve"> </w:t>
      </w:r>
      <w:r w:rsidR="003B5556">
        <w:rPr>
          <w:lang w:val="en-GB"/>
        </w:rPr>
        <w:t>Current Carbon Sequestration</w:t>
      </w:r>
      <w:r w:rsidR="003319FC">
        <w:rPr>
          <w:lang w:val="en-GB"/>
        </w:rPr>
        <w:t xml:space="preserve"> (CCS)</w:t>
      </w:r>
      <w:r w:rsidR="003B5556">
        <w:rPr>
          <w:lang w:val="en-GB"/>
        </w:rPr>
        <w:t xml:space="preserve"> and Carbon Sequestration Capacity</w:t>
      </w:r>
      <w:r w:rsidR="003319FC">
        <w:rPr>
          <w:lang w:val="en-GB"/>
        </w:rPr>
        <w:t xml:space="preserve"> (CSC)</w:t>
      </w:r>
      <w:r w:rsidR="003B5556">
        <w:rPr>
          <w:lang w:val="en-GB"/>
        </w:rPr>
        <w:t>.</w:t>
      </w:r>
      <w:r w:rsidR="008D28E4">
        <w:t xml:space="preserve"> </w:t>
      </w:r>
      <w:r w:rsidR="00AC1AAF">
        <w:t>Accurate AGB mapping is crucial for studies on carbon sequestration as they are directly connected</w:t>
      </w:r>
      <w:r w:rsidR="0094700F">
        <w:t xml:space="preserve">, </w:t>
      </w:r>
      <w:r w:rsidR="00511BE5">
        <w:t xml:space="preserve">due to this, </w:t>
      </w:r>
      <w:r w:rsidR="0094700F">
        <w:t>i</w:t>
      </w:r>
      <w:r w:rsidR="008D28E4">
        <w:t xml:space="preserve">n the pilot site level, several indicators generated from satellite images tested in order to evaluate which </w:t>
      </w:r>
      <w:r w:rsidR="00A60009">
        <w:t xml:space="preserve">and how they influence the prediction of </w:t>
      </w:r>
      <w:r w:rsidR="0064427B">
        <w:t>AGB</w:t>
      </w:r>
      <w:r w:rsidR="00A60009">
        <w:t>.</w:t>
      </w:r>
      <w:r w:rsidR="005779E8" w:rsidRPr="005779E8">
        <w:t xml:space="preserve"> This was followed by the </w:t>
      </w:r>
      <w:r w:rsidR="005779E8">
        <w:t>i</w:t>
      </w:r>
      <w:r w:rsidR="005779E8" w:rsidRPr="005779E8">
        <w:t xml:space="preserve">ntegration of results from </w:t>
      </w:r>
      <w:r w:rsidR="005779E8">
        <w:t xml:space="preserve">task </w:t>
      </w:r>
      <w:r w:rsidR="005779E8" w:rsidRPr="005779E8">
        <w:t xml:space="preserve">4.2 for the </w:t>
      </w:r>
      <w:r w:rsidR="00B70CB9">
        <w:t>estimation</w:t>
      </w:r>
      <w:r w:rsidR="005779E8" w:rsidRPr="005779E8">
        <w:t xml:space="preserve"> of CSC within the study area and finally the</w:t>
      </w:r>
      <w:r w:rsidR="00B70CB9">
        <w:t xml:space="preserve"> classification of the pilot area into CSC groups.</w:t>
      </w:r>
      <w:r w:rsidR="00A60009">
        <w:t xml:space="preserve"> </w:t>
      </w:r>
    </w:p>
    <w:p w14:paraId="4977DDEE" w14:textId="05AE9A78" w:rsidR="00353C47" w:rsidRDefault="00C35B2C" w:rsidP="001166CA">
      <w:r>
        <w:rPr>
          <w:lang w:val="en-GB"/>
        </w:rPr>
        <w:t xml:space="preserve">A different </w:t>
      </w:r>
      <w:r>
        <w:t xml:space="preserve">methodology implemented regarding European level, as </w:t>
      </w:r>
      <w:r w:rsidR="005C769A">
        <w:rPr>
          <w:lang w:val="en-GB"/>
        </w:rPr>
        <w:t xml:space="preserve">methodology applied </w:t>
      </w:r>
      <w:r>
        <w:rPr>
          <w:lang w:val="en-GB"/>
        </w:rPr>
        <w:t xml:space="preserve">in pilot site level needs very </w:t>
      </w:r>
      <w:r w:rsidR="005C769A">
        <w:rPr>
          <w:lang w:val="en-GB"/>
        </w:rPr>
        <w:t>long computation time</w:t>
      </w:r>
      <w:r w:rsidR="00353C47">
        <w:rPr>
          <w:lang w:val="en-GB"/>
        </w:rPr>
        <w:t>,</w:t>
      </w:r>
      <w:r w:rsidR="00B9598B">
        <w:rPr>
          <w:lang w:val="en-GB"/>
        </w:rPr>
        <w:t xml:space="preserve"> beyond the scope of this Task</w:t>
      </w:r>
      <w:r w:rsidR="00353C47">
        <w:t xml:space="preserve">. The methodology </w:t>
      </w:r>
      <w:r w:rsidR="00353C47" w:rsidRPr="00353C47">
        <w:t xml:space="preserve">based on multicriteria GIS analysis </w:t>
      </w:r>
      <w:r w:rsidR="00353C47">
        <w:t xml:space="preserve">with </w:t>
      </w:r>
      <w:r w:rsidR="00647B7E">
        <w:t xml:space="preserve">data </w:t>
      </w:r>
      <w:r w:rsidR="00E0698C">
        <w:t>including</w:t>
      </w:r>
      <w:r w:rsidR="00647B7E">
        <w:t xml:space="preserve"> </w:t>
      </w:r>
      <w:r w:rsidR="006D65CD">
        <w:t xml:space="preserve">tree species maps, land cover maps and Aboveground Biomass maps. The aim was </w:t>
      </w:r>
      <w:r w:rsidR="007A6E6D">
        <w:t xml:space="preserve">to </w:t>
      </w:r>
      <w:r w:rsidR="00D6183B">
        <w:t xml:space="preserve">estimate </w:t>
      </w:r>
      <w:r w:rsidR="00647B7E" w:rsidRPr="00012FDC">
        <w:t>potential suitable</w:t>
      </w:r>
      <w:r w:rsidR="00647B7E">
        <w:t xml:space="preserve"> species for afforestation</w:t>
      </w:r>
      <w:r w:rsidR="006D65CD">
        <w:t xml:space="preserve"> for each Marginal Land</w:t>
      </w:r>
      <w:r w:rsidR="00647B7E">
        <w:t xml:space="preserve"> </w:t>
      </w:r>
      <w:r w:rsidR="006D65CD">
        <w:t>as well species’</w:t>
      </w:r>
      <w:r w:rsidR="00647B7E">
        <w:t xml:space="preserve"> </w:t>
      </w:r>
      <w:r w:rsidR="0064427B">
        <w:rPr>
          <w:lang w:val="en-GB"/>
        </w:rPr>
        <w:t xml:space="preserve">Above Ground Biomass </w:t>
      </w:r>
      <w:r w:rsidR="00647B7E">
        <w:t>Carbon</w:t>
      </w:r>
      <w:r w:rsidR="0064427B">
        <w:t xml:space="preserve"> (AGBC)</w:t>
      </w:r>
      <w:r w:rsidR="00D6183B">
        <w:t xml:space="preserve"> and proceed to classification into CSC groups</w:t>
      </w:r>
      <w:r w:rsidR="006D65CD">
        <w:t>.</w:t>
      </w:r>
    </w:p>
    <w:p w14:paraId="58F753A9" w14:textId="77A03C9B" w:rsidR="00532106" w:rsidRPr="00532106" w:rsidRDefault="00532106" w:rsidP="001166CA">
      <w:r>
        <w:t>From the finding</w:t>
      </w:r>
      <w:r w:rsidR="00500410">
        <w:t>s</w:t>
      </w:r>
      <w:r>
        <w:t xml:space="preserve"> of the task, a tool was developed to </w:t>
      </w:r>
      <w:r w:rsidR="0031759F">
        <w:t xml:space="preserve">assist all possible users (policy makers, </w:t>
      </w:r>
      <w:r>
        <w:t>stakeholders</w:t>
      </w:r>
      <w:r w:rsidR="0031759F">
        <w:t>, students, etc</w:t>
      </w:r>
      <w:r w:rsidR="0030715A">
        <w:t>.</w:t>
      </w:r>
      <w:r w:rsidR="0031759F">
        <w:t>)</w:t>
      </w:r>
      <w:r>
        <w:t xml:space="preserve"> by providing a general overview regarding CSC groups and Potential Suitable Species for afforestation of MLs.</w:t>
      </w:r>
    </w:p>
    <w:p w14:paraId="3F793FE0" w14:textId="31CC8531" w:rsidR="00120F8F" w:rsidRPr="00120F8F" w:rsidRDefault="00120F8F" w:rsidP="00A85DD4">
      <w:pPr>
        <w:pStyle w:val="Heading1"/>
        <w:numPr>
          <w:ilvl w:val="0"/>
          <w:numId w:val="0"/>
        </w:numPr>
        <w:ind w:left="360" w:hanging="360"/>
        <w:rPr>
          <w:lang w:val="en-GB"/>
        </w:rPr>
      </w:pPr>
      <w:r>
        <w:rPr>
          <w:lang w:val="en-GB"/>
        </w:rPr>
        <w:br w:type="page"/>
      </w:r>
      <w:bookmarkStart w:id="5" w:name="_Toc91575511"/>
      <w:r w:rsidRPr="00120F8F">
        <w:rPr>
          <w:lang w:val="en-GB"/>
        </w:rPr>
        <w:lastRenderedPageBreak/>
        <w:t>1. Introduction and goals</w:t>
      </w:r>
      <w:bookmarkEnd w:id="5"/>
    </w:p>
    <w:p w14:paraId="3BCB2BA9" w14:textId="6950FFE0" w:rsidR="00120F8F" w:rsidRPr="00120F8F" w:rsidRDefault="00120F8F" w:rsidP="00120F8F">
      <w:pPr>
        <w:rPr>
          <w:lang w:val="en-GB"/>
        </w:rPr>
      </w:pPr>
      <w:r w:rsidRPr="00120F8F">
        <w:rPr>
          <w:lang w:val="en-GB"/>
        </w:rPr>
        <w:t xml:space="preserve">The following document reports the main findings from the implementation of Task 2.7, namely “Marginal Lands classification in Carbon Sequestration Capacity groups”. Hence, this Chapter illustrates the structure of the entire document as well as its main objectives. </w:t>
      </w:r>
    </w:p>
    <w:p w14:paraId="7C56B514" w14:textId="6375291D" w:rsidR="00120F8F" w:rsidRPr="00120F8F" w:rsidRDefault="00120F8F" w:rsidP="00120F8F">
      <w:pPr>
        <w:rPr>
          <w:lang w:val="en-GB"/>
        </w:rPr>
      </w:pPr>
      <w:r w:rsidRPr="00120F8F">
        <w:rPr>
          <w:lang w:val="en-GB"/>
        </w:rPr>
        <w:t>For the completion of task 2.7, the following objectives were defined:</w:t>
      </w:r>
    </w:p>
    <w:p w14:paraId="256DB36F" w14:textId="77777777" w:rsidR="00120F8F" w:rsidRPr="00120F8F" w:rsidRDefault="00120F8F" w:rsidP="00120F8F">
      <w:pPr>
        <w:rPr>
          <w:lang w:val="en-GB"/>
        </w:rPr>
      </w:pPr>
      <w:r w:rsidRPr="00120F8F">
        <w:rPr>
          <w:lang w:val="en-GB"/>
        </w:rPr>
        <w:t>1.</w:t>
      </w:r>
      <w:r w:rsidRPr="00120F8F">
        <w:rPr>
          <w:lang w:val="en-GB"/>
        </w:rPr>
        <w:tab/>
        <w:t>Classifying Carbon Sequestration Capacity (CSC) groups;</w:t>
      </w:r>
    </w:p>
    <w:p w14:paraId="3DC829FD" w14:textId="5DA3A07F" w:rsidR="00120F8F" w:rsidRPr="00120F8F" w:rsidRDefault="00120F8F" w:rsidP="00120F8F">
      <w:pPr>
        <w:rPr>
          <w:lang w:val="en-GB"/>
        </w:rPr>
      </w:pPr>
      <w:r w:rsidRPr="00120F8F">
        <w:rPr>
          <w:lang w:val="en-GB"/>
        </w:rPr>
        <w:t>2.</w:t>
      </w:r>
      <w:r w:rsidRPr="00120F8F">
        <w:rPr>
          <w:lang w:val="en-GB"/>
        </w:rPr>
        <w:tab/>
        <w:t>Identifying and developing indicators which help the estimation of the Current Carbon Sequestration (CCS) within an area.</w:t>
      </w:r>
    </w:p>
    <w:p w14:paraId="6458A6AA" w14:textId="1D050894" w:rsidR="00120F8F" w:rsidRPr="00120F8F" w:rsidRDefault="00120F8F" w:rsidP="00120F8F">
      <w:pPr>
        <w:rPr>
          <w:lang w:val="en-GB"/>
        </w:rPr>
      </w:pPr>
      <w:r w:rsidRPr="00120F8F">
        <w:rPr>
          <w:lang w:val="en-GB"/>
        </w:rPr>
        <w:t xml:space="preserve">In order to reach the objectives above, the following work proposes different approaches for different levels of detail. That are, </w:t>
      </w:r>
      <w:r w:rsidR="00B7128C">
        <w:rPr>
          <w:lang w:val="en-GB"/>
        </w:rPr>
        <w:t xml:space="preserve">at </w:t>
      </w:r>
      <w:r w:rsidRPr="00120F8F">
        <w:rPr>
          <w:lang w:val="en-GB"/>
        </w:rPr>
        <w:t>pilot site</w:t>
      </w:r>
      <w:r w:rsidR="00063523">
        <w:rPr>
          <w:lang w:val="en-GB"/>
        </w:rPr>
        <w:t xml:space="preserve"> </w:t>
      </w:r>
      <w:r w:rsidRPr="00120F8F">
        <w:rPr>
          <w:lang w:val="en-GB"/>
        </w:rPr>
        <w:t>and</w:t>
      </w:r>
      <w:r w:rsidR="00B7128C">
        <w:rPr>
          <w:lang w:val="en-GB"/>
        </w:rPr>
        <w:t xml:space="preserve"> at</w:t>
      </w:r>
      <w:r w:rsidRPr="00120F8F">
        <w:rPr>
          <w:lang w:val="en-GB"/>
        </w:rPr>
        <w:t xml:space="preserve"> European level. </w:t>
      </w:r>
    </w:p>
    <w:p w14:paraId="37FEA1BF" w14:textId="715AFFBF" w:rsidR="00120F8F" w:rsidRPr="00120F8F" w:rsidRDefault="00120F8F" w:rsidP="00120F8F">
      <w:pPr>
        <w:rPr>
          <w:lang w:val="en-GB"/>
        </w:rPr>
      </w:pPr>
      <w:r w:rsidRPr="00F911F9">
        <w:rPr>
          <w:lang w:val="en-GB"/>
        </w:rPr>
        <w:t>At the finest scale, a pilot site of around 4</w:t>
      </w:r>
      <w:r w:rsidR="00CD0F4C">
        <w:rPr>
          <w:lang w:val="en-GB"/>
        </w:rPr>
        <w:t>,</w:t>
      </w:r>
      <w:r w:rsidRPr="00F911F9">
        <w:rPr>
          <w:lang w:val="en-GB"/>
        </w:rPr>
        <w:t>000</w:t>
      </w:r>
      <w:r w:rsidR="000A08D4">
        <w:rPr>
          <w:lang w:val="en-GB"/>
        </w:rPr>
        <w:t xml:space="preserve"> </w:t>
      </w:r>
      <w:r w:rsidRPr="00F911F9">
        <w:rPr>
          <w:lang w:val="en-GB"/>
        </w:rPr>
        <w:t>hectares (ha) is selected as a case of study. Within the pilot site, Above Ground Biomass (AGB), Current Carbon Sequestration (CCS) and related Carbon Sequestration Capacity (CSC) are defined and estimated. This first part of the report includes the definition of a structured methodology, a thorough analysis of several indicators, and the final creation of a CSC groups map (Chapter 3). Subsequently, the second part of the report concerns a broader scale that of the European Union (Chapter 4).</w:t>
      </w:r>
    </w:p>
    <w:p w14:paraId="3E8FFBFF" w14:textId="019C2E0B" w:rsidR="00120F8F" w:rsidRPr="00120F8F" w:rsidRDefault="00120F8F" w:rsidP="00120F8F">
      <w:pPr>
        <w:rPr>
          <w:lang w:val="en-GB"/>
        </w:rPr>
      </w:pPr>
      <w:r w:rsidRPr="00120F8F">
        <w:rPr>
          <w:lang w:val="en-GB"/>
        </w:rPr>
        <w:t xml:space="preserve">Serra de Espadan was selected as pilot site to assess whether the use of different indicators </w:t>
      </w:r>
      <w:r w:rsidR="00B7128C">
        <w:rPr>
          <w:lang w:val="en-GB"/>
        </w:rPr>
        <w:t xml:space="preserve">that </w:t>
      </w:r>
      <w:r w:rsidRPr="00120F8F">
        <w:rPr>
          <w:lang w:val="en-GB"/>
        </w:rPr>
        <w:t xml:space="preserve">influence the prediction of Above Ground Biomass (AGB). Accurate AGB mapping is a major step for studies on carbon sequestration, as the estimation of the latter is directly connected to the biomass present in the area. Hence, through </w:t>
      </w:r>
      <w:r w:rsidR="00B7128C">
        <w:rPr>
          <w:lang w:val="en-GB"/>
        </w:rPr>
        <w:t xml:space="preserve">the </w:t>
      </w:r>
      <w:r w:rsidRPr="00120F8F">
        <w:rPr>
          <w:lang w:val="en-GB"/>
        </w:rPr>
        <w:t>testing</w:t>
      </w:r>
      <w:r w:rsidR="00B7128C">
        <w:rPr>
          <w:lang w:val="en-GB"/>
        </w:rPr>
        <w:t xml:space="preserve"> and evaluation of</w:t>
      </w:r>
      <w:r w:rsidRPr="00120F8F">
        <w:rPr>
          <w:lang w:val="en-GB"/>
        </w:rPr>
        <w:t xml:space="preserve"> a variety of indicators – i.e., Vegetation Indices (VI), topographic measures, etc. – generated from satellite images, we aim to identify which of these result in a better predictive capacity for modelling AGB when working with Machine Learning regression models.</w:t>
      </w:r>
    </w:p>
    <w:p w14:paraId="34C336C9" w14:textId="1E17C034" w:rsidR="00120F8F" w:rsidRDefault="00120F8F" w:rsidP="00120F8F">
      <w:pPr>
        <w:rPr>
          <w:lang w:val="en-GB"/>
        </w:rPr>
      </w:pPr>
      <w:r w:rsidRPr="00120F8F">
        <w:rPr>
          <w:lang w:val="en-GB"/>
        </w:rPr>
        <w:t>This approach is characterized by high-quality outputs, however, complex methodologies could not be easily scaled up due to their long computation time, cost of production, as well as the need for expert professionals.</w:t>
      </w:r>
      <w:r w:rsidR="006D6E4E" w:rsidRPr="006D6E4E">
        <w:t xml:space="preserve"> </w:t>
      </w:r>
      <w:r w:rsidRPr="00120F8F">
        <w:rPr>
          <w:lang w:val="en-GB"/>
        </w:rPr>
        <w:t>Therefore,</w:t>
      </w:r>
      <w:r w:rsidR="006D6E4E" w:rsidRPr="006D6E4E">
        <w:t xml:space="preserve"> </w:t>
      </w:r>
      <w:r w:rsidR="0048406C">
        <w:rPr>
          <w:lang w:val="en-GB"/>
        </w:rPr>
        <w:t>classifying MLs in</w:t>
      </w:r>
      <w:r w:rsidR="00F911F9">
        <w:rPr>
          <w:lang w:val="en-GB"/>
        </w:rPr>
        <w:t>to</w:t>
      </w:r>
      <w:r w:rsidR="0048406C">
        <w:rPr>
          <w:lang w:val="en-GB"/>
        </w:rPr>
        <w:t xml:space="preserve"> CSC</w:t>
      </w:r>
      <w:r w:rsidRPr="00120F8F">
        <w:rPr>
          <w:lang w:val="en-GB"/>
        </w:rPr>
        <w:t xml:space="preserve"> </w:t>
      </w:r>
      <w:r w:rsidR="0048406C">
        <w:rPr>
          <w:lang w:val="en-GB"/>
        </w:rPr>
        <w:t>group</w:t>
      </w:r>
      <w:r w:rsidR="00D330C3">
        <w:rPr>
          <w:lang w:val="en-GB"/>
        </w:rPr>
        <w:t>s</w:t>
      </w:r>
      <w:r w:rsidR="0048406C">
        <w:rPr>
          <w:lang w:val="en-GB"/>
        </w:rPr>
        <w:t xml:space="preserve"> at </w:t>
      </w:r>
      <w:r w:rsidRPr="00120F8F">
        <w:rPr>
          <w:lang w:val="en-GB"/>
        </w:rPr>
        <w:t>European level</w:t>
      </w:r>
      <w:r w:rsidR="00B7128C">
        <w:rPr>
          <w:lang w:val="en-GB"/>
        </w:rPr>
        <w:t xml:space="preserve"> was</w:t>
      </w:r>
      <w:r w:rsidRPr="00120F8F">
        <w:rPr>
          <w:lang w:val="en-GB"/>
        </w:rPr>
        <w:t xml:space="preserve"> performed by implementing an alternative </w:t>
      </w:r>
      <w:r w:rsidRPr="00120F8F">
        <w:rPr>
          <w:lang w:val="en-GB"/>
        </w:rPr>
        <w:lastRenderedPageBreak/>
        <w:t>approach</w:t>
      </w:r>
      <w:r w:rsidR="00D330C3">
        <w:rPr>
          <w:lang w:val="en-GB"/>
        </w:rPr>
        <w:t>, which is by</w:t>
      </w:r>
      <w:r w:rsidRPr="00120F8F">
        <w:rPr>
          <w:lang w:val="en-GB"/>
        </w:rPr>
        <w:t xml:space="preserve"> </w:t>
      </w:r>
      <w:r w:rsidR="0048406C" w:rsidRPr="00012FDC">
        <w:t>estimat</w:t>
      </w:r>
      <w:r w:rsidR="00D330C3">
        <w:t>ing</w:t>
      </w:r>
      <w:r w:rsidR="0048406C" w:rsidRPr="00012FDC">
        <w:t xml:space="preserve"> potential suitable</w:t>
      </w:r>
      <w:r w:rsidR="0048406C">
        <w:t xml:space="preserve"> species for afforestation and their </w:t>
      </w:r>
      <w:r w:rsidR="00CC3822">
        <w:t>Aboveground Biomass Carbon</w:t>
      </w:r>
      <w:r w:rsidR="00D330C3">
        <w:t>.</w:t>
      </w:r>
    </w:p>
    <w:p w14:paraId="2753D491" w14:textId="77777777" w:rsidR="00120F8F" w:rsidRDefault="00120F8F" w:rsidP="00A85DD4">
      <w:pPr>
        <w:pStyle w:val="Heading1"/>
        <w:numPr>
          <w:ilvl w:val="0"/>
          <w:numId w:val="0"/>
        </w:numPr>
        <w:ind w:left="360" w:hanging="360"/>
      </w:pPr>
      <w:bookmarkStart w:id="6" w:name="_Toc91575512"/>
      <w:r>
        <w:t>2. Definitions</w:t>
      </w:r>
      <w:bookmarkEnd w:id="6"/>
    </w:p>
    <w:p w14:paraId="05A5382B" w14:textId="1249C475" w:rsidR="00120F8F" w:rsidRDefault="00120F8F" w:rsidP="00120F8F">
      <w:r>
        <w:t>The following Chapter highlights the role that forested areas have in the context of Carbon sequestration; hence, it illustrates the concepts of Above Ground Biomass (AGB), Current Carbon Sequestration (CCS), Carbon Carrying Capacity (CCC), and Carbon Sequestration Capacity (CSC).</w:t>
      </w:r>
    </w:p>
    <w:p w14:paraId="2E687D19" w14:textId="77777777" w:rsidR="00120F8F" w:rsidRDefault="00120F8F" w:rsidP="00A85DD4">
      <w:pPr>
        <w:pStyle w:val="Heading2"/>
        <w:numPr>
          <w:ilvl w:val="0"/>
          <w:numId w:val="0"/>
        </w:numPr>
        <w:ind w:left="576" w:hanging="576"/>
      </w:pPr>
      <w:bookmarkStart w:id="7" w:name="_Toc91575513"/>
      <w:r>
        <w:t>2.1. Above Ground Biomass and Current Carbon Sequestration</w:t>
      </w:r>
      <w:bookmarkEnd w:id="7"/>
    </w:p>
    <w:p w14:paraId="3CE13A81" w14:textId="46DF7DBF" w:rsidR="00120F8F" w:rsidRDefault="00120F8F" w:rsidP="00120F8F">
      <w:r>
        <w:t>Carbon sequestration is a natural process involving the capture of carbon dioxide from the atmosphere and its long-term storage into 3 major carbon pools; namely, terrestrial, oceanic, and geological pool</w:t>
      </w:r>
      <w:r w:rsidR="00D311E2">
        <w:t xml:space="preserve"> </w:t>
      </w:r>
      <w:r w:rsidR="00CD0F4C">
        <w:rPr>
          <w:noProof/>
        </w:rPr>
        <w:t>(IPCC, 2006; Salem et al., 2020)</w:t>
      </w:r>
      <w:r>
        <w:t>. Furthermore, carbon can be stored in either a liquid or a solid state by different means such as trees, soil, ocean, or organic matter</w:t>
      </w:r>
      <w:r w:rsidR="009F43AE">
        <w:t xml:space="preserve"> </w:t>
      </w:r>
      <w:sdt>
        <w:sdtPr>
          <w:id w:val="1055665969"/>
          <w:citation/>
        </w:sdtPr>
        <w:sdtEndPr/>
        <w:sdtContent>
          <w:r w:rsidR="009F43AE">
            <w:fldChar w:fldCharType="begin"/>
          </w:r>
          <w:r w:rsidR="00F14347">
            <w:instrText xml:space="preserve">CITATION Lac03 \l 1033 </w:instrText>
          </w:r>
          <w:r w:rsidR="009F43AE">
            <w:fldChar w:fldCharType="separate"/>
          </w:r>
          <w:r w:rsidR="004231A8">
            <w:rPr>
              <w:noProof/>
            </w:rPr>
            <w:t>(Lackner, 2003)</w:t>
          </w:r>
          <w:r w:rsidR="009F43AE">
            <w:fldChar w:fldCharType="end"/>
          </w:r>
        </w:sdtContent>
      </w:sdt>
      <w:r>
        <w:t xml:space="preserve">. The Intergovernmental Panel on Climate Change </w:t>
      </w:r>
      <w:sdt>
        <w:sdtPr>
          <w:id w:val="-1030037128"/>
          <w:citation/>
        </w:sdtPr>
        <w:sdtEndPr/>
        <w:sdtContent>
          <w:r w:rsidR="009F43AE">
            <w:fldChar w:fldCharType="begin"/>
          </w:r>
          <w:r w:rsidR="009F43AE">
            <w:instrText xml:space="preserve"> CITATION Int06 \l 1033 </w:instrText>
          </w:r>
          <w:r w:rsidR="009F43AE">
            <w:fldChar w:fldCharType="separate"/>
          </w:r>
          <w:r w:rsidR="004231A8">
            <w:rPr>
              <w:noProof/>
            </w:rPr>
            <w:t>(IPCC, 2006)</w:t>
          </w:r>
          <w:r w:rsidR="009F43AE">
            <w:fldChar w:fldCharType="end"/>
          </w:r>
        </w:sdtContent>
      </w:sdt>
      <w:r>
        <w:t xml:space="preserve"> divides the terrestrial pool into 5 main reservoirs: Above Ground Biomass (AGB), Below Ground Biomass (BGB), litter, woody debris, and Soil Organic Matter (SOM). Hence, the carbon sequestrated within the terrestrial pool is the sum of the amounts of carbon in vegetation biomass and soil </w:t>
      </w:r>
      <w:r w:rsidR="00CD0F4C">
        <w:rPr>
          <w:noProof/>
        </w:rPr>
        <w:t>(Salem et al., 2020)</w:t>
      </w:r>
      <w:r>
        <w:t>.</w:t>
      </w:r>
    </w:p>
    <w:p w14:paraId="159A5EFB" w14:textId="10FA2401" w:rsidR="00120F8F" w:rsidRDefault="00120F8F" w:rsidP="00120F8F">
      <w:r>
        <w:t xml:space="preserve">Forests account for the largest portion of the terrestrial vegetation biomass and are characterized by the highest carbon density compared to other terrestrial environments </w:t>
      </w:r>
      <w:sdt>
        <w:sdtPr>
          <w:id w:val="-2065863196"/>
          <w:citation/>
        </w:sdtPr>
        <w:sdtEndPr/>
        <w:sdtContent>
          <w:r w:rsidR="009D6F3F">
            <w:fldChar w:fldCharType="begin"/>
          </w:r>
          <w:r w:rsidR="00F14347">
            <w:instrText xml:space="preserve">CITATION Sti12 \l 1033 </w:instrText>
          </w:r>
          <w:r w:rsidR="009D6F3F">
            <w:fldChar w:fldCharType="separate"/>
          </w:r>
          <w:r w:rsidR="004231A8">
            <w:rPr>
              <w:noProof/>
            </w:rPr>
            <w:t>(Stinson, et al., 2012)</w:t>
          </w:r>
          <w:r w:rsidR="009D6F3F">
            <w:fldChar w:fldCharType="end"/>
          </w:r>
        </w:sdtContent>
      </w:sdt>
      <w:r>
        <w:t xml:space="preserve">. Up to 80% of the above-ground carbon stored in the terrestrial pool </w:t>
      </w:r>
      <w:sdt>
        <w:sdtPr>
          <w:id w:val="-1928722637"/>
          <w:citation/>
        </w:sdtPr>
        <w:sdtEndPr/>
        <w:sdtContent>
          <w:r w:rsidR="009D6F3F">
            <w:fldChar w:fldCharType="begin"/>
          </w:r>
          <w:r w:rsidR="009D6F3F">
            <w:instrText xml:space="preserve"> CITATION Int06 \l 1033 </w:instrText>
          </w:r>
          <w:r w:rsidR="009D6F3F">
            <w:fldChar w:fldCharType="separate"/>
          </w:r>
          <w:r w:rsidR="004231A8">
            <w:rPr>
              <w:noProof/>
            </w:rPr>
            <w:t>(IPCC, 2006)</w:t>
          </w:r>
          <w:r w:rsidR="009D6F3F">
            <w:fldChar w:fldCharType="end"/>
          </w:r>
        </w:sdtContent>
      </w:sdt>
      <w:r>
        <w:t xml:space="preserve"> is stored in forest ecosystems. However, because forests are affected by many disturbances - i.e., fires, deforestation, parasites, land use change, etc., around 60% of newly stored carbon is cyclically returned to the atmosphere </w:t>
      </w:r>
      <w:r w:rsidR="00CD0F4C">
        <w:rPr>
          <w:noProof/>
        </w:rPr>
        <w:t>(Salem et al., 2020)</w:t>
      </w:r>
      <w:r>
        <w:t xml:space="preserve">. </w:t>
      </w:r>
    </w:p>
    <w:p w14:paraId="06F4DFE5" w14:textId="430E880E" w:rsidR="00120F8F" w:rsidRDefault="00120F8F" w:rsidP="00120F8F">
      <w:r>
        <w:t xml:space="preserve">These characteristics make monitoring the dynamics of forest biomass an important step in acquiring up-to-date and reliable information about the state of global carbon budget, particularly in the context of climate change mitigation </w:t>
      </w:r>
      <w:sdt>
        <w:sdtPr>
          <w:id w:val="1898239244"/>
          <w:citation/>
        </w:sdtPr>
        <w:sdtEndPr/>
        <w:sdtContent>
          <w:r w:rsidR="009D6F3F">
            <w:fldChar w:fldCharType="begin"/>
          </w:r>
          <w:r w:rsidR="00F14347">
            <w:instrText xml:space="preserve">CITATION Gal17 \l 1033 </w:instrText>
          </w:r>
          <w:r w:rsidR="009D6F3F">
            <w:fldChar w:fldCharType="separate"/>
          </w:r>
          <w:r w:rsidR="004231A8">
            <w:rPr>
              <w:noProof/>
            </w:rPr>
            <w:t>(Galidaki, et al., 2017)</w:t>
          </w:r>
          <w:r w:rsidR="009D6F3F">
            <w:fldChar w:fldCharType="end"/>
          </w:r>
        </w:sdtContent>
      </w:sdt>
      <w:r>
        <w:t xml:space="preserve">. Thus, the estimation of Above Ground Biomass (AGB) has been the subject of extensive research, given its importance in planning carbon emission mitigation strategies and sustainable forest management. There are two main groups of methods regarding ABG estimation. ABG can be estimated either through direct or indirect </w:t>
      </w:r>
      <w:r>
        <w:lastRenderedPageBreak/>
        <w:t xml:space="preserve">methods </w:t>
      </w:r>
      <w:r w:rsidR="005E4580">
        <w:rPr>
          <w:noProof/>
        </w:rPr>
        <w:t>(Salem et al., 2020; Galidaki, et al., 2017; Lu, 2006)</w:t>
      </w:r>
      <w:r>
        <w:t>. Direct methods, also known as destructive, include the harvesting, separation into components, oven drying, and weighing of the tree components as fractions of the biomass. These methods are highly precise; however, they are also expensive, destructive, and time-consuming, which makes them unsustainable to be used in large scale</w:t>
      </w:r>
      <w:r w:rsidR="00B27F23">
        <w:t xml:space="preserve"> </w:t>
      </w:r>
      <w:r w:rsidR="005E4580">
        <w:rPr>
          <w:noProof/>
        </w:rPr>
        <w:t>(Picardet al., 2012; Salem et al., 2020)</w:t>
      </w:r>
      <w:r>
        <w:t xml:space="preserve">. The outputs from direct methods have been used throughout the years for building allometric equations - i.e., statistical models belonging to the indirect methods category. Indirect methods, also known as non-destructive, do not require the physical destruction of trees. These can be further divided into two main approaches: allometric equations and Remote Sensing-based estimations </w:t>
      </w:r>
      <w:sdt>
        <w:sdtPr>
          <w:id w:val="844282564"/>
          <w:citation/>
        </w:sdtPr>
        <w:sdtEndPr/>
        <w:sdtContent>
          <w:r w:rsidR="008476BC">
            <w:fldChar w:fldCharType="begin"/>
          </w:r>
          <w:r w:rsidR="00F14347">
            <w:instrText xml:space="preserve">CITATION Gal17 \l 1033 </w:instrText>
          </w:r>
          <w:r w:rsidR="008476BC">
            <w:fldChar w:fldCharType="separate"/>
          </w:r>
          <w:r w:rsidR="004231A8">
            <w:rPr>
              <w:noProof/>
            </w:rPr>
            <w:t>(Galidaki, et al., 2017)</w:t>
          </w:r>
          <w:r w:rsidR="008476BC">
            <w:fldChar w:fldCharType="end"/>
          </w:r>
        </w:sdtContent>
      </w:sdt>
      <w:r>
        <w:t>, the latter being dependent on the first one for model training.</w:t>
      </w:r>
    </w:p>
    <w:p w14:paraId="1465CC0E" w14:textId="138985F9" w:rsidR="00120F8F" w:rsidRDefault="00120F8F" w:rsidP="00120F8F">
      <w:r>
        <w:t>Allometric equations are statistical models that use forest measurable biophysical characteristics - i.e., height, Diameter at Breast Height (DBH) or crown size - to estimate either tree volume or biomass; such models allow for the estimation of biomass without the need of harvesting</w:t>
      </w:r>
      <w:r w:rsidR="00801F0F">
        <w:t xml:space="preserve"> </w:t>
      </w:r>
      <w:sdt>
        <w:sdtPr>
          <w:id w:val="-1837528227"/>
          <w:citation/>
        </w:sdtPr>
        <w:sdtEndPr/>
        <w:sdtContent>
          <w:r w:rsidR="00801F0F">
            <w:fldChar w:fldCharType="begin"/>
          </w:r>
          <w:r w:rsidR="00801F0F">
            <w:instrText xml:space="preserve"> CITATION Vas12 \l 1033 </w:instrText>
          </w:r>
          <w:r w:rsidR="00801F0F">
            <w:fldChar w:fldCharType="separate"/>
          </w:r>
          <w:r w:rsidR="004231A8">
            <w:rPr>
              <w:noProof/>
            </w:rPr>
            <w:t>(Vashum, 2012)</w:t>
          </w:r>
          <w:r w:rsidR="00801F0F">
            <w:fldChar w:fldCharType="end"/>
          </w:r>
        </w:sdtContent>
      </w:sdt>
      <w:r>
        <w:t xml:space="preserve">. Allometric equations have been developed for many tree species as well as for the most common species combination </w:t>
      </w:r>
      <w:r w:rsidR="005E4580">
        <w:rPr>
          <w:noProof/>
        </w:rPr>
        <w:t>(Salem et al., 2020)</w:t>
      </w:r>
      <w:r>
        <w:t>. The use of remote sensing and GIS in the context of estimation of forest biomass have received attention due to increase of spatial resolution</w:t>
      </w:r>
      <w:r w:rsidR="00F95F7E">
        <w:rPr>
          <w:noProof/>
        </w:rPr>
        <w:t xml:space="preserve"> (Zheng, et al., 2004; Pandit et al., 2019; Gao, et al., 2018; Cairns</w:t>
      </w:r>
      <w:r w:rsidR="005E4580">
        <w:rPr>
          <w:noProof/>
        </w:rPr>
        <w:t xml:space="preserve"> et al.</w:t>
      </w:r>
      <w:r w:rsidR="00F95F7E">
        <w:rPr>
          <w:noProof/>
        </w:rPr>
        <w:t>, 1997)</w:t>
      </w:r>
      <w:r>
        <w:t>. Furthermore,</w:t>
      </w:r>
      <w:r w:rsidR="00697628" w:rsidRPr="00697628">
        <w:t xml:space="preserve"> </w:t>
      </w:r>
      <w:r>
        <w:t xml:space="preserve">previous studies estimate BGB and litter in mature forests to be around 20% and 10-20% of the predicted AGB, respectively </w:t>
      </w:r>
      <w:r w:rsidR="005E4580">
        <w:rPr>
          <w:noProof/>
        </w:rPr>
        <w:t>(Kankare, et al., 2013; Cairns et al., 1997)</w:t>
      </w:r>
      <w:r>
        <w:t xml:space="preserve">. </w:t>
      </w:r>
    </w:p>
    <w:p w14:paraId="77CB18C2" w14:textId="790F9D6C" w:rsidR="00120F8F" w:rsidRDefault="00120F8F" w:rsidP="00120F8F">
      <w:r>
        <w:t xml:space="preserve">Estimated or measured AGB is used as the basis for the estimation of the Current Carbon Sequestration (CCS). Within a forested area, the CCS can be defined as the amount of carbon stored in forest biomass in the moment of the forest inventory. For this work we will focus on the amount of carbon stored in the above ground portion of a forested area. Therefore, the estimation of CCS from AGB is commonly performed by multiplying the AGB by an average conversion factor of 0.5, which assumes the 50% of the dry biomass to be carbon </w:t>
      </w:r>
      <w:r w:rsidR="005E4580">
        <w:rPr>
          <w:noProof/>
        </w:rPr>
        <w:t>(Khan et al., 2020)</w:t>
      </w:r>
      <w:r>
        <w:t xml:space="preserve">. More precise factors have been provided for different ecological zones; the IPCC (2006) suggests a factor of 0.47 for tropical and subtropical forests. However, when the estimation of CS requires higher precision, it should be noticed that the carbon content in dry matter changes between tree species, as well as amongst climate zones, and it is correlated to the species wood density; species with higher wood density store higher quantities of carbon; that </w:t>
      </w:r>
      <w:r>
        <w:lastRenderedPageBreak/>
        <w:t xml:space="preserve">is Mediterranean species have higher carbon content than tropical species, despite their extent and density being more limited </w:t>
      </w:r>
      <w:sdt>
        <w:sdtPr>
          <w:id w:val="451608923"/>
          <w:citation/>
        </w:sdtPr>
        <w:sdtEndPr/>
        <w:sdtContent>
          <w:r w:rsidR="000E0CB5">
            <w:fldChar w:fldCharType="begin"/>
          </w:r>
          <w:r w:rsidR="00F14347">
            <w:instrText xml:space="preserve">CITATION Tho12 \l 1033 </w:instrText>
          </w:r>
          <w:r w:rsidR="000E0CB5">
            <w:fldChar w:fldCharType="separate"/>
          </w:r>
          <w:r w:rsidR="004231A8">
            <w:rPr>
              <w:noProof/>
            </w:rPr>
            <w:t>(Thomas &amp; Martin, 2012)</w:t>
          </w:r>
          <w:r w:rsidR="000E0CB5">
            <w:fldChar w:fldCharType="end"/>
          </w:r>
        </w:sdtContent>
      </w:sdt>
      <w:r>
        <w:t>.</w:t>
      </w:r>
    </w:p>
    <w:p w14:paraId="4581CB5A" w14:textId="77777777" w:rsidR="00120F8F" w:rsidRPr="00F3204B" w:rsidRDefault="00120F8F" w:rsidP="00A85DD4">
      <w:pPr>
        <w:pStyle w:val="Heading2"/>
        <w:numPr>
          <w:ilvl w:val="0"/>
          <w:numId w:val="0"/>
        </w:numPr>
        <w:ind w:left="576" w:hanging="576"/>
      </w:pPr>
      <w:bookmarkStart w:id="8" w:name="_Toc91575514"/>
      <w:r>
        <w:t>2.2. Carbon Carrying Capacity and Carbon Sequestration Capacity</w:t>
      </w:r>
      <w:bookmarkEnd w:id="8"/>
    </w:p>
    <w:p w14:paraId="39AADE82" w14:textId="2B367651" w:rsidR="00120F8F" w:rsidRDefault="00120F8F" w:rsidP="00120F8F">
      <w:r>
        <w:t>Other than the Current Carbon Sequestration (CCS), two further concepts essential in this project framework are the Carbon Carrying Capacity (CCC) and the Carbon Sequestration Capacity or Potential (CSC or CSP). Henceforth, the latest will be referred to as CSC.</w:t>
      </w:r>
    </w:p>
    <w:p w14:paraId="6B26F2D2" w14:textId="7B774690" w:rsidR="00120F8F" w:rsidRDefault="00120F8F" w:rsidP="00120F8F">
      <w:r>
        <w:t xml:space="preserve">The Carbon Carrying Capacity (CCC) is defined by Keith (2009) as the amount of carbon stored in a forest in a state of dynamic equilibrium and excluding anthropogenic disturbances; this state of saturation is reached when the forest reaches a full-growth, namely old-growth forest. Hence, a forest’s CCC, together with its CCS, can be used to estimate its Carbon Sequestration Capacity (CSC). This is defined as the maximum potential quantity of carbon confinement for a forest in the moment being, and it is estimated as the difference between the CCC and the CCS </w:t>
      </w:r>
      <w:r w:rsidR="005E4580">
        <w:rPr>
          <w:noProof/>
        </w:rPr>
        <w:t>(Liu, 2012; Keith, 2009; Khan et al., 2020)</w:t>
      </w:r>
      <w:r>
        <w:t>.</w:t>
      </w:r>
    </w:p>
    <w:p w14:paraId="73AE93FD" w14:textId="2F6EB3D5" w:rsidR="00120F8F" w:rsidRDefault="00120F8F" w:rsidP="00120F8F">
      <w:pPr>
        <w:jc w:val="center"/>
      </w:pPr>
      <w:r w:rsidRPr="00CC3181">
        <w:rPr>
          <w:rFonts w:asciiTheme="majorHAnsi" w:hAnsiTheme="majorHAnsi" w:cstheme="majorHAnsi"/>
          <w:noProof/>
          <w:lang w:val="es-ES" w:eastAsia="es-ES"/>
        </w:rPr>
        <w:drawing>
          <wp:inline distT="0" distB="0" distL="0" distR="0" wp14:anchorId="206C51A9" wp14:editId="76858926">
            <wp:extent cx="1181100" cy="2603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260350"/>
                    </a:xfrm>
                    <a:prstGeom prst="rect">
                      <a:avLst/>
                    </a:prstGeom>
                    <a:noFill/>
                    <a:ln>
                      <a:noFill/>
                    </a:ln>
                  </pic:spPr>
                </pic:pic>
              </a:graphicData>
            </a:graphic>
          </wp:inline>
        </w:drawing>
      </w:r>
    </w:p>
    <w:p w14:paraId="66A41918" w14:textId="54FC90EB" w:rsidR="00E0551B" w:rsidRDefault="00E0551B" w:rsidP="00E0551B">
      <w:pPr>
        <w:pStyle w:val="Caption"/>
        <w:keepNext/>
      </w:pPr>
      <w:bookmarkStart w:id="9" w:name="_Ref90391100"/>
      <w:r>
        <w:t xml:space="preserve">Equation </w:t>
      </w:r>
      <w:r>
        <w:fldChar w:fldCharType="begin"/>
      </w:r>
      <w:r>
        <w:instrText xml:space="preserve"> SEQ Equation \* ARABIC </w:instrText>
      </w:r>
      <w:r>
        <w:fldChar w:fldCharType="separate"/>
      </w:r>
      <w:r w:rsidR="000655D3">
        <w:rPr>
          <w:noProof/>
        </w:rPr>
        <w:t>1</w:t>
      </w:r>
      <w:r>
        <w:fldChar w:fldCharType="end"/>
      </w:r>
      <w:bookmarkEnd w:id="9"/>
      <w:r>
        <w:t>.</w:t>
      </w:r>
      <w:r w:rsidRPr="00E0551B">
        <w:t xml:space="preserve"> Carbon Sequestration Capacity.</w:t>
      </w:r>
    </w:p>
    <w:p w14:paraId="2CFA3ED8" w14:textId="7FEDF231" w:rsidR="00120F8F" w:rsidRPr="00120F8F" w:rsidRDefault="00120F8F" w:rsidP="00120F8F">
      <w:r>
        <w:t xml:space="preserve">However, the estimation of a forest’s CCC is not a trivial task. A forest storage capacity tends to rapidly grow during its early development and slows down around 80-100 years, depending on the species or forest types, reaching a dynamic balance with the amount of carbon in the atmosphere, when constant climatic conditions are considered </w:t>
      </w:r>
      <w:r w:rsidR="005E4580">
        <w:rPr>
          <w:noProof/>
        </w:rPr>
        <w:t>(Zhou et al., 2002)</w:t>
      </w:r>
      <w:r>
        <w:t xml:space="preserve">. Moreover, forestry Inventories of such old plots are rare to be found. Liu (2012) used a mix of remote sensing and geo-statistics techniques, as well as old-growth forest inventories, to estimate a reference CCC for each one of the level-2 FAO world ecological zones </w:t>
      </w:r>
      <w:sdt>
        <w:sdtPr>
          <w:id w:val="988591897"/>
          <w:citation/>
        </w:sdtPr>
        <w:sdtEndPr/>
        <w:sdtContent>
          <w:r w:rsidR="006B1562">
            <w:fldChar w:fldCharType="begin"/>
          </w:r>
          <w:r w:rsidR="00F14347">
            <w:instrText xml:space="preserve">CITATION FAO12 \m Liu12 \l 1033 </w:instrText>
          </w:r>
          <w:r w:rsidR="006B1562">
            <w:fldChar w:fldCharType="separate"/>
          </w:r>
          <w:r w:rsidR="004231A8">
            <w:rPr>
              <w:noProof/>
            </w:rPr>
            <w:t>(FAO, 2012; Liu, 2012)</w:t>
          </w:r>
          <w:r w:rsidR="006B1562">
            <w:fldChar w:fldCharType="end"/>
          </w:r>
        </w:sdtContent>
      </w:sdt>
      <w:r>
        <w:t>. However, for the pilot site located in Serra de Espadan, Spain, the CCC was accurately estimated in the framework of task 4.2, within which several scenarios were considered.</w:t>
      </w:r>
    </w:p>
    <w:p w14:paraId="662ADAAB" w14:textId="77777777" w:rsidR="00120F8F" w:rsidRPr="00120F8F" w:rsidRDefault="00120F8F" w:rsidP="00A85DD4">
      <w:pPr>
        <w:pStyle w:val="Heading1"/>
        <w:numPr>
          <w:ilvl w:val="0"/>
          <w:numId w:val="0"/>
        </w:numPr>
        <w:ind w:left="360" w:hanging="360"/>
        <w:rPr>
          <w:lang w:val="en-GB"/>
        </w:rPr>
      </w:pPr>
      <w:bookmarkStart w:id="10" w:name="_Toc91575515"/>
      <w:r w:rsidRPr="00120F8F">
        <w:rPr>
          <w:lang w:val="en-GB"/>
        </w:rPr>
        <w:t>3. Carbon Sequestration Capacity mapping at the pilot site level</w:t>
      </w:r>
      <w:bookmarkEnd w:id="10"/>
    </w:p>
    <w:p w14:paraId="31D7EA16" w14:textId="7C386D79" w:rsidR="00120F8F" w:rsidRPr="00120F8F" w:rsidRDefault="00120F8F" w:rsidP="00203B8C">
      <w:pPr>
        <w:rPr>
          <w:lang w:val="en-GB"/>
        </w:rPr>
      </w:pPr>
      <w:r w:rsidRPr="00120F8F">
        <w:rPr>
          <w:lang w:val="en-GB"/>
        </w:rPr>
        <w:t xml:space="preserve">The following Chapter focuses on a study area located in Serra de Espadan Natural Park, Spain. Hence, it covers the main steps of an exploratory workflow for the </w:t>
      </w:r>
      <w:r w:rsidRPr="00120F8F">
        <w:rPr>
          <w:lang w:val="en-GB"/>
        </w:rPr>
        <w:lastRenderedPageBreak/>
        <w:t>estimation of Above Ground Biomass (AGB), related Current Carbon Sequestration (CCS), and the final mapping of Carbon Sequestration Capacity (CSC) groups.</w:t>
      </w:r>
    </w:p>
    <w:p w14:paraId="433C2CA0" w14:textId="77777777" w:rsidR="00120F8F" w:rsidRPr="00120F8F" w:rsidRDefault="00120F8F" w:rsidP="00A85DD4">
      <w:pPr>
        <w:pStyle w:val="Heading2"/>
        <w:numPr>
          <w:ilvl w:val="0"/>
          <w:numId w:val="0"/>
        </w:numPr>
        <w:ind w:left="576" w:hanging="576"/>
        <w:rPr>
          <w:lang w:val="en-GB"/>
        </w:rPr>
      </w:pPr>
      <w:bookmarkStart w:id="11" w:name="_Toc91575516"/>
      <w:r w:rsidRPr="00120F8F">
        <w:rPr>
          <w:lang w:val="en-GB"/>
        </w:rPr>
        <w:t>3.1. Objectives</w:t>
      </w:r>
      <w:bookmarkEnd w:id="11"/>
    </w:p>
    <w:p w14:paraId="7688DFC5" w14:textId="66712D3F" w:rsidR="00120F8F" w:rsidRPr="00120F8F" w:rsidRDefault="00120F8F" w:rsidP="001166CA">
      <w:pPr>
        <w:rPr>
          <w:lang w:val="en-GB"/>
        </w:rPr>
      </w:pPr>
      <w:r w:rsidRPr="00120F8F">
        <w:rPr>
          <w:lang w:val="en-GB"/>
        </w:rPr>
        <w:t>Starting off with the 2 main objectives defined for task T2.7 – that are the (1) classification of CSC groups and (2) the identification and generation of indicators which help the estimation of the CCS –, these were broken down to build a methodology which aims to assess the capabilities of Sentinel-2 derived measures for the estimation AGB. More specifically, we want to identify an optimal Season for satellite data acquisition and a ranking of the most influential satellite-generated indicators using Machine Learning algorithms.</w:t>
      </w:r>
    </w:p>
    <w:p w14:paraId="7BFD8D1C" w14:textId="77777777" w:rsidR="00120F8F" w:rsidRPr="00120F8F" w:rsidRDefault="00120F8F" w:rsidP="00203B8C">
      <w:pPr>
        <w:jc w:val="left"/>
        <w:rPr>
          <w:lang w:val="en-GB"/>
        </w:rPr>
      </w:pPr>
      <w:r w:rsidRPr="00120F8F">
        <w:rPr>
          <w:lang w:val="en-GB"/>
        </w:rPr>
        <w:t>Therefore, the following pilot area-specific objectives were defined:</w:t>
      </w:r>
    </w:p>
    <w:p w14:paraId="491B77D0" w14:textId="77777777" w:rsidR="00120F8F" w:rsidRPr="00120F8F" w:rsidRDefault="00120F8F" w:rsidP="00203B8C">
      <w:pPr>
        <w:jc w:val="left"/>
        <w:rPr>
          <w:lang w:val="en-GB"/>
        </w:rPr>
      </w:pPr>
      <w:r w:rsidRPr="00120F8F">
        <w:rPr>
          <w:lang w:val="en-GB"/>
        </w:rPr>
        <w:t>•</w:t>
      </w:r>
      <w:r w:rsidRPr="00120F8F">
        <w:rPr>
          <w:lang w:val="en-GB"/>
        </w:rPr>
        <w:tab/>
        <w:t>Generation and testing of several Vegetation Indices (VI), Biophysical param, texture and topographic measures as CCS indicators;</w:t>
      </w:r>
    </w:p>
    <w:p w14:paraId="3DD03E27" w14:textId="77777777" w:rsidR="00120F8F" w:rsidRPr="00120F8F" w:rsidRDefault="00120F8F" w:rsidP="00203B8C">
      <w:pPr>
        <w:jc w:val="left"/>
        <w:rPr>
          <w:lang w:val="en-GB"/>
        </w:rPr>
      </w:pPr>
      <w:r w:rsidRPr="00120F8F">
        <w:rPr>
          <w:lang w:val="en-GB"/>
        </w:rPr>
        <w:t>•</w:t>
      </w:r>
      <w:r w:rsidRPr="00120F8F">
        <w:rPr>
          <w:lang w:val="en-GB"/>
        </w:rPr>
        <w:tab/>
        <w:t>Testing satellite images collected in different Seasons: Summer (August 2015) and Autumn (November 2016);</w:t>
      </w:r>
    </w:p>
    <w:p w14:paraId="78ED44F7" w14:textId="77777777" w:rsidR="00120F8F" w:rsidRPr="00120F8F" w:rsidRDefault="00120F8F" w:rsidP="00203B8C">
      <w:pPr>
        <w:jc w:val="left"/>
        <w:rPr>
          <w:lang w:val="en-GB"/>
        </w:rPr>
      </w:pPr>
      <w:r w:rsidRPr="00120F8F">
        <w:rPr>
          <w:lang w:val="en-GB"/>
        </w:rPr>
        <w:t>•</w:t>
      </w:r>
      <w:r w:rsidRPr="00120F8F">
        <w:rPr>
          <w:lang w:val="en-GB"/>
        </w:rPr>
        <w:tab/>
        <w:t>Incorporating outputs from task T4.2 for the estimation of CSC within the study area;</w:t>
      </w:r>
    </w:p>
    <w:p w14:paraId="43828F9B" w14:textId="1BCCBAF0" w:rsidR="00120F8F" w:rsidRPr="00120F8F" w:rsidRDefault="00120F8F" w:rsidP="00203B8C">
      <w:pPr>
        <w:jc w:val="left"/>
        <w:rPr>
          <w:lang w:val="en-GB"/>
        </w:rPr>
      </w:pPr>
      <w:r w:rsidRPr="00120F8F">
        <w:rPr>
          <w:lang w:val="en-GB"/>
        </w:rPr>
        <w:t>•</w:t>
      </w:r>
      <w:r w:rsidRPr="00120F8F">
        <w:rPr>
          <w:lang w:val="en-GB"/>
        </w:rPr>
        <w:tab/>
        <w:t>Classification of the pilot area into CSC groups.</w:t>
      </w:r>
    </w:p>
    <w:p w14:paraId="02CBF698" w14:textId="77777777" w:rsidR="00120F8F" w:rsidRPr="00120F8F" w:rsidRDefault="00120F8F" w:rsidP="00A85DD4">
      <w:pPr>
        <w:pStyle w:val="Heading2"/>
        <w:numPr>
          <w:ilvl w:val="0"/>
          <w:numId w:val="0"/>
        </w:numPr>
        <w:ind w:left="576" w:hanging="576"/>
        <w:rPr>
          <w:lang w:val="en-GB"/>
        </w:rPr>
      </w:pPr>
      <w:bookmarkStart w:id="12" w:name="_Toc91575517"/>
      <w:r w:rsidRPr="00120F8F">
        <w:rPr>
          <w:lang w:val="en-GB"/>
        </w:rPr>
        <w:t>3.2. Related studies</w:t>
      </w:r>
      <w:bookmarkEnd w:id="12"/>
    </w:p>
    <w:p w14:paraId="65BFCB0E" w14:textId="35E9D2E7" w:rsidR="00120F8F" w:rsidRPr="00120F8F" w:rsidRDefault="00120F8F" w:rsidP="001166CA">
      <w:pPr>
        <w:rPr>
          <w:lang w:val="en-GB"/>
        </w:rPr>
      </w:pPr>
      <w:r w:rsidRPr="00120F8F">
        <w:rPr>
          <w:lang w:val="en-GB"/>
        </w:rPr>
        <w:t xml:space="preserve">Above Ground Biomass (AGB) estimation, together with the estimation of CCC, is the foundation for defining CSC groups. This aspect is explained in more detail in </w:t>
      </w:r>
      <w:r w:rsidR="00F72C60">
        <w:rPr>
          <w:lang w:val="en-GB"/>
        </w:rPr>
        <w:t>s</w:t>
      </w:r>
      <w:r w:rsidRPr="00120F8F">
        <w:rPr>
          <w:lang w:val="en-GB"/>
        </w:rPr>
        <w:t>ection 3.3. Therefore, the following section contains a brief literature review on remote sensing-based studies for the estimation of AGB. More specifically, the focus is on those studies involving the use of the twin satellites Sentinel-2A and 2B.</w:t>
      </w:r>
    </w:p>
    <w:p w14:paraId="1D2FE989" w14:textId="54A77EBB" w:rsidR="00120F8F" w:rsidRPr="00120F8F" w:rsidRDefault="00120F8F" w:rsidP="001166CA">
      <w:pPr>
        <w:rPr>
          <w:lang w:val="en-GB"/>
        </w:rPr>
      </w:pPr>
      <w:r w:rsidRPr="00120F8F">
        <w:rPr>
          <w:lang w:val="en-GB"/>
        </w:rPr>
        <w:t xml:space="preserve">Remote sensing-based estimation of AGB utilizes a variety of sensors, features and several regression models </w:t>
      </w:r>
      <w:r w:rsidR="00F72C60">
        <w:rPr>
          <w:noProof/>
        </w:rPr>
        <w:t>(Galidaki, et al., 2017; Lu, 2006; Salem et al., 2020)</w:t>
      </w:r>
      <w:r w:rsidRPr="00120F8F">
        <w:rPr>
          <w:lang w:val="en-GB"/>
        </w:rPr>
        <w:t>. It their extensive literature review, Salem et al. (2020), analysed over 150 peer-reviewed articled on AGB and CS estimation. Only 25% of these studies use imagery data from active sensors, almost equally divided into LiDAR (laser imaging, detection, and ranging) and Radar (radio detection and ranging) technologies; while the majority of them deals with imagery collected from various passive sensors.</w:t>
      </w:r>
    </w:p>
    <w:p w14:paraId="521EFA78" w14:textId="3CAB350A" w:rsidR="00120F8F" w:rsidRPr="00120F8F" w:rsidRDefault="00120F8F" w:rsidP="001166CA">
      <w:pPr>
        <w:rPr>
          <w:lang w:val="en-GB"/>
        </w:rPr>
      </w:pPr>
      <w:r w:rsidRPr="00120F8F">
        <w:rPr>
          <w:lang w:val="en-GB"/>
        </w:rPr>
        <w:lastRenderedPageBreak/>
        <w:t>Sentinel-2A was launched in 2015 by the European Space Agency (ESA) and since then its potential in AGB estimation has been evaluated by several authors and within a variety of ecological zones</w:t>
      </w:r>
      <w:r w:rsidR="00FD6588">
        <w:rPr>
          <w:lang w:val="en-GB"/>
        </w:rPr>
        <w:t xml:space="preserve"> </w:t>
      </w:r>
      <w:r w:rsidRPr="00120F8F">
        <w:rPr>
          <w:lang w:val="en-GB"/>
        </w:rPr>
        <w:t xml:space="preserve"> </w:t>
      </w:r>
      <w:r w:rsidR="00F72C60">
        <w:rPr>
          <w:noProof/>
        </w:rPr>
        <w:t>(Pandit et al., 2019)</w:t>
      </w:r>
      <w:r w:rsidRPr="00120F8F">
        <w:rPr>
          <w:lang w:val="en-GB"/>
        </w:rPr>
        <w:t>.</w:t>
      </w:r>
    </w:p>
    <w:p w14:paraId="097BB54C" w14:textId="6032B211" w:rsidR="00120F8F" w:rsidRPr="00120F8F" w:rsidRDefault="00120F8F" w:rsidP="000853EE">
      <w:pPr>
        <w:rPr>
          <w:lang w:val="en-GB"/>
        </w:rPr>
      </w:pPr>
      <w:r w:rsidRPr="00120F8F">
        <w:rPr>
          <w:lang w:val="en-GB"/>
        </w:rPr>
        <w:t>The work of Pandit</w:t>
      </w:r>
      <w:r w:rsidR="00F95F7E">
        <w:rPr>
          <w:lang w:val="en-GB"/>
        </w:rPr>
        <w:t xml:space="preserve"> et all</w:t>
      </w:r>
      <w:r w:rsidRPr="00120F8F">
        <w:rPr>
          <w:lang w:val="en-GB"/>
        </w:rPr>
        <w:t xml:space="preserve"> (2018) explores the performance of spectrally derived indices from Sentinel-2A as inputs in a Random Forest (RF) model in a subtropical forest in Nepal. Field-based AGB values were estimated by applying an allometric equation using forestry inventory data from 113 measured plots with a radius of 12 m. The model performance was assessed by using a 10-fold cross-validation. The predicted AGB ranged from a minimum of 35.42 t/ha to a maximum of 276.92 t/ha, with a mean of 160 t/ha; the final model resulted in a Root Mean Squared Error (RMSE) of 25.32 t/ha between the observed and the predicted biomass. </w:t>
      </w:r>
    </w:p>
    <w:p w14:paraId="69E6E712" w14:textId="61A9EB4D" w:rsidR="00120F8F" w:rsidRPr="00120F8F" w:rsidRDefault="00120F8F" w:rsidP="000853EE">
      <w:pPr>
        <w:rPr>
          <w:lang w:val="en-GB"/>
        </w:rPr>
      </w:pPr>
      <w:r w:rsidRPr="00120F8F">
        <w:rPr>
          <w:lang w:val="en-GB"/>
        </w:rPr>
        <w:t xml:space="preserve">Khan et al. (2020) explored the use of Sentinel-2 images in a mountainous temperate forest in Pakistan. Their study examines the performance of 3 categories of spectrally derived VIs - </w:t>
      </w:r>
      <w:r w:rsidR="00E855F0" w:rsidRPr="00120F8F">
        <w:rPr>
          <w:lang w:val="en-GB"/>
        </w:rPr>
        <w:t>i.e.,</w:t>
      </w:r>
      <w:r w:rsidRPr="00120F8F">
        <w:rPr>
          <w:lang w:val="en-GB"/>
        </w:rPr>
        <w:t xml:space="preserve"> Broadband, Canopy Water Content, and Narrow band red-edge VIs. Out of 25 indices, only 11 were used as inputs in the linear regression model, most of which were red-edge VIs. The predicted AGB ranged from a minimum of 46.45 t/ha to a maximum of 279.59 t/ha, and a mean of 148.79 t/ha. The final biomass map was validated using 10 out of the 55 plots, with a radius of 17 m, and resulted in a RMSE of 35.23 t/ha between observed and predicted biomass. </w:t>
      </w:r>
    </w:p>
    <w:p w14:paraId="5A3B7BCC" w14:textId="0F1E9F1F" w:rsidR="00120F8F" w:rsidRPr="00CC3F98" w:rsidRDefault="00120F8F" w:rsidP="000853EE">
      <w:r w:rsidRPr="00120F8F">
        <w:rPr>
          <w:lang w:val="en-GB"/>
        </w:rPr>
        <w:t>Additionally, Sentinel-2 single bands have been used in boreal areas for estimating AGB over the entire Norwegian territory. In their work, Puliti et al. (2020), used the whole Norwegian forestry inventory, composed of 7</w:t>
      </w:r>
      <w:r w:rsidR="00F72C60">
        <w:rPr>
          <w:lang w:val="en-GB"/>
        </w:rPr>
        <w:t>,</w:t>
      </w:r>
      <w:r w:rsidRPr="00120F8F">
        <w:rPr>
          <w:lang w:val="en-GB"/>
        </w:rPr>
        <w:t>710 plots with a radius of 9 m. Furthermore, a Canopy Height Model (CHM) was included as model input; this was generated by normalising a freely available 2 m resolution DEM covering the entire area north of 60 degrees of latitude with a freely available 10 m resolution Digital Terrain Model (DTM). The final maps were evaluated using cross-validation, resulting in a RMSE of 45.8 t/ha when using solely Sentinel-2 single bands; a similar performance was achieved from using solely the CHM, with a RMSE OF 47.7 t/ha; finally, a noticeable synergy was found when using both, with a decrease of the error down to 41.4 t/ha</w:t>
      </w:r>
      <w:r w:rsidR="00CC3F98" w:rsidRPr="00CC3F98">
        <w:t>.</w:t>
      </w:r>
    </w:p>
    <w:p w14:paraId="128B4A37" w14:textId="7BC0C179" w:rsidR="00120F8F" w:rsidRDefault="00120F8F" w:rsidP="000853EE">
      <w:pPr>
        <w:rPr>
          <w:lang w:val="en-GB"/>
        </w:rPr>
      </w:pPr>
      <w:r w:rsidRPr="00120F8F">
        <w:rPr>
          <w:lang w:val="en-GB"/>
        </w:rPr>
        <w:t xml:space="preserve">In conclusion, studies involving the twin satellites Sentinel-2A and 2B show higher performance in AGB estimation compared to working with Landsat images. This is attributed to its higher spectral, spatial, and temporal resolution compared to the </w:t>
      </w:r>
      <w:r w:rsidRPr="00120F8F">
        <w:rPr>
          <w:lang w:val="en-GB"/>
        </w:rPr>
        <w:lastRenderedPageBreak/>
        <w:t>Landsat mission. Specially, the presence of red-edge bands makes these images highly valuable for vegetation analysis</w:t>
      </w:r>
      <w:r w:rsidR="00F95F7E">
        <w:rPr>
          <w:lang w:val="en-GB"/>
        </w:rPr>
        <w:t xml:space="preserve"> </w:t>
      </w:r>
      <w:sdt>
        <w:sdtPr>
          <w:rPr>
            <w:lang w:val="en-GB"/>
          </w:rPr>
          <w:id w:val="1550724992"/>
          <w:citation/>
        </w:sdtPr>
        <w:sdtEndPr/>
        <w:sdtContent>
          <w:r w:rsidR="000469F2">
            <w:rPr>
              <w:lang w:val="en-GB"/>
            </w:rPr>
            <w:fldChar w:fldCharType="begin"/>
          </w:r>
          <w:r w:rsidR="00F95F7E">
            <w:instrText xml:space="preserve">CITATION Pan18 \t  \l 1033 </w:instrText>
          </w:r>
          <w:r w:rsidR="000469F2">
            <w:rPr>
              <w:lang w:val="en-GB"/>
            </w:rPr>
            <w:fldChar w:fldCharType="separate"/>
          </w:r>
          <w:r w:rsidR="00F95F7E">
            <w:rPr>
              <w:noProof/>
            </w:rPr>
            <w:t>(Pandit, Tsuyuki, &amp; Dube, 2018)</w:t>
          </w:r>
          <w:r w:rsidR="000469F2">
            <w:rPr>
              <w:lang w:val="en-GB"/>
            </w:rPr>
            <w:fldChar w:fldCharType="end"/>
          </w:r>
        </w:sdtContent>
      </w:sdt>
      <w:r w:rsidRPr="00120F8F">
        <w:rPr>
          <w:lang w:val="en-GB"/>
        </w:rPr>
        <w:t>.</w:t>
      </w:r>
    </w:p>
    <w:p w14:paraId="017473D9" w14:textId="77777777" w:rsidR="00120F8F" w:rsidRDefault="00120F8F" w:rsidP="00A85DD4">
      <w:pPr>
        <w:pStyle w:val="Heading2"/>
        <w:numPr>
          <w:ilvl w:val="0"/>
          <w:numId w:val="0"/>
        </w:numPr>
        <w:ind w:left="576" w:hanging="576"/>
      </w:pPr>
      <w:bookmarkStart w:id="13" w:name="_Toc91575518"/>
      <w:r>
        <w:t>3.3. Materials &amp; Methodology</w:t>
      </w:r>
      <w:bookmarkEnd w:id="13"/>
    </w:p>
    <w:p w14:paraId="1ABB306B" w14:textId="2CECFCFA" w:rsidR="00120F8F" w:rsidRDefault="00120F8F" w:rsidP="00120F8F">
      <w:r>
        <w:t>This Section contains the description of the pilot site, as well as data collection and data pre-processing. Moreover, it illustrates the proposed methodological workflow.</w:t>
      </w:r>
    </w:p>
    <w:p w14:paraId="1A3D3EC8" w14:textId="77777777" w:rsidR="00120F8F" w:rsidRDefault="00120F8F" w:rsidP="00A85DD4">
      <w:pPr>
        <w:pStyle w:val="Heading3"/>
        <w:numPr>
          <w:ilvl w:val="0"/>
          <w:numId w:val="0"/>
        </w:numPr>
        <w:ind w:left="720" w:hanging="720"/>
      </w:pPr>
      <w:bookmarkStart w:id="14" w:name="_Toc91575519"/>
      <w:r>
        <w:t>3.3.1. Study area</w:t>
      </w:r>
      <w:bookmarkEnd w:id="14"/>
    </w:p>
    <w:p w14:paraId="64AAD4DB" w14:textId="5C98B246" w:rsidR="00120F8F" w:rsidRDefault="00120F8F" w:rsidP="00120F8F">
      <w:r>
        <w:t xml:space="preserve">The area was identified as Marginal Land (ML) in a previous </w:t>
      </w:r>
      <w:r w:rsidRPr="008A4A2A">
        <w:rPr>
          <w:b/>
          <w:bCs/>
          <w:i/>
          <w:iCs/>
          <w:color w:val="31479E" w:themeColor="accent1" w:themeShade="BF"/>
        </w:rPr>
        <w:t>MAIL</w:t>
      </w:r>
      <w:r w:rsidRPr="008A4A2A">
        <w:rPr>
          <w:color w:val="31479E" w:themeColor="accent1" w:themeShade="BF"/>
        </w:rPr>
        <w:t xml:space="preserve"> </w:t>
      </w:r>
      <w:r>
        <w:t>task, which aimed to the identification of MLs in Europe. The following description of the study area was provided by a study from Torralba and Crespo-Peremarch (2018). The area object of study covers a total of 3</w:t>
      </w:r>
      <w:r w:rsidR="00F72C60">
        <w:t>,</w:t>
      </w:r>
      <w:r>
        <w:t>741.5 ha and is located in the Natural Park of Serra de Espadan, in the eastern Spain province of Castellon (</w:t>
      </w:r>
      <w:r w:rsidR="007D2825">
        <w:fldChar w:fldCharType="begin"/>
      </w:r>
      <w:r w:rsidR="007D2825">
        <w:instrText xml:space="preserve"> REF _Ref90391953 \h </w:instrText>
      </w:r>
      <w:r w:rsidR="007D2825">
        <w:fldChar w:fldCharType="separate"/>
      </w:r>
      <w:r w:rsidR="000655D3">
        <w:t xml:space="preserve">Figure </w:t>
      </w:r>
      <w:r w:rsidR="000655D3">
        <w:rPr>
          <w:noProof/>
        </w:rPr>
        <w:t>1</w:t>
      </w:r>
      <w:r w:rsidR="007D2825">
        <w:fldChar w:fldCharType="end"/>
      </w:r>
      <w:r>
        <w:t xml:space="preserve">). This natural park is a Mediterranean forest with soft and rounded hills, presence of abandoned farming with artificial terraces, and mountain peaks up to 1100 meters of altitude. </w:t>
      </w:r>
    </w:p>
    <w:p w14:paraId="0E09E59F" w14:textId="546A1190" w:rsidR="00C25F91" w:rsidRPr="00120F8F" w:rsidRDefault="008E156A" w:rsidP="00120F8F">
      <w:r>
        <w:t>A</w:t>
      </w:r>
      <w:r w:rsidR="00120F8F">
        <w:t xml:space="preserve"> European Environment Agency report from 2017 classified this area as a semi-natural forest with a natural function, composition</w:t>
      </w:r>
      <w:r w:rsidR="00F72C60">
        <w:t>,</w:t>
      </w:r>
      <w:r w:rsidR="00120F8F">
        <w:t xml:space="preserve"> and structure, but modified by human activities throughout history </w:t>
      </w:r>
      <w:sdt>
        <w:sdtPr>
          <w:id w:val="-738557998"/>
          <w:citation/>
        </w:sdtPr>
        <w:sdtEndPr/>
        <w:sdtContent>
          <w:r w:rsidR="003E072D">
            <w:fldChar w:fldCharType="begin"/>
          </w:r>
          <w:r w:rsidR="003E072D">
            <w:instrText xml:space="preserve"> CITATION EEA17 \l 1033 </w:instrText>
          </w:r>
          <w:r w:rsidR="003E072D">
            <w:fldChar w:fldCharType="separate"/>
          </w:r>
          <w:r w:rsidR="004231A8">
            <w:rPr>
              <w:noProof/>
            </w:rPr>
            <w:t>(EEA, 2017)</w:t>
          </w:r>
          <w:r w:rsidR="003E072D">
            <w:fldChar w:fldCharType="end"/>
          </w:r>
        </w:sdtContent>
      </w:sdt>
      <w:r w:rsidR="00120F8F">
        <w:t xml:space="preserve">. Forest types and conditions have been influenced by human needs and changes in land use, as well as reforestation of single species policies from the last century. This area displays a heterogeneous landscape dominated by pure and mixed native coniferous and deciduous forests, with species of the genera Pinus and Quercus. In accordance with the global ecological zones described by FAO and to the Koppen-Trewartha Climatic groups, the Mediterranean climate is a variety of the subtropical climate, together with the Oceanic, the Humid subtropical, the Semi-desert, and desert climate </w:t>
      </w:r>
      <w:sdt>
        <w:sdtPr>
          <w:id w:val="-2024464815"/>
          <w:citation/>
        </w:sdtPr>
        <w:sdtEndPr/>
        <w:sdtContent>
          <w:r w:rsidR="003E072D">
            <w:fldChar w:fldCharType="begin"/>
          </w:r>
          <w:r w:rsidR="003E072D">
            <w:instrText xml:space="preserve"> CITATION FAO12 \l 1033 </w:instrText>
          </w:r>
          <w:r w:rsidR="003E072D">
            <w:fldChar w:fldCharType="separate"/>
          </w:r>
          <w:r w:rsidR="004231A8">
            <w:rPr>
              <w:noProof/>
            </w:rPr>
            <w:t>(FAO, 2012)</w:t>
          </w:r>
          <w:r w:rsidR="003E072D">
            <w:fldChar w:fldCharType="end"/>
          </w:r>
        </w:sdtContent>
      </w:sdt>
      <w:r w:rsidR="00120F8F">
        <w:t xml:space="preserve">. Hence, since many of the authors mentioned in Chapter 2 refer to their area of interest by using the climate domain - </w:t>
      </w:r>
      <w:r w:rsidR="00921B52">
        <w:t>i.e.,</w:t>
      </w:r>
      <w:r w:rsidR="00120F8F">
        <w:t xml:space="preserve"> tropical, subtropical, temperate, boreal, polar - from now on, our area of study will be referred to by the </w:t>
      </w:r>
      <w:r w:rsidR="00F72C60">
        <w:t>name</w:t>
      </w:r>
      <w:r w:rsidR="00120F8F">
        <w:t xml:space="preserve"> of its major climate domain, that is subtropical.</w:t>
      </w:r>
    </w:p>
    <w:p w14:paraId="266642F9" w14:textId="654AF0A6" w:rsidR="00C25F91" w:rsidRDefault="00120F8F" w:rsidP="00120F8F">
      <w:pPr>
        <w:jc w:val="center"/>
        <w:rPr>
          <w:lang w:val="en-GB"/>
        </w:rPr>
      </w:pPr>
      <w:r w:rsidRPr="00CC3181">
        <w:rPr>
          <w:rFonts w:asciiTheme="majorHAnsi" w:hAnsiTheme="majorHAnsi" w:cstheme="majorHAnsi"/>
          <w:noProof/>
          <w:lang w:val="es-ES" w:eastAsia="es-ES"/>
        </w:rPr>
        <w:lastRenderedPageBreak/>
        <w:drawing>
          <wp:inline distT="0" distB="0" distL="0" distR="0" wp14:anchorId="50157A31" wp14:editId="62FD7A46">
            <wp:extent cx="4135457" cy="497381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0124" cy="4991451"/>
                    </a:xfrm>
                    <a:prstGeom prst="rect">
                      <a:avLst/>
                    </a:prstGeom>
                    <a:noFill/>
                    <a:ln>
                      <a:noFill/>
                    </a:ln>
                  </pic:spPr>
                </pic:pic>
              </a:graphicData>
            </a:graphic>
          </wp:inline>
        </w:drawing>
      </w:r>
    </w:p>
    <w:p w14:paraId="2A3B0F17" w14:textId="0011213C" w:rsidR="00120F8F" w:rsidRPr="00161825" w:rsidRDefault="00120F8F" w:rsidP="00161825">
      <w:pPr>
        <w:spacing w:line="276" w:lineRule="auto"/>
        <w:jc w:val="center"/>
        <w:rPr>
          <w:i/>
          <w:iCs/>
          <w:sz w:val="20"/>
          <w:szCs w:val="20"/>
          <w:lang w:val="en-GB"/>
        </w:rPr>
      </w:pPr>
      <w:r w:rsidRPr="00161825">
        <w:rPr>
          <w:i/>
          <w:iCs/>
          <w:sz w:val="20"/>
          <w:szCs w:val="20"/>
          <w:lang w:val="en-GB"/>
        </w:rPr>
        <w:t>Location of Serra de Espadan Natural Park, Spain (a). Location of the study area within Serra de Espadan Natural Park (b). Distribution of the forestry inventory plots within the area (c).</w:t>
      </w:r>
    </w:p>
    <w:p w14:paraId="2C34B338" w14:textId="08B50F72" w:rsidR="00161825" w:rsidRDefault="00161825" w:rsidP="00161825">
      <w:pPr>
        <w:pStyle w:val="Caption"/>
      </w:pPr>
      <w:bookmarkStart w:id="15" w:name="_Ref90391953"/>
      <w:bookmarkStart w:id="16" w:name="_Toc91575545"/>
      <w:r>
        <w:t xml:space="preserve">Figure </w:t>
      </w:r>
      <w:r>
        <w:fldChar w:fldCharType="begin"/>
      </w:r>
      <w:r>
        <w:instrText xml:space="preserve"> SEQ Figure \* ARABIC </w:instrText>
      </w:r>
      <w:r>
        <w:fldChar w:fldCharType="separate"/>
      </w:r>
      <w:r w:rsidR="000655D3">
        <w:rPr>
          <w:noProof/>
        </w:rPr>
        <w:t>1</w:t>
      </w:r>
      <w:r>
        <w:fldChar w:fldCharType="end"/>
      </w:r>
      <w:bookmarkEnd w:id="15"/>
      <w:r w:rsidR="00EC1098">
        <w:t>.</w:t>
      </w:r>
      <w:r w:rsidRPr="00C400BE">
        <w:t xml:space="preserve"> Study area and location of Forestry Inventory plots.</w:t>
      </w:r>
      <w:bookmarkEnd w:id="16"/>
    </w:p>
    <w:p w14:paraId="2BD36C77" w14:textId="77777777" w:rsidR="00120F8F" w:rsidRDefault="00120F8F" w:rsidP="00A85DD4">
      <w:pPr>
        <w:pStyle w:val="Heading3"/>
        <w:numPr>
          <w:ilvl w:val="0"/>
          <w:numId w:val="0"/>
        </w:numPr>
        <w:ind w:left="720" w:hanging="720"/>
      </w:pPr>
      <w:bookmarkStart w:id="17" w:name="_Toc91575520"/>
      <w:r>
        <w:t>3.3.2. Field data and field based AGB</w:t>
      </w:r>
      <w:bookmarkEnd w:id="17"/>
    </w:p>
    <w:p w14:paraId="3C241636" w14:textId="0F4E250A" w:rsidR="00C25F91" w:rsidRDefault="00120F8F" w:rsidP="00120F8F">
      <w:r>
        <w:t xml:space="preserve">A field inventory with measured Above Ground Biomass (AGB) at the plot level was provided by the Geo-Environmental Cartography and Remote Sensing Group (CGAT) at the Universitat Politecnica de Valencia (UPV); the collection of this forestry inventory was funded by the Spanish Ministerio de Economıa y Competitividad, in the framework of the project CGL2016-80705-R. The field data was collected in September 2015 for a total of 73 circular plots with a radius of 15 m distributed throughout the study area. Diameter at Breast Height (DBH) and height were measured for trees with a DBH above 5 cm. For each species or forest type within a plot, AGB was estimated in t/plots using species-specific and forest type-specific allometric equations from </w:t>
      </w:r>
      <w:r w:rsidR="00F72C60">
        <w:rPr>
          <w:noProof/>
        </w:rPr>
        <w:t xml:space="preserve">(Gregorioet </w:t>
      </w:r>
      <w:r w:rsidR="00F72C60">
        <w:rPr>
          <w:noProof/>
        </w:rPr>
        <w:lastRenderedPageBreak/>
        <w:t>al., 2005)</w:t>
      </w:r>
      <w:r>
        <w:t>. As showed in</w:t>
      </w:r>
      <w:r w:rsidR="00D847A3">
        <w:t xml:space="preserve"> </w:t>
      </w:r>
      <w:r w:rsidR="00D847A3">
        <w:fldChar w:fldCharType="begin"/>
      </w:r>
      <w:r w:rsidR="00D847A3">
        <w:instrText xml:space="preserve"> REF _Ref90391151 \h </w:instrText>
      </w:r>
      <w:r w:rsidR="00D847A3">
        <w:fldChar w:fldCharType="separate"/>
      </w:r>
      <w:r w:rsidR="000655D3">
        <w:t xml:space="preserve">Equation </w:t>
      </w:r>
      <w:r w:rsidR="000655D3">
        <w:rPr>
          <w:noProof/>
        </w:rPr>
        <w:t>2</w:t>
      </w:r>
      <w:r w:rsidR="00D847A3">
        <w:fldChar w:fldCharType="end"/>
      </w:r>
      <w:r>
        <w:t>, the provided field based AGB was then converted from t/plots into t/ha.</w:t>
      </w:r>
    </w:p>
    <w:p w14:paraId="55CC0862" w14:textId="5A52B9CD" w:rsidR="00120F8F" w:rsidRDefault="00120F8F" w:rsidP="00120F8F">
      <w:pPr>
        <w:jc w:val="center"/>
      </w:pPr>
      <w:r w:rsidRPr="00CC3181">
        <w:rPr>
          <w:rFonts w:asciiTheme="majorHAnsi" w:hAnsiTheme="majorHAnsi" w:cstheme="majorHAnsi"/>
          <w:noProof/>
          <w:lang w:val="es-ES" w:eastAsia="es-ES"/>
        </w:rPr>
        <w:drawing>
          <wp:inline distT="0" distB="0" distL="0" distR="0" wp14:anchorId="034C6525" wp14:editId="24D0F4DD">
            <wp:extent cx="1727200" cy="117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7200" cy="1174750"/>
                    </a:xfrm>
                    <a:prstGeom prst="rect">
                      <a:avLst/>
                    </a:prstGeom>
                    <a:noFill/>
                    <a:ln>
                      <a:noFill/>
                    </a:ln>
                  </pic:spPr>
                </pic:pic>
              </a:graphicData>
            </a:graphic>
          </wp:inline>
        </w:drawing>
      </w:r>
    </w:p>
    <w:p w14:paraId="0E1FE3B6" w14:textId="3FB315C9" w:rsidR="00161825" w:rsidRDefault="00161825" w:rsidP="00161825">
      <w:pPr>
        <w:pStyle w:val="Caption"/>
        <w:keepNext/>
      </w:pPr>
      <w:bookmarkStart w:id="18" w:name="_Ref90391151"/>
      <w:r>
        <w:t xml:space="preserve">Equation </w:t>
      </w:r>
      <w:r>
        <w:fldChar w:fldCharType="begin"/>
      </w:r>
      <w:r>
        <w:instrText xml:space="preserve"> SEQ Equation \* ARABIC </w:instrText>
      </w:r>
      <w:r>
        <w:fldChar w:fldCharType="separate"/>
      </w:r>
      <w:r w:rsidR="000655D3">
        <w:rPr>
          <w:noProof/>
        </w:rPr>
        <w:t>2</w:t>
      </w:r>
      <w:r>
        <w:fldChar w:fldCharType="end"/>
      </w:r>
      <w:bookmarkEnd w:id="18"/>
      <w:r w:rsidR="00EC1098">
        <w:t>.</w:t>
      </w:r>
      <w:r>
        <w:t xml:space="preserve"> </w:t>
      </w:r>
      <w:r w:rsidRPr="00FB02EB">
        <w:t>Above Ground Biomass.</w:t>
      </w:r>
    </w:p>
    <w:p w14:paraId="4622AD03" w14:textId="65E5A193" w:rsidR="00120F8F" w:rsidRDefault="00120F8F" w:rsidP="00120F8F">
      <w:r>
        <w:t>The field-based AGB ranges from a minimum of 0.35 t/ha to a maximum of 274.50 t/ha, with a mean value of 92.49 t/ha; the distribution appears right-skewed (</w:t>
      </w:r>
      <w:r w:rsidR="007D2825">
        <w:fldChar w:fldCharType="begin"/>
      </w:r>
      <w:r w:rsidR="007D2825">
        <w:instrText xml:space="preserve"> REF _Ref90391989 \h </w:instrText>
      </w:r>
      <w:r w:rsidR="007D2825">
        <w:fldChar w:fldCharType="separate"/>
      </w:r>
      <w:r w:rsidR="000655D3">
        <w:t xml:space="preserve">Figure </w:t>
      </w:r>
      <w:r w:rsidR="000655D3">
        <w:rPr>
          <w:noProof/>
        </w:rPr>
        <w:t>2</w:t>
      </w:r>
      <w:r w:rsidR="007D2825">
        <w:fldChar w:fldCharType="end"/>
      </w:r>
      <w:r>
        <w:t>). It must be not</w:t>
      </w:r>
      <w:r w:rsidR="00F72C60">
        <w:t>ed</w:t>
      </w:r>
      <w:r>
        <w:t xml:space="preserve"> that the values on the vertical axis in </w:t>
      </w:r>
      <w:r w:rsidR="007D2825">
        <w:fldChar w:fldCharType="begin"/>
      </w:r>
      <w:r w:rsidR="007D2825">
        <w:instrText xml:space="preserve"> REF _Ref90391989 \h </w:instrText>
      </w:r>
      <w:r w:rsidR="007D2825">
        <w:fldChar w:fldCharType="separate"/>
      </w:r>
      <w:r w:rsidR="000655D3">
        <w:t xml:space="preserve">Figure </w:t>
      </w:r>
      <w:r w:rsidR="000655D3">
        <w:rPr>
          <w:noProof/>
        </w:rPr>
        <w:t>2</w:t>
      </w:r>
      <w:r w:rsidR="007D2825">
        <w:fldChar w:fldCharType="end"/>
      </w:r>
      <w:r w:rsidR="007D2825">
        <w:t xml:space="preserve"> </w:t>
      </w:r>
      <w:r>
        <w:t>are referr</w:t>
      </w:r>
      <w:r w:rsidR="00F72C60">
        <w:t>ing</w:t>
      </w:r>
      <w:r>
        <w:t xml:space="preserve"> to the status of data after preprocessing, that is once the forestry plots - now represented as polygons - are transformed into a feature point class where each plot results in 6 to 7 points; more information on this can be found in the following </w:t>
      </w:r>
      <w:r w:rsidR="00F72C60">
        <w:t>s</w:t>
      </w:r>
      <w:r>
        <w:t>ection.</w:t>
      </w:r>
    </w:p>
    <w:p w14:paraId="2328BDA1" w14:textId="4598A2A3" w:rsidR="00120F8F" w:rsidRDefault="00120F8F" w:rsidP="00120F8F">
      <w:pPr>
        <w:jc w:val="center"/>
      </w:pPr>
      <w:r w:rsidRPr="00CC3181">
        <w:rPr>
          <w:rFonts w:asciiTheme="majorHAnsi" w:hAnsiTheme="majorHAnsi" w:cstheme="majorHAnsi"/>
          <w:noProof/>
          <w:lang w:val="es-ES" w:eastAsia="es-ES"/>
        </w:rPr>
        <w:drawing>
          <wp:inline distT="0" distB="0" distL="0" distR="0" wp14:anchorId="21D9D0DA" wp14:editId="3C2DF7F6">
            <wp:extent cx="2645139" cy="1787451"/>
            <wp:effectExtent l="0" t="0" r="3175" b="381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9946" cy="1797457"/>
                    </a:xfrm>
                    <a:prstGeom prst="rect">
                      <a:avLst/>
                    </a:prstGeom>
                    <a:noFill/>
                    <a:ln>
                      <a:noFill/>
                    </a:ln>
                  </pic:spPr>
                </pic:pic>
              </a:graphicData>
            </a:graphic>
          </wp:inline>
        </w:drawing>
      </w:r>
    </w:p>
    <w:p w14:paraId="0BA42A33" w14:textId="308E8246" w:rsidR="00120F8F" w:rsidRDefault="00161825" w:rsidP="00161825">
      <w:pPr>
        <w:pStyle w:val="Caption"/>
      </w:pPr>
      <w:bookmarkStart w:id="19" w:name="_Ref90391989"/>
      <w:bookmarkStart w:id="20" w:name="_Toc91575546"/>
      <w:r>
        <w:t xml:space="preserve">Figure </w:t>
      </w:r>
      <w:r>
        <w:fldChar w:fldCharType="begin"/>
      </w:r>
      <w:r>
        <w:instrText xml:space="preserve"> SEQ Figure \* ARABIC </w:instrText>
      </w:r>
      <w:r>
        <w:fldChar w:fldCharType="separate"/>
      </w:r>
      <w:r w:rsidR="000655D3">
        <w:rPr>
          <w:noProof/>
        </w:rPr>
        <w:t>2</w:t>
      </w:r>
      <w:r>
        <w:fldChar w:fldCharType="end"/>
      </w:r>
      <w:bookmarkEnd w:id="19"/>
      <w:r w:rsidR="00EC1098">
        <w:t>.</w:t>
      </w:r>
      <w:r>
        <w:t xml:space="preserve"> </w:t>
      </w:r>
      <w:r w:rsidRPr="004B6F46">
        <w:t>Distribution of measures Above Ground Biomass.</w:t>
      </w:r>
      <w:bookmarkEnd w:id="20"/>
    </w:p>
    <w:p w14:paraId="659683E0" w14:textId="77777777" w:rsidR="00120F8F" w:rsidRPr="00CC3181" w:rsidRDefault="00120F8F" w:rsidP="00A85DD4">
      <w:pPr>
        <w:pStyle w:val="Heading3"/>
        <w:numPr>
          <w:ilvl w:val="0"/>
          <w:numId w:val="0"/>
        </w:numPr>
        <w:ind w:left="720" w:hanging="720"/>
      </w:pPr>
      <w:bookmarkStart w:id="21" w:name="_Toc66199616"/>
      <w:bookmarkStart w:id="22" w:name="_Toc91575521"/>
      <w:r w:rsidRPr="00142CBA">
        <w:t>3.3.3. Sentinel-2 collection and pre</w:t>
      </w:r>
      <w:r>
        <w:t>-</w:t>
      </w:r>
      <w:r w:rsidRPr="00142CBA">
        <w:t>processing</w:t>
      </w:r>
      <w:bookmarkEnd w:id="21"/>
      <w:bookmarkEnd w:id="22"/>
    </w:p>
    <w:p w14:paraId="5A4E183E" w14:textId="5832043E" w:rsidR="00120F8F" w:rsidRPr="00CC3181" w:rsidRDefault="00120F8F" w:rsidP="00120F8F">
      <w:r w:rsidRPr="00CC3181">
        <w:t>From the Copernicus Open Access Hub</w:t>
      </w:r>
      <w:r w:rsidRPr="00CC3181">
        <w:rPr>
          <w:rStyle w:val="FootnoteReference"/>
          <w:rFonts w:asciiTheme="majorHAnsi" w:hAnsiTheme="majorHAnsi" w:cs="Arial"/>
        </w:rPr>
        <w:footnoteReference w:id="3"/>
      </w:r>
      <w:r w:rsidRPr="00CC3181">
        <w:t xml:space="preserve">, 2 images covering 2 seasons were downloaded: Summer (August 2015) and Autumn (November 2016). Both dates are close to the time the forestry’s inventory measures and have a cloud coverage of less than 5% with clouds absent in the spatial subset where the study area is located. A single Sentinel 2A Level 1C product is an ortho-image provided in the UTM/WGS84 </w:t>
      </w:r>
      <w:r w:rsidRPr="00CC3181">
        <w:lastRenderedPageBreak/>
        <w:t>projection, and composed of 13 spectral bands: visible, NIR, red-edge, and shortwave infrared (SWIR), which spatial resolution var</w:t>
      </w:r>
      <w:r w:rsidR="003121D8">
        <w:t>ying</w:t>
      </w:r>
      <w:r w:rsidRPr="00CC3181">
        <w:t xml:space="preserve"> from 10, 20 and 60 m.</w:t>
      </w:r>
    </w:p>
    <w:p w14:paraId="0104E3A2" w14:textId="11D9AEC5" w:rsidR="00120F8F" w:rsidRPr="00CC3181" w:rsidRDefault="00120F8F" w:rsidP="00120F8F">
      <w:r w:rsidRPr="00CC3181">
        <w:t>The first preprocessing steps were carried out using license free tools provided by the European Spatial Agency (ESA). First, to adjust the images from Top of the Atmosphere (ToA, L1C) to Bottom of the Atmosphere (BoA, L2A) reflectance, Sen2Cor was used.</w:t>
      </w:r>
      <w:r>
        <w:t xml:space="preserve"> </w:t>
      </w:r>
      <w:r w:rsidRPr="00CC3181">
        <w:t>This plugin allows for atmospheric, terrain, and cirrus correction. Second, using the Sentinel Application Platform (SNAP),</w:t>
      </w:r>
      <w:r>
        <w:t xml:space="preserve"> </w:t>
      </w:r>
      <w:r w:rsidRPr="00CC3181">
        <w:t>red-edge and SWIR bands were re-sampled from 20 to 10 m using the nearest neighbor method. The three bands with a spatial resolution of 60 m (band 1, 9 and 10) were excluded from the analysis by using the subset tool in SNAP, as these are mostly used for climate and atmospheric related studies. Finally, the remaining bands were clipped to the extent of the study area.</w:t>
      </w:r>
    </w:p>
    <w:p w14:paraId="624AB896" w14:textId="77777777" w:rsidR="00120F8F" w:rsidRPr="00120F8F" w:rsidRDefault="00120F8F" w:rsidP="00A85DD4">
      <w:pPr>
        <w:pStyle w:val="Heading3"/>
        <w:numPr>
          <w:ilvl w:val="0"/>
          <w:numId w:val="0"/>
        </w:numPr>
        <w:ind w:left="720" w:hanging="720"/>
      </w:pPr>
      <w:bookmarkStart w:id="23" w:name="_Toc66199617"/>
      <w:bookmarkStart w:id="24" w:name="_Toc91575522"/>
      <w:r w:rsidRPr="00120F8F">
        <w:t>3.3.4. Vegetation Indices and biophysical parameters generation</w:t>
      </w:r>
      <w:bookmarkEnd w:id="23"/>
      <w:bookmarkEnd w:id="24"/>
    </w:p>
    <w:p w14:paraId="58798B89" w14:textId="4EEE5945" w:rsidR="00451B61" w:rsidRDefault="00120F8F" w:rsidP="00AF57AB">
      <w:pPr>
        <w:pStyle w:val="Caption"/>
        <w:jc w:val="both"/>
        <w:rPr>
          <w:rFonts w:eastAsiaTheme="minorHAnsi" w:cstheme="minorBidi"/>
          <w:b w:val="0"/>
          <w:bCs w:val="0"/>
          <w:color w:val="auto"/>
          <w:sz w:val="22"/>
          <w:szCs w:val="22"/>
          <w:lang w:val="en-US"/>
        </w:rPr>
      </w:pPr>
      <w:r w:rsidRPr="00372CCF">
        <w:rPr>
          <w:rFonts w:eastAsiaTheme="minorHAnsi" w:cstheme="minorBidi"/>
          <w:b w:val="0"/>
          <w:bCs w:val="0"/>
          <w:color w:val="auto"/>
          <w:sz w:val="22"/>
          <w:szCs w:val="22"/>
          <w:lang w:val="en-US"/>
        </w:rPr>
        <w:t>Vegetation Indices (VI) and biophysical parameters have been proved to increase the performance of regression algorithms for AGB estimation in different ecological zones and forest types</w:t>
      </w:r>
      <w:r w:rsidR="008C2463" w:rsidRPr="00372CCF">
        <w:rPr>
          <w:rFonts w:eastAsiaTheme="minorHAnsi" w:cstheme="minorBidi"/>
          <w:b w:val="0"/>
          <w:bCs w:val="0"/>
          <w:color w:val="auto"/>
          <w:sz w:val="22"/>
          <w:szCs w:val="22"/>
          <w:lang w:val="en-US"/>
        </w:rPr>
        <w:t xml:space="preserve"> </w:t>
      </w:r>
      <w:r w:rsidR="00FC4292" w:rsidRPr="00372CCF">
        <w:rPr>
          <w:rFonts w:eastAsiaTheme="minorHAnsi" w:cstheme="minorBidi"/>
          <w:b w:val="0"/>
          <w:bCs w:val="0"/>
          <w:color w:val="auto"/>
          <w:sz w:val="22"/>
          <w:szCs w:val="22"/>
          <w:lang w:val="en-US"/>
        </w:rPr>
        <w:t>(Forkuor, et al., 2020; Pandit, et all, 2018; Galidaki, et al., 2017)</w:t>
      </w:r>
      <w:r w:rsidRPr="00372CCF">
        <w:rPr>
          <w:rFonts w:eastAsiaTheme="minorHAnsi" w:cstheme="minorBidi"/>
          <w:b w:val="0"/>
          <w:bCs w:val="0"/>
          <w:color w:val="auto"/>
          <w:sz w:val="22"/>
          <w:szCs w:val="22"/>
          <w:lang w:val="en-US"/>
        </w:rPr>
        <w:t>. With the purpose of evaluating the performance of several feature selection methods, a wide range of VIs was generated using the calculator in SNAP. Care was taken in including VIs which required SWIR and red-edge bands, as shown in</w:t>
      </w:r>
      <w:r w:rsidR="00126B1D">
        <w:rPr>
          <w:rFonts w:eastAsiaTheme="minorHAnsi" w:cstheme="minorBidi"/>
          <w:b w:val="0"/>
          <w:bCs w:val="0"/>
          <w:color w:val="auto"/>
          <w:sz w:val="22"/>
          <w:szCs w:val="22"/>
          <w:lang w:val="en-US"/>
        </w:rPr>
        <w:t xml:space="preserve"> </w:t>
      </w:r>
      <w:r w:rsidR="00126B1D">
        <w:rPr>
          <w:rFonts w:eastAsiaTheme="minorHAnsi" w:cstheme="minorBidi"/>
          <w:b w:val="0"/>
          <w:bCs w:val="0"/>
          <w:color w:val="auto"/>
          <w:sz w:val="22"/>
          <w:szCs w:val="22"/>
          <w:lang w:val="en-US"/>
        </w:rPr>
        <w:fldChar w:fldCharType="begin"/>
      </w:r>
      <w:r w:rsidR="00126B1D">
        <w:rPr>
          <w:rFonts w:eastAsiaTheme="minorHAnsi" w:cstheme="minorBidi"/>
          <w:b w:val="0"/>
          <w:bCs w:val="0"/>
          <w:color w:val="auto"/>
          <w:sz w:val="22"/>
          <w:szCs w:val="22"/>
          <w:lang w:val="en-US"/>
        </w:rPr>
        <w:instrText xml:space="preserve"> REF _Ref91575655 \h </w:instrText>
      </w:r>
      <w:r w:rsidR="00126B1D">
        <w:rPr>
          <w:rFonts w:eastAsiaTheme="minorHAnsi" w:cstheme="minorBidi"/>
          <w:b w:val="0"/>
          <w:bCs w:val="0"/>
          <w:color w:val="auto"/>
          <w:sz w:val="22"/>
          <w:szCs w:val="22"/>
          <w:lang w:val="en-US"/>
        </w:rPr>
      </w:r>
      <w:r w:rsidR="00126B1D">
        <w:rPr>
          <w:rFonts w:eastAsiaTheme="minorHAnsi" w:cstheme="minorBidi"/>
          <w:b w:val="0"/>
          <w:bCs w:val="0"/>
          <w:color w:val="auto"/>
          <w:sz w:val="22"/>
          <w:szCs w:val="22"/>
          <w:lang w:val="en-US"/>
        </w:rPr>
        <w:instrText xml:space="preserve"> \* MERGEFORMAT </w:instrText>
      </w:r>
      <w:r w:rsidR="00126B1D">
        <w:rPr>
          <w:rFonts w:eastAsiaTheme="minorHAnsi" w:cstheme="minorBidi"/>
          <w:b w:val="0"/>
          <w:bCs w:val="0"/>
          <w:color w:val="auto"/>
          <w:sz w:val="22"/>
          <w:szCs w:val="22"/>
          <w:lang w:val="en-US"/>
        </w:rPr>
        <w:fldChar w:fldCharType="separate"/>
      </w:r>
      <w:r w:rsidR="000655D3" w:rsidRPr="000655D3">
        <w:rPr>
          <w:rFonts w:eastAsiaTheme="minorHAnsi" w:cstheme="minorBidi"/>
          <w:b w:val="0"/>
          <w:bCs w:val="0"/>
          <w:color w:val="auto"/>
          <w:sz w:val="22"/>
          <w:szCs w:val="22"/>
          <w:lang w:val="en-US"/>
        </w:rPr>
        <w:t>Table 1</w:t>
      </w:r>
      <w:r w:rsidR="00126B1D">
        <w:rPr>
          <w:rFonts w:eastAsiaTheme="minorHAnsi" w:cstheme="minorBidi"/>
          <w:b w:val="0"/>
          <w:bCs w:val="0"/>
          <w:color w:val="auto"/>
          <w:sz w:val="22"/>
          <w:szCs w:val="22"/>
          <w:lang w:val="en-US"/>
        </w:rPr>
        <w:fldChar w:fldCharType="end"/>
      </w:r>
      <w:r w:rsidRPr="00AF57AB">
        <w:rPr>
          <w:rFonts w:eastAsiaTheme="minorHAnsi" w:cstheme="minorBidi"/>
          <w:b w:val="0"/>
          <w:bCs w:val="0"/>
          <w:color w:val="auto"/>
          <w:sz w:val="22"/>
          <w:szCs w:val="22"/>
          <w:lang w:val="en-US"/>
        </w:rPr>
        <w:t>. The VIs were calculated for both dates, that is August 2015 and November 2016.</w:t>
      </w:r>
    </w:p>
    <w:p w14:paraId="3E954FB2" w14:textId="52BDE315" w:rsidR="00120F8F" w:rsidRDefault="00120F8F" w:rsidP="00AF57AB">
      <w:pPr>
        <w:pStyle w:val="Caption"/>
        <w:jc w:val="both"/>
      </w:pPr>
      <w:r w:rsidRPr="00AF57AB">
        <w:rPr>
          <w:rFonts w:eastAsiaTheme="minorHAnsi" w:cstheme="minorBidi"/>
          <w:b w:val="0"/>
          <w:bCs w:val="0"/>
          <w:color w:val="auto"/>
          <w:sz w:val="22"/>
          <w:szCs w:val="22"/>
          <w:lang w:val="en-US"/>
        </w:rPr>
        <w:t>Furthermore, 5 biophysical parameters (</w:t>
      </w:r>
      <w:r w:rsidR="005171E1" w:rsidRPr="00AF57AB">
        <w:rPr>
          <w:rFonts w:eastAsiaTheme="minorHAnsi" w:cstheme="minorBidi"/>
          <w:b w:val="0"/>
          <w:bCs w:val="0"/>
          <w:color w:val="auto"/>
          <w:sz w:val="22"/>
          <w:szCs w:val="22"/>
          <w:lang w:val="en-US"/>
        </w:rPr>
        <w:fldChar w:fldCharType="begin"/>
      </w:r>
      <w:r w:rsidR="005171E1" w:rsidRPr="00AF57AB">
        <w:rPr>
          <w:rFonts w:eastAsiaTheme="minorHAnsi" w:cstheme="minorBidi"/>
          <w:b w:val="0"/>
          <w:bCs w:val="0"/>
          <w:color w:val="auto"/>
          <w:sz w:val="22"/>
          <w:szCs w:val="22"/>
          <w:lang w:val="en-US"/>
        </w:rPr>
        <w:instrText xml:space="preserve"> REF _Ref90461510 \h </w:instrText>
      </w:r>
      <w:r w:rsidR="00AF57AB">
        <w:rPr>
          <w:rFonts w:eastAsiaTheme="minorHAnsi" w:cstheme="minorBidi"/>
          <w:b w:val="0"/>
          <w:bCs w:val="0"/>
          <w:color w:val="auto"/>
          <w:sz w:val="22"/>
          <w:szCs w:val="22"/>
          <w:lang w:val="en-US"/>
        </w:rPr>
        <w:instrText xml:space="preserve"> \* MERGEFORMAT </w:instrText>
      </w:r>
      <w:r w:rsidR="005171E1" w:rsidRPr="00AF57AB">
        <w:rPr>
          <w:rFonts w:eastAsiaTheme="minorHAnsi" w:cstheme="minorBidi"/>
          <w:b w:val="0"/>
          <w:bCs w:val="0"/>
          <w:color w:val="auto"/>
          <w:sz w:val="22"/>
          <w:szCs w:val="22"/>
          <w:lang w:val="en-US"/>
        </w:rPr>
      </w:r>
      <w:r w:rsidR="005171E1" w:rsidRPr="00AF57AB">
        <w:rPr>
          <w:rFonts w:eastAsiaTheme="minorHAnsi" w:cstheme="minorBidi"/>
          <w:b w:val="0"/>
          <w:bCs w:val="0"/>
          <w:color w:val="auto"/>
          <w:sz w:val="22"/>
          <w:szCs w:val="22"/>
          <w:lang w:val="en-US"/>
        </w:rPr>
        <w:fldChar w:fldCharType="separate"/>
      </w:r>
      <w:r w:rsidR="000655D3" w:rsidRPr="000655D3">
        <w:rPr>
          <w:rFonts w:eastAsiaTheme="minorHAnsi" w:cstheme="minorBidi"/>
          <w:b w:val="0"/>
          <w:bCs w:val="0"/>
          <w:color w:val="auto"/>
          <w:sz w:val="22"/>
          <w:szCs w:val="22"/>
          <w:lang w:val="en-US"/>
        </w:rPr>
        <w:t>Table 2</w:t>
      </w:r>
      <w:r w:rsidR="005171E1" w:rsidRPr="00AF57AB">
        <w:rPr>
          <w:rFonts w:eastAsiaTheme="minorHAnsi" w:cstheme="minorBidi"/>
          <w:b w:val="0"/>
          <w:bCs w:val="0"/>
          <w:color w:val="auto"/>
          <w:sz w:val="22"/>
          <w:szCs w:val="22"/>
          <w:lang w:val="en-US"/>
        </w:rPr>
        <w:fldChar w:fldCharType="end"/>
      </w:r>
      <w:r w:rsidRPr="00AF57AB">
        <w:rPr>
          <w:rFonts w:eastAsiaTheme="minorHAnsi" w:cstheme="minorBidi"/>
          <w:b w:val="0"/>
          <w:bCs w:val="0"/>
          <w:color w:val="auto"/>
          <w:sz w:val="22"/>
          <w:szCs w:val="22"/>
          <w:lang w:val="en-US"/>
        </w:rPr>
        <w:t xml:space="preserve">) - Leaf Area Index (LAI), Canopy Water Content (LAI cwc), Canopy Chlorophyll Content (LAI cab), Fraction of absorbed photosynthetically active radiation (FAPAR) and Fraction of vegetation cover (FCOVER) - were calculated for each image by using the biophysical processor in SNAP. Such variables have been found to enhance the estimation of biomass by describing spatial distribution and dynamics of vegetation </w:t>
      </w:r>
      <w:sdt>
        <w:sdtPr>
          <w:rPr>
            <w:rFonts w:eastAsiaTheme="minorHAnsi" w:cstheme="minorBidi"/>
            <w:b w:val="0"/>
            <w:bCs w:val="0"/>
            <w:color w:val="auto"/>
            <w:sz w:val="22"/>
            <w:szCs w:val="22"/>
            <w:lang w:val="en-US"/>
          </w:rPr>
          <w:id w:val="1539467216"/>
          <w:citation/>
        </w:sdtPr>
        <w:sdtEndPr/>
        <w:sdtContent>
          <w:r w:rsidRPr="00AF57AB">
            <w:rPr>
              <w:rFonts w:eastAsiaTheme="minorHAnsi" w:cstheme="minorBidi"/>
              <w:b w:val="0"/>
              <w:bCs w:val="0"/>
              <w:color w:val="auto"/>
              <w:sz w:val="22"/>
              <w:szCs w:val="22"/>
              <w:lang w:val="en-US"/>
            </w:rPr>
            <w:fldChar w:fldCharType="begin"/>
          </w:r>
          <w:r w:rsidR="00F14347" w:rsidRPr="00AF57AB">
            <w:rPr>
              <w:rFonts w:eastAsiaTheme="minorHAnsi" w:cstheme="minorBidi"/>
              <w:b w:val="0"/>
              <w:bCs w:val="0"/>
              <w:color w:val="auto"/>
              <w:sz w:val="22"/>
              <w:szCs w:val="22"/>
              <w:lang w:val="en-US"/>
            </w:rPr>
            <w:instrText xml:space="preserve">CITATION For20 \l 1040 </w:instrText>
          </w:r>
          <w:r w:rsidRPr="00AF57AB">
            <w:rPr>
              <w:rFonts w:eastAsiaTheme="minorHAnsi" w:cstheme="minorBidi"/>
              <w:b w:val="0"/>
              <w:bCs w:val="0"/>
              <w:color w:val="auto"/>
              <w:sz w:val="22"/>
              <w:szCs w:val="22"/>
              <w:lang w:val="en-US"/>
            </w:rPr>
            <w:fldChar w:fldCharType="separate"/>
          </w:r>
          <w:r w:rsidR="004231A8" w:rsidRPr="00AF57AB">
            <w:rPr>
              <w:rFonts w:eastAsiaTheme="minorHAnsi" w:cstheme="minorBidi"/>
              <w:b w:val="0"/>
              <w:bCs w:val="0"/>
              <w:color w:val="auto"/>
              <w:sz w:val="22"/>
              <w:szCs w:val="22"/>
              <w:lang w:val="en-US"/>
            </w:rPr>
            <w:t>(Forkuor, et al., 2020)</w:t>
          </w:r>
          <w:r w:rsidRPr="00AF57AB">
            <w:rPr>
              <w:rFonts w:eastAsiaTheme="minorHAnsi" w:cstheme="minorBidi"/>
              <w:b w:val="0"/>
              <w:bCs w:val="0"/>
              <w:color w:val="auto"/>
              <w:sz w:val="22"/>
              <w:szCs w:val="22"/>
              <w:lang w:val="en-US"/>
            </w:rPr>
            <w:fldChar w:fldCharType="end"/>
          </w:r>
        </w:sdtContent>
      </w:sdt>
      <w:r w:rsidRPr="00AF57AB">
        <w:rPr>
          <w:rFonts w:eastAsiaTheme="minorHAnsi" w:cstheme="minorBidi"/>
          <w:b w:val="0"/>
          <w:bCs w:val="0"/>
          <w:color w:val="auto"/>
          <w:sz w:val="22"/>
          <w:szCs w:val="22"/>
          <w:lang w:val="en-US"/>
        </w:rPr>
        <w:t>.</w:t>
      </w:r>
    </w:p>
    <w:p w14:paraId="49CA8434" w14:textId="67CD3114" w:rsidR="003121D8" w:rsidRDefault="003121D8" w:rsidP="009619C8">
      <w:pPr>
        <w:pStyle w:val="Caption"/>
      </w:pPr>
      <w:bookmarkStart w:id="25" w:name="_Ref90461537"/>
    </w:p>
    <w:p w14:paraId="45E0B311" w14:textId="77777777" w:rsidR="00AF57AB" w:rsidRPr="00AF57AB" w:rsidRDefault="00AF57AB" w:rsidP="00AF57AB">
      <w:pPr>
        <w:rPr>
          <w:lang w:val="en-GB"/>
        </w:rPr>
      </w:pPr>
    </w:p>
    <w:p w14:paraId="6F42A8F3" w14:textId="77777777" w:rsidR="003121D8" w:rsidRDefault="003121D8" w:rsidP="009619C8">
      <w:pPr>
        <w:pStyle w:val="Caption"/>
      </w:pPr>
    </w:p>
    <w:p w14:paraId="3B71A754" w14:textId="77777777" w:rsidR="003121D8" w:rsidRDefault="003121D8" w:rsidP="009619C8">
      <w:pPr>
        <w:pStyle w:val="Caption"/>
      </w:pPr>
    </w:p>
    <w:p w14:paraId="65295EA1" w14:textId="77777777" w:rsidR="003121D8" w:rsidRDefault="003121D8" w:rsidP="009619C8">
      <w:pPr>
        <w:pStyle w:val="Caption"/>
      </w:pPr>
    </w:p>
    <w:p w14:paraId="2CA1270E" w14:textId="1805D760" w:rsidR="009619C8" w:rsidRDefault="009619C8" w:rsidP="009619C8">
      <w:pPr>
        <w:pStyle w:val="Caption"/>
      </w:pPr>
      <w:bookmarkStart w:id="26" w:name="_Toc91575568"/>
      <w:bookmarkStart w:id="27" w:name="_Ref91575655"/>
      <w:r>
        <w:lastRenderedPageBreak/>
        <w:t xml:space="preserve">Table </w:t>
      </w:r>
      <w:r>
        <w:fldChar w:fldCharType="begin"/>
      </w:r>
      <w:r>
        <w:instrText xml:space="preserve"> SEQ Table \* ARABIC </w:instrText>
      </w:r>
      <w:r>
        <w:fldChar w:fldCharType="separate"/>
      </w:r>
      <w:r w:rsidR="000655D3">
        <w:rPr>
          <w:noProof/>
        </w:rPr>
        <w:t>1</w:t>
      </w:r>
      <w:r>
        <w:fldChar w:fldCharType="end"/>
      </w:r>
      <w:bookmarkEnd w:id="25"/>
      <w:bookmarkEnd w:id="27"/>
      <w:r>
        <w:t xml:space="preserve">. </w:t>
      </w:r>
      <w:r w:rsidRPr="00225E07">
        <w:t>Sentinel-2 generated Vegetation Indices.</w:t>
      </w:r>
      <w:bookmarkEnd w:id="26"/>
    </w:p>
    <w:p w14:paraId="75EAF415" w14:textId="15ADFCD1" w:rsidR="00120F8F" w:rsidRDefault="00120F8F" w:rsidP="00120F8F">
      <w:pPr>
        <w:jc w:val="center"/>
      </w:pPr>
      <w:r w:rsidRPr="00142CBA">
        <w:rPr>
          <w:rFonts w:cs="Arial"/>
          <w:noProof/>
          <w:lang w:val="es-ES" w:eastAsia="es-ES"/>
        </w:rPr>
        <w:drawing>
          <wp:inline distT="0" distB="0" distL="0" distR="0" wp14:anchorId="1E050487" wp14:editId="418B824A">
            <wp:extent cx="3575050" cy="29591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5050" cy="2959100"/>
                    </a:xfrm>
                    <a:prstGeom prst="rect">
                      <a:avLst/>
                    </a:prstGeom>
                    <a:noFill/>
                    <a:ln>
                      <a:noFill/>
                    </a:ln>
                  </pic:spPr>
                </pic:pic>
              </a:graphicData>
            </a:graphic>
          </wp:inline>
        </w:drawing>
      </w:r>
    </w:p>
    <w:p w14:paraId="64D37BA4" w14:textId="3E1B2202" w:rsidR="009619C8" w:rsidRDefault="009619C8" w:rsidP="009619C8">
      <w:pPr>
        <w:pStyle w:val="Caption"/>
        <w:keepNext/>
      </w:pPr>
      <w:bookmarkStart w:id="28" w:name="_Ref90461510"/>
      <w:bookmarkStart w:id="29" w:name="_Toc91575569"/>
      <w:r>
        <w:t xml:space="preserve">Table </w:t>
      </w:r>
      <w:r>
        <w:fldChar w:fldCharType="begin"/>
      </w:r>
      <w:r>
        <w:instrText xml:space="preserve"> SEQ Table \* ARABIC </w:instrText>
      </w:r>
      <w:r>
        <w:fldChar w:fldCharType="separate"/>
      </w:r>
      <w:r w:rsidR="000655D3">
        <w:rPr>
          <w:noProof/>
        </w:rPr>
        <w:t>2</w:t>
      </w:r>
      <w:r>
        <w:fldChar w:fldCharType="end"/>
      </w:r>
      <w:bookmarkEnd w:id="28"/>
      <w:r>
        <w:t xml:space="preserve">. </w:t>
      </w:r>
      <w:r w:rsidRPr="00357BA4">
        <w:t>Sentinel-2 generated biophysical parameters.</w:t>
      </w:r>
      <w:bookmarkEnd w:id="29"/>
    </w:p>
    <w:p w14:paraId="5B777346" w14:textId="40D7FFFD" w:rsidR="00120F8F" w:rsidRDefault="00120F8F" w:rsidP="00120F8F">
      <w:pPr>
        <w:jc w:val="center"/>
        <w:rPr>
          <w:lang w:val="en-GB"/>
        </w:rPr>
      </w:pPr>
      <w:r w:rsidRPr="00142CBA">
        <w:rPr>
          <w:rFonts w:cs="Arial"/>
          <w:noProof/>
          <w:lang w:val="es-ES" w:eastAsia="es-ES"/>
        </w:rPr>
        <w:drawing>
          <wp:inline distT="0" distB="0" distL="0" distR="0" wp14:anchorId="3AC1057C" wp14:editId="19FC352C">
            <wp:extent cx="2159000" cy="238125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9000" cy="2381250"/>
                    </a:xfrm>
                    <a:prstGeom prst="rect">
                      <a:avLst/>
                    </a:prstGeom>
                    <a:noFill/>
                    <a:ln>
                      <a:noFill/>
                    </a:ln>
                  </pic:spPr>
                </pic:pic>
              </a:graphicData>
            </a:graphic>
          </wp:inline>
        </w:drawing>
      </w:r>
    </w:p>
    <w:p w14:paraId="2C7DAD1B" w14:textId="77777777" w:rsidR="00120F8F" w:rsidRPr="00120F8F" w:rsidRDefault="00120F8F" w:rsidP="00A85DD4">
      <w:pPr>
        <w:pStyle w:val="Heading3"/>
        <w:numPr>
          <w:ilvl w:val="0"/>
          <w:numId w:val="0"/>
        </w:numPr>
        <w:ind w:left="720" w:hanging="720"/>
      </w:pPr>
      <w:bookmarkStart w:id="30" w:name="_Toc66199618"/>
      <w:bookmarkStart w:id="31" w:name="_Toc91575523"/>
      <w:r w:rsidRPr="00120F8F">
        <w:t>3.3.5. Texture measures generation</w:t>
      </w:r>
      <w:bookmarkEnd w:id="30"/>
      <w:bookmarkEnd w:id="31"/>
    </w:p>
    <w:p w14:paraId="387F6816" w14:textId="145AEDEA" w:rsidR="00120F8F" w:rsidRDefault="00120F8F" w:rsidP="00120F8F">
      <w:r w:rsidRPr="003433B9">
        <w:t>Once several spectral variables were generated - VIs and biophysical parameters -, further spatial predictors were included. This allows to consider not only the spectral response of different surfaces, but also the spatial relationships among these surfaces.</w:t>
      </w:r>
    </w:p>
    <w:p w14:paraId="5913D927" w14:textId="645996D0" w:rsidR="00120F8F" w:rsidRDefault="00120F8F" w:rsidP="00120F8F">
      <w:r w:rsidRPr="003433B9">
        <w:t>For this purpose, texture measures derived from the Gray Level Co-occurrence Matrix (GLCM) were included, as they have been widely used for enhancing remote sensing-based classification and regression forestry-related problems</w:t>
      </w:r>
      <w:r w:rsidR="00A05CB8">
        <w:t xml:space="preserve"> </w:t>
      </w:r>
      <w:r w:rsidR="003121D8">
        <w:rPr>
          <w:noProof/>
        </w:rPr>
        <w:t xml:space="preserve">(Pandit et al., 2019; </w:t>
      </w:r>
      <w:r w:rsidR="003121D8">
        <w:rPr>
          <w:noProof/>
        </w:rPr>
        <w:lastRenderedPageBreak/>
        <w:t>Kelsey &amp; Neff, 2014)</w:t>
      </w:r>
      <w:r w:rsidRPr="003433B9">
        <w:t>. As Hall-Beyer</w:t>
      </w:r>
      <w:r>
        <w:t xml:space="preserve"> </w:t>
      </w:r>
      <w:sdt>
        <w:sdtPr>
          <w:id w:val="1435163494"/>
          <w:citation/>
        </w:sdtPr>
        <w:sdtEndPr/>
        <w:sdtContent>
          <w:r w:rsidRPr="00381754">
            <w:rPr>
              <w:noProof/>
              <w:lang w:val="en-GB"/>
            </w:rPr>
            <w:t>(2017a)</w:t>
          </w:r>
        </w:sdtContent>
      </w:sdt>
      <w:r w:rsidRPr="003433B9">
        <w:t xml:space="preserve"> points out in her tutorial on GLCM texture, a GLCM is not an image, it is rather a tabulation expressing how often different combinations of Digital Numbers (Gray Levels) occur in an image band, showing all the possible combinations of value pairs and their frequency. This table is constructed by using each and every pixel of the image (reference pixel) and considering its neighboring pixel or pixels (neighbor pixel). </w:t>
      </w:r>
    </w:p>
    <w:p w14:paraId="394FC3E5" w14:textId="12B1C94F" w:rsidR="00120F8F" w:rsidRDefault="00120F8F" w:rsidP="00120F8F">
      <w:r w:rsidRPr="003433B9">
        <w:t>Texture measures derived from the GLCM consider the relationship between 2 pixels (GLCM) in the original image, as opposite to first order texture measures which are calculated directly from the original image pixels values without considering how this are related to one another</w:t>
      </w:r>
      <w:r w:rsidR="003B7066">
        <w:t xml:space="preserve"> </w:t>
      </w:r>
      <w:r w:rsidR="003121D8">
        <w:rPr>
          <w:noProof/>
        </w:rPr>
        <w:t>(Haralick et al., 1973)</w:t>
      </w:r>
      <w:r w:rsidRPr="003433B9">
        <w:t>; most of GLCM derived measures used in Remote Sensing come from a series of papers of Haralick and colleagues in the 60s. GLCM derived texture measures do not have a single way to be classified, hence, we are going to use the division used by Hall-Beyer in her tutorial</w:t>
      </w:r>
      <w:r w:rsidR="007B313A">
        <w:t xml:space="preserve"> </w:t>
      </w:r>
      <w:sdt>
        <w:sdtPr>
          <w:id w:val="530376833"/>
          <w:citation/>
        </w:sdtPr>
        <w:sdtEndPr/>
        <w:sdtContent>
          <w:r w:rsidR="007B313A">
            <w:fldChar w:fldCharType="begin"/>
          </w:r>
          <w:r w:rsidR="007B313A">
            <w:instrText xml:space="preserve"> CITATION Hal7a \l 1033 </w:instrText>
          </w:r>
          <w:r w:rsidR="007B313A">
            <w:fldChar w:fldCharType="separate"/>
          </w:r>
          <w:r w:rsidR="004231A8">
            <w:rPr>
              <w:noProof/>
            </w:rPr>
            <w:t>(Hall-Beyer, 2017a)</w:t>
          </w:r>
          <w:r w:rsidR="007B313A">
            <w:fldChar w:fldCharType="end"/>
          </w:r>
        </w:sdtContent>
      </w:sdt>
      <w:r w:rsidRPr="003433B9">
        <w:t xml:space="preserve">; in this work, these measures are divided into 3 categories depending on the weights in the equations: measures related to contrast, measures related to orderliness and GLCM descriptive statistics. </w:t>
      </w:r>
    </w:p>
    <w:p w14:paraId="5A384971" w14:textId="4984A0C8" w:rsidR="00120F8F" w:rsidRDefault="00120F8F" w:rsidP="00120F8F">
      <w:r w:rsidRPr="003433B9">
        <w:t xml:space="preserve">Pandit </w:t>
      </w:r>
      <w:sdt>
        <w:sdtPr>
          <w:id w:val="-2050908542"/>
          <w:citation/>
        </w:sdtPr>
        <w:sdtEndPr/>
        <w:sdtContent>
          <w:r w:rsidRPr="00381754">
            <w:rPr>
              <w:noProof/>
              <w:lang w:val="en-GB"/>
            </w:rPr>
            <w:t>(2019)</w:t>
          </w:r>
        </w:sdtContent>
      </w:sdt>
      <w:r w:rsidRPr="003433B9">
        <w:t xml:space="preserve"> explored the use of Sentinel-2 extracted GLCM texture measures in AGB estimation, and concluded that GLCM mean, variance, and dissimilarity from band 2 (blue), with a window size of 7x7, yield the best AGB predictor for tropical and subtropical forests dominated by </w:t>
      </w:r>
      <w:r w:rsidRPr="003D24F1">
        <w:rPr>
          <w:i/>
          <w:iCs/>
        </w:rPr>
        <w:t>Shorea robusta</w:t>
      </w:r>
      <w:r w:rsidRPr="003433B9">
        <w:t xml:space="preserve"> and </w:t>
      </w:r>
      <w:r w:rsidRPr="003D24F1">
        <w:rPr>
          <w:i/>
          <w:iCs/>
        </w:rPr>
        <w:t>Pinus roxburghii</w:t>
      </w:r>
      <w:r w:rsidRPr="003433B9">
        <w:t xml:space="preserve">, located in Parsa National Park, Nepal. In another study, AGB was estimated in the San Juan National Forest located in the southwest of Colorado; the area is characterized by </w:t>
      </w:r>
      <w:r w:rsidRPr="003D24F1">
        <w:rPr>
          <w:i/>
          <w:iCs/>
        </w:rPr>
        <w:t>Ponderosa Pine woodlands</w:t>
      </w:r>
      <w:r w:rsidRPr="003433B9">
        <w:t xml:space="preserve">, Warm-Dry Mixed Conifer forests, Cool-Moist Mixed Conifer forests, and </w:t>
      </w:r>
      <w:r w:rsidRPr="003D24F1">
        <w:rPr>
          <w:i/>
          <w:iCs/>
        </w:rPr>
        <w:t>Spruce-Fir</w:t>
      </w:r>
      <w:r w:rsidRPr="003433B9">
        <w:t xml:space="preserve"> forests. In order to estimate AGB in such a context, a GLCM was derived from Landsat TM band 2; entropy, mean, and correlation were found to be the best predictors for that region</w:t>
      </w:r>
      <w:r w:rsidR="00EB42C4">
        <w:t xml:space="preserve"> </w:t>
      </w:r>
      <w:sdt>
        <w:sdtPr>
          <w:id w:val="1373493642"/>
          <w:citation/>
        </w:sdtPr>
        <w:sdtEndPr/>
        <w:sdtContent>
          <w:r w:rsidR="00EB42C4">
            <w:fldChar w:fldCharType="begin"/>
          </w:r>
          <w:r w:rsidR="00EB42C4">
            <w:instrText xml:space="preserve"> CITATION Kel14 \l 1033 </w:instrText>
          </w:r>
          <w:r w:rsidR="00EB42C4">
            <w:fldChar w:fldCharType="separate"/>
          </w:r>
          <w:r w:rsidR="004231A8">
            <w:rPr>
              <w:noProof/>
            </w:rPr>
            <w:t>(Kelsey &amp; Neff, 2014)</w:t>
          </w:r>
          <w:r w:rsidR="00EB42C4">
            <w:fldChar w:fldCharType="end"/>
          </w:r>
        </w:sdtContent>
      </w:sdt>
      <w:r w:rsidRPr="003433B9">
        <w:t xml:space="preserve">. Thus, the importance of GLCM measures can vary based on sensor and study area, however, to minimize correlation among measures, Hall-Beyer suggests using one measure from each category. </w:t>
      </w:r>
    </w:p>
    <w:p w14:paraId="3C664E57" w14:textId="74F47A9E" w:rsidR="00120F8F" w:rsidRDefault="00120F8F" w:rsidP="00120F8F">
      <w:r w:rsidRPr="003433B9">
        <w:t xml:space="preserve">In the following study, 3 different GLCM texture measures were chosen, for a total of 12 new features to be tested. These are divided as follows: contrast, entropy, and GLCM-mean were derived from both Sentinel-2 band-2 (blue) and NDVI generated for August 2015 and November 2016 to assess whether images from a certain season might provide better results </w:t>
      </w:r>
      <w:r w:rsidR="00F501F2">
        <w:t>(</w:t>
      </w:r>
      <w:r w:rsidR="00F501F2">
        <w:fldChar w:fldCharType="begin"/>
      </w:r>
      <w:r w:rsidR="00F501F2">
        <w:instrText xml:space="preserve"> REF _Ref90475341 \h </w:instrText>
      </w:r>
      <w:r w:rsidR="00F501F2">
        <w:fldChar w:fldCharType="separate"/>
      </w:r>
      <w:r w:rsidR="000655D3">
        <w:t xml:space="preserve">Table </w:t>
      </w:r>
      <w:r w:rsidR="000655D3">
        <w:rPr>
          <w:noProof/>
        </w:rPr>
        <w:t>3</w:t>
      </w:r>
      <w:r w:rsidR="00F501F2">
        <w:fldChar w:fldCharType="end"/>
      </w:r>
      <w:r w:rsidR="00F501F2">
        <w:t>)</w:t>
      </w:r>
      <w:r w:rsidRPr="003433B9">
        <w:t>.</w:t>
      </w:r>
    </w:p>
    <w:p w14:paraId="18A84DF5" w14:textId="5C66F8C5" w:rsidR="009619C8" w:rsidRDefault="009619C8" w:rsidP="009619C8">
      <w:pPr>
        <w:pStyle w:val="Caption"/>
        <w:keepNext/>
      </w:pPr>
      <w:bookmarkStart w:id="32" w:name="_Ref90475341"/>
      <w:bookmarkStart w:id="33" w:name="_Toc91575570"/>
      <w:r>
        <w:lastRenderedPageBreak/>
        <w:t xml:space="preserve">Table </w:t>
      </w:r>
      <w:r>
        <w:fldChar w:fldCharType="begin"/>
      </w:r>
      <w:r>
        <w:instrText xml:space="preserve"> SEQ Table \* ARABIC </w:instrText>
      </w:r>
      <w:r>
        <w:fldChar w:fldCharType="separate"/>
      </w:r>
      <w:r w:rsidR="000655D3">
        <w:rPr>
          <w:noProof/>
        </w:rPr>
        <w:t>3</w:t>
      </w:r>
      <w:r>
        <w:fldChar w:fldCharType="end"/>
      </w:r>
      <w:bookmarkEnd w:id="32"/>
      <w:r>
        <w:t xml:space="preserve">. </w:t>
      </w:r>
      <w:r w:rsidRPr="00E36A10">
        <w:t>Sentinel-2 generated texture measures.</w:t>
      </w:r>
      <w:bookmarkEnd w:id="33"/>
    </w:p>
    <w:p w14:paraId="02168DAA" w14:textId="54205023" w:rsidR="00120F8F" w:rsidRDefault="00120F8F" w:rsidP="00120F8F">
      <w:pPr>
        <w:jc w:val="center"/>
      </w:pPr>
      <w:r w:rsidRPr="00142CBA">
        <w:rPr>
          <w:rFonts w:cs="Arial"/>
          <w:noProof/>
          <w:lang w:val="es-ES" w:eastAsia="es-ES"/>
        </w:rPr>
        <w:drawing>
          <wp:inline distT="0" distB="0" distL="0" distR="0" wp14:anchorId="1F617E1F" wp14:editId="7A302388">
            <wp:extent cx="3735691" cy="1967023"/>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9864" cy="1974486"/>
                    </a:xfrm>
                    <a:prstGeom prst="rect">
                      <a:avLst/>
                    </a:prstGeom>
                    <a:noFill/>
                    <a:ln>
                      <a:noFill/>
                    </a:ln>
                  </pic:spPr>
                </pic:pic>
              </a:graphicData>
            </a:graphic>
          </wp:inline>
        </w:drawing>
      </w:r>
    </w:p>
    <w:p w14:paraId="320C7582" w14:textId="77777777" w:rsidR="00120F8F" w:rsidRPr="003433B9" w:rsidRDefault="00120F8F" w:rsidP="00A85DD4">
      <w:pPr>
        <w:pStyle w:val="Heading2"/>
        <w:numPr>
          <w:ilvl w:val="0"/>
          <w:numId w:val="0"/>
        </w:numPr>
        <w:ind w:left="576" w:hanging="576"/>
      </w:pPr>
      <w:bookmarkStart w:id="34" w:name="_Toc66199619"/>
      <w:bookmarkStart w:id="35" w:name="_Toc91575524"/>
      <w:r w:rsidRPr="00142CBA">
        <w:t>3.3.6. Topographic data collection and pre</w:t>
      </w:r>
      <w:r>
        <w:t>-</w:t>
      </w:r>
      <w:r w:rsidRPr="00142CBA">
        <w:t>processing</w:t>
      </w:r>
      <w:bookmarkEnd w:id="34"/>
      <w:bookmarkEnd w:id="35"/>
    </w:p>
    <w:p w14:paraId="0B97FBB9" w14:textId="0D138D5D" w:rsidR="00120F8F" w:rsidRPr="00B01B2A" w:rsidRDefault="00120F8F" w:rsidP="00B01B2A">
      <w:r w:rsidRPr="003433B9">
        <w:t>The European Digital Elevation Model (DEM) and derived slope were downloaded in the section Imagery and Reference Data of the Copernicus website. These products have a spatial resolution of 25m. DEM and slope were re-sampled to the same spatial resolution as the Sentinel-2 images (10m) by making sure that cell size and cell positioning matched. DEM up-sampling is carried out in ArcGIS Pro using the nearest neighbor assignment method, since it does not alter the input cell value. Furthermore, DEM and slope are clipped to the study area extent.</w:t>
      </w:r>
    </w:p>
    <w:p w14:paraId="60A0971C" w14:textId="77777777" w:rsidR="00120F8F" w:rsidRPr="00B01B2A" w:rsidRDefault="00120F8F" w:rsidP="00A85DD4">
      <w:pPr>
        <w:pStyle w:val="Heading3"/>
        <w:numPr>
          <w:ilvl w:val="0"/>
          <w:numId w:val="0"/>
        </w:numPr>
        <w:ind w:left="720" w:hanging="720"/>
      </w:pPr>
      <w:bookmarkStart w:id="36" w:name="_Toc66199620"/>
      <w:bookmarkStart w:id="37" w:name="_Toc91575525"/>
      <w:r w:rsidRPr="00B01B2A">
        <w:t>3.3.7. Methodology workflow</w:t>
      </w:r>
      <w:bookmarkEnd w:id="36"/>
      <w:bookmarkEnd w:id="37"/>
    </w:p>
    <w:p w14:paraId="12A8C0F3" w14:textId="7167B585" w:rsidR="00120F8F" w:rsidRPr="003433B9" w:rsidRDefault="00120F8F" w:rsidP="00B01B2A">
      <w:r w:rsidRPr="003433B9">
        <w:t xml:space="preserve">The predictor feature space consists of 63 features from the following categories: VIs, biophysical parameters, texture measures, spectral bands, DEM and slope. All features were transformed from their original raster format to vector format (points) using the Raster to Point (Conversion) tool in ArcGIS Pro. Similarly, the circular forestry plots were rasterized to the Sentinel-2 10 m grid, as represented in </w:t>
      </w:r>
      <w:r w:rsidR="00D54424">
        <w:fldChar w:fldCharType="begin"/>
      </w:r>
      <w:r w:rsidR="00D54424">
        <w:instrText xml:space="preserve"> REF _Ref90392247 \h </w:instrText>
      </w:r>
      <w:r w:rsidR="00D54424">
        <w:fldChar w:fldCharType="separate"/>
      </w:r>
      <w:r w:rsidR="000655D3">
        <w:t xml:space="preserve">Figure </w:t>
      </w:r>
      <w:r w:rsidR="000655D3">
        <w:rPr>
          <w:noProof/>
        </w:rPr>
        <w:t>3</w:t>
      </w:r>
      <w:r w:rsidR="00D54424">
        <w:fldChar w:fldCharType="end"/>
      </w:r>
      <w:r w:rsidR="00D54424">
        <w:t xml:space="preserve"> </w:t>
      </w:r>
      <w:r w:rsidRPr="003433B9">
        <w:t xml:space="preserve">a) and b), and they were given pixel values corresponding the plot AGB. Subsequently, the Extract multiple values to points tool was used to create a final feature dataset with associated table containing a total of 65 columns, of which 63 represent each of the generated features, 1 represents the field based AGB values, and the last one represents the geometry field. This last column allows for the feature point to be transformed back into a raster format </w:t>
      </w:r>
      <w:r w:rsidR="003121D8" w:rsidRPr="003433B9">
        <w:t>to</w:t>
      </w:r>
      <w:r w:rsidRPr="003433B9">
        <w:t xml:space="preserve"> subsequently generate the final maps. </w:t>
      </w:r>
    </w:p>
    <w:p w14:paraId="4323800F" w14:textId="3FA637AA" w:rsidR="00120F8F" w:rsidRPr="003433B9" w:rsidRDefault="00120F8F" w:rsidP="00B01B2A">
      <w:r w:rsidRPr="003433B9">
        <w:lastRenderedPageBreak/>
        <w:t>The 63 predictor features were normalized using the RobustScaler from Scikit-learn</w:t>
      </w:r>
      <w:r w:rsidRPr="003433B9">
        <w:rPr>
          <w:rStyle w:val="FootnoteReference"/>
          <w:rFonts w:asciiTheme="majorHAnsi" w:hAnsiTheme="majorHAnsi" w:cs="Arial"/>
        </w:rPr>
        <w:footnoteReference w:id="4"/>
      </w:r>
      <w:r w:rsidRPr="003433B9">
        <w:t>. The RobustScaler normalizes the dataset according to the interquartile range, such an approach offers a good handle of outliers compared to mean- and variance-based normalization methods</w:t>
      </w:r>
      <w:r w:rsidR="00824725">
        <w:t xml:space="preserve"> </w:t>
      </w:r>
      <w:sdt>
        <w:sdtPr>
          <w:id w:val="-1768233499"/>
          <w:citation/>
        </w:sdtPr>
        <w:sdtEndPr/>
        <w:sdtContent>
          <w:r w:rsidR="00824725">
            <w:fldChar w:fldCharType="begin"/>
          </w:r>
          <w:r w:rsidR="00824725">
            <w:instrText xml:space="preserve"> CITATION Ped11 \l 1033 </w:instrText>
          </w:r>
          <w:r w:rsidR="00824725">
            <w:fldChar w:fldCharType="separate"/>
          </w:r>
          <w:r w:rsidR="004231A8">
            <w:rPr>
              <w:noProof/>
            </w:rPr>
            <w:t>(Pedregosa, et al., 2011)</w:t>
          </w:r>
          <w:r w:rsidR="00824725">
            <w:fldChar w:fldCharType="end"/>
          </w:r>
        </w:sdtContent>
      </w:sdt>
      <w:r>
        <w:t xml:space="preserve">. </w:t>
      </w:r>
      <w:r w:rsidRPr="003433B9">
        <w:t>This step is necessary as the features differ in both range and unit of measure and certain regression models and feature selection methods tend to give more importance to high cardinality and continuous features.</w:t>
      </w:r>
    </w:p>
    <w:p w14:paraId="43F4A8E0" w14:textId="5351C2E7" w:rsidR="00120F8F" w:rsidRPr="003433B9" w:rsidRDefault="00120F8F" w:rsidP="00B01B2A">
      <w:r w:rsidRPr="003433B9">
        <w:t>A 7-folds cross-validation constraining samples from single plot to be either only in the training or in the validation set (</w:t>
      </w:r>
      <w:r w:rsidR="00D54424">
        <w:fldChar w:fldCharType="begin"/>
      </w:r>
      <w:r w:rsidR="00D54424">
        <w:instrText xml:space="preserve"> REF _Ref90392247 \h </w:instrText>
      </w:r>
      <w:r w:rsidR="00D54424">
        <w:fldChar w:fldCharType="separate"/>
      </w:r>
      <w:r w:rsidR="000655D3">
        <w:t xml:space="preserve">Figure </w:t>
      </w:r>
      <w:r w:rsidR="000655D3">
        <w:rPr>
          <w:noProof/>
        </w:rPr>
        <w:t>3</w:t>
      </w:r>
      <w:r w:rsidR="00D54424">
        <w:fldChar w:fldCharType="end"/>
      </w:r>
      <w:r w:rsidRPr="003433B9">
        <w:t>, c) and d)) was performed Secondly, only the training set is used to fit the scaler, this allows validation data to remain unseen throughout the process. The cross-validation is used before each step, that is feature selection, AGB modelling, and hyper-parameters fine-tuning.</w:t>
      </w:r>
    </w:p>
    <w:p w14:paraId="0A532058" w14:textId="38EAA644" w:rsidR="00120F8F" w:rsidRPr="00120F8F" w:rsidRDefault="00B01B2A" w:rsidP="00B01B2A">
      <w:pPr>
        <w:jc w:val="center"/>
      </w:pPr>
      <w:r w:rsidRPr="00142CBA">
        <w:rPr>
          <w:rFonts w:cs="Arial"/>
          <w:noProof/>
          <w:lang w:val="es-ES" w:eastAsia="es-ES"/>
        </w:rPr>
        <w:drawing>
          <wp:inline distT="0" distB="0" distL="0" distR="0" wp14:anchorId="1CF94F54" wp14:editId="23650E14">
            <wp:extent cx="3917950" cy="3124200"/>
            <wp:effectExtent l="0" t="0" r="0" b="0"/>
            <wp:docPr id="2"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7950" cy="3124200"/>
                    </a:xfrm>
                    <a:prstGeom prst="rect">
                      <a:avLst/>
                    </a:prstGeom>
                    <a:noFill/>
                    <a:ln>
                      <a:noFill/>
                    </a:ln>
                  </pic:spPr>
                </pic:pic>
              </a:graphicData>
            </a:graphic>
          </wp:inline>
        </w:drawing>
      </w:r>
    </w:p>
    <w:p w14:paraId="3A507DA4" w14:textId="52D16B09" w:rsidR="00B01B2A" w:rsidRPr="00832665" w:rsidRDefault="00B01B2A" w:rsidP="00832665">
      <w:pPr>
        <w:spacing w:line="276" w:lineRule="auto"/>
        <w:jc w:val="center"/>
        <w:rPr>
          <w:i/>
          <w:iCs/>
          <w:sz w:val="20"/>
          <w:szCs w:val="20"/>
          <w:lang w:val="en-GB"/>
        </w:rPr>
      </w:pPr>
      <w:r w:rsidRPr="00832665">
        <w:rPr>
          <w:i/>
          <w:iCs/>
          <w:sz w:val="20"/>
          <w:szCs w:val="20"/>
          <w:lang w:val="en-GB"/>
        </w:rPr>
        <w:t>Circular forestry plots in vector format (polygon) (a). Rasterization of the forestry plots (b), vectorization to points of each layer including forestry plots (c), and division in training and validation set (d).</w:t>
      </w:r>
    </w:p>
    <w:p w14:paraId="03BA8403" w14:textId="7EBA1766" w:rsidR="00832665" w:rsidRDefault="00832665" w:rsidP="00832665">
      <w:pPr>
        <w:pStyle w:val="Caption"/>
      </w:pPr>
      <w:bookmarkStart w:id="38" w:name="_Ref90392247"/>
      <w:bookmarkStart w:id="39" w:name="_Toc91575547"/>
      <w:r>
        <w:t xml:space="preserve">Figure </w:t>
      </w:r>
      <w:r>
        <w:fldChar w:fldCharType="begin"/>
      </w:r>
      <w:r>
        <w:instrText xml:space="preserve"> SEQ Figure \* ARABIC </w:instrText>
      </w:r>
      <w:r>
        <w:fldChar w:fldCharType="separate"/>
      </w:r>
      <w:r w:rsidR="000655D3">
        <w:rPr>
          <w:noProof/>
        </w:rPr>
        <w:t>3</w:t>
      </w:r>
      <w:r>
        <w:fldChar w:fldCharType="end"/>
      </w:r>
      <w:bookmarkEnd w:id="38"/>
      <w:r w:rsidR="00EC1098">
        <w:t>.</w:t>
      </w:r>
      <w:r>
        <w:t xml:space="preserve"> </w:t>
      </w:r>
      <w:r w:rsidRPr="00CD17F7">
        <w:t>Rasterization and cross-validation.</w:t>
      </w:r>
      <w:bookmarkEnd w:id="39"/>
    </w:p>
    <w:p w14:paraId="53862B32" w14:textId="4B094481" w:rsidR="00B01B2A" w:rsidRDefault="00B01B2A" w:rsidP="00B01B2A">
      <w:pPr>
        <w:jc w:val="center"/>
        <w:rPr>
          <w:lang w:val="en-GB"/>
        </w:rPr>
      </w:pPr>
      <w:r w:rsidRPr="00142CBA">
        <w:rPr>
          <w:rFonts w:cs="Arial"/>
          <w:noProof/>
          <w:lang w:val="es-ES" w:eastAsia="es-ES"/>
        </w:rPr>
        <w:lastRenderedPageBreak/>
        <w:drawing>
          <wp:inline distT="0" distB="0" distL="0" distR="0" wp14:anchorId="6EEDA79D" wp14:editId="2E441C36">
            <wp:extent cx="3467100" cy="6445250"/>
            <wp:effectExtent l="0" t="0" r="0" b="0"/>
            <wp:docPr id="3"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7100" cy="6445250"/>
                    </a:xfrm>
                    <a:prstGeom prst="rect">
                      <a:avLst/>
                    </a:prstGeom>
                    <a:noFill/>
                    <a:ln>
                      <a:noFill/>
                    </a:ln>
                  </pic:spPr>
                </pic:pic>
              </a:graphicData>
            </a:graphic>
          </wp:inline>
        </w:drawing>
      </w:r>
    </w:p>
    <w:p w14:paraId="225145DF" w14:textId="4E1F64A2" w:rsidR="00B43806" w:rsidRDefault="00B43806" w:rsidP="00B43806">
      <w:pPr>
        <w:pStyle w:val="Caption"/>
      </w:pPr>
      <w:bookmarkStart w:id="40" w:name="_Ref90392413"/>
      <w:bookmarkStart w:id="41" w:name="_Toc91575548"/>
      <w:r>
        <w:t xml:space="preserve">Figure </w:t>
      </w:r>
      <w:r>
        <w:fldChar w:fldCharType="begin"/>
      </w:r>
      <w:r>
        <w:instrText xml:space="preserve"> SEQ Figure \* ARABIC </w:instrText>
      </w:r>
      <w:r>
        <w:fldChar w:fldCharType="separate"/>
      </w:r>
      <w:r w:rsidR="000655D3">
        <w:rPr>
          <w:noProof/>
        </w:rPr>
        <w:t>4</w:t>
      </w:r>
      <w:r>
        <w:fldChar w:fldCharType="end"/>
      </w:r>
      <w:bookmarkEnd w:id="40"/>
      <w:r w:rsidR="00EC1098">
        <w:t>.</w:t>
      </w:r>
      <w:r>
        <w:t xml:space="preserve"> </w:t>
      </w:r>
      <w:r w:rsidRPr="00F24575">
        <w:t>Methodology workflow.</w:t>
      </w:r>
      <w:bookmarkEnd w:id="41"/>
    </w:p>
    <w:p w14:paraId="784F568E" w14:textId="168F0E20" w:rsidR="00B01B2A" w:rsidRPr="003433B9" w:rsidRDefault="00B01B2A" w:rsidP="00B01B2A">
      <w:r w:rsidRPr="003433B9">
        <w:t>Subsequently, an indicator (or feature) selection method is introduced to generate a ranking for the indicators. For this, the Mean Decrease in Impurity (MDI) measure is implemented; this is a supervised and simple to implement feature selection method derived from the Random Forest algorithm. Furthermore, the influence of the generated features is going to also be analyzed through a frequency table and a model explainer.</w:t>
      </w:r>
    </w:p>
    <w:p w14:paraId="16B87EE6" w14:textId="43091348" w:rsidR="00B01B2A" w:rsidRDefault="00B01B2A" w:rsidP="00B01B2A">
      <w:r w:rsidRPr="003433B9">
        <w:lastRenderedPageBreak/>
        <w:t>Therefore, once the indicators are ranked, a predictive model is going to be built. For predicting AGB within the pilot site, the Extreme Gradient Boosting algorithm is implemented and finetuned using a Bayesian Optimization method. Finally, the model performance is evaluated through its Root Mean Squared Error (RMSE). The RMSE is calculated using the</w:t>
      </w:r>
      <w:r w:rsidR="00EC1098">
        <w:t xml:space="preserve"> </w:t>
      </w:r>
      <w:r w:rsidR="00EC1098">
        <w:fldChar w:fldCharType="begin"/>
      </w:r>
      <w:r w:rsidR="00EC1098">
        <w:instrText xml:space="preserve"> REF _Ref90391179 \h </w:instrText>
      </w:r>
      <w:r w:rsidR="00EC1098">
        <w:fldChar w:fldCharType="separate"/>
      </w:r>
      <w:r w:rsidR="000655D3">
        <w:t xml:space="preserve">Equation </w:t>
      </w:r>
      <w:r w:rsidR="000655D3">
        <w:rPr>
          <w:noProof/>
        </w:rPr>
        <w:t>3</w:t>
      </w:r>
      <w:r w:rsidR="00EC1098">
        <w:fldChar w:fldCharType="end"/>
      </w:r>
      <w:r w:rsidRPr="003433B9">
        <w:t xml:space="preserve">, where </w:t>
      </w:r>
      <w:r w:rsidRPr="003433B9">
        <w:rPr>
          <w:i/>
          <w:iCs/>
        </w:rPr>
        <w:t>y</w:t>
      </w:r>
      <w:r w:rsidRPr="003433B9">
        <w:rPr>
          <w:i/>
          <w:iCs/>
          <w:vertAlign w:val="subscript"/>
        </w:rPr>
        <w:t>p</w:t>
      </w:r>
      <w:r w:rsidRPr="003433B9">
        <w:rPr>
          <w:i/>
          <w:iCs/>
        </w:rPr>
        <w:t xml:space="preserve"> </w:t>
      </w:r>
      <w:r w:rsidRPr="003433B9">
        <w:t xml:space="preserve">is the predicted AGB of a </w:t>
      </w:r>
      <w:r w:rsidRPr="003433B9">
        <w:rPr>
          <w:i/>
          <w:iCs/>
        </w:rPr>
        <w:t>n</w:t>
      </w:r>
      <w:r w:rsidRPr="003433B9">
        <w:rPr>
          <w:i/>
          <w:iCs/>
          <w:vertAlign w:val="subscript"/>
        </w:rPr>
        <w:t>i</w:t>
      </w:r>
      <w:r w:rsidRPr="003433B9">
        <w:rPr>
          <w:i/>
          <w:iCs/>
        </w:rPr>
        <w:t xml:space="preserve"> </w:t>
      </w:r>
      <w:r w:rsidRPr="003433B9">
        <w:t xml:space="preserve">point, </w:t>
      </w:r>
      <w:r w:rsidRPr="003433B9">
        <w:rPr>
          <w:i/>
          <w:iCs/>
        </w:rPr>
        <w:t>y</w:t>
      </w:r>
      <w:r w:rsidRPr="003433B9">
        <w:rPr>
          <w:i/>
          <w:iCs/>
          <w:vertAlign w:val="subscript"/>
        </w:rPr>
        <w:t>o</w:t>
      </w:r>
      <w:r w:rsidRPr="003433B9">
        <w:t xml:space="preserve"> is the observed AGB of the </w:t>
      </w:r>
      <w:r w:rsidRPr="003433B9">
        <w:rPr>
          <w:i/>
          <w:iCs/>
        </w:rPr>
        <w:t>n</w:t>
      </w:r>
      <w:r w:rsidRPr="003433B9">
        <w:rPr>
          <w:i/>
          <w:iCs/>
          <w:vertAlign w:val="subscript"/>
        </w:rPr>
        <w:t>i</w:t>
      </w:r>
      <w:r w:rsidRPr="003433B9">
        <w:t xml:space="preserve"> point, and </w:t>
      </w:r>
      <w:r w:rsidRPr="003433B9">
        <w:rPr>
          <w:i/>
          <w:iCs/>
        </w:rPr>
        <w:t>n</w:t>
      </w:r>
      <w:r w:rsidRPr="003433B9">
        <w:t xml:space="preserve"> is the number of validation points.</w:t>
      </w:r>
    </w:p>
    <w:p w14:paraId="66A6D86E" w14:textId="31C0AB17" w:rsidR="00B01B2A" w:rsidRDefault="00B01B2A" w:rsidP="00B01B2A">
      <w:pPr>
        <w:jc w:val="center"/>
      </w:pPr>
      <w:r w:rsidRPr="003433B9">
        <w:rPr>
          <w:rFonts w:asciiTheme="majorHAnsi" w:hAnsiTheme="majorHAnsi" w:cs="Arial"/>
          <w:noProof/>
          <w:lang w:val="es-ES" w:eastAsia="es-ES"/>
        </w:rPr>
        <w:drawing>
          <wp:inline distT="0" distB="0" distL="0" distR="0" wp14:anchorId="3F2534EB" wp14:editId="116BFBCF">
            <wp:extent cx="2105804" cy="693958"/>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2455" cy="699445"/>
                    </a:xfrm>
                    <a:prstGeom prst="rect">
                      <a:avLst/>
                    </a:prstGeom>
                    <a:noFill/>
                    <a:ln>
                      <a:noFill/>
                    </a:ln>
                  </pic:spPr>
                </pic:pic>
              </a:graphicData>
            </a:graphic>
          </wp:inline>
        </w:drawing>
      </w:r>
    </w:p>
    <w:p w14:paraId="4770540B" w14:textId="0DDEEC0D" w:rsidR="00B43806" w:rsidRDefault="00B43806" w:rsidP="00B43806">
      <w:pPr>
        <w:pStyle w:val="Caption"/>
      </w:pPr>
      <w:bookmarkStart w:id="42" w:name="_Ref90391179"/>
      <w:r>
        <w:t xml:space="preserve">Equation </w:t>
      </w:r>
      <w:r>
        <w:fldChar w:fldCharType="begin"/>
      </w:r>
      <w:r>
        <w:instrText xml:space="preserve"> SEQ Equation \* ARABIC </w:instrText>
      </w:r>
      <w:r>
        <w:fldChar w:fldCharType="separate"/>
      </w:r>
      <w:r w:rsidR="000655D3">
        <w:rPr>
          <w:noProof/>
        </w:rPr>
        <w:t>3</w:t>
      </w:r>
      <w:r>
        <w:fldChar w:fldCharType="end"/>
      </w:r>
      <w:bookmarkEnd w:id="42"/>
      <w:r w:rsidR="00EC1098">
        <w:t xml:space="preserve">. </w:t>
      </w:r>
      <w:r w:rsidRPr="0054458C">
        <w:t>Root Mean Squared Error.</w:t>
      </w:r>
    </w:p>
    <w:p w14:paraId="2169F8BC" w14:textId="3989E92E" w:rsidR="00AE0A31" w:rsidRPr="003433B9" w:rsidRDefault="00AE0A31" w:rsidP="00AE0A31">
      <w:pPr>
        <w:rPr>
          <w:b/>
          <w:bCs/>
        </w:rPr>
      </w:pPr>
      <w:r w:rsidRPr="003433B9">
        <w:t xml:space="preserve">Once the Above Ground Biomass (AGB) is estimated, the Current Carbon Sequestration (CCS) is calculated using a conversion coefficient of 0.47, as suggested by the IPCC (2006) for our forest type. Finally, the Carbon Sequestration Capacity (CSC) is being evaluated as showed in </w:t>
      </w:r>
      <w:r w:rsidR="00B9105D">
        <w:fldChar w:fldCharType="begin"/>
      </w:r>
      <w:r w:rsidR="00B9105D">
        <w:instrText xml:space="preserve"> REF _Ref90391100 \h </w:instrText>
      </w:r>
      <w:r w:rsidR="00B9105D">
        <w:fldChar w:fldCharType="separate"/>
      </w:r>
      <w:r w:rsidR="000655D3">
        <w:t xml:space="preserve">Equation </w:t>
      </w:r>
      <w:r w:rsidR="000655D3">
        <w:rPr>
          <w:noProof/>
        </w:rPr>
        <w:t>1</w:t>
      </w:r>
      <w:r w:rsidR="00B9105D">
        <w:fldChar w:fldCharType="end"/>
      </w:r>
      <w:r w:rsidR="00B9105D">
        <w:t xml:space="preserve"> </w:t>
      </w:r>
      <w:r w:rsidR="00225080" w:rsidRPr="004231A8">
        <w:rPr>
          <w:noProof/>
        </w:rPr>
        <w:t>(Liu, 2012; Keith, 2009; Khan</w:t>
      </w:r>
      <w:r w:rsidR="00225080">
        <w:rPr>
          <w:noProof/>
        </w:rPr>
        <w:t xml:space="preserve"> et al.</w:t>
      </w:r>
      <w:r w:rsidR="00225080" w:rsidRPr="004231A8">
        <w:rPr>
          <w:noProof/>
        </w:rPr>
        <w:t>, 2020)</w:t>
      </w:r>
      <w:r>
        <w:t xml:space="preserve">; </w:t>
      </w:r>
      <w:r w:rsidRPr="003433B9">
        <w:t xml:space="preserve">hence, the value for the Carbon Carrying Capacity (CCC) of our study area was estimated in </w:t>
      </w:r>
      <w:r w:rsidR="00225080">
        <w:t>task 4.2</w:t>
      </w:r>
      <w:r w:rsidRPr="003433B9">
        <w:t xml:space="preserve"> of the </w:t>
      </w:r>
      <w:r w:rsidRPr="009D0152">
        <w:rPr>
          <w:b/>
          <w:i/>
          <w:color w:val="31479E" w:themeColor="accent1" w:themeShade="BF"/>
        </w:rPr>
        <w:t>MAIL</w:t>
      </w:r>
      <w:r w:rsidRPr="009D0152">
        <w:rPr>
          <w:color w:val="31479E" w:themeColor="accent1" w:themeShade="BF"/>
        </w:rPr>
        <w:t xml:space="preserve"> </w:t>
      </w:r>
      <w:r w:rsidRPr="003433B9">
        <w:t>project</w:t>
      </w:r>
      <w:r w:rsidR="00225080">
        <w:t>.</w:t>
      </w:r>
    </w:p>
    <w:p w14:paraId="1F349763" w14:textId="25E01E64" w:rsidR="00AE0A31" w:rsidRPr="00AE0A31" w:rsidRDefault="00AE0A31" w:rsidP="00A85DD4">
      <w:pPr>
        <w:pStyle w:val="Heading2"/>
        <w:numPr>
          <w:ilvl w:val="0"/>
          <w:numId w:val="0"/>
        </w:numPr>
        <w:ind w:left="576" w:hanging="576"/>
      </w:pPr>
      <w:bookmarkStart w:id="43" w:name="_Toc66199621"/>
      <w:bookmarkStart w:id="44" w:name="_Toc91575526"/>
      <w:r w:rsidRPr="00AE0A31">
        <w:t>3.4. Implementation &amp; Results</w:t>
      </w:r>
      <w:bookmarkEnd w:id="43"/>
      <w:bookmarkEnd w:id="44"/>
    </w:p>
    <w:p w14:paraId="3FA0858F" w14:textId="77777777" w:rsidR="00AE0A31" w:rsidRPr="003433B9" w:rsidRDefault="00AE0A31" w:rsidP="00A85DD4">
      <w:pPr>
        <w:pStyle w:val="Heading3"/>
        <w:numPr>
          <w:ilvl w:val="0"/>
          <w:numId w:val="0"/>
        </w:numPr>
        <w:ind w:left="720" w:hanging="720"/>
      </w:pPr>
      <w:bookmarkStart w:id="45" w:name="_Toc66199622"/>
      <w:bookmarkStart w:id="46" w:name="_Toc91575527"/>
      <w:r w:rsidRPr="00142CBA">
        <w:t>3.4.1. Relevance of Indicators</w:t>
      </w:r>
      <w:bookmarkEnd w:id="45"/>
      <w:bookmarkEnd w:id="46"/>
    </w:p>
    <w:p w14:paraId="3FCCAA45" w14:textId="687B3961" w:rsidR="00AE0A31" w:rsidRPr="00AE0A31" w:rsidRDefault="00AE0A31" w:rsidP="00AE0A31">
      <w:r w:rsidRPr="003433B9">
        <w:t>One of the objectives of this task is to identify effective indicators (or features) which can help</w:t>
      </w:r>
      <w:r w:rsidR="00EE27FB">
        <w:t xml:space="preserve"> enhance</w:t>
      </w:r>
      <w:r w:rsidRPr="003433B9">
        <w:t xml:space="preserve"> the prediction of Above Ground Biomass (AGB). Therefore, a deeper analysis on the performance of the selected indicators is done. The following section contains 3 rankings of the indicators. The first represents the feature importance given by a feature selection method (</w:t>
      </w:r>
      <w:r w:rsidR="00D54424">
        <w:fldChar w:fldCharType="begin"/>
      </w:r>
      <w:r w:rsidR="00D54424">
        <w:instrText xml:space="preserve"> REF _Ref90392413 \h </w:instrText>
      </w:r>
      <w:r w:rsidR="00D54424">
        <w:fldChar w:fldCharType="separate"/>
      </w:r>
      <w:r w:rsidR="000655D3">
        <w:t xml:space="preserve">Figure </w:t>
      </w:r>
      <w:r w:rsidR="000655D3">
        <w:rPr>
          <w:noProof/>
        </w:rPr>
        <w:t>4</w:t>
      </w:r>
      <w:r w:rsidR="00D54424">
        <w:fldChar w:fldCharType="end"/>
      </w:r>
      <w:r w:rsidRPr="003433B9">
        <w:t>), the second one illustrates the frequency of selection by 4 predictive models (</w:t>
      </w:r>
      <w:r w:rsidR="00D54424">
        <w:fldChar w:fldCharType="begin"/>
      </w:r>
      <w:r w:rsidR="00D54424">
        <w:instrText xml:space="preserve"> REF _Ref90392471 \h </w:instrText>
      </w:r>
      <w:r w:rsidR="00D54424">
        <w:fldChar w:fldCharType="separate"/>
      </w:r>
      <w:r w:rsidR="000655D3">
        <w:t xml:space="preserve">Table </w:t>
      </w:r>
      <w:r w:rsidR="000655D3">
        <w:rPr>
          <w:noProof/>
        </w:rPr>
        <w:t>4</w:t>
      </w:r>
      <w:r w:rsidR="00D54424">
        <w:fldChar w:fldCharType="end"/>
      </w:r>
      <w:r w:rsidRPr="003433B9">
        <w:t>). Finally, the last ranking shows the impact that the indicators selected by Extreme Gradient Boosting (XGB) algorithm have on the model outputs (</w:t>
      </w:r>
      <w:r w:rsidR="00D61FB5">
        <w:fldChar w:fldCharType="begin"/>
      </w:r>
      <w:r w:rsidR="00D61FB5">
        <w:instrText xml:space="preserve"> REF _Ref90392539 \h </w:instrText>
      </w:r>
      <w:r w:rsidR="00D61FB5">
        <w:fldChar w:fldCharType="separate"/>
      </w:r>
      <w:r w:rsidR="000655D3">
        <w:t xml:space="preserve">Figure </w:t>
      </w:r>
      <w:r w:rsidR="000655D3">
        <w:rPr>
          <w:noProof/>
        </w:rPr>
        <w:t>6</w:t>
      </w:r>
      <w:r w:rsidR="00D61FB5">
        <w:fldChar w:fldCharType="end"/>
      </w:r>
      <w:r w:rsidR="00D61FB5">
        <w:fldChar w:fldCharType="begin"/>
      </w:r>
      <w:r w:rsidR="00D61FB5">
        <w:instrText xml:space="preserve"> REF _Ref90392526 \h </w:instrText>
      </w:r>
      <w:r w:rsidR="00D61FB5">
        <w:fldChar w:fldCharType="separate"/>
      </w:r>
      <w:r w:rsidR="000655D3">
        <w:t xml:space="preserve">Figure </w:t>
      </w:r>
      <w:r w:rsidR="000655D3">
        <w:rPr>
          <w:noProof/>
        </w:rPr>
        <w:t>6</w:t>
      </w:r>
      <w:r w:rsidR="000655D3">
        <w:t xml:space="preserve">. </w:t>
      </w:r>
      <w:r w:rsidR="000655D3" w:rsidRPr="00115A12">
        <w:t>SHAP summary plot.</w:t>
      </w:r>
      <w:r w:rsidR="00D61FB5">
        <w:fldChar w:fldCharType="end"/>
      </w:r>
      <w:r w:rsidRPr="003433B9">
        <w:t>).</w:t>
      </w:r>
    </w:p>
    <w:p w14:paraId="6B039F0C" w14:textId="3C74AFA0" w:rsidR="00AE0A31" w:rsidRPr="00AE0A31" w:rsidRDefault="00AE0A31" w:rsidP="00AE0A31">
      <w:r w:rsidRPr="003433B9">
        <w:t>The Random Forest (RF) algorithm provides 3 measures of impurity: Gini index, entropy, and variance. Variance, or residual sum of squares, is used to measure node impurity in regression problems, and it represents the total reduction of the variance of the target variable due to the split of a certain feature at the node</w:t>
      </w:r>
      <w:sdt>
        <w:sdtPr>
          <w:id w:val="1560131990"/>
          <w:citation/>
        </w:sdtPr>
        <w:sdtEndPr/>
        <w:sdtContent>
          <w:r w:rsidR="00176C54">
            <w:fldChar w:fldCharType="begin"/>
          </w:r>
          <w:r w:rsidR="00176C54">
            <w:rPr>
              <w:noProof/>
            </w:rPr>
            <w:instrText xml:space="preserve"> CITATION Lew19 \l 1033 </w:instrText>
          </w:r>
          <w:r w:rsidR="00176C54">
            <w:fldChar w:fldCharType="separate"/>
          </w:r>
          <w:r w:rsidR="004231A8">
            <w:rPr>
              <w:noProof/>
            </w:rPr>
            <w:t xml:space="preserve"> (Lewinson, 2019)</w:t>
          </w:r>
          <w:r w:rsidR="00176C54">
            <w:fldChar w:fldCharType="end"/>
          </w:r>
        </w:sdtContent>
      </w:sdt>
      <w:r w:rsidRPr="003433B9">
        <w:t>.</w:t>
      </w:r>
      <w:r w:rsidR="00B05917">
        <w:t xml:space="preserve"> </w:t>
      </w:r>
      <w:r w:rsidRPr="003433B9">
        <w:t xml:space="preserve">Impurity measures can be used for feature selection by evaluating the extent to which </w:t>
      </w:r>
      <w:r w:rsidRPr="003433B9">
        <w:lastRenderedPageBreak/>
        <w:t>each feature contributes to decreasing the averaged impurity in each tree composing the forest</w:t>
      </w:r>
      <w:sdt>
        <w:sdtPr>
          <w:id w:val="-1346546454"/>
          <w:citation/>
        </w:sdtPr>
        <w:sdtEndPr/>
        <w:sdtContent>
          <w:r w:rsidR="00BA1A03">
            <w:fldChar w:fldCharType="begin"/>
          </w:r>
          <w:r w:rsidR="00BA1A03">
            <w:instrText xml:space="preserve"> CITATION Lew19 \l 1033 </w:instrText>
          </w:r>
          <w:r w:rsidR="00BA1A03">
            <w:fldChar w:fldCharType="separate"/>
          </w:r>
          <w:r w:rsidR="004231A8">
            <w:rPr>
              <w:noProof/>
            </w:rPr>
            <w:t xml:space="preserve"> (Lewinson, 2019)</w:t>
          </w:r>
          <w:r w:rsidR="00BA1A03">
            <w:fldChar w:fldCharType="end"/>
          </w:r>
        </w:sdtContent>
      </w:sdt>
      <w:r w:rsidRPr="003433B9">
        <w:t>, so as to calculate the Mean Decrease in Impurity (MDI) for each feature. The feature able to account for more variance decrease is going to be at the top of the ranking</w:t>
      </w:r>
      <w:sdt>
        <w:sdtPr>
          <w:id w:val="937107892"/>
          <w:citation/>
        </w:sdtPr>
        <w:sdtEndPr/>
        <w:sdtContent>
          <w:r w:rsidR="00BA1A03">
            <w:fldChar w:fldCharType="begin"/>
          </w:r>
          <w:r w:rsidR="00BA1A03">
            <w:instrText xml:space="preserve"> CITATION Lew19 \l 1033 </w:instrText>
          </w:r>
          <w:r w:rsidR="00BA1A03">
            <w:fldChar w:fldCharType="separate"/>
          </w:r>
          <w:r w:rsidR="004231A8">
            <w:rPr>
              <w:noProof/>
            </w:rPr>
            <w:t xml:space="preserve"> (Lewinson, 2019)</w:t>
          </w:r>
          <w:r w:rsidR="00BA1A03">
            <w:fldChar w:fldCharType="end"/>
          </w:r>
        </w:sdtContent>
      </w:sdt>
      <w:r w:rsidR="00BA1A03">
        <w:rPr>
          <w:noProof/>
          <w:lang w:val="en-GB"/>
        </w:rPr>
        <w:t>.</w:t>
      </w:r>
      <w:r w:rsidRPr="003433B9">
        <w:t xml:space="preserve"> Therefore, the MDI can be seen as the total decrease in node impurity from splitting on the variable, averaged over all trees</w:t>
      </w:r>
      <w:r w:rsidR="00A3046C">
        <w:t xml:space="preserve"> </w:t>
      </w:r>
      <w:r w:rsidR="00225080">
        <w:rPr>
          <w:noProof/>
        </w:rPr>
        <w:t>(Hong et al., 2016)</w:t>
      </w:r>
      <w:r w:rsidRPr="003433B9">
        <w:t>.</w:t>
      </w:r>
    </w:p>
    <w:p w14:paraId="04F97245" w14:textId="7B500369" w:rsidR="00AE0A31" w:rsidRPr="003433B9" w:rsidRDefault="00F366E0" w:rsidP="00AE0A31">
      <w:r>
        <w:fldChar w:fldCharType="begin"/>
      </w:r>
      <w:r>
        <w:instrText xml:space="preserve"> REF _Ref90392581 \h </w:instrText>
      </w:r>
      <w:r>
        <w:fldChar w:fldCharType="separate"/>
      </w:r>
      <w:r w:rsidR="000655D3">
        <w:t xml:space="preserve">Figure </w:t>
      </w:r>
      <w:r w:rsidR="000655D3">
        <w:rPr>
          <w:noProof/>
        </w:rPr>
        <w:t>5</w:t>
      </w:r>
      <w:r>
        <w:fldChar w:fldCharType="end"/>
      </w:r>
      <w:r>
        <w:t xml:space="preserve"> </w:t>
      </w:r>
      <w:r w:rsidR="00AE0A31" w:rsidRPr="003433B9">
        <w:t xml:space="preserve">shows the MDI that each indicator brings to the model. The first 9 selected indicators, apart from the DEM, were all extracted from the </w:t>
      </w:r>
      <w:r w:rsidR="009F7D75" w:rsidRPr="003433B9">
        <w:t>summer</w:t>
      </w:r>
      <w:r w:rsidR="00AE0A31" w:rsidRPr="003433B9">
        <w:t xml:space="preserve"> image. Furthermore, biophysical parameters were often selected as top-ranked indicators, specifically Canopy Chlorophyll Content (LAIcb), Canopy Water Content (LAIcw), and a chlorophyll index calculated using red-edge bands (Clre). </w:t>
      </w:r>
    </w:p>
    <w:p w14:paraId="52755CE3" w14:textId="46465215" w:rsidR="00B01B2A" w:rsidRDefault="00AE0A31" w:rsidP="00AE0A31">
      <w:pPr>
        <w:jc w:val="center"/>
      </w:pPr>
      <w:r w:rsidRPr="00142CBA">
        <w:rPr>
          <w:rFonts w:cs="Arial"/>
          <w:noProof/>
          <w:lang w:val="es-ES" w:eastAsia="es-ES"/>
        </w:rPr>
        <w:drawing>
          <wp:inline distT="0" distB="0" distL="0" distR="0" wp14:anchorId="296B54A2" wp14:editId="4A6D6F16">
            <wp:extent cx="4407835" cy="3492000"/>
            <wp:effectExtent l="0" t="0" r="0" b="0"/>
            <wp:docPr id="7"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7835" cy="3492000"/>
                    </a:xfrm>
                    <a:prstGeom prst="rect">
                      <a:avLst/>
                    </a:prstGeom>
                    <a:noFill/>
                    <a:ln>
                      <a:noFill/>
                    </a:ln>
                  </pic:spPr>
                </pic:pic>
              </a:graphicData>
            </a:graphic>
          </wp:inline>
        </w:drawing>
      </w:r>
    </w:p>
    <w:p w14:paraId="7D826485" w14:textId="157D6E06" w:rsidR="00DC62A5" w:rsidRDefault="00DC62A5" w:rsidP="00DC62A5">
      <w:pPr>
        <w:pStyle w:val="Caption"/>
      </w:pPr>
      <w:bookmarkStart w:id="47" w:name="_Ref90392581"/>
      <w:bookmarkStart w:id="48" w:name="_Toc91575549"/>
      <w:r>
        <w:t xml:space="preserve">Figure </w:t>
      </w:r>
      <w:r>
        <w:fldChar w:fldCharType="begin"/>
      </w:r>
      <w:r>
        <w:instrText xml:space="preserve"> SEQ Figure \* ARABIC </w:instrText>
      </w:r>
      <w:r>
        <w:fldChar w:fldCharType="separate"/>
      </w:r>
      <w:r w:rsidR="000655D3">
        <w:rPr>
          <w:noProof/>
        </w:rPr>
        <w:t>5</w:t>
      </w:r>
      <w:r>
        <w:fldChar w:fldCharType="end"/>
      </w:r>
      <w:bookmarkEnd w:id="47"/>
      <w:r w:rsidR="00EC1098">
        <w:t>.</w:t>
      </w:r>
      <w:r>
        <w:t xml:space="preserve"> </w:t>
      </w:r>
      <w:r w:rsidRPr="005744B9">
        <w:t>Indicators selection with Mean Decrease in Impurity.</w:t>
      </w:r>
      <w:bookmarkEnd w:id="48"/>
    </w:p>
    <w:p w14:paraId="6E0D4C4E" w14:textId="3E42CEDD" w:rsidR="00AE0A31" w:rsidRDefault="00AE0A31" w:rsidP="00AE0A31">
      <w:r w:rsidRPr="003433B9">
        <w:t xml:space="preserve">Therefore, a total of 4 Machine Learning models were tested to evaluate their performance in predicting AGB when different indicators are used as model inputs. The indicators used to build the best 4 models are showed in </w:t>
      </w:r>
      <w:r w:rsidR="0029357B">
        <w:fldChar w:fldCharType="begin"/>
      </w:r>
      <w:r w:rsidR="0029357B">
        <w:instrText xml:space="preserve"> REF _Ref90392471 \h </w:instrText>
      </w:r>
      <w:r w:rsidR="0029357B">
        <w:fldChar w:fldCharType="separate"/>
      </w:r>
      <w:r w:rsidR="000655D3">
        <w:t xml:space="preserve">Table </w:t>
      </w:r>
      <w:r w:rsidR="000655D3">
        <w:rPr>
          <w:noProof/>
        </w:rPr>
        <w:t>4</w:t>
      </w:r>
      <w:r w:rsidR="0029357B">
        <w:fldChar w:fldCharType="end"/>
      </w:r>
      <w:r w:rsidRPr="003433B9">
        <w:t>. Hence, the frequency of selection of each indicator is illustrated. A total of 3 out of 63 indicators were chosen by all the model</w:t>
      </w:r>
      <w:r w:rsidR="00225080">
        <w:t>s</w:t>
      </w:r>
      <w:r w:rsidRPr="003433B9">
        <w:t xml:space="preserve">, these are the Digital Elevation Model (DEM), </w:t>
      </w:r>
      <w:r w:rsidR="00225080">
        <w:t>the</w:t>
      </w:r>
      <w:r w:rsidRPr="003433B9">
        <w:t xml:space="preserve"> SWIR band (B12) and </w:t>
      </w:r>
      <w:r w:rsidR="00225080">
        <w:t>the</w:t>
      </w:r>
      <w:r w:rsidRPr="003433B9">
        <w:t xml:space="preserve"> biophysical parameter (LAI cb), both extracted from the </w:t>
      </w:r>
      <w:r w:rsidR="00BE0FF1" w:rsidRPr="003433B9">
        <w:t>summer</w:t>
      </w:r>
      <w:r w:rsidRPr="003433B9">
        <w:t xml:space="preserve"> month; 75% of </w:t>
      </w:r>
      <w:r w:rsidRPr="003433B9">
        <w:lastRenderedPageBreak/>
        <w:t xml:space="preserve">the models also included other two indicators from the </w:t>
      </w:r>
      <w:r w:rsidR="002359B7" w:rsidRPr="003433B9">
        <w:t>summer</w:t>
      </w:r>
      <w:r w:rsidRPr="003433B9">
        <w:t xml:space="preserve"> month, which are another biophysical parameter (LAI cw) and a vegetation index based on red-edge bands (Clre). Also, 16 indicators were included in the making of the best models for the Extreme Gradient Boosting (XGB) and K-Nearest Neighbor (kNN) algorithms. Further 5 indicators were chosen by only 25% of the models. Finally, a total of 37 out of 63 generated indicators were chose</w:t>
      </w:r>
      <w:r w:rsidR="00225080">
        <w:t>n</w:t>
      </w:r>
      <w:r w:rsidRPr="003433B9">
        <w:t xml:space="preserve"> by none of the tested models.</w:t>
      </w:r>
    </w:p>
    <w:p w14:paraId="7FAFE568" w14:textId="3363A0D2" w:rsidR="009619C8" w:rsidRDefault="009619C8" w:rsidP="009619C8">
      <w:pPr>
        <w:pStyle w:val="Caption"/>
      </w:pPr>
      <w:bookmarkStart w:id="49" w:name="_Ref90392471"/>
      <w:bookmarkStart w:id="50" w:name="_Toc91575571"/>
      <w:r>
        <w:t xml:space="preserve">Table </w:t>
      </w:r>
      <w:r>
        <w:fldChar w:fldCharType="begin"/>
      </w:r>
      <w:r>
        <w:instrText xml:space="preserve"> SEQ Table \* ARABIC </w:instrText>
      </w:r>
      <w:r>
        <w:fldChar w:fldCharType="separate"/>
      </w:r>
      <w:r w:rsidR="000655D3">
        <w:rPr>
          <w:noProof/>
        </w:rPr>
        <w:t>4</w:t>
      </w:r>
      <w:r>
        <w:fldChar w:fldCharType="end"/>
      </w:r>
      <w:bookmarkEnd w:id="49"/>
      <w:r>
        <w:t xml:space="preserve">. </w:t>
      </w:r>
      <w:r w:rsidRPr="00F446FB">
        <w:t>Frequency of selection.</w:t>
      </w:r>
      <w:bookmarkEnd w:id="50"/>
    </w:p>
    <w:tbl>
      <w:tblPr>
        <w:tblStyle w:val="TableGrid"/>
        <w:tblW w:w="0" w:type="auto"/>
        <w:jc w:val="center"/>
        <w:tblLook w:val="04A0" w:firstRow="1" w:lastRow="0" w:firstColumn="1" w:lastColumn="0" w:noHBand="0" w:noVBand="1"/>
      </w:tblPr>
      <w:tblGrid>
        <w:gridCol w:w="1163"/>
        <w:gridCol w:w="910"/>
        <w:gridCol w:w="742"/>
        <w:gridCol w:w="536"/>
        <w:gridCol w:w="737"/>
        <w:gridCol w:w="815"/>
        <w:gridCol w:w="1647"/>
      </w:tblGrid>
      <w:tr w:rsidR="00AE0A31" w:rsidRPr="00142CBA" w14:paraId="4794A893" w14:textId="77777777" w:rsidTr="000853EE">
        <w:trPr>
          <w:jc w:val="center"/>
        </w:trPr>
        <w:tc>
          <w:tcPr>
            <w:tcW w:w="1163" w:type="dxa"/>
            <w:shd w:val="clear" w:color="auto" w:fill="DBE0F4" w:themeFill="accent1" w:themeFillTint="33"/>
            <w:vAlign w:val="center"/>
          </w:tcPr>
          <w:p w14:paraId="0B114915"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Feature</w:t>
            </w:r>
          </w:p>
        </w:tc>
        <w:tc>
          <w:tcPr>
            <w:tcW w:w="910" w:type="dxa"/>
            <w:shd w:val="clear" w:color="auto" w:fill="DBE0F4" w:themeFill="accent1" w:themeFillTint="33"/>
            <w:vAlign w:val="center"/>
          </w:tcPr>
          <w:p w14:paraId="312D5DF5"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Month</w:t>
            </w:r>
          </w:p>
        </w:tc>
        <w:tc>
          <w:tcPr>
            <w:tcW w:w="742" w:type="dxa"/>
            <w:shd w:val="clear" w:color="auto" w:fill="DBE0F4" w:themeFill="accent1" w:themeFillTint="33"/>
            <w:vAlign w:val="center"/>
          </w:tcPr>
          <w:p w14:paraId="347A43BD"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kNN</w:t>
            </w:r>
          </w:p>
        </w:tc>
        <w:tc>
          <w:tcPr>
            <w:tcW w:w="536" w:type="dxa"/>
            <w:shd w:val="clear" w:color="auto" w:fill="DBE0F4" w:themeFill="accent1" w:themeFillTint="33"/>
            <w:vAlign w:val="center"/>
          </w:tcPr>
          <w:p w14:paraId="51858B4A"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RF</w:t>
            </w:r>
          </w:p>
        </w:tc>
        <w:tc>
          <w:tcPr>
            <w:tcW w:w="737" w:type="dxa"/>
            <w:shd w:val="clear" w:color="auto" w:fill="DBE0F4" w:themeFill="accent1" w:themeFillTint="33"/>
            <w:vAlign w:val="center"/>
          </w:tcPr>
          <w:p w14:paraId="0B3D89BA"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XGB</w:t>
            </w:r>
          </w:p>
        </w:tc>
        <w:tc>
          <w:tcPr>
            <w:tcW w:w="815" w:type="dxa"/>
            <w:shd w:val="clear" w:color="auto" w:fill="DBE0F4" w:themeFill="accent1" w:themeFillTint="33"/>
            <w:vAlign w:val="center"/>
          </w:tcPr>
          <w:p w14:paraId="52D95101"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DNN</w:t>
            </w:r>
          </w:p>
        </w:tc>
        <w:tc>
          <w:tcPr>
            <w:tcW w:w="1647" w:type="dxa"/>
            <w:shd w:val="clear" w:color="auto" w:fill="DBE0F4" w:themeFill="accent1" w:themeFillTint="33"/>
            <w:vAlign w:val="center"/>
          </w:tcPr>
          <w:p w14:paraId="7605622F"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Frequency of Selection (%)</w:t>
            </w:r>
          </w:p>
        </w:tc>
      </w:tr>
      <w:tr w:rsidR="00AE0A31" w:rsidRPr="00142CBA" w14:paraId="6E51A178" w14:textId="77777777" w:rsidTr="000853EE">
        <w:trPr>
          <w:jc w:val="center"/>
        </w:trPr>
        <w:tc>
          <w:tcPr>
            <w:tcW w:w="1163" w:type="dxa"/>
            <w:shd w:val="clear" w:color="auto" w:fill="auto"/>
            <w:vAlign w:val="center"/>
          </w:tcPr>
          <w:p w14:paraId="2D13E0DA"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LAI cb</w:t>
            </w:r>
          </w:p>
        </w:tc>
        <w:tc>
          <w:tcPr>
            <w:tcW w:w="910" w:type="dxa"/>
            <w:shd w:val="clear" w:color="auto" w:fill="auto"/>
            <w:vAlign w:val="center"/>
          </w:tcPr>
          <w:p w14:paraId="6EA5CFAD"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Aug</w:t>
            </w:r>
          </w:p>
        </w:tc>
        <w:tc>
          <w:tcPr>
            <w:tcW w:w="742" w:type="dxa"/>
            <w:shd w:val="clear" w:color="auto" w:fill="auto"/>
            <w:vAlign w:val="center"/>
          </w:tcPr>
          <w:p w14:paraId="6A1D20CC"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536" w:type="dxa"/>
            <w:shd w:val="clear" w:color="auto" w:fill="auto"/>
            <w:vAlign w:val="center"/>
          </w:tcPr>
          <w:p w14:paraId="7A80232C"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737" w:type="dxa"/>
            <w:shd w:val="clear" w:color="auto" w:fill="auto"/>
            <w:vAlign w:val="center"/>
          </w:tcPr>
          <w:p w14:paraId="20D252DC"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815" w:type="dxa"/>
            <w:shd w:val="clear" w:color="auto" w:fill="auto"/>
            <w:vAlign w:val="center"/>
          </w:tcPr>
          <w:p w14:paraId="3FC18FC6"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1647" w:type="dxa"/>
            <w:shd w:val="clear" w:color="auto" w:fill="auto"/>
            <w:vAlign w:val="center"/>
          </w:tcPr>
          <w:p w14:paraId="7FB56E33"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100</w:t>
            </w:r>
          </w:p>
        </w:tc>
      </w:tr>
      <w:tr w:rsidR="00AE0A31" w:rsidRPr="00142CBA" w14:paraId="70BB12E9" w14:textId="77777777" w:rsidTr="000853EE">
        <w:trPr>
          <w:jc w:val="center"/>
        </w:trPr>
        <w:tc>
          <w:tcPr>
            <w:tcW w:w="1163" w:type="dxa"/>
            <w:shd w:val="clear" w:color="auto" w:fill="auto"/>
            <w:vAlign w:val="center"/>
          </w:tcPr>
          <w:p w14:paraId="4CAC7E0A"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B12</w:t>
            </w:r>
          </w:p>
        </w:tc>
        <w:tc>
          <w:tcPr>
            <w:tcW w:w="910" w:type="dxa"/>
            <w:shd w:val="clear" w:color="auto" w:fill="auto"/>
            <w:vAlign w:val="center"/>
          </w:tcPr>
          <w:p w14:paraId="106C32CE"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Aug</w:t>
            </w:r>
          </w:p>
        </w:tc>
        <w:tc>
          <w:tcPr>
            <w:tcW w:w="742" w:type="dxa"/>
            <w:shd w:val="clear" w:color="auto" w:fill="auto"/>
            <w:vAlign w:val="center"/>
          </w:tcPr>
          <w:p w14:paraId="21E5D544"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536" w:type="dxa"/>
            <w:shd w:val="clear" w:color="auto" w:fill="auto"/>
            <w:vAlign w:val="center"/>
          </w:tcPr>
          <w:p w14:paraId="09334FAC"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737" w:type="dxa"/>
            <w:shd w:val="clear" w:color="auto" w:fill="auto"/>
            <w:vAlign w:val="center"/>
          </w:tcPr>
          <w:p w14:paraId="10843548"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815" w:type="dxa"/>
            <w:shd w:val="clear" w:color="auto" w:fill="auto"/>
            <w:vAlign w:val="center"/>
          </w:tcPr>
          <w:p w14:paraId="3AFCBCAF"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1647" w:type="dxa"/>
            <w:shd w:val="clear" w:color="auto" w:fill="auto"/>
            <w:vAlign w:val="center"/>
          </w:tcPr>
          <w:p w14:paraId="0CDF61E4"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100</w:t>
            </w:r>
          </w:p>
        </w:tc>
      </w:tr>
      <w:tr w:rsidR="00AE0A31" w:rsidRPr="00142CBA" w14:paraId="73B007A2" w14:textId="77777777" w:rsidTr="000853EE">
        <w:trPr>
          <w:jc w:val="center"/>
        </w:trPr>
        <w:tc>
          <w:tcPr>
            <w:tcW w:w="1163" w:type="dxa"/>
            <w:shd w:val="clear" w:color="auto" w:fill="auto"/>
            <w:vAlign w:val="center"/>
          </w:tcPr>
          <w:p w14:paraId="53D15F7E"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color w:val="auto"/>
                <w:sz w:val="22"/>
              </w:rPr>
              <w:t>DEM</w:t>
            </w:r>
          </w:p>
        </w:tc>
        <w:tc>
          <w:tcPr>
            <w:tcW w:w="910" w:type="dxa"/>
            <w:shd w:val="clear" w:color="auto" w:fill="auto"/>
            <w:vAlign w:val="center"/>
          </w:tcPr>
          <w:p w14:paraId="22493F84"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color w:val="auto"/>
                <w:sz w:val="22"/>
              </w:rPr>
              <w:t>-</w:t>
            </w:r>
          </w:p>
        </w:tc>
        <w:tc>
          <w:tcPr>
            <w:tcW w:w="742" w:type="dxa"/>
            <w:shd w:val="clear" w:color="auto" w:fill="auto"/>
            <w:vAlign w:val="center"/>
          </w:tcPr>
          <w:p w14:paraId="6F165D27"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color w:val="auto"/>
                <w:sz w:val="22"/>
              </w:rPr>
              <w:t>x</w:t>
            </w:r>
          </w:p>
        </w:tc>
        <w:tc>
          <w:tcPr>
            <w:tcW w:w="536" w:type="dxa"/>
            <w:shd w:val="clear" w:color="auto" w:fill="auto"/>
            <w:vAlign w:val="center"/>
          </w:tcPr>
          <w:p w14:paraId="480095D5"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color w:val="auto"/>
                <w:sz w:val="22"/>
              </w:rPr>
              <w:t>x</w:t>
            </w:r>
          </w:p>
        </w:tc>
        <w:tc>
          <w:tcPr>
            <w:tcW w:w="737" w:type="dxa"/>
            <w:shd w:val="clear" w:color="auto" w:fill="auto"/>
            <w:vAlign w:val="center"/>
          </w:tcPr>
          <w:p w14:paraId="5980DF2C"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color w:val="auto"/>
                <w:sz w:val="22"/>
              </w:rPr>
              <w:t>x</w:t>
            </w:r>
          </w:p>
        </w:tc>
        <w:tc>
          <w:tcPr>
            <w:tcW w:w="815" w:type="dxa"/>
            <w:shd w:val="clear" w:color="auto" w:fill="auto"/>
            <w:vAlign w:val="center"/>
          </w:tcPr>
          <w:p w14:paraId="3FFE902C"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color w:val="auto"/>
                <w:sz w:val="22"/>
              </w:rPr>
              <w:t>x</w:t>
            </w:r>
          </w:p>
        </w:tc>
        <w:tc>
          <w:tcPr>
            <w:tcW w:w="1647" w:type="dxa"/>
            <w:shd w:val="clear" w:color="auto" w:fill="auto"/>
            <w:vAlign w:val="center"/>
          </w:tcPr>
          <w:p w14:paraId="23EDC51F"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color w:val="auto"/>
                <w:sz w:val="22"/>
              </w:rPr>
              <w:t>100</w:t>
            </w:r>
          </w:p>
        </w:tc>
      </w:tr>
      <w:tr w:rsidR="00AE0A31" w:rsidRPr="00142CBA" w14:paraId="1304F98F" w14:textId="77777777" w:rsidTr="000853EE">
        <w:trPr>
          <w:jc w:val="center"/>
        </w:trPr>
        <w:tc>
          <w:tcPr>
            <w:tcW w:w="1163" w:type="dxa"/>
            <w:shd w:val="clear" w:color="auto" w:fill="auto"/>
            <w:vAlign w:val="center"/>
          </w:tcPr>
          <w:p w14:paraId="4321B5BB"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LAI cw</w:t>
            </w:r>
          </w:p>
        </w:tc>
        <w:tc>
          <w:tcPr>
            <w:tcW w:w="910" w:type="dxa"/>
            <w:shd w:val="clear" w:color="auto" w:fill="auto"/>
            <w:vAlign w:val="center"/>
          </w:tcPr>
          <w:p w14:paraId="7F45A5B7"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Aug</w:t>
            </w:r>
          </w:p>
        </w:tc>
        <w:tc>
          <w:tcPr>
            <w:tcW w:w="742" w:type="dxa"/>
            <w:shd w:val="clear" w:color="auto" w:fill="auto"/>
            <w:vAlign w:val="center"/>
          </w:tcPr>
          <w:p w14:paraId="2DF35511"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536" w:type="dxa"/>
            <w:shd w:val="clear" w:color="auto" w:fill="auto"/>
            <w:vAlign w:val="center"/>
          </w:tcPr>
          <w:p w14:paraId="6B13431E" w14:textId="77777777" w:rsidR="00AE0A31" w:rsidRPr="00142CBA" w:rsidRDefault="00AE0A31" w:rsidP="008F1F41">
            <w:pPr>
              <w:pStyle w:val="NormalWeb"/>
              <w:spacing w:afterAutospacing="0"/>
              <w:jc w:val="center"/>
              <w:rPr>
                <w:rFonts w:ascii="Arial" w:hAnsi="Arial" w:cs="Arial"/>
                <w:sz w:val="22"/>
              </w:rPr>
            </w:pPr>
          </w:p>
        </w:tc>
        <w:tc>
          <w:tcPr>
            <w:tcW w:w="737" w:type="dxa"/>
            <w:shd w:val="clear" w:color="auto" w:fill="auto"/>
            <w:vAlign w:val="center"/>
          </w:tcPr>
          <w:p w14:paraId="5D02BCD9"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815" w:type="dxa"/>
            <w:shd w:val="clear" w:color="auto" w:fill="auto"/>
            <w:vAlign w:val="center"/>
          </w:tcPr>
          <w:p w14:paraId="4D13C0D9"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1647" w:type="dxa"/>
            <w:shd w:val="clear" w:color="auto" w:fill="auto"/>
            <w:vAlign w:val="center"/>
          </w:tcPr>
          <w:p w14:paraId="09DA33E1"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75</w:t>
            </w:r>
          </w:p>
        </w:tc>
      </w:tr>
      <w:tr w:rsidR="00AE0A31" w:rsidRPr="00142CBA" w14:paraId="4F7627F0" w14:textId="77777777" w:rsidTr="000853EE">
        <w:trPr>
          <w:jc w:val="center"/>
        </w:trPr>
        <w:tc>
          <w:tcPr>
            <w:tcW w:w="1163" w:type="dxa"/>
            <w:shd w:val="clear" w:color="auto" w:fill="auto"/>
            <w:vAlign w:val="center"/>
          </w:tcPr>
          <w:p w14:paraId="40E6ACFB"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Clre</w:t>
            </w:r>
          </w:p>
        </w:tc>
        <w:tc>
          <w:tcPr>
            <w:tcW w:w="910" w:type="dxa"/>
            <w:shd w:val="clear" w:color="auto" w:fill="auto"/>
            <w:vAlign w:val="center"/>
          </w:tcPr>
          <w:p w14:paraId="6C86DE57"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Aug</w:t>
            </w:r>
          </w:p>
        </w:tc>
        <w:tc>
          <w:tcPr>
            <w:tcW w:w="742" w:type="dxa"/>
            <w:shd w:val="clear" w:color="auto" w:fill="auto"/>
            <w:vAlign w:val="center"/>
          </w:tcPr>
          <w:p w14:paraId="0D0CA28D"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536" w:type="dxa"/>
            <w:shd w:val="clear" w:color="auto" w:fill="auto"/>
            <w:vAlign w:val="center"/>
          </w:tcPr>
          <w:p w14:paraId="38C4A0EA" w14:textId="77777777" w:rsidR="00AE0A31" w:rsidRPr="00142CBA" w:rsidRDefault="00AE0A31" w:rsidP="008F1F41">
            <w:pPr>
              <w:pStyle w:val="NormalWeb"/>
              <w:spacing w:afterAutospacing="0"/>
              <w:jc w:val="center"/>
              <w:rPr>
                <w:rFonts w:ascii="Arial" w:hAnsi="Arial" w:cs="Arial"/>
                <w:sz w:val="22"/>
              </w:rPr>
            </w:pPr>
          </w:p>
        </w:tc>
        <w:tc>
          <w:tcPr>
            <w:tcW w:w="737" w:type="dxa"/>
            <w:shd w:val="clear" w:color="auto" w:fill="auto"/>
            <w:vAlign w:val="center"/>
          </w:tcPr>
          <w:p w14:paraId="6A5DF27E"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815" w:type="dxa"/>
            <w:shd w:val="clear" w:color="auto" w:fill="auto"/>
            <w:vAlign w:val="center"/>
          </w:tcPr>
          <w:p w14:paraId="312CC289"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1647" w:type="dxa"/>
            <w:shd w:val="clear" w:color="auto" w:fill="auto"/>
            <w:vAlign w:val="center"/>
          </w:tcPr>
          <w:p w14:paraId="1D2FD7CA"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75</w:t>
            </w:r>
          </w:p>
        </w:tc>
      </w:tr>
      <w:tr w:rsidR="00AE0A31" w:rsidRPr="00142CBA" w14:paraId="6ADB6508" w14:textId="77777777" w:rsidTr="000853EE">
        <w:trPr>
          <w:jc w:val="center"/>
        </w:trPr>
        <w:tc>
          <w:tcPr>
            <w:tcW w:w="1163" w:type="dxa"/>
            <w:shd w:val="clear" w:color="auto" w:fill="auto"/>
            <w:vAlign w:val="center"/>
          </w:tcPr>
          <w:p w14:paraId="02E70DF0"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FAPAR</w:t>
            </w:r>
          </w:p>
        </w:tc>
        <w:tc>
          <w:tcPr>
            <w:tcW w:w="910" w:type="dxa"/>
            <w:shd w:val="clear" w:color="auto" w:fill="auto"/>
            <w:vAlign w:val="center"/>
          </w:tcPr>
          <w:p w14:paraId="750E6B4E"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Aug</w:t>
            </w:r>
          </w:p>
        </w:tc>
        <w:tc>
          <w:tcPr>
            <w:tcW w:w="742" w:type="dxa"/>
            <w:shd w:val="clear" w:color="auto" w:fill="auto"/>
            <w:vAlign w:val="center"/>
          </w:tcPr>
          <w:p w14:paraId="4537753E"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536" w:type="dxa"/>
            <w:shd w:val="clear" w:color="auto" w:fill="auto"/>
            <w:vAlign w:val="center"/>
          </w:tcPr>
          <w:p w14:paraId="7B999746" w14:textId="77777777" w:rsidR="00AE0A31" w:rsidRPr="00142CBA" w:rsidRDefault="00AE0A31" w:rsidP="008F1F41">
            <w:pPr>
              <w:pStyle w:val="NormalWeb"/>
              <w:spacing w:afterAutospacing="0"/>
              <w:jc w:val="center"/>
              <w:rPr>
                <w:rFonts w:ascii="Arial" w:hAnsi="Arial" w:cs="Arial"/>
                <w:sz w:val="22"/>
              </w:rPr>
            </w:pPr>
          </w:p>
        </w:tc>
        <w:tc>
          <w:tcPr>
            <w:tcW w:w="737" w:type="dxa"/>
            <w:shd w:val="clear" w:color="auto" w:fill="auto"/>
            <w:vAlign w:val="center"/>
          </w:tcPr>
          <w:p w14:paraId="4E4D4AC5"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815" w:type="dxa"/>
            <w:shd w:val="clear" w:color="auto" w:fill="auto"/>
            <w:vAlign w:val="center"/>
          </w:tcPr>
          <w:p w14:paraId="063A489A" w14:textId="77777777" w:rsidR="00AE0A31" w:rsidRPr="00142CBA" w:rsidRDefault="00AE0A31" w:rsidP="008F1F41">
            <w:pPr>
              <w:pStyle w:val="NormalWeb"/>
              <w:spacing w:afterAutospacing="0"/>
              <w:jc w:val="center"/>
              <w:rPr>
                <w:rFonts w:ascii="Arial" w:hAnsi="Arial" w:cs="Arial"/>
                <w:sz w:val="22"/>
              </w:rPr>
            </w:pPr>
          </w:p>
        </w:tc>
        <w:tc>
          <w:tcPr>
            <w:tcW w:w="1647" w:type="dxa"/>
            <w:shd w:val="clear" w:color="auto" w:fill="auto"/>
            <w:vAlign w:val="center"/>
          </w:tcPr>
          <w:p w14:paraId="04FFF80B"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50</w:t>
            </w:r>
          </w:p>
        </w:tc>
      </w:tr>
      <w:tr w:rsidR="00AE0A31" w:rsidRPr="00142CBA" w14:paraId="669E1A78" w14:textId="77777777" w:rsidTr="000853EE">
        <w:trPr>
          <w:jc w:val="center"/>
        </w:trPr>
        <w:tc>
          <w:tcPr>
            <w:tcW w:w="1163" w:type="dxa"/>
            <w:shd w:val="clear" w:color="auto" w:fill="auto"/>
            <w:vAlign w:val="center"/>
          </w:tcPr>
          <w:p w14:paraId="7DBFD618"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Ent VI</w:t>
            </w:r>
          </w:p>
        </w:tc>
        <w:tc>
          <w:tcPr>
            <w:tcW w:w="910" w:type="dxa"/>
            <w:shd w:val="clear" w:color="auto" w:fill="auto"/>
            <w:vAlign w:val="center"/>
          </w:tcPr>
          <w:p w14:paraId="43855007"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Aug</w:t>
            </w:r>
          </w:p>
        </w:tc>
        <w:tc>
          <w:tcPr>
            <w:tcW w:w="742" w:type="dxa"/>
            <w:shd w:val="clear" w:color="auto" w:fill="auto"/>
            <w:vAlign w:val="center"/>
          </w:tcPr>
          <w:p w14:paraId="6C5BF960"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536" w:type="dxa"/>
            <w:shd w:val="clear" w:color="auto" w:fill="auto"/>
            <w:vAlign w:val="center"/>
          </w:tcPr>
          <w:p w14:paraId="1F7ADA1A" w14:textId="77777777" w:rsidR="00AE0A31" w:rsidRPr="00142CBA" w:rsidRDefault="00AE0A31" w:rsidP="008F1F41">
            <w:pPr>
              <w:pStyle w:val="NormalWeb"/>
              <w:spacing w:afterAutospacing="0"/>
              <w:jc w:val="center"/>
              <w:rPr>
                <w:rFonts w:ascii="Arial" w:hAnsi="Arial" w:cs="Arial"/>
                <w:sz w:val="22"/>
              </w:rPr>
            </w:pPr>
          </w:p>
        </w:tc>
        <w:tc>
          <w:tcPr>
            <w:tcW w:w="737" w:type="dxa"/>
            <w:shd w:val="clear" w:color="auto" w:fill="auto"/>
            <w:vAlign w:val="center"/>
          </w:tcPr>
          <w:p w14:paraId="470DE598"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815" w:type="dxa"/>
            <w:shd w:val="clear" w:color="auto" w:fill="auto"/>
            <w:vAlign w:val="center"/>
          </w:tcPr>
          <w:p w14:paraId="7B2DE35D" w14:textId="77777777" w:rsidR="00AE0A31" w:rsidRPr="00142CBA" w:rsidRDefault="00AE0A31" w:rsidP="008F1F41">
            <w:pPr>
              <w:pStyle w:val="NormalWeb"/>
              <w:spacing w:afterAutospacing="0"/>
              <w:jc w:val="center"/>
              <w:rPr>
                <w:rFonts w:ascii="Arial" w:hAnsi="Arial" w:cs="Arial"/>
                <w:sz w:val="22"/>
              </w:rPr>
            </w:pPr>
          </w:p>
        </w:tc>
        <w:tc>
          <w:tcPr>
            <w:tcW w:w="1647" w:type="dxa"/>
            <w:shd w:val="clear" w:color="auto" w:fill="auto"/>
            <w:vAlign w:val="center"/>
          </w:tcPr>
          <w:p w14:paraId="2A785D40"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50</w:t>
            </w:r>
          </w:p>
        </w:tc>
      </w:tr>
      <w:tr w:rsidR="00AE0A31" w:rsidRPr="00142CBA" w14:paraId="4DB93668" w14:textId="77777777" w:rsidTr="000853EE">
        <w:trPr>
          <w:jc w:val="center"/>
        </w:trPr>
        <w:tc>
          <w:tcPr>
            <w:tcW w:w="1163" w:type="dxa"/>
            <w:shd w:val="clear" w:color="auto" w:fill="auto"/>
            <w:vAlign w:val="center"/>
          </w:tcPr>
          <w:p w14:paraId="5A6A4C9A"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GNDVI</w:t>
            </w:r>
          </w:p>
        </w:tc>
        <w:tc>
          <w:tcPr>
            <w:tcW w:w="910" w:type="dxa"/>
            <w:shd w:val="clear" w:color="auto" w:fill="auto"/>
            <w:vAlign w:val="center"/>
          </w:tcPr>
          <w:p w14:paraId="3B099613"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Aug</w:t>
            </w:r>
          </w:p>
        </w:tc>
        <w:tc>
          <w:tcPr>
            <w:tcW w:w="742" w:type="dxa"/>
            <w:shd w:val="clear" w:color="auto" w:fill="auto"/>
            <w:vAlign w:val="center"/>
          </w:tcPr>
          <w:p w14:paraId="79CF207B"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536" w:type="dxa"/>
            <w:shd w:val="clear" w:color="auto" w:fill="auto"/>
            <w:vAlign w:val="center"/>
          </w:tcPr>
          <w:p w14:paraId="1A1DF6C3" w14:textId="77777777" w:rsidR="00AE0A31" w:rsidRPr="00142CBA" w:rsidRDefault="00AE0A31" w:rsidP="008F1F41">
            <w:pPr>
              <w:pStyle w:val="NormalWeb"/>
              <w:spacing w:afterAutospacing="0"/>
              <w:jc w:val="center"/>
              <w:rPr>
                <w:rFonts w:ascii="Arial" w:hAnsi="Arial" w:cs="Arial"/>
                <w:sz w:val="22"/>
              </w:rPr>
            </w:pPr>
          </w:p>
        </w:tc>
        <w:tc>
          <w:tcPr>
            <w:tcW w:w="737" w:type="dxa"/>
            <w:shd w:val="clear" w:color="auto" w:fill="auto"/>
            <w:vAlign w:val="center"/>
          </w:tcPr>
          <w:p w14:paraId="0A9055DC"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815" w:type="dxa"/>
            <w:shd w:val="clear" w:color="auto" w:fill="auto"/>
            <w:vAlign w:val="center"/>
          </w:tcPr>
          <w:p w14:paraId="5E3A832E" w14:textId="77777777" w:rsidR="00AE0A31" w:rsidRPr="00142CBA" w:rsidRDefault="00AE0A31" w:rsidP="008F1F41">
            <w:pPr>
              <w:pStyle w:val="NormalWeb"/>
              <w:spacing w:afterAutospacing="0"/>
              <w:jc w:val="center"/>
              <w:rPr>
                <w:rFonts w:ascii="Arial" w:hAnsi="Arial" w:cs="Arial"/>
                <w:sz w:val="22"/>
              </w:rPr>
            </w:pPr>
          </w:p>
        </w:tc>
        <w:tc>
          <w:tcPr>
            <w:tcW w:w="1647" w:type="dxa"/>
            <w:shd w:val="clear" w:color="auto" w:fill="auto"/>
            <w:vAlign w:val="center"/>
          </w:tcPr>
          <w:p w14:paraId="05C766A3"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50</w:t>
            </w:r>
          </w:p>
        </w:tc>
      </w:tr>
      <w:tr w:rsidR="00AE0A31" w:rsidRPr="00142CBA" w14:paraId="06CFEEEC" w14:textId="77777777" w:rsidTr="000853EE">
        <w:trPr>
          <w:jc w:val="center"/>
        </w:trPr>
        <w:tc>
          <w:tcPr>
            <w:tcW w:w="1163" w:type="dxa"/>
            <w:shd w:val="clear" w:color="auto" w:fill="auto"/>
            <w:vAlign w:val="center"/>
          </w:tcPr>
          <w:p w14:paraId="556920A7"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FAPAR</w:t>
            </w:r>
          </w:p>
        </w:tc>
        <w:tc>
          <w:tcPr>
            <w:tcW w:w="910" w:type="dxa"/>
            <w:shd w:val="clear" w:color="auto" w:fill="auto"/>
            <w:vAlign w:val="center"/>
          </w:tcPr>
          <w:p w14:paraId="3D167D96"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Nov</w:t>
            </w:r>
          </w:p>
        </w:tc>
        <w:tc>
          <w:tcPr>
            <w:tcW w:w="742" w:type="dxa"/>
            <w:shd w:val="clear" w:color="auto" w:fill="auto"/>
            <w:vAlign w:val="center"/>
          </w:tcPr>
          <w:p w14:paraId="22DCB1F2"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536" w:type="dxa"/>
            <w:shd w:val="clear" w:color="auto" w:fill="auto"/>
            <w:vAlign w:val="center"/>
          </w:tcPr>
          <w:p w14:paraId="07A34B36" w14:textId="77777777" w:rsidR="00AE0A31" w:rsidRPr="00142CBA" w:rsidRDefault="00AE0A31" w:rsidP="008F1F41">
            <w:pPr>
              <w:pStyle w:val="NormalWeb"/>
              <w:spacing w:afterAutospacing="0"/>
              <w:jc w:val="center"/>
              <w:rPr>
                <w:rFonts w:ascii="Arial" w:hAnsi="Arial" w:cs="Arial"/>
                <w:sz w:val="22"/>
              </w:rPr>
            </w:pPr>
          </w:p>
        </w:tc>
        <w:tc>
          <w:tcPr>
            <w:tcW w:w="737" w:type="dxa"/>
            <w:shd w:val="clear" w:color="auto" w:fill="auto"/>
            <w:vAlign w:val="center"/>
          </w:tcPr>
          <w:p w14:paraId="1E89163C"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815" w:type="dxa"/>
            <w:shd w:val="clear" w:color="auto" w:fill="auto"/>
            <w:vAlign w:val="center"/>
          </w:tcPr>
          <w:p w14:paraId="0C26B771" w14:textId="77777777" w:rsidR="00AE0A31" w:rsidRPr="00142CBA" w:rsidRDefault="00AE0A31" w:rsidP="008F1F41">
            <w:pPr>
              <w:pStyle w:val="NormalWeb"/>
              <w:spacing w:afterAutospacing="0"/>
              <w:jc w:val="center"/>
              <w:rPr>
                <w:rFonts w:ascii="Arial" w:hAnsi="Arial" w:cs="Arial"/>
                <w:sz w:val="22"/>
              </w:rPr>
            </w:pPr>
          </w:p>
        </w:tc>
        <w:tc>
          <w:tcPr>
            <w:tcW w:w="1647" w:type="dxa"/>
            <w:shd w:val="clear" w:color="auto" w:fill="auto"/>
            <w:vAlign w:val="center"/>
          </w:tcPr>
          <w:p w14:paraId="44583401"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50</w:t>
            </w:r>
          </w:p>
        </w:tc>
      </w:tr>
      <w:tr w:rsidR="00AE0A31" w:rsidRPr="00142CBA" w14:paraId="5D4D864A" w14:textId="77777777" w:rsidTr="000853EE">
        <w:trPr>
          <w:jc w:val="center"/>
        </w:trPr>
        <w:tc>
          <w:tcPr>
            <w:tcW w:w="1163" w:type="dxa"/>
            <w:shd w:val="clear" w:color="auto" w:fill="auto"/>
            <w:vAlign w:val="center"/>
          </w:tcPr>
          <w:p w14:paraId="720D7E11"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slope</w:t>
            </w:r>
          </w:p>
        </w:tc>
        <w:tc>
          <w:tcPr>
            <w:tcW w:w="910" w:type="dxa"/>
            <w:shd w:val="clear" w:color="auto" w:fill="auto"/>
            <w:vAlign w:val="center"/>
          </w:tcPr>
          <w:p w14:paraId="0AAA4412"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w:t>
            </w:r>
          </w:p>
        </w:tc>
        <w:tc>
          <w:tcPr>
            <w:tcW w:w="742" w:type="dxa"/>
            <w:shd w:val="clear" w:color="auto" w:fill="auto"/>
            <w:vAlign w:val="center"/>
          </w:tcPr>
          <w:p w14:paraId="41021D9D"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536" w:type="dxa"/>
            <w:shd w:val="clear" w:color="auto" w:fill="auto"/>
            <w:vAlign w:val="center"/>
          </w:tcPr>
          <w:p w14:paraId="0936D6EC" w14:textId="77777777" w:rsidR="00AE0A31" w:rsidRPr="00142CBA" w:rsidRDefault="00AE0A31" w:rsidP="008F1F41">
            <w:pPr>
              <w:pStyle w:val="NormalWeb"/>
              <w:spacing w:afterAutospacing="0"/>
              <w:jc w:val="center"/>
              <w:rPr>
                <w:rFonts w:ascii="Arial" w:hAnsi="Arial" w:cs="Arial"/>
                <w:sz w:val="22"/>
              </w:rPr>
            </w:pPr>
          </w:p>
        </w:tc>
        <w:tc>
          <w:tcPr>
            <w:tcW w:w="737" w:type="dxa"/>
            <w:shd w:val="clear" w:color="auto" w:fill="auto"/>
            <w:vAlign w:val="center"/>
          </w:tcPr>
          <w:p w14:paraId="17DFC8C5"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815" w:type="dxa"/>
            <w:shd w:val="clear" w:color="auto" w:fill="auto"/>
            <w:vAlign w:val="center"/>
          </w:tcPr>
          <w:p w14:paraId="7F25E768" w14:textId="77777777" w:rsidR="00AE0A31" w:rsidRPr="00142CBA" w:rsidRDefault="00AE0A31" w:rsidP="008F1F41">
            <w:pPr>
              <w:pStyle w:val="NormalWeb"/>
              <w:spacing w:afterAutospacing="0"/>
              <w:jc w:val="center"/>
              <w:rPr>
                <w:rFonts w:ascii="Arial" w:hAnsi="Arial" w:cs="Arial"/>
                <w:sz w:val="22"/>
              </w:rPr>
            </w:pPr>
          </w:p>
        </w:tc>
        <w:tc>
          <w:tcPr>
            <w:tcW w:w="1647" w:type="dxa"/>
            <w:shd w:val="clear" w:color="auto" w:fill="auto"/>
            <w:vAlign w:val="center"/>
          </w:tcPr>
          <w:p w14:paraId="6C2B89AC"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50</w:t>
            </w:r>
          </w:p>
        </w:tc>
      </w:tr>
      <w:tr w:rsidR="00AE0A31" w:rsidRPr="00142CBA" w14:paraId="2A3D2387" w14:textId="77777777" w:rsidTr="000853EE">
        <w:trPr>
          <w:jc w:val="center"/>
        </w:trPr>
        <w:tc>
          <w:tcPr>
            <w:tcW w:w="1163" w:type="dxa"/>
            <w:shd w:val="clear" w:color="auto" w:fill="auto"/>
            <w:vAlign w:val="center"/>
          </w:tcPr>
          <w:p w14:paraId="0225BA00"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LAI</w:t>
            </w:r>
          </w:p>
        </w:tc>
        <w:tc>
          <w:tcPr>
            <w:tcW w:w="910" w:type="dxa"/>
            <w:shd w:val="clear" w:color="auto" w:fill="auto"/>
            <w:vAlign w:val="center"/>
          </w:tcPr>
          <w:p w14:paraId="7C5D41CD"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Nov</w:t>
            </w:r>
          </w:p>
        </w:tc>
        <w:tc>
          <w:tcPr>
            <w:tcW w:w="742" w:type="dxa"/>
            <w:shd w:val="clear" w:color="auto" w:fill="auto"/>
            <w:vAlign w:val="center"/>
          </w:tcPr>
          <w:p w14:paraId="20B25155"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536" w:type="dxa"/>
            <w:shd w:val="clear" w:color="auto" w:fill="auto"/>
            <w:vAlign w:val="center"/>
          </w:tcPr>
          <w:p w14:paraId="73E6FE05" w14:textId="77777777" w:rsidR="00AE0A31" w:rsidRPr="00142CBA" w:rsidRDefault="00AE0A31" w:rsidP="008F1F41">
            <w:pPr>
              <w:pStyle w:val="NormalWeb"/>
              <w:spacing w:afterAutospacing="0"/>
              <w:jc w:val="center"/>
              <w:rPr>
                <w:rFonts w:ascii="Arial" w:hAnsi="Arial" w:cs="Arial"/>
                <w:sz w:val="22"/>
              </w:rPr>
            </w:pPr>
          </w:p>
        </w:tc>
        <w:tc>
          <w:tcPr>
            <w:tcW w:w="737" w:type="dxa"/>
            <w:shd w:val="clear" w:color="auto" w:fill="auto"/>
            <w:vAlign w:val="center"/>
          </w:tcPr>
          <w:p w14:paraId="7FAC0557"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815" w:type="dxa"/>
            <w:shd w:val="clear" w:color="auto" w:fill="auto"/>
            <w:vAlign w:val="center"/>
          </w:tcPr>
          <w:p w14:paraId="0555E0CE" w14:textId="77777777" w:rsidR="00AE0A31" w:rsidRPr="00142CBA" w:rsidRDefault="00AE0A31" w:rsidP="008F1F41">
            <w:pPr>
              <w:pStyle w:val="NormalWeb"/>
              <w:spacing w:afterAutospacing="0"/>
              <w:jc w:val="center"/>
              <w:rPr>
                <w:rFonts w:ascii="Arial" w:hAnsi="Arial" w:cs="Arial"/>
                <w:sz w:val="22"/>
              </w:rPr>
            </w:pPr>
          </w:p>
        </w:tc>
        <w:tc>
          <w:tcPr>
            <w:tcW w:w="1647" w:type="dxa"/>
            <w:shd w:val="clear" w:color="auto" w:fill="auto"/>
            <w:vAlign w:val="center"/>
          </w:tcPr>
          <w:p w14:paraId="4A9DFE99"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50</w:t>
            </w:r>
          </w:p>
        </w:tc>
      </w:tr>
      <w:tr w:rsidR="00AE0A31" w:rsidRPr="00142CBA" w14:paraId="535C23B4" w14:textId="77777777" w:rsidTr="000853EE">
        <w:trPr>
          <w:jc w:val="center"/>
        </w:trPr>
        <w:tc>
          <w:tcPr>
            <w:tcW w:w="1163" w:type="dxa"/>
            <w:shd w:val="clear" w:color="auto" w:fill="auto"/>
            <w:vAlign w:val="center"/>
          </w:tcPr>
          <w:p w14:paraId="0688B3C2"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LAI cb</w:t>
            </w:r>
          </w:p>
        </w:tc>
        <w:tc>
          <w:tcPr>
            <w:tcW w:w="910" w:type="dxa"/>
            <w:shd w:val="clear" w:color="auto" w:fill="auto"/>
            <w:vAlign w:val="center"/>
          </w:tcPr>
          <w:p w14:paraId="4564D86B"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Nov</w:t>
            </w:r>
          </w:p>
        </w:tc>
        <w:tc>
          <w:tcPr>
            <w:tcW w:w="742" w:type="dxa"/>
            <w:shd w:val="clear" w:color="auto" w:fill="auto"/>
            <w:vAlign w:val="center"/>
          </w:tcPr>
          <w:p w14:paraId="48CF4A87"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536" w:type="dxa"/>
            <w:shd w:val="clear" w:color="auto" w:fill="auto"/>
            <w:vAlign w:val="center"/>
          </w:tcPr>
          <w:p w14:paraId="536AE5B9" w14:textId="77777777" w:rsidR="00AE0A31" w:rsidRPr="00142CBA" w:rsidRDefault="00AE0A31" w:rsidP="008F1F41">
            <w:pPr>
              <w:pStyle w:val="NormalWeb"/>
              <w:spacing w:afterAutospacing="0"/>
              <w:jc w:val="center"/>
              <w:rPr>
                <w:rFonts w:ascii="Arial" w:hAnsi="Arial" w:cs="Arial"/>
                <w:sz w:val="22"/>
              </w:rPr>
            </w:pPr>
          </w:p>
        </w:tc>
        <w:tc>
          <w:tcPr>
            <w:tcW w:w="737" w:type="dxa"/>
            <w:shd w:val="clear" w:color="auto" w:fill="auto"/>
            <w:vAlign w:val="center"/>
          </w:tcPr>
          <w:p w14:paraId="46FBCB64"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815" w:type="dxa"/>
            <w:shd w:val="clear" w:color="auto" w:fill="auto"/>
            <w:vAlign w:val="center"/>
          </w:tcPr>
          <w:p w14:paraId="44B6855B" w14:textId="77777777" w:rsidR="00AE0A31" w:rsidRPr="00142CBA" w:rsidRDefault="00AE0A31" w:rsidP="008F1F41">
            <w:pPr>
              <w:pStyle w:val="NormalWeb"/>
              <w:spacing w:afterAutospacing="0"/>
              <w:jc w:val="center"/>
              <w:rPr>
                <w:rFonts w:ascii="Arial" w:hAnsi="Arial" w:cs="Arial"/>
                <w:sz w:val="22"/>
              </w:rPr>
            </w:pPr>
          </w:p>
        </w:tc>
        <w:tc>
          <w:tcPr>
            <w:tcW w:w="1647" w:type="dxa"/>
            <w:shd w:val="clear" w:color="auto" w:fill="auto"/>
            <w:vAlign w:val="center"/>
          </w:tcPr>
          <w:p w14:paraId="2926DF95"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50</w:t>
            </w:r>
          </w:p>
        </w:tc>
      </w:tr>
      <w:tr w:rsidR="00AE0A31" w:rsidRPr="00142CBA" w14:paraId="60F7A56A" w14:textId="77777777" w:rsidTr="000853EE">
        <w:trPr>
          <w:jc w:val="center"/>
        </w:trPr>
        <w:tc>
          <w:tcPr>
            <w:tcW w:w="1163" w:type="dxa"/>
            <w:shd w:val="clear" w:color="auto" w:fill="auto"/>
            <w:vAlign w:val="center"/>
          </w:tcPr>
          <w:p w14:paraId="10D2A2A9"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LAI</w:t>
            </w:r>
          </w:p>
        </w:tc>
        <w:tc>
          <w:tcPr>
            <w:tcW w:w="910" w:type="dxa"/>
            <w:shd w:val="clear" w:color="auto" w:fill="auto"/>
            <w:vAlign w:val="center"/>
          </w:tcPr>
          <w:p w14:paraId="7BB6E0F1"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Aug</w:t>
            </w:r>
          </w:p>
        </w:tc>
        <w:tc>
          <w:tcPr>
            <w:tcW w:w="742" w:type="dxa"/>
            <w:shd w:val="clear" w:color="auto" w:fill="auto"/>
            <w:vAlign w:val="center"/>
          </w:tcPr>
          <w:p w14:paraId="31E07C8E"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536" w:type="dxa"/>
            <w:shd w:val="clear" w:color="auto" w:fill="auto"/>
            <w:vAlign w:val="center"/>
          </w:tcPr>
          <w:p w14:paraId="0C1728EF" w14:textId="77777777" w:rsidR="00AE0A31" w:rsidRPr="00142CBA" w:rsidRDefault="00AE0A31" w:rsidP="008F1F41">
            <w:pPr>
              <w:pStyle w:val="NormalWeb"/>
              <w:spacing w:afterAutospacing="0"/>
              <w:jc w:val="center"/>
              <w:rPr>
                <w:rFonts w:ascii="Arial" w:hAnsi="Arial" w:cs="Arial"/>
                <w:sz w:val="22"/>
              </w:rPr>
            </w:pPr>
          </w:p>
        </w:tc>
        <w:tc>
          <w:tcPr>
            <w:tcW w:w="737" w:type="dxa"/>
            <w:shd w:val="clear" w:color="auto" w:fill="auto"/>
            <w:vAlign w:val="center"/>
          </w:tcPr>
          <w:p w14:paraId="6F8A0807"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815" w:type="dxa"/>
            <w:shd w:val="clear" w:color="auto" w:fill="auto"/>
            <w:vAlign w:val="center"/>
          </w:tcPr>
          <w:p w14:paraId="1D62DF05" w14:textId="77777777" w:rsidR="00AE0A31" w:rsidRPr="00142CBA" w:rsidRDefault="00AE0A31" w:rsidP="008F1F41">
            <w:pPr>
              <w:pStyle w:val="NormalWeb"/>
              <w:spacing w:afterAutospacing="0"/>
              <w:jc w:val="center"/>
              <w:rPr>
                <w:rFonts w:ascii="Arial" w:hAnsi="Arial" w:cs="Arial"/>
                <w:sz w:val="22"/>
              </w:rPr>
            </w:pPr>
          </w:p>
        </w:tc>
        <w:tc>
          <w:tcPr>
            <w:tcW w:w="1647" w:type="dxa"/>
            <w:shd w:val="clear" w:color="auto" w:fill="auto"/>
            <w:vAlign w:val="center"/>
          </w:tcPr>
          <w:p w14:paraId="75127AA3"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50</w:t>
            </w:r>
          </w:p>
        </w:tc>
      </w:tr>
      <w:tr w:rsidR="00AE0A31" w:rsidRPr="00142CBA" w14:paraId="6EA3F2DE" w14:textId="77777777" w:rsidTr="000853EE">
        <w:trPr>
          <w:jc w:val="center"/>
        </w:trPr>
        <w:tc>
          <w:tcPr>
            <w:tcW w:w="1163" w:type="dxa"/>
            <w:shd w:val="clear" w:color="auto" w:fill="auto"/>
            <w:vAlign w:val="center"/>
          </w:tcPr>
          <w:p w14:paraId="1791CA6C"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Con b2</w:t>
            </w:r>
          </w:p>
        </w:tc>
        <w:tc>
          <w:tcPr>
            <w:tcW w:w="910" w:type="dxa"/>
            <w:shd w:val="clear" w:color="auto" w:fill="auto"/>
            <w:vAlign w:val="center"/>
          </w:tcPr>
          <w:p w14:paraId="4F0F4ED3"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Aug</w:t>
            </w:r>
          </w:p>
        </w:tc>
        <w:tc>
          <w:tcPr>
            <w:tcW w:w="742" w:type="dxa"/>
            <w:shd w:val="clear" w:color="auto" w:fill="auto"/>
            <w:vAlign w:val="center"/>
          </w:tcPr>
          <w:p w14:paraId="194FDA55"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536" w:type="dxa"/>
            <w:shd w:val="clear" w:color="auto" w:fill="auto"/>
            <w:vAlign w:val="center"/>
          </w:tcPr>
          <w:p w14:paraId="2777B503" w14:textId="77777777" w:rsidR="00AE0A31" w:rsidRPr="00142CBA" w:rsidRDefault="00AE0A31" w:rsidP="008F1F41">
            <w:pPr>
              <w:pStyle w:val="NormalWeb"/>
              <w:spacing w:afterAutospacing="0"/>
              <w:jc w:val="center"/>
              <w:rPr>
                <w:rFonts w:ascii="Arial" w:hAnsi="Arial" w:cs="Arial"/>
                <w:sz w:val="22"/>
              </w:rPr>
            </w:pPr>
          </w:p>
        </w:tc>
        <w:tc>
          <w:tcPr>
            <w:tcW w:w="737" w:type="dxa"/>
            <w:shd w:val="clear" w:color="auto" w:fill="auto"/>
            <w:vAlign w:val="center"/>
          </w:tcPr>
          <w:p w14:paraId="36680E87"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815" w:type="dxa"/>
            <w:shd w:val="clear" w:color="auto" w:fill="auto"/>
            <w:vAlign w:val="center"/>
          </w:tcPr>
          <w:p w14:paraId="51023419" w14:textId="77777777" w:rsidR="00AE0A31" w:rsidRPr="00142CBA" w:rsidRDefault="00AE0A31" w:rsidP="008F1F41">
            <w:pPr>
              <w:pStyle w:val="NormalWeb"/>
              <w:spacing w:afterAutospacing="0"/>
              <w:jc w:val="center"/>
              <w:rPr>
                <w:rFonts w:ascii="Arial" w:hAnsi="Arial" w:cs="Arial"/>
                <w:sz w:val="22"/>
              </w:rPr>
            </w:pPr>
          </w:p>
        </w:tc>
        <w:tc>
          <w:tcPr>
            <w:tcW w:w="1647" w:type="dxa"/>
            <w:shd w:val="clear" w:color="auto" w:fill="auto"/>
            <w:vAlign w:val="center"/>
          </w:tcPr>
          <w:p w14:paraId="5C9581DD"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50</w:t>
            </w:r>
          </w:p>
        </w:tc>
      </w:tr>
      <w:tr w:rsidR="00AE0A31" w:rsidRPr="00142CBA" w14:paraId="7A2BEB70" w14:textId="77777777" w:rsidTr="000853EE">
        <w:trPr>
          <w:jc w:val="center"/>
        </w:trPr>
        <w:tc>
          <w:tcPr>
            <w:tcW w:w="1163" w:type="dxa"/>
            <w:shd w:val="clear" w:color="auto" w:fill="auto"/>
            <w:vAlign w:val="center"/>
          </w:tcPr>
          <w:p w14:paraId="22A92AF5"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FCOVER</w:t>
            </w:r>
          </w:p>
        </w:tc>
        <w:tc>
          <w:tcPr>
            <w:tcW w:w="910" w:type="dxa"/>
            <w:shd w:val="clear" w:color="auto" w:fill="auto"/>
            <w:vAlign w:val="center"/>
          </w:tcPr>
          <w:p w14:paraId="4EE1B9AB"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Nov</w:t>
            </w:r>
          </w:p>
        </w:tc>
        <w:tc>
          <w:tcPr>
            <w:tcW w:w="742" w:type="dxa"/>
            <w:shd w:val="clear" w:color="auto" w:fill="auto"/>
            <w:vAlign w:val="center"/>
          </w:tcPr>
          <w:p w14:paraId="449CA598"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536" w:type="dxa"/>
            <w:shd w:val="clear" w:color="auto" w:fill="auto"/>
            <w:vAlign w:val="center"/>
          </w:tcPr>
          <w:p w14:paraId="48899534" w14:textId="77777777" w:rsidR="00AE0A31" w:rsidRPr="00142CBA" w:rsidRDefault="00AE0A31" w:rsidP="008F1F41">
            <w:pPr>
              <w:pStyle w:val="NormalWeb"/>
              <w:spacing w:afterAutospacing="0"/>
              <w:jc w:val="center"/>
              <w:rPr>
                <w:rFonts w:ascii="Arial" w:hAnsi="Arial" w:cs="Arial"/>
                <w:sz w:val="22"/>
              </w:rPr>
            </w:pPr>
          </w:p>
        </w:tc>
        <w:tc>
          <w:tcPr>
            <w:tcW w:w="737" w:type="dxa"/>
            <w:shd w:val="clear" w:color="auto" w:fill="auto"/>
            <w:vAlign w:val="center"/>
          </w:tcPr>
          <w:p w14:paraId="612DD5B0"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815" w:type="dxa"/>
            <w:shd w:val="clear" w:color="auto" w:fill="auto"/>
            <w:vAlign w:val="center"/>
          </w:tcPr>
          <w:p w14:paraId="366BAD0F" w14:textId="77777777" w:rsidR="00AE0A31" w:rsidRPr="00142CBA" w:rsidRDefault="00AE0A31" w:rsidP="008F1F41">
            <w:pPr>
              <w:pStyle w:val="NormalWeb"/>
              <w:spacing w:afterAutospacing="0"/>
              <w:jc w:val="center"/>
              <w:rPr>
                <w:rFonts w:ascii="Arial" w:hAnsi="Arial" w:cs="Arial"/>
                <w:sz w:val="22"/>
              </w:rPr>
            </w:pPr>
          </w:p>
        </w:tc>
        <w:tc>
          <w:tcPr>
            <w:tcW w:w="1647" w:type="dxa"/>
            <w:shd w:val="clear" w:color="auto" w:fill="auto"/>
            <w:vAlign w:val="center"/>
          </w:tcPr>
          <w:p w14:paraId="5BDAF668"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50</w:t>
            </w:r>
          </w:p>
        </w:tc>
      </w:tr>
      <w:tr w:rsidR="00AE0A31" w:rsidRPr="00142CBA" w14:paraId="7E7B323E" w14:textId="77777777" w:rsidTr="000853EE">
        <w:trPr>
          <w:jc w:val="center"/>
        </w:trPr>
        <w:tc>
          <w:tcPr>
            <w:tcW w:w="1163" w:type="dxa"/>
            <w:shd w:val="clear" w:color="auto" w:fill="auto"/>
            <w:vAlign w:val="center"/>
          </w:tcPr>
          <w:p w14:paraId="01F42AF7"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Mean VI</w:t>
            </w:r>
          </w:p>
        </w:tc>
        <w:tc>
          <w:tcPr>
            <w:tcW w:w="910" w:type="dxa"/>
            <w:shd w:val="clear" w:color="auto" w:fill="auto"/>
            <w:vAlign w:val="center"/>
          </w:tcPr>
          <w:p w14:paraId="0F210233"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Nov</w:t>
            </w:r>
          </w:p>
        </w:tc>
        <w:tc>
          <w:tcPr>
            <w:tcW w:w="742" w:type="dxa"/>
            <w:shd w:val="clear" w:color="auto" w:fill="auto"/>
            <w:vAlign w:val="center"/>
          </w:tcPr>
          <w:p w14:paraId="005E286A"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536" w:type="dxa"/>
            <w:shd w:val="clear" w:color="auto" w:fill="auto"/>
            <w:vAlign w:val="center"/>
          </w:tcPr>
          <w:p w14:paraId="3741125F" w14:textId="77777777" w:rsidR="00AE0A31" w:rsidRPr="00142CBA" w:rsidRDefault="00AE0A31" w:rsidP="008F1F41">
            <w:pPr>
              <w:pStyle w:val="NormalWeb"/>
              <w:spacing w:afterAutospacing="0"/>
              <w:jc w:val="center"/>
              <w:rPr>
                <w:rFonts w:ascii="Arial" w:hAnsi="Arial" w:cs="Arial"/>
                <w:sz w:val="22"/>
              </w:rPr>
            </w:pPr>
          </w:p>
        </w:tc>
        <w:tc>
          <w:tcPr>
            <w:tcW w:w="737" w:type="dxa"/>
            <w:shd w:val="clear" w:color="auto" w:fill="auto"/>
            <w:vAlign w:val="center"/>
          </w:tcPr>
          <w:p w14:paraId="566A9244"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815" w:type="dxa"/>
            <w:shd w:val="clear" w:color="auto" w:fill="auto"/>
            <w:vAlign w:val="center"/>
          </w:tcPr>
          <w:p w14:paraId="517A1511" w14:textId="77777777" w:rsidR="00AE0A31" w:rsidRPr="00142CBA" w:rsidRDefault="00AE0A31" w:rsidP="008F1F41">
            <w:pPr>
              <w:pStyle w:val="NormalWeb"/>
              <w:spacing w:afterAutospacing="0"/>
              <w:jc w:val="center"/>
              <w:rPr>
                <w:rFonts w:ascii="Arial" w:hAnsi="Arial" w:cs="Arial"/>
                <w:sz w:val="22"/>
              </w:rPr>
            </w:pPr>
          </w:p>
        </w:tc>
        <w:tc>
          <w:tcPr>
            <w:tcW w:w="1647" w:type="dxa"/>
            <w:shd w:val="clear" w:color="auto" w:fill="auto"/>
            <w:vAlign w:val="center"/>
          </w:tcPr>
          <w:p w14:paraId="53870943"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50</w:t>
            </w:r>
          </w:p>
        </w:tc>
      </w:tr>
      <w:tr w:rsidR="00AE0A31" w:rsidRPr="00142CBA" w14:paraId="4639D80C" w14:textId="77777777" w:rsidTr="000853EE">
        <w:trPr>
          <w:jc w:val="center"/>
        </w:trPr>
        <w:tc>
          <w:tcPr>
            <w:tcW w:w="1163" w:type="dxa"/>
            <w:shd w:val="clear" w:color="auto" w:fill="auto"/>
            <w:vAlign w:val="center"/>
          </w:tcPr>
          <w:p w14:paraId="57436BBC"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Ent VI</w:t>
            </w:r>
          </w:p>
        </w:tc>
        <w:tc>
          <w:tcPr>
            <w:tcW w:w="910" w:type="dxa"/>
            <w:shd w:val="clear" w:color="auto" w:fill="auto"/>
            <w:vAlign w:val="center"/>
          </w:tcPr>
          <w:p w14:paraId="5088E4D6"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Nov</w:t>
            </w:r>
          </w:p>
        </w:tc>
        <w:tc>
          <w:tcPr>
            <w:tcW w:w="742" w:type="dxa"/>
            <w:shd w:val="clear" w:color="auto" w:fill="auto"/>
            <w:vAlign w:val="center"/>
          </w:tcPr>
          <w:p w14:paraId="2EBFC1E8"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536" w:type="dxa"/>
            <w:shd w:val="clear" w:color="auto" w:fill="auto"/>
            <w:vAlign w:val="center"/>
          </w:tcPr>
          <w:p w14:paraId="0D7EA4CC" w14:textId="77777777" w:rsidR="00AE0A31" w:rsidRPr="00142CBA" w:rsidRDefault="00AE0A31" w:rsidP="008F1F41">
            <w:pPr>
              <w:pStyle w:val="NormalWeb"/>
              <w:spacing w:afterAutospacing="0"/>
              <w:jc w:val="center"/>
              <w:rPr>
                <w:rFonts w:ascii="Arial" w:hAnsi="Arial" w:cs="Arial"/>
                <w:sz w:val="22"/>
              </w:rPr>
            </w:pPr>
          </w:p>
        </w:tc>
        <w:tc>
          <w:tcPr>
            <w:tcW w:w="737" w:type="dxa"/>
            <w:shd w:val="clear" w:color="auto" w:fill="auto"/>
            <w:vAlign w:val="center"/>
          </w:tcPr>
          <w:p w14:paraId="4E84CC79"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815" w:type="dxa"/>
            <w:shd w:val="clear" w:color="auto" w:fill="auto"/>
            <w:vAlign w:val="center"/>
          </w:tcPr>
          <w:p w14:paraId="57A517CC" w14:textId="77777777" w:rsidR="00AE0A31" w:rsidRPr="00142CBA" w:rsidRDefault="00AE0A31" w:rsidP="008F1F41">
            <w:pPr>
              <w:pStyle w:val="NormalWeb"/>
              <w:spacing w:afterAutospacing="0"/>
              <w:jc w:val="center"/>
              <w:rPr>
                <w:rFonts w:ascii="Arial" w:hAnsi="Arial" w:cs="Arial"/>
                <w:sz w:val="22"/>
              </w:rPr>
            </w:pPr>
          </w:p>
        </w:tc>
        <w:tc>
          <w:tcPr>
            <w:tcW w:w="1647" w:type="dxa"/>
            <w:shd w:val="clear" w:color="auto" w:fill="auto"/>
            <w:vAlign w:val="center"/>
          </w:tcPr>
          <w:p w14:paraId="738EBEC7"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50</w:t>
            </w:r>
          </w:p>
        </w:tc>
      </w:tr>
      <w:tr w:rsidR="00AE0A31" w:rsidRPr="00142CBA" w14:paraId="45205E6E" w14:textId="77777777" w:rsidTr="000853EE">
        <w:trPr>
          <w:jc w:val="center"/>
        </w:trPr>
        <w:tc>
          <w:tcPr>
            <w:tcW w:w="1163" w:type="dxa"/>
            <w:shd w:val="clear" w:color="auto" w:fill="auto"/>
            <w:vAlign w:val="center"/>
          </w:tcPr>
          <w:p w14:paraId="342212A9"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Ent b2</w:t>
            </w:r>
          </w:p>
        </w:tc>
        <w:tc>
          <w:tcPr>
            <w:tcW w:w="910" w:type="dxa"/>
            <w:shd w:val="clear" w:color="auto" w:fill="auto"/>
            <w:vAlign w:val="center"/>
          </w:tcPr>
          <w:p w14:paraId="1A32B01E"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Aug</w:t>
            </w:r>
          </w:p>
        </w:tc>
        <w:tc>
          <w:tcPr>
            <w:tcW w:w="742" w:type="dxa"/>
            <w:shd w:val="clear" w:color="auto" w:fill="auto"/>
            <w:vAlign w:val="center"/>
          </w:tcPr>
          <w:p w14:paraId="259B36C2"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536" w:type="dxa"/>
            <w:shd w:val="clear" w:color="auto" w:fill="auto"/>
            <w:vAlign w:val="center"/>
          </w:tcPr>
          <w:p w14:paraId="4E906B5F" w14:textId="77777777" w:rsidR="00AE0A31" w:rsidRPr="00142CBA" w:rsidRDefault="00AE0A31" w:rsidP="008F1F41">
            <w:pPr>
              <w:pStyle w:val="NormalWeb"/>
              <w:spacing w:afterAutospacing="0"/>
              <w:jc w:val="center"/>
              <w:rPr>
                <w:rFonts w:ascii="Arial" w:hAnsi="Arial" w:cs="Arial"/>
                <w:sz w:val="22"/>
              </w:rPr>
            </w:pPr>
          </w:p>
        </w:tc>
        <w:tc>
          <w:tcPr>
            <w:tcW w:w="737" w:type="dxa"/>
            <w:shd w:val="clear" w:color="auto" w:fill="auto"/>
            <w:vAlign w:val="center"/>
          </w:tcPr>
          <w:p w14:paraId="1573EC83"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815" w:type="dxa"/>
            <w:shd w:val="clear" w:color="auto" w:fill="auto"/>
            <w:vAlign w:val="center"/>
          </w:tcPr>
          <w:p w14:paraId="1B451EA1" w14:textId="77777777" w:rsidR="00AE0A31" w:rsidRPr="00142CBA" w:rsidRDefault="00AE0A31" w:rsidP="008F1F41">
            <w:pPr>
              <w:pStyle w:val="NormalWeb"/>
              <w:spacing w:afterAutospacing="0"/>
              <w:jc w:val="center"/>
              <w:rPr>
                <w:rFonts w:ascii="Arial" w:hAnsi="Arial" w:cs="Arial"/>
                <w:sz w:val="22"/>
              </w:rPr>
            </w:pPr>
          </w:p>
        </w:tc>
        <w:tc>
          <w:tcPr>
            <w:tcW w:w="1647" w:type="dxa"/>
            <w:shd w:val="clear" w:color="auto" w:fill="auto"/>
            <w:vAlign w:val="center"/>
          </w:tcPr>
          <w:p w14:paraId="45B4D371"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50</w:t>
            </w:r>
          </w:p>
        </w:tc>
      </w:tr>
      <w:tr w:rsidR="00AE0A31" w:rsidRPr="00142CBA" w14:paraId="2228FC54" w14:textId="77777777" w:rsidTr="000853EE">
        <w:trPr>
          <w:jc w:val="center"/>
        </w:trPr>
        <w:tc>
          <w:tcPr>
            <w:tcW w:w="1163" w:type="dxa"/>
            <w:shd w:val="clear" w:color="auto" w:fill="auto"/>
            <w:vAlign w:val="center"/>
          </w:tcPr>
          <w:p w14:paraId="05D38DA3"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LAI cw</w:t>
            </w:r>
          </w:p>
        </w:tc>
        <w:tc>
          <w:tcPr>
            <w:tcW w:w="910" w:type="dxa"/>
            <w:shd w:val="clear" w:color="auto" w:fill="auto"/>
            <w:vAlign w:val="center"/>
          </w:tcPr>
          <w:p w14:paraId="1FED5A5E"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Nov</w:t>
            </w:r>
          </w:p>
        </w:tc>
        <w:tc>
          <w:tcPr>
            <w:tcW w:w="742" w:type="dxa"/>
            <w:shd w:val="clear" w:color="auto" w:fill="auto"/>
            <w:vAlign w:val="center"/>
          </w:tcPr>
          <w:p w14:paraId="6FB08BCE"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536" w:type="dxa"/>
            <w:shd w:val="clear" w:color="auto" w:fill="auto"/>
            <w:vAlign w:val="center"/>
          </w:tcPr>
          <w:p w14:paraId="62F05EDC" w14:textId="77777777" w:rsidR="00AE0A31" w:rsidRPr="00142CBA" w:rsidRDefault="00AE0A31" w:rsidP="008F1F41">
            <w:pPr>
              <w:pStyle w:val="NormalWeb"/>
              <w:spacing w:afterAutospacing="0"/>
              <w:jc w:val="center"/>
              <w:rPr>
                <w:rFonts w:ascii="Arial" w:hAnsi="Arial" w:cs="Arial"/>
                <w:sz w:val="22"/>
              </w:rPr>
            </w:pPr>
          </w:p>
        </w:tc>
        <w:tc>
          <w:tcPr>
            <w:tcW w:w="737" w:type="dxa"/>
            <w:shd w:val="clear" w:color="auto" w:fill="auto"/>
            <w:vAlign w:val="center"/>
          </w:tcPr>
          <w:p w14:paraId="3A741608"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815" w:type="dxa"/>
            <w:shd w:val="clear" w:color="auto" w:fill="auto"/>
            <w:vAlign w:val="center"/>
          </w:tcPr>
          <w:p w14:paraId="127E1144" w14:textId="77777777" w:rsidR="00AE0A31" w:rsidRPr="00142CBA" w:rsidRDefault="00AE0A31" w:rsidP="008F1F41">
            <w:pPr>
              <w:pStyle w:val="NormalWeb"/>
              <w:spacing w:afterAutospacing="0"/>
              <w:jc w:val="center"/>
              <w:rPr>
                <w:rFonts w:ascii="Arial" w:hAnsi="Arial" w:cs="Arial"/>
                <w:sz w:val="22"/>
              </w:rPr>
            </w:pPr>
          </w:p>
        </w:tc>
        <w:tc>
          <w:tcPr>
            <w:tcW w:w="1647" w:type="dxa"/>
            <w:shd w:val="clear" w:color="auto" w:fill="auto"/>
            <w:vAlign w:val="center"/>
          </w:tcPr>
          <w:p w14:paraId="096927D0"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50</w:t>
            </w:r>
          </w:p>
        </w:tc>
      </w:tr>
      <w:tr w:rsidR="00AE0A31" w:rsidRPr="00142CBA" w14:paraId="558C26E1" w14:textId="77777777" w:rsidTr="000853EE">
        <w:trPr>
          <w:jc w:val="center"/>
        </w:trPr>
        <w:tc>
          <w:tcPr>
            <w:tcW w:w="1163" w:type="dxa"/>
            <w:shd w:val="clear" w:color="auto" w:fill="auto"/>
            <w:vAlign w:val="center"/>
          </w:tcPr>
          <w:p w14:paraId="1964EAF9"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GEMI</w:t>
            </w:r>
          </w:p>
        </w:tc>
        <w:tc>
          <w:tcPr>
            <w:tcW w:w="910" w:type="dxa"/>
            <w:shd w:val="clear" w:color="auto" w:fill="auto"/>
            <w:vAlign w:val="center"/>
          </w:tcPr>
          <w:p w14:paraId="4F971EBC"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Nov</w:t>
            </w:r>
          </w:p>
        </w:tc>
        <w:tc>
          <w:tcPr>
            <w:tcW w:w="742" w:type="dxa"/>
            <w:shd w:val="clear" w:color="auto" w:fill="auto"/>
            <w:vAlign w:val="center"/>
          </w:tcPr>
          <w:p w14:paraId="7382E8B0"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536" w:type="dxa"/>
            <w:shd w:val="clear" w:color="auto" w:fill="auto"/>
            <w:vAlign w:val="center"/>
          </w:tcPr>
          <w:p w14:paraId="00259257" w14:textId="77777777" w:rsidR="00AE0A31" w:rsidRPr="00142CBA" w:rsidRDefault="00AE0A31" w:rsidP="008F1F41">
            <w:pPr>
              <w:pStyle w:val="NormalWeb"/>
              <w:spacing w:afterAutospacing="0"/>
              <w:jc w:val="center"/>
              <w:rPr>
                <w:rFonts w:ascii="Arial" w:hAnsi="Arial" w:cs="Arial"/>
                <w:sz w:val="22"/>
              </w:rPr>
            </w:pPr>
          </w:p>
        </w:tc>
        <w:tc>
          <w:tcPr>
            <w:tcW w:w="737" w:type="dxa"/>
            <w:shd w:val="clear" w:color="auto" w:fill="auto"/>
            <w:vAlign w:val="center"/>
          </w:tcPr>
          <w:p w14:paraId="3C6BC462"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815" w:type="dxa"/>
            <w:shd w:val="clear" w:color="auto" w:fill="auto"/>
            <w:vAlign w:val="center"/>
          </w:tcPr>
          <w:p w14:paraId="0D59C6F6" w14:textId="77777777" w:rsidR="00AE0A31" w:rsidRPr="00142CBA" w:rsidRDefault="00AE0A31" w:rsidP="008F1F41">
            <w:pPr>
              <w:pStyle w:val="NormalWeb"/>
              <w:spacing w:afterAutospacing="0"/>
              <w:jc w:val="center"/>
              <w:rPr>
                <w:rFonts w:ascii="Arial" w:hAnsi="Arial" w:cs="Arial"/>
                <w:sz w:val="22"/>
              </w:rPr>
            </w:pPr>
          </w:p>
        </w:tc>
        <w:tc>
          <w:tcPr>
            <w:tcW w:w="1647" w:type="dxa"/>
            <w:shd w:val="clear" w:color="auto" w:fill="auto"/>
            <w:vAlign w:val="center"/>
          </w:tcPr>
          <w:p w14:paraId="483287AF" w14:textId="77777777" w:rsidR="00AE0A31" w:rsidRPr="00142CBA" w:rsidRDefault="00AE0A31" w:rsidP="008F1F41">
            <w:pPr>
              <w:pStyle w:val="NormalWeb"/>
              <w:spacing w:before="100" w:afterAutospacing="0"/>
              <w:jc w:val="center"/>
              <w:rPr>
                <w:rFonts w:ascii="Arial" w:hAnsi="Arial" w:cs="Arial"/>
                <w:sz w:val="22"/>
              </w:rPr>
            </w:pPr>
            <w:r w:rsidRPr="00142CBA">
              <w:rPr>
                <w:rFonts w:ascii="Arial" w:hAnsi="Arial" w:cs="Arial"/>
                <w:sz w:val="22"/>
              </w:rPr>
              <w:t>50</w:t>
            </w:r>
          </w:p>
        </w:tc>
      </w:tr>
      <w:tr w:rsidR="00AE0A31" w:rsidRPr="00142CBA" w14:paraId="3613EA8A" w14:textId="77777777" w:rsidTr="000853EE">
        <w:trPr>
          <w:jc w:val="center"/>
        </w:trPr>
        <w:tc>
          <w:tcPr>
            <w:tcW w:w="1163" w:type="dxa"/>
            <w:shd w:val="clear" w:color="auto" w:fill="auto"/>
            <w:vAlign w:val="center"/>
          </w:tcPr>
          <w:p w14:paraId="7CBC6B90"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Ent b2</w:t>
            </w:r>
          </w:p>
        </w:tc>
        <w:tc>
          <w:tcPr>
            <w:tcW w:w="910" w:type="dxa"/>
            <w:shd w:val="clear" w:color="auto" w:fill="auto"/>
            <w:vAlign w:val="center"/>
          </w:tcPr>
          <w:p w14:paraId="63776DBE"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Nov</w:t>
            </w:r>
          </w:p>
        </w:tc>
        <w:tc>
          <w:tcPr>
            <w:tcW w:w="742" w:type="dxa"/>
            <w:shd w:val="clear" w:color="auto" w:fill="auto"/>
            <w:vAlign w:val="center"/>
          </w:tcPr>
          <w:p w14:paraId="77BA0ABB"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536" w:type="dxa"/>
            <w:shd w:val="clear" w:color="auto" w:fill="auto"/>
            <w:vAlign w:val="center"/>
          </w:tcPr>
          <w:p w14:paraId="373A99AD" w14:textId="77777777" w:rsidR="00AE0A31" w:rsidRPr="00142CBA" w:rsidRDefault="00AE0A31" w:rsidP="008F1F41">
            <w:pPr>
              <w:pStyle w:val="NormalWeb"/>
              <w:spacing w:afterAutospacing="0"/>
              <w:jc w:val="center"/>
              <w:rPr>
                <w:rFonts w:ascii="Arial" w:hAnsi="Arial" w:cs="Arial"/>
                <w:sz w:val="22"/>
              </w:rPr>
            </w:pPr>
          </w:p>
        </w:tc>
        <w:tc>
          <w:tcPr>
            <w:tcW w:w="737" w:type="dxa"/>
            <w:shd w:val="clear" w:color="auto" w:fill="auto"/>
            <w:vAlign w:val="center"/>
          </w:tcPr>
          <w:p w14:paraId="5E26517F"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815" w:type="dxa"/>
            <w:shd w:val="clear" w:color="auto" w:fill="auto"/>
            <w:vAlign w:val="center"/>
          </w:tcPr>
          <w:p w14:paraId="7F115232" w14:textId="77777777" w:rsidR="00AE0A31" w:rsidRPr="00142CBA" w:rsidRDefault="00AE0A31" w:rsidP="008F1F41">
            <w:pPr>
              <w:pStyle w:val="NormalWeb"/>
              <w:spacing w:afterAutospacing="0"/>
              <w:jc w:val="center"/>
              <w:rPr>
                <w:rFonts w:ascii="Arial" w:hAnsi="Arial" w:cs="Arial"/>
                <w:sz w:val="22"/>
              </w:rPr>
            </w:pPr>
          </w:p>
        </w:tc>
        <w:tc>
          <w:tcPr>
            <w:tcW w:w="1647" w:type="dxa"/>
            <w:shd w:val="clear" w:color="auto" w:fill="auto"/>
            <w:vAlign w:val="center"/>
          </w:tcPr>
          <w:p w14:paraId="568B38EE" w14:textId="77777777" w:rsidR="00AE0A31" w:rsidRPr="00142CBA" w:rsidRDefault="00AE0A31" w:rsidP="008F1F41">
            <w:pPr>
              <w:pStyle w:val="NormalWeb"/>
              <w:spacing w:before="100" w:afterAutospacing="0"/>
              <w:jc w:val="center"/>
              <w:rPr>
                <w:rFonts w:ascii="Arial" w:hAnsi="Arial" w:cs="Arial"/>
                <w:sz w:val="22"/>
              </w:rPr>
            </w:pPr>
            <w:r w:rsidRPr="00142CBA">
              <w:rPr>
                <w:rFonts w:ascii="Arial" w:hAnsi="Arial" w:cs="Arial"/>
                <w:sz w:val="22"/>
              </w:rPr>
              <w:t>50</w:t>
            </w:r>
          </w:p>
        </w:tc>
      </w:tr>
      <w:tr w:rsidR="00AE0A31" w:rsidRPr="00142CBA" w14:paraId="3120D670" w14:textId="77777777" w:rsidTr="000853EE">
        <w:trPr>
          <w:jc w:val="center"/>
        </w:trPr>
        <w:tc>
          <w:tcPr>
            <w:tcW w:w="1163" w:type="dxa"/>
            <w:shd w:val="clear" w:color="auto" w:fill="auto"/>
            <w:vAlign w:val="center"/>
          </w:tcPr>
          <w:p w14:paraId="35196F13"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Clre</w:t>
            </w:r>
          </w:p>
        </w:tc>
        <w:tc>
          <w:tcPr>
            <w:tcW w:w="910" w:type="dxa"/>
            <w:shd w:val="clear" w:color="auto" w:fill="auto"/>
            <w:vAlign w:val="center"/>
          </w:tcPr>
          <w:p w14:paraId="2BC6F58F"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Nov</w:t>
            </w:r>
          </w:p>
        </w:tc>
        <w:tc>
          <w:tcPr>
            <w:tcW w:w="742" w:type="dxa"/>
            <w:shd w:val="clear" w:color="auto" w:fill="auto"/>
            <w:vAlign w:val="center"/>
          </w:tcPr>
          <w:p w14:paraId="0AC737A2" w14:textId="77777777" w:rsidR="00AE0A31" w:rsidRPr="00142CBA" w:rsidRDefault="00AE0A31" w:rsidP="008F1F41">
            <w:pPr>
              <w:pStyle w:val="NormalWeb"/>
              <w:spacing w:afterAutospacing="0"/>
              <w:jc w:val="center"/>
              <w:rPr>
                <w:rFonts w:ascii="Arial" w:hAnsi="Arial" w:cs="Arial"/>
                <w:sz w:val="22"/>
              </w:rPr>
            </w:pPr>
          </w:p>
        </w:tc>
        <w:tc>
          <w:tcPr>
            <w:tcW w:w="536" w:type="dxa"/>
            <w:shd w:val="clear" w:color="auto" w:fill="auto"/>
            <w:vAlign w:val="center"/>
          </w:tcPr>
          <w:p w14:paraId="17ADFCAC" w14:textId="77777777" w:rsidR="00AE0A31" w:rsidRPr="00142CBA" w:rsidRDefault="00AE0A31" w:rsidP="008F1F41">
            <w:pPr>
              <w:pStyle w:val="NormalWeb"/>
              <w:spacing w:afterAutospacing="0"/>
              <w:jc w:val="center"/>
              <w:rPr>
                <w:rFonts w:ascii="Arial" w:hAnsi="Arial" w:cs="Arial"/>
                <w:sz w:val="22"/>
              </w:rPr>
            </w:pPr>
          </w:p>
        </w:tc>
        <w:tc>
          <w:tcPr>
            <w:tcW w:w="737" w:type="dxa"/>
            <w:shd w:val="clear" w:color="auto" w:fill="auto"/>
            <w:vAlign w:val="center"/>
          </w:tcPr>
          <w:p w14:paraId="08C31C84"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815" w:type="dxa"/>
            <w:shd w:val="clear" w:color="auto" w:fill="auto"/>
            <w:vAlign w:val="center"/>
          </w:tcPr>
          <w:p w14:paraId="4029B91D" w14:textId="77777777" w:rsidR="00AE0A31" w:rsidRPr="00142CBA" w:rsidRDefault="00AE0A31" w:rsidP="008F1F41">
            <w:pPr>
              <w:pStyle w:val="NormalWeb"/>
              <w:spacing w:afterAutospacing="0"/>
              <w:jc w:val="center"/>
              <w:rPr>
                <w:rFonts w:ascii="Arial" w:hAnsi="Arial" w:cs="Arial"/>
                <w:sz w:val="22"/>
              </w:rPr>
            </w:pPr>
          </w:p>
        </w:tc>
        <w:tc>
          <w:tcPr>
            <w:tcW w:w="1647" w:type="dxa"/>
            <w:shd w:val="clear" w:color="auto" w:fill="auto"/>
            <w:vAlign w:val="center"/>
          </w:tcPr>
          <w:p w14:paraId="1BAF5A1D"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25</w:t>
            </w:r>
          </w:p>
        </w:tc>
      </w:tr>
      <w:tr w:rsidR="00AE0A31" w:rsidRPr="00142CBA" w14:paraId="664F4E46" w14:textId="77777777" w:rsidTr="000853EE">
        <w:trPr>
          <w:jc w:val="center"/>
        </w:trPr>
        <w:tc>
          <w:tcPr>
            <w:tcW w:w="1163" w:type="dxa"/>
            <w:shd w:val="clear" w:color="auto" w:fill="auto"/>
            <w:vAlign w:val="center"/>
          </w:tcPr>
          <w:p w14:paraId="53CF609A"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B3</w:t>
            </w:r>
          </w:p>
        </w:tc>
        <w:tc>
          <w:tcPr>
            <w:tcW w:w="910" w:type="dxa"/>
            <w:shd w:val="clear" w:color="auto" w:fill="auto"/>
            <w:vAlign w:val="center"/>
          </w:tcPr>
          <w:p w14:paraId="55B9CC96"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Aug</w:t>
            </w:r>
          </w:p>
        </w:tc>
        <w:tc>
          <w:tcPr>
            <w:tcW w:w="742" w:type="dxa"/>
            <w:shd w:val="clear" w:color="auto" w:fill="auto"/>
            <w:vAlign w:val="center"/>
          </w:tcPr>
          <w:p w14:paraId="53EA6BC2"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536" w:type="dxa"/>
            <w:shd w:val="clear" w:color="auto" w:fill="auto"/>
            <w:vAlign w:val="center"/>
          </w:tcPr>
          <w:p w14:paraId="6334E670" w14:textId="77777777" w:rsidR="00AE0A31" w:rsidRPr="00142CBA" w:rsidRDefault="00AE0A31" w:rsidP="008F1F41">
            <w:pPr>
              <w:pStyle w:val="NormalWeb"/>
              <w:spacing w:afterAutospacing="0"/>
              <w:jc w:val="center"/>
              <w:rPr>
                <w:rFonts w:ascii="Arial" w:hAnsi="Arial" w:cs="Arial"/>
                <w:sz w:val="22"/>
              </w:rPr>
            </w:pPr>
          </w:p>
        </w:tc>
        <w:tc>
          <w:tcPr>
            <w:tcW w:w="737" w:type="dxa"/>
            <w:shd w:val="clear" w:color="auto" w:fill="auto"/>
            <w:vAlign w:val="center"/>
          </w:tcPr>
          <w:p w14:paraId="7F794547" w14:textId="77777777" w:rsidR="00AE0A31" w:rsidRPr="00142CBA" w:rsidRDefault="00AE0A31" w:rsidP="008F1F41">
            <w:pPr>
              <w:pStyle w:val="NormalWeb"/>
              <w:spacing w:afterAutospacing="0"/>
              <w:jc w:val="center"/>
              <w:rPr>
                <w:rFonts w:ascii="Arial" w:hAnsi="Arial" w:cs="Arial"/>
                <w:sz w:val="22"/>
              </w:rPr>
            </w:pPr>
          </w:p>
        </w:tc>
        <w:tc>
          <w:tcPr>
            <w:tcW w:w="815" w:type="dxa"/>
            <w:shd w:val="clear" w:color="auto" w:fill="auto"/>
            <w:vAlign w:val="center"/>
          </w:tcPr>
          <w:p w14:paraId="6A63B8E4" w14:textId="77777777" w:rsidR="00AE0A31" w:rsidRPr="00142CBA" w:rsidRDefault="00AE0A31" w:rsidP="008F1F41">
            <w:pPr>
              <w:pStyle w:val="NormalWeb"/>
              <w:spacing w:afterAutospacing="0"/>
              <w:jc w:val="center"/>
              <w:rPr>
                <w:rFonts w:ascii="Arial" w:hAnsi="Arial" w:cs="Arial"/>
                <w:sz w:val="22"/>
              </w:rPr>
            </w:pPr>
          </w:p>
        </w:tc>
        <w:tc>
          <w:tcPr>
            <w:tcW w:w="1647" w:type="dxa"/>
            <w:shd w:val="clear" w:color="auto" w:fill="auto"/>
            <w:vAlign w:val="center"/>
          </w:tcPr>
          <w:p w14:paraId="0EB8E5A9"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25</w:t>
            </w:r>
          </w:p>
        </w:tc>
      </w:tr>
      <w:tr w:rsidR="00AE0A31" w:rsidRPr="00142CBA" w14:paraId="05A94C98" w14:textId="77777777" w:rsidTr="000853EE">
        <w:trPr>
          <w:jc w:val="center"/>
        </w:trPr>
        <w:tc>
          <w:tcPr>
            <w:tcW w:w="1163" w:type="dxa"/>
            <w:shd w:val="clear" w:color="auto" w:fill="auto"/>
            <w:vAlign w:val="center"/>
          </w:tcPr>
          <w:p w14:paraId="0B7AB105"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B4</w:t>
            </w:r>
          </w:p>
        </w:tc>
        <w:tc>
          <w:tcPr>
            <w:tcW w:w="910" w:type="dxa"/>
            <w:shd w:val="clear" w:color="auto" w:fill="auto"/>
            <w:vAlign w:val="center"/>
          </w:tcPr>
          <w:p w14:paraId="7CE5BB45"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Aug</w:t>
            </w:r>
          </w:p>
        </w:tc>
        <w:tc>
          <w:tcPr>
            <w:tcW w:w="742" w:type="dxa"/>
            <w:shd w:val="clear" w:color="auto" w:fill="auto"/>
            <w:vAlign w:val="center"/>
          </w:tcPr>
          <w:p w14:paraId="144E3796" w14:textId="77777777" w:rsidR="00AE0A31" w:rsidRPr="00142CBA" w:rsidRDefault="00AE0A31" w:rsidP="008F1F41">
            <w:pPr>
              <w:pStyle w:val="NormalWeb"/>
              <w:spacing w:afterAutospacing="0"/>
              <w:jc w:val="center"/>
              <w:rPr>
                <w:rFonts w:ascii="Arial" w:hAnsi="Arial" w:cs="Arial"/>
                <w:sz w:val="22"/>
              </w:rPr>
            </w:pPr>
          </w:p>
        </w:tc>
        <w:tc>
          <w:tcPr>
            <w:tcW w:w="536" w:type="dxa"/>
            <w:shd w:val="clear" w:color="auto" w:fill="auto"/>
            <w:vAlign w:val="center"/>
          </w:tcPr>
          <w:p w14:paraId="17B7302A" w14:textId="77777777" w:rsidR="00AE0A31" w:rsidRPr="00142CBA" w:rsidRDefault="00AE0A31" w:rsidP="008F1F41">
            <w:pPr>
              <w:pStyle w:val="NormalWeb"/>
              <w:spacing w:afterAutospacing="0"/>
              <w:jc w:val="center"/>
              <w:rPr>
                <w:rFonts w:ascii="Arial" w:hAnsi="Arial" w:cs="Arial"/>
                <w:sz w:val="22"/>
              </w:rPr>
            </w:pPr>
          </w:p>
        </w:tc>
        <w:tc>
          <w:tcPr>
            <w:tcW w:w="737" w:type="dxa"/>
            <w:shd w:val="clear" w:color="auto" w:fill="auto"/>
            <w:vAlign w:val="center"/>
          </w:tcPr>
          <w:p w14:paraId="69BF7759"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815" w:type="dxa"/>
            <w:shd w:val="clear" w:color="auto" w:fill="auto"/>
            <w:vAlign w:val="center"/>
          </w:tcPr>
          <w:p w14:paraId="71528518" w14:textId="77777777" w:rsidR="00AE0A31" w:rsidRPr="00142CBA" w:rsidRDefault="00AE0A31" w:rsidP="008F1F41">
            <w:pPr>
              <w:pStyle w:val="NormalWeb"/>
              <w:spacing w:afterAutospacing="0"/>
              <w:jc w:val="center"/>
              <w:rPr>
                <w:rFonts w:ascii="Arial" w:hAnsi="Arial" w:cs="Arial"/>
                <w:sz w:val="22"/>
              </w:rPr>
            </w:pPr>
          </w:p>
        </w:tc>
        <w:tc>
          <w:tcPr>
            <w:tcW w:w="1647" w:type="dxa"/>
            <w:shd w:val="clear" w:color="auto" w:fill="auto"/>
            <w:vAlign w:val="center"/>
          </w:tcPr>
          <w:p w14:paraId="05C8DBEA"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25</w:t>
            </w:r>
          </w:p>
        </w:tc>
      </w:tr>
      <w:tr w:rsidR="00AE0A31" w:rsidRPr="00142CBA" w14:paraId="24B25003" w14:textId="77777777" w:rsidTr="000853EE">
        <w:trPr>
          <w:jc w:val="center"/>
        </w:trPr>
        <w:tc>
          <w:tcPr>
            <w:tcW w:w="1163" w:type="dxa"/>
            <w:shd w:val="clear" w:color="auto" w:fill="auto"/>
            <w:vAlign w:val="center"/>
          </w:tcPr>
          <w:p w14:paraId="4AEC199E"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B11</w:t>
            </w:r>
          </w:p>
        </w:tc>
        <w:tc>
          <w:tcPr>
            <w:tcW w:w="910" w:type="dxa"/>
            <w:shd w:val="clear" w:color="auto" w:fill="auto"/>
            <w:vAlign w:val="center"/>
          </w:tcPr>
          <w:p w14:paraId="5E9F974A"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Aug</w:t>
            </w:r>
          </w:p>
        </w:tc>
        <w:tc>
          <w:tcPr>
            <w:tcW w:w="742" w:type="dxa"/>
            <w:shd w:val="clear" w:color="auto" w:fill="auto"/>
            <w:vAlign w:val="center"/>
          </w:tcPr>
          <w:p w14:paraId="2B7BEA5E"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536" w:type="dxa"/>
            <w:shd w:val="clear" w:color="auto" w:fill="auto"/>
            <w:vAlign w:val="center"/>
          </w:tcPr>
          <w:p w14:paraId="4BDAF4FC" w14:textId="77777777" w:rsidR="00AE0A31" w:rsidRPr="00142CBA" w:rsidRDefault="00AE0A31" w:rsidP="008F1F41">
            <w:pPr>
              <w:pStyle w:val="NormalWeb"/>
              <w:spacing w:afterAutospacing="0"/>
              <w:jc w:val="center"/>
              <w:rPr>
                <w:rFonts w:ascii="Arial" w:hAnsi="Arial" w:cs="Arial"/>
                <w:sz w:val="22"/>
              </w:rPr>
            </w:pPr>
          </w:p>
        </w:tc>
        <w:tc>
          <w:tcPr>
            <w:tcW w:w="737" w:type="dxa"/>
            <w:shd w:val="clear" w:color="auto" w:fill="auto"/>
            <w:vAlign w:val="center"/>
          </w:tcPr>
          <w:p w14:paraId="29F54369" w14:textId="77777777" w:rsidR="00AE0A31" w:rsidRPr="00142CBA" w:rsidRDefault="00AE0A31" w:rsidP="008F1F41">
            <w:pPr>
              <w:pStyle w:val="NormalWeb"/>
              <w:spacing w:afterAutospacing="0"/>
              <w:jc w:val="center"/>
              <w:rPr>
                <w:rFonts w:ascii="Arial" w:hAnsi="Arial" w:cs="Arial"/>
                <w:sz w:val="22"/>
              </w:rPr>
            </w:pPr>
          </w:p>
        </w:tc>
        <w:tc>
          <w:tcPr>
            <w:tcW w:w="815" w:type="dxa"/>
            <w:shd w:val="clear" w:color="auto" w:fill="auto"/>
            <w:vAlign w:val="center"/>
          </w:tcPr>
          <w:p w14:paraId="4127E125" w14:textId="77777777" w:rsidR="00AE0A31" w:rsidRPr="00142CBA" w:rsidRDefault="00AE0A31" w:rsidP="008F1F41">
            <w:pPr>
              <w:pStyle w:val="NormalWeb"/>
              <w:spacing w:afterAutospacing="0"/>
              <w:jc w:val="center"/>
              <w:rPr>
                <w:rFonts w:ascii="Arial" w:hAnsi="Arial" w:cs="Arial"/>
                <w:sz w:val="22"/>
              </w:rPr>
            </w:pPr>
          </w:p>
        </w:tc>
        <w:tc>
          <w:tcPr>
            <w:tcW w:w="1647" w:type="dxa"/>
            <w:shd w:val="clear" w:color="auto" w:fill="auto"/>
            <w:vAlign w:val="center"/>
          </w:tcPr>
          <w:p w14:paraId="31F525A7"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25</w:t>
            </w:r>
          </w:p>
        </w:tc>
      </w:tr>
      <w:tr w:rsidR="00AE0A31" w:rsidRPr="00142CBA" w14:paraId="00729729" w14:textId="77777777" w:rsidTr="000853EE">
        <w:trPr>
          <w:jc w:val="center"/>
        </w:trPr>
        <w:tc>
          <w:tcPr>
            <w:tcW w:w="1163" w:type="dxa"/>
            <w:shd w:val="clear" w:color="auto" w:fill="auto"/>
            <w:vAlign w:val="center"/>
          </w:tcPr>
          <w:p w14:paraId="67B43C7C"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Mean b2</w:t>
            </w:r>
          </w:p>
        </w:tc>
        <w:tc>
          <w:tcPr>
            <w:tcW w:w="910" w:type="dxa"/>
            <w:shd w:val="clear" w:color="auto" w:fill="auto"/>
            <w:vAlign w:val="center"/>
          </w:tcPr>
          <w:p w14:paraId="08814022"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Aug</w:t>
            </w:r>
          </w:p>
        </w:tc>
        <w:tc>
          <w:tcPr>
            <w:tcW w:w="742" w:type="dxa"/>
            <w:shd w:val="clear" w:color="auto" w:fill="auto"/>
            <w:vAlign w:val="center"/>
          </w:tcPr>
          <w:p w14:paraId="61861F15"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x</w:t>
            </w:r>
          </w:p>
        </w:tc>
        <w:tc>
          <w:tcPr>
            <w:tcW w:w="536" w:type="dxa"/>
            <w:shd w:val="clear" w:color="auto" w:fill="auto"/>
            <w:vAlign w:val="center"/>
          </w:tcPr>
          <w:p w14:paraId="71635473" w14:textId="77777777" w:rsidR="00AE0A31" w:rsidRPr="00142CBA" w:rsidRDefault="00AE0A31" w:rsidP="008F1F41">
            <w:pPr>
              <w:pStyle w:val="NormalWeb"/>
              <w:spacing w:afterAutospacing="0"/>
              <w:jc w:val="center"/>
              <w:rPr>
                <w:rFonts w:ascii="Arial" w:hAnsi="Arial" w:cs="Arial"/>
                <w:sz w:val="22"/>
              </w:rPr>
            </w:pPr>
          </w:p>
        </w:tc>
        <w:tc>
          <w:tcPr>
            <w:tcW w:w="737" w:type="dxa"/>
            <w:shd w:val="clear" w:color="auto" w:fill="auto"/>
            <w:vAlign w:val="center"/>
          </w:tcPr>
          <w:p w14:paraId="0AABA83B" w14:textId="77777777" w:rsidR="00AE0A31" w:rsidRPr="00142CBA" w:rsidRDefault="00AE0A31" w:rsidP="008F1F41">
            <w:pPr>
              <w:pStyle w:val="NormalWeb"/>
              <w:spacing w:afterAutospacing="0"/>
              <w:jc w:val="center"/>
              <w:rPr>
                <w:rFonts w:ascii="Arial" w:hAnsi="Arial" w:cs="Arial"/>
                <w:sz w:val="22"/>
              </w:rPr>
            </w:pPr>
          </w:p>
        </w:tc>
        <w:tc>
          <w:tcPr>
            <w:tcW w:w="815" w:type="dxa"/>
            <w:shd w:val="clear" w:color="auto" w:fill="auto"/>
            <w:vAlign w:val="center"/>
          </w:tcPr>
          <w:p w14:paraId="76619B00" w14:textId="77777777" w:rsidR="00AE0A31" w:rsidRPr="00142CBA" w:rsidRDefault="00AE0A31" w:rsidP="008F1F41">
            <w:pPr>
              <w:pStyle w:val="NormalWeb"/>
              <w:spacing w:afterAutospacing="0"/>
              <w:jc w:val="center"/>
              <w:rPr>
                <w:rFonts w:ascii="Arial" w:hAnsi="Arial" w:cs="Arial"/>
                <w:sz w:val="22"/>
              </w:rPr>
            </w:pPr>
          </w:p>
        </w:tc>
        <w:tc>
          <w:tcPr>
            <w:tcW w:w="1647" w:type="dxa"/>
            <w:shd w:val="clear" w:color="auto" w:fill="auto"/>
            <w:vAlign w:val="center"/>
          </w:tcPr>
          <w:p w14:paraId="1984385A"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25</w:t>
            </w:r>
          </w:p>
        </w:tc>
      </w:tr>
      <w:tr w:rsidR="00AE0A31" w:rsidRPr="00142CBA" w14:paraId="403B763D" w14:textId="77777777" w:rsidTr="000853EE">
        <w:trPr>
          <w:jc w:val="center"/>
        </w:trPr>
        <w:tc>
          <w:tcPr>
            <w:tcW w:w="1163" w:type="dxa"/>
            <w:shd w:val="clear" w:color="auto" w:fill="auto"/>
            <w:vAlign w:val="center"/>
          </w:tcPr>
          <w:p w14:paraId="471DB7CA" w14:textId="77777777" w:rsidR="00AE0A31" w:rsidRPr="00142CBA" w:rsidRDefault="00AE0A31" w:rsidP="008F1F41">
            <w:pPr>
              <w:pStyle w:val="NormalWeb"/>
              <w:spacing w:afterAutospacing="0"/>
              <w:jc w:val="center"/>
              <w:rPr>
                <w:rFonts w:ascii="Arial" w:hAnsi="Arial" w:cs="Arial"/>
                <w:b/>
                <w:bCs/>
                <w:sz w:val="22"/>
              </w:rPr>
            </w:pPr>
            <w:r w:rsidRPr="00142CBA">
              <w:rPr>
                <w:rFonts w:ascii="Arial" w:hAnsi="Arial" w:cs="Arial"/>
                <w:b/>
                <w:bCs/>
                <w:sz w:val="22"/>
              </w:rPr>
              <w:t>Others</w:t>
            </w:r>
          </w:p>
        </w:tc>
        <w:tc>
          <w:tcPr>
            <w:tcW w:w="910" w:type="dxa"/>
            <w:shd w:val="clear" w:color="auto" w:fill="auto"/>
            <w:vAlign w:val="center"/>
          </w:tcPr>
          <w:p w14:paraId="5A20AD8E" w14:textId="77777777" w:rsidR="00AE0A31" w:rsidRPr="00142CBA" w:rsidRDefault="00AE0A31" w:rsidP="008F1F41">
            <w:pPr>
              <w:pStyle w:val="NormalWeb"/>
              <w:spacing w:afterAutospacing="0"/>
              <w:jc w:val="center"/>
              <w:rPr>
                <w:rFonts w:ascii="Arial" w:hAnsi="Arial" w:cs="Arial"/>
                <w:sz w:val="22"/>
              </w:rPr>
            </w:pPr>
            <w:r w:rsidRPr="00142CBA">
              <w:rPr>
                <w:rFonts w:ascii="Arial" w:hAnsi="Arial" w:cs="Arial"/>
                <w:sz w:val="22"/>
              </w:rPr>
              <w:t>-</w:t>
            </w:r>
          </w:p>
        </w:tc>
        <w:tc>
          <w:tcPr>
            <w:tcW w:w="742" w:type="dxa"/>
            <w:shd w:val="clear" w:color="auto" w:fill="auto"/>
            <w:vAlign w:val="center"/>
          </w:tcPr>
          <w:p w14:paraId="32AEF87A" w14:textId="77777777" w:rsidR="00AE0A31" w:rsidRPr="00142CBA" w:rsidRDefault="00AE0A31" w:rsidP="008F1F41">
            <w:pPr>
              <w:pStyle w:val="NormalWeb"/>
              <w:spacing w:afterAutospacing="0"/>
              <w:jc w:val="center"/>
              <w:rPr>
                <w:rFonts w:ascii="Arial" w:hAnsi="Arial" w:cs="Arial"/>
                <w:sz w:val="22"/>
              </w:rPr>
            </w:pPr>
          </w:p>
        </w:tc>
        <w:tc>
          <w:tcPr>
            <w:tcW w:w="536" w:type="dxa"/>
            <w:shd w:val="clear" w:color="auto" w:fill="auto"/>
            <w:vAlign w:val="center"/>
          </w:tcPr>
          <w:p w14:paraId="7D7F3CA1" w14:textId="77777777" w:rsidR="00AE0A31" w:rsidRPr="00142CBA" w:rsidRDefault="00AE0A31" w:rsidP="008F1F41">
            <w:pPr>
              <w:pStyle w:val="NormalWeb"/>
              <w:spacing w:afterAutospacing="0"/>
              <w:jc w:val="center"/>
              <w:rPr>
                <w:rFonts w:ascii="Arial" w:hAnsi="Arial" w:cs="Arial"/>
                <w:sz w:val="22"/>
              </w:rPr>
            </w:pPr>
          </w:p>
        </w:tc>
        <w:tc>
          <w:tcPr>
            <w:tcW w:w="737" w:type="dxa"/>
            <w:shd w:val="clear" w:color="auto" w:fill="auto"/>
            <w:vAlign w:val="center"/>
          </w:tcPr>
          <w:p w14:paraId="1545E44D" w14:textId="77777777" w:rsidR="00AE0A31" w:rsidRPr="00142CBA" w:rsidRDefault="00AE0A31" w:rsidP="008F1F41">
            <w:pPr>
              <w:pStyle w:val="NormalWeb"/>
              <w:spacing w:afterAutospacing="0"/>
              <w:jc w:val="center"/>
              <w:rPr>
                <w:rFonts w:ascii="Arial" w:hAnsi="Arial" w:cs="Arial"/>
                <w:sz w:val="22"/>
              </w:rPr>
            </w:pPr>
          </w:p>
        </w:tc>
        <w:tc>
          <w:tcPr>
            <w:tcW w:w="815" w:type="dxa"/>
            <w:shd w:val="clear" w:color="auto" w:fill="auto"/>
            <w:vAlign w:val="center"/>
          </w:tcPr>
          <w:p w14:paraId="35542288" w14:textId="77777777" w:rsidR="00AE0A31" w:rsidRPr="00142CBA" w:rsidRDefault="00AE0A31" w:rsidP="008F1F41">
            <w:pPr>
              <w:pStyle w:val="NormalWeb"/>
              <w:spacing w:afterAutospacing="0"/>
              <w:jc w:val="center"/>
              <w:rPr>
                <w:rFonts w:ascii="Arial" w:hAnsi="Arial" w:cs="Arial"/>
                <w:sz w:val="22"/>
              </w:rPr>
            </w:pPr>
          </w:p>
        </w:tc>
        <w:tc>
          <w:tcPr>
            <w:tcW w:w="1647" w:type="dxa"/>
            <w:shd w:val="clear" w:color="auto" w:fill="auto"/>
            <w:vAlign w:val="center"/>
          </w:tcPr>
          <w:p w14:paraId="77BD9CF6" w14:textId="77777777" w:rsidR="00AE0A31" w:rsidRPr="00142CBA" w:rsidRDefault="00AE0A31" w:rsidP="008F1F41">
            <w:pPr>
              <w:pStyle w:val="NormalWeb"/>
              <w:keepNext/>
              <w:spacing w:afterAutospacing="0"/>
              <w:jc w:val="center"/>
              <w:rPr>
                <w:rFonts w:ascii="Arial" w:hAnsi="Arial" w:cs="Arial"/>
                <w:sz w:val="22"/>
              </w:rPr>
            </w:pPr>
            <w:r w:rsidRPr="00142CBA">
              <w:rPr>
                <w:rFonts w:ascii="Arial" w:hAnsi="Arial" w:cs="Arial"/>
                <w:sz w:val="22"/>
              </w:rPr>
              <w:t>0</w:t>
            </w:r>
          </w:p>
        </w:tc>
      </w:tr>
    </w:tbl>
    <w:p w14:paraId="3DB2C2CC" w14:textId="7E74BCF5" w:rsidR="00AE0A31" w:rsidRPr="003433B9" w:rsidRDefault="00225080" w:rsidP="00AE0A31">
      <w:r>
        <w:t>T</w:t>
      </w:r>
      <w:r w:rsidR="00AE0A31" w:rsidRPr="003433B9">
        <w:t xml:space="preserve">he SHapley Additive exPlanations (SHAP) package was used as model explainer for the Extreme Gradient Boosting (XGB) model. SHAP is a local feature importance method, meaning that a local feature importance is calculated for every observation. This is performed by holding out the feature value before predicting each instance, which is then repeated for each feature and each instance of the entire training set so as to measure the local importance of each feature. The computation of each instance </w:t>
      </w:r>
      <w:r w:rsidR="00AE0A31" w:rsidRPr="003433B9">
        <w:lastRenderedPageBreak/>
        <w:t>for</w:t>
      </w:r>
      <w:r>
        <w:t xml:space="preserve"> a</w:t>
      </w:r>
      <w:r w:rsidR="00AE0A31" w:rsidRPr="003433B9">
        <w:t xml:space="preserve"> big dataset can become time consuming, however, in 2020 a fast and precise algorithm was created for tree-based models</w:t>
      </w:r>
      <w:sdt>
        <w:sdtPr>
          <w:id w:val="-197017527"/>
          <w:citation/>
        </w:sdtPr>
        <w:sdtEndPr/>
        <w:sdtContent>
          <w:r w:rsidR="0029357B">
            <w:fldChar w:fldCharType="begin"/>
          </w:r>
          <w:r w:rsidR="0029357B">
            <w:instrText xml:space="preserve"> CITATION Lun20 \l 1033 </w:instrText>
          </w:r>
          <w:r w:rsidR="0029357B">
            <w:fldChar w:fldCharType="separate"/>
          </w:r>
          <w:r w:rsidR="004231A8">
            <w:rPr>
              <w:noProof/>
            </w:rPr>
            <w:t xml:space="preserve"> (Lundberg, 2020)</w:t>
          </w:r>
          <w:r w:rsidR="0029357B">
            <w:fldChar w:fldCharType="end"/>
          </w:r>
        </w:sdtContent>
      </w:sdt>
      <w:r w:rsidR="00AE0A31" w:rsidRPr="003433B9">
        <w:t>.</w:t>
      </w:r>
    </w:p>
    <w:p w14:paraId="15FCFAFA" w14:textId="23A4DA34" w:rsidR="00AE0A31" w:rsidRPr="003433B9" w:rsidRDefault="00AE0A31" w:rsidP="00AE0A31">
      <w:r w:rsidRPr="003433B9">
        <w:t xml:space="preserve">A global feature importance can be obtained by aggregating the local feature importance of each instance, as shown in the summary plot in </w:t>
      </w:r>
      <w:r w:rsidR="00CE066B">
        <w:fldChar w:fldCharType="begin"/>
      </w:r>
      <w:r w:rsidR="00CE066B">
        <w:instrText xml:space="preserve"> REF _Ref90392539 \h </w:instrText>
      </w:r>
      <w:r w:rsidR="00CE066B">
        <w:fldChar w:fldCharType="separate"/>
      </w:r>
      <w:r w:rsidR="000655D3">
        <w:t xml:space="preserve">Figure </w:t>
      </w:r>
      <w:r w:rsidR="000655D3">
        <w:rPr>
          <w:noProof/>
        </w:rPr>
        <w:t>6</w:t>
      </w:r>
      <w:r w:rsidR="00CE066B">
        <w:fldChar w:fldCharType="end"/>
      </w:r>
      <w:r w:rsidRPr="003433B9">
        <w:t>, where each dot represents an observation of the dataset. This plot illustrates how the model predictions were influenced by each feature. More specifically, it shows the features contribution, for each instance, in pushing the model output from a base value to the output value; where the base value is defined as the average model output over the training set</w:t>
      </w:r>
      <w:r>
        <w:t xml:space="preserve"> </w:t>
      </w:r>
      <w:sdt>
        <w:sdtPr>
          <w:id w:val="-722054247"/>
          <w:citation/>
        </w:sdtPr>
        <w:sdtEndPr/>
        <w:sdtContent>
          <w:r>
            <w:fldChar w:fldCharType="begin"/>
          </w:r>
          <w:r w:rsidRPr="00771FBD">
            <w:rPr>
              <w:lang w:val="en-GB"/>
            </w:rPr>
            <w:instrText xml:space="preserve"> CITATION Lun20 \l 1040 </w:instrText>
          </w:r>
          <w:r>
            <w:fldChar w:fldCharType="separate"/>
          </w:r>
          <w:r w:rsidR="004231A8" w:rsidRPr="004231A8">
            <w:rPr>
              <w:noProof/>
              <w:lang w:val="en-GB"/>
            </w:rPr>
            <w:t>(Lundberg, 2020)</w:t>
          </w:r>
          <w:r>
            <w:fldChar w:fldCharType="end"/>
          </w:r>
        </w:sdtContent>
      </w:sdt>
      <w:r w:rsidRPr="003433B9">
        <w:t>. When a feature has negative SHAP value, the dot representing that instance is found on the left-side of the plot and it means that that feature value pushed the prediction for that instance (or dot) to be lower than the base value; on the other hand, if a dot is found on the right-hand side of the plot, the observed feature value pushed the model output to be higher than the base value. Furthermore, for each feature, overlapping points are visualized in the y-axis direction so to give an idea of the feature values distribution. Additionally, the color of the dots refers to the features value.</w:t>
      </w:r>
    </w:p>
    <w:p w14:paraId="7D131D87" w14:textId="69B2E064" w:rsidR="00AE0A31" w:rsidRPr="003433B9" w:rsidRDefault="00AE0A31" w:rsidP="00AE0A31">
      <w:r w:rsidRPr="003433B9">
        <w:t xml:space="preserve">By observing the summary plot in </w:t>
      </w:r>
      <w:r w:rsidR="00CE066B">
        <w:fldChar w:fldCharType="begin"/>
      </w:r>
      <w:r w:rsidR="00CE066B">
        <w:instrText xml:space="preserve"> REF _Ref90392539 \h </w:instrText>
      </w:r>
      <w:r w:rsidR="00CE066B">
        <w:fldChar w:fldCharType="separate"/>
      </w:r>
      <w:r w:rsidR="000655D3">
        <w:t xml:space="preserve">Figure </w:t>
      </w:r>
      <w:r w:rsidR="000655D3">
        <w:rPr>
          <w:noProof/>
        </w:rPr>
        <w:t>6</w:t>
      </w:r>
      <w:r w:rsidR="00CE066B">
        <w:fldChar w:fldCharType="end"/>
      </w:r>
      <w:r w:rsidRPr="003433B9">
        <w:t xml:space="preserve"> the indicators can be divided into 2 groups: </w:t>
      </w:r>
    </w:p>
    <w:p w14:paraId="6160BF60" w14:textId="5982AE67" w:rsidR="00AE0A31" w:rsidRPr="003433B9" w:rsidRDefault="00AE0A31" w:rsidP="00AE0A31">
      <w:pPr>
        <w:pStyle w:val="ListParagraph"/>
        <w:numPr>
          <w:ilvl w:val="0"/>
          <w:numId w:val="16"/>
        </w:numPr>
      </w:pPr>
      <w:r w:rsidRPr="003433B9">
        <w:t xml:space="preserve">Indicators which increasing in values pushed the model to output AGB higher than the base value – belonging to the first group are: The Chlorophyll index based on red-edge bands from the </w:t>
      </w:r>
      <w:r w:rsidR="00287124" w:rsidRPr="003433B9">
        <w:t>summer</w:t>
      </w:r>
      <w:r w:rsidRPr="003433B9">
        <w:t xml:space="preserve"> month (ClreAug), the Fraction of absorbed radiation from both months (FAPARAug and FAPARNov), the Canopy Chlorophyll Content from the Summer month (LAIcbAug), and the slope;</w:t>
      </w:r>
    </w:p>
    <w:p w14:paraId="61D7022F" w14:textId="3C99E942" w:rsidR="00AE0A31" w:rsidRPr="003433B9" w:rsidRDefault="00AE0A31" w:rsidP="00AE0A31">
      <w:pPr>
        <w:pStyle w:val="ListParagraph"/>
        <w:numPr>
          <w:ilvl w:val="0"/>
          <w:numId w:val="16"/>
        </w:numPr>
      </w:pPr>
      <w:r w:rsidRPr="003433B9">
        <w:t xml:space="preserve">Indicators which increasing in values would push the model to output AGB lower than the base value – belonging to this second group are: band 12 from the </w:t>
      </w:r>
      <w:r w:rsidR="00287124" w:rsidRPr="003433B9">
        <w:t>summer</w:t>
      </w:r>
      <w:r w:rsidRPr="003433B9">
        <w:t xml:space="preserve"> image (b12Aug) and the DEM belong to the second group. </w:t>
      </w:r>
    </w:p>
    <w:p w14:paraId="107BBF6F" w14:textId="4F99D35F" w:rsidR="00AE0A31" w:rsidRDefault="00AE0A31" w:rsidP="00AE0A31">
      <w:r w:rsidRPr="003433B9">
        <w:t>The remaining indicators do not show any clear visual pattern in the way they impacted the model output.</w:t>
      </w:r>
    </w:p>
    <w:p w14:paraId="5B4ED0AE" w14:textId="79A895FF" w:rsidR="00AE0A31" w:rsidRPr="003433B9" w:rsidRDefault="00AE0A31" w:rsidP="00AE0A31">
      <w:pPr>
        <w:jc w:val="center"/>
      </w:pPr>
      <w:r w:rsidRPr="00142CBA">
        <w:rPr>
          <w:rFonts w:cs="Arial"/>
          <w:noProof/>
          <w:lang w:val="es-ES" w:eastAsia="es-ES"/>
        </w:rPr>
        <w:lastRenderedPageBreak/>
        <w:drawing>
          <wp:inline distT="0" distB="0" distL="0" distR="0" wp14:anchorId="538F6254" wp14:editId="3EBC12BF">
            <wp:extent cx="4210050" cy="44958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0050" cy="4495800"/>
                    </a:xfrm>
                    <a:prstGeom prst="rect">
                      <a:avLst/>
                    </a:prstGeom>
                    <a:noFill/>
                    <a:ln>
                      <a:noFill/>
                    </a:ln>
                  </pic:spPr>
                </pic:pic>
              </a:graphicData>
            </a:graphic>
          </wp:inline>
        </w:drawing>
      </w:r>
    </w:p>
    <w:p w14:paraId="6097C949" w14:textId="49B54C78" w:rsidR="00DC62A5" w:rsidRDefault="00DC62A5" w:rsidP="00DC62A5">
      <w:pPr>
        <w:pStyle w:val="Caption"/>
      </w:pPr>
      <w:bookmarkStart w:id="51" w:name="_Ref90392539"/>
      <w:bookmarkStart w:id="52" w:name="_Ref90392526"/>
      <w:bookmarkStart w:id="53" w:name="_Toc91575550"/>
      <w:r>
        <w:t xml:space="preserve">Figure </w:t>
      </w:r>
      <w:r>
        <w:fldChar w:fldCharType="begin"/>
      </w:r>
      <w:r>
        <w:instrText xml:space="preserve"> SEQ Figure \* ARABIC </w:instrText>
      </w:r>
      <w:r>
        <w:fldChar w:fldCharType="separate"/>
      </w:r>
      <w:r w:rsidR="000655D3">
        <w:rPr>
          <w:noProof/>
        </w:rPr>
        <w:t>6</w:t>
      </w:r>
      <w:r>
        <w:fldChar w:fldCharType="end"/>
      </w:r>
      <w:bookmarkEnd w:id="51"/>
      <w:r w:rsidR="00EC1098">
        <w:t>.</w:t>
      </w:r>
      <w:r>
        <w:t xml:space="preserve"> </w:t>
      </w:r>
      <w:r w:rsidRPr="00115A12">
        <w:t>SHAP summary plot.</w:t>
      </w:r>
      <w:bookmarkEnd w:id="52"/>
      <w:bookmarkEnd w:id="53"/>
    </w:p>
    <w:p w14:paraId="1CC7B7CC" w14:textId="5B2989F4" w:rsidR="00AE0A31" w:rsidRDefault="00AE0A31" w:rsidP="00AE0A31">
      <w:r w:rsidRPr="003433B9">
        <w:t>In conclusion, the 3 implemented approaches provided insights on which of the generated indicators are important for biomass prediction. Hence, these findings will help guid</w:t>
      </w:r>
      <w:r w:rsidR="000A7E6E">
        <w:t>e</w:t>
      </w:r>
      <w:r w:rsidRPr="003433B9">
        <w:t xml:space="preserve"> the making of National and European carbon maps in the framework of the </w:t>
      </w:r>
      <w:r w:rsidRPr="009D0152">
        <w:rPr>
          <w:b/>
          <w:i/>
          <w:color w:val="31479E" w:themeColor="accent1" w:themeShade="BF"/>
        </w:rPr>
        <w:t>MAIL</w:t>
      </w:r>
      <w:r w:rsidRPr="009D0152">
        <w:rPr>
          <w:color w:val="31479E" w:themeColor="accent1" w:themeShade="BF"/>
        </w:rPr>
        <w:t xml:space="preserve"> </w:t>
      </w:r>
      <w:r w:rsidRPr="003433B9">
        <w:t xml:space="preserve">project. </w:t>
      </w:r>
    </w:p>
    <w:p w14:paraId="5A27A298" w14:textId="77777777" w:rsidR="00AE0A31" w:rsidRPr="003433B9" w:rsidRDefault="00AE0A31" w:rsidP="00A85DD4">
      <w:pPr>
        <w:pStyle w:val="Heading3"/>
        <w:numPr>
          <w:ilvl w:val="0"/>
          <w:numId w:val="0"/>
        </w:numPr>
        <w:ind w:left="720" w:hanging="720"/>
      </w:pPr>
      <w:bookmarkStart w:id="54" w:name="_Toc66199623"/>
      <w:bookmarkStart w:id="55" w:name="_Toc91575528"/>
      <w:r w:rsidRPr="00142CBA">
        <w:rPr>
          <w:color w:val="000000"/>
        </w:rPr>
        <w:t xml:space="preserve">3.4.2. </w:t>
      </w:r>
      <w:r w:rsidRPr="00142CBA">
        <w:t>Mapping of AGB,</w:t>
      </w:r>
      <w:r w:rsidRPr="00142CBA">
        <w:rPr>
          <w:color w:val="AEAAAA"/>
        </w:rPr>
        <w:t xml:space="preserve"> </w:t>
      </w:r>
      <w:r w:rsidRPr="00142CBA">
        <w:t>CCS and CSC groups</w:t>
      </w:r>
      <w:bookmarkEnd w:id="54"/>
      <w:bookmarkEnd w:id="55"/>
    </w:p>
    <w:p w14:paraId="2E19D808" w14:textId="2F74872C" w:rsidR="00AE0A31" w:rsidRPr="00AE0A31" w:rsidRDefault="00AE0A31" w:rsidP="00AE0A31">
      <w:pPr>
        <w:rPr>
          <w:color w:val="00000A"/>
        </w:rPr>
      </w:pPr>
      <w:r w:rsidRPr="003433B9">
        <w:t>The following Section presents the Above Ground Biomass (AGB) map, the Current Carbon Sequestration (</w:t>
      </w:r>
      <w:r w:rsidR="00774E4A">
        <w:t>C</w:t>
      </w:r>
      <w:r w:rsidRPr="003433B9">
        <w:t>CS) map, and a final Carbon Sequestration Capacity (CSC) groups map.</w:t>
      </w:r>
    </w:p>
    <w:p w14:paraId="308178C2" w14:textId="28307E8E" w:rsidR="00AE0A31" w:rsidRPr="003433B9" w:rsidRDefault="00AE0A31" w:rsidP="00AE0A31">
      <w:pPr>
        <w:rPr>
          <w:lang w:val="en-GB"/>
        </w:rPr>
      </w:pPr>
      <w:r w:rsidRPr="003433B9">
        <w:rPr>
          <w:lang w:val="en-GB"/>
        </w:rPr>
        <w:t xml:space="preserve">The AGB map depicted in </w:t>
      </w:r>
      <w:r w:rsidRPr="003433B9">
        <w:t>Figure</w:t>
      </w:r>
      <w:r w:rsidRPr="003433B9">
        <w:rPr>
          <w:b/>
          <w:bCs/>
        </w:rPr>
        <w:t xml:space="preserve"> </w:t>
      </w:r>
      <w:r w:rsidRPr="003433B9">
        <w:rPr>
          <w:noProof/>
        </w:rPr>
        <w:t>8</w:t>
      </w:r>
      <w:r w:rsidRPr="003433B9">
        <w:rPr>
          <w:lang w:val="en-GB"/>
        </w:rPr>
        <w:t xml:space="preserve"> was generated by using the prediction from the XGB algorithm. This model was built by using the 23 top-ranked features selected by the MDI measure, and hyper-parameters optimization with Bayesian Search. The model was evaluated using 7-folds cross-validation and led to an error of 37.79 t/ha, an </w:t>
      </w:r>
      <w:r w:rsidRPr="003433B9">
        <w:rPr>
          <w:lang w:val="en-GB"/>
        </w:rPr>
        <w:lastRenderedPageBreak/>
        <w:t>estimated average AGB value of 83 t/ha, a minimum of 0 t/ha, a maximum of 346.56 t/ha and a standard deviation of 51.3 t/ha (</w:t>
      </w:r>
      <w:r w:rsidR="00CE066B">
        <w:fldChar w:fldCharType="begin"/>
      </w:r>
      <w:r w:rsidR="00CE066B">
        <w:rPr>
          <w:lang w:val="en-GB"/>
        </w:rPr>
        <w:instrText xml:space="preserve"> REF _Ref90392866 \h </w:instrText>
      </w:r>
      <w:r w:rsidR="00CE066B">
        <w:fldChar w:fldCharType="separate"/>
      </w:r>
      <w:r w:rsidR="000655D3">
        <w:t xml:space="preserve">Figure </w:t>
      </w:r>
      <w:r w:rsidR="000655D3">
        <w:rPr>
          <w:noProof/>
        </w:rPr>
        <w:t>9</w:t>
      </w:r>
      <w:r w:rsidR="00CE066B">
        <w:fldChar w:fldCharType="end"/>
      </w:r>
      <w:r w:rsidRPr="003433B9">
        <w:rPr>
          <w:lang w:val="en-GB"/>
        </w:rPr>
        <w:t xml:space="preserve">). </w:t>
      </w:r>
    </w:p>
    <w:p w14:paraId="720279BF" w14:textId="5511E65B" w:rsidR="00AE0A31" w:rsidRPr="003433B9" w:rsidRDefault="00AE0A31" w:rsidP="00AE0A31">
      <w:r w:rsidRPr="003433B9">
        <w:rPr>
          <w:lang w:val="en-GB"/>
        </w:rPr>
        <w:t xml:space="preserve">Moreover, the goodness of fit was visually evaluated. In </w:t>
      </w:r>
      <w:r w:rsidR="00CE066B">
        <w:fldChar w:fldCharType="begin"/>
      </w:r>
      <w:r w:rsidR="00CE066B">
        <w:rPr>
          <w:lang w:val="en-GB"/>
        </w:rPr>
        <w:instrText xml:space="preserve"> REF _Ref90392873 \h </w:instrText>
      </w:r>
      <w:r w:rsidR="00CE066B">
        <w:fldChar w:fldCharType="separate"/>
      </w:r>
      <w:r w:rsidR="000655D3">
        <w:t xml:space="preserve">Figure </w:t>
      </w:r>
      <w:r w:rsidR="000655D3">
        <w:rPr>
          <w:noProof/>
        </w:rPr>
        <w:t>7</w:t>
      </w:r>
      <w:r w:rsidR="00CE066B">
        <w:fldChar w:fldCharType="end"/>
      </w:r>
      <w:r w:rsidRPr="003433B9">
        <w:rPr>
          <w:lang w:val="en-GB"/>
        </w:rPr>
        <w:t xml:space="preserve"> the</w:t>
      </w:r>
      <w:r w:rsidRPr="003433B9">
        <w:t xml:space="preserve"> measured AGB values were plotted together with the best model predictions. Values lower than 40 t/ha and higher than 160 t/ha were over- and underestimated, respectively.</w:t>
      </w:r>
    </w:p>
    <w:p w14:paraId="730D23E9" w14:textId="33429D1E" w:rsidR="00AE0A31" w:rsidRDefault="00B643C3" w:rsidP="00B643C3">
      <w:pPr>
        <w:jc w:val="center"/>
      </w:pPr>
      <w:r w:rsidRPr="00142CBA">
        <w:rPr>
          <w:rFonts w:cs="Arial"/>
          <w:noProof/>
          <w:lang w:val="es-ES" w:eastAsia="es-ES"/>
        </w:rPr>
        <w:drawing>
          <wp:inline distT="0" distB="0" distL="0" distR="0" wp14:anchorId="580324C4" wp14:editId="6809AACB">
            <wp:extent cx="2836110" cy="2223064"/>
            <wp:effectExtent l="0" t="0" r="2540" b="635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1504" cy="2227292"/>
                    </a:xfrm>
                    <a:prstGeom prst="rect">
                      <a:avLst/>
                    </a:prstGeom>
                    <a:noFill/>
                    <a:ln>
                      <a:noFill/>
                    </a:ln>
                  </pic:spPr>
                </pic:pic>
              </a:graphicData>
            </a:graphic>
          </wp:inline>
        </w:drawing>
      </w:r>
    </w:p>
    <w:p w14:paraId="1D925826" w14:textId="4274B0D2" w:rsidR="00DC62A5" w:rsidRPr="003433B9" w:rsidRDefault="00DC62A5" w:rsidP="00DC62A5">
      <w:pPr>
        <w:pStyle w:val="Caption"/>
      </w:pPr>
      <w:bookmarkStart w:id="56" w:name="_Ref90392873"/>
      <w:bookmarkStart w:id="57" w:name="_Toc91575551"/>
      <w:r>
        <w:t xml:space="preserve">Figure </w:t>
      </w:r>
      <w:r>
        <w:fldChar w:fldCharType="begin"/>
      </w:r>
      <w:r>
        <w:instrText xml:space="preserve"> SEQ Figure \* ARABIC </w:instrText>
      </w:r>
      <w:r>
        <w:fldChar w:fldCharType="separate"/>
      </w:r>
      <w:r w:rsidR="000655D3">
        <w:rPr>
          <w:noProof/>
        </w:rPr>
        <w:t>7</w:t>
      </w:r>
      <w:r>
        <w:fldChar w:fldCharType="end"/>
      </w:r>
      <w:bookmarkEnd w:id="56"/>
      <w:r>
        <w:t xml:space="preserve">: </w:t>
      </w:r>
      <w:r w:rsidRPr="000327DD">
        <w:t>Goodness of fit.</w:t>
      </w:r>
      <w:bookmarkEnd w:id="57"/>
    </w:p>
    <w:p w14:paraId="68FB2DAF" w14:textId="02DD345C" w:rsidR="00B643C3" w:rsidRPr="003433B9" w:rsidRDefault="00B643C3" w:rsidP="00B643C3">
      <w:r w:rsidRPr="003433B9">
        <w:t xml:space="preserve">The AGB map was generated by using 6 manual classes; the majority of the territory located on the south-west of map is covered by AGB values ranging from 0 t/ha to 100 t/ha, with spread high values ranging from 101 t/ha to 200 t/ha. On the other hand, the second portion of the study area, located on the north-east side of the map, is characterized by higher AGB values, with areas reaching over 250 t/ha. </w:t>
      </w:r>
    </w:p>
    <w:p w14:paraId="531D0EA5" w14:textId="49E1F6B8" w:rsidR="00AE0A31" w:rsidRDefault="00B643C3" w:rsidP="00AE0A31">
      <w:pPr>
        <w:jc w:val="center"/>
      </w:pPr>
      <w:r w:rsidRPr="00142CBA">
        <w:rPr>
          <w:rFonts w:cs="Arial"/>
          <w:noProof/>
          <w:lang w:val="es-ES" w:eastAsia="es-ES"/>
        </w:rPr>
        <w:drawing>
          <wp:inline distT="0" distB="0" distL="0" distR="0" wp14:anchorId="336CED8B" wp14:editId="7B630777">
            <wp:extent cx="4319337" cy="2608430"/>
            <wp:effectExtent l="0" t="0" r="5080" b="190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9530" cy="2626663"/>
                    </a:xfrm>
                    <a:prstGeom prst="rect">
                      <a:avLst/>
                    </a:prstGeom>
                    <a:noFill/>
                    <a:ln>
                      <a:noFill/>
                    </a:ln>
                  </pic:spPr>
                </pic:pic>
              </a:graphicData>
            </a:graphic>
          </wp:inline>
        </w:drawing>
      </w:r>
    </w:p>
    <w:p w14:paraId="7CC2C80F" w14:textId="0633469D" w:rsidR="00B643C3" w:rsidRDefault="00DC62A5" w:rsidP="00DC62A5">
      <w:pPr>
        <w:pStyle w:val="Caption"/>
      </w:pPr>
      <w:bookmarkStart w:id="58" w:name="_Toc91575552"/>
      <w:r>
        <w:t xml:space="preserve">Figure </w:t>
      </w:r>
      <w:r>
        <w:fldChar w:fldCharType="begin"/>
      </w:r>
      <w:r>
        <w:instrText xml:space="preserve"> SEQ Figure \* ARABIC </w:instrText>
      </w:r>
      <w:r>
        <w:fldChar w:fldCharType="separate"/>
      </w:r>
      <w:r w:rsidR="000655D3">
        <w:rPr>
          <w:noProof/>
        </w:rPr>
        <w:t>8</w:t>
      </w:r>
      <w:r>
        <w:fldChar w:fldCharType="end"/>
      </w:r>
      <w:r>
        <w:t xml:space="preserve">: </w:t>
      </w:r>
      <w:r w:rsidRPr="002B7755">
        <w:t>Above Ground Biomass map.</w:t>
      </w:r>
      <w:bookmarkEnd w:id="58"/>
    </w:p>
    <w:p w14:paraId="22672C28" w14:textId="2811D8D6" w:rsidR="00B643C3" w:rsidRDefault="00B643C3" w:rsidP="00AE0A31">
      <w:pPr>
        <w:jc w:val="center"/>
        <w:rPr>
          <w:lang w:val="en-GB"/>
        </w:rPr>
      </w:pPr>
      <w:r w:rsidRPr="00142CBA">
        <w:rPr>
          <w:rFonts w:cs="Arial"/>
          <w:noProof/>
          <w:lang w:val="es-ES" w:eastAsia="es-ES"/>
        </w:rPr>
        <w:lastRenderedPageBreak/>
        <w:drawing>
          <wp:inline distT="0" distB="0" distL="0" distR="0" wp14:anchorId="3B95DF52" wp14:editId="7FA512B2">
            <wp:extent cx="3329104" cy="2348901"/>
            <wp:effectExtent l="0" t="0" r="508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6371" cy="2361084"/>
                    </a:xfrm>
                    <a:prstGeom prst="rect">
                      <a:avLst/>
                    </a:prstGeom>
                    <a:noFill/>
                    <a:ln>
                      <a:noFill/>
                    </a:ln>
                  </pic:spPr>
                </pic:pic>
              </a:graphicData>
            </a:graphic>
          </wp:inline>
        </w:drawing>
      </w:r>
    </w:p>
    <w:p w14:paraId="09D47166" w14:textId="6027F665" w:rsidR="00DC62A5" w:rsidRDefault="00DC62A5" w:rsidP="00DC62A5">
      <w:pPr>
        <w:pStyle w:val="Caption"/>
      </w:pPr>
      <w:bookmarkStart w:id="59" w:name="_Ref90392866"/>
      <w:bookmarkStart w:id="60" w:name="_Toc91575553"/>
      <w:r>
        <w:t xml:space="preserve">Figure </w:t>
      </w:r>
      <w:r>
        <w:fldChar w:fldCharType="begin"/>
      </w:r>
      <w:r>
        <w:instrText xml:space="preserve"> SEQ Figure \* ARABIC </w:instrText>
      </w:r>
      <w:r>
        <w:fldChar w:fldCharType="separate"/>
      </w:r>
      <w:r w:rsidR="000655D3">
        <w:rPr>
          <w:noProof/>
        </w:rPr>
        <w:t>9</w:t>
      </w:r>
      <w:r>
        <w:fldChar w:fldCharType="end"/>
      </w:r>
      <w:bookmarkEnd w:id="59"/>
      <w:r>
        <w:t xml:space="preserve">: </w:t>
      </w:r>
      <w:r w:rsidRPr="000E7C81">
        <w:t>Distribution of predictions.</w:t>
      </w:r>
      <w:bookmarkEnd w:id="60"/>
    </w:p>
    <w:p w14:paraId="03DBFF97" w14:textId="5A3DF9FB" w:rsidR="00B643C3" w:rsidRDefault="00B643C3" w:rsidP="00B643C3">
      <w:r w:rsidRPr="003433B9">
        <w:t xml:space="preserve">Hence, a CCS map was generated by using the conversion factor suggested by the IPCC </w:t>
      </w:r>
      <w:sdt>
        <w:sdtPr>
          <w:id w:val="947429311"/>
          <w:citation/>
        </w:sdtPr>
        <w:sdtEndPr/>
        <w:sdtContent>
          <w:r w:rsidRPr="00381754">
            <w:rPr>
              <w:noProof/>
              <w:lang w:val="en-GB"/>
            </w:rPr>
            <w:t>(2006)</w:t>
          </w:r>
        </w:sdtContent>
      </w:sdt>
      <w:r w:rsidRPr="003433B9">
        <w:t xml:space="preserve">, that is multiplying the predicted AGB values </w:t>
      </w:r>
      <w:r w:rsidR="000A7E6E">
        <w:t>by</w:t>
      </w:r>
      <w:r w:rsidRPr="003433B9">
        <w:t xml:space="preserve"> 0.47. In </w:t>
      </w:r>
      <w:r w:rsidR="00CE066B">
        <w:fldChar w:fldCharType="begin"/>
      </w:r>
      <w:r w:rsidR="00CE066B">
        <w:instrText xml:space="preserve"> REF _Ref90392911 \h </w:instrText>
      </w:r>
      <w:r w:rsidR="00CE066B">
        <w:fldChar w:fldCharType="separate"/>
      </w:r>
      <w:r w:rsidR="000655D3">
        <w:t xml:space="preserve">Figure </w:t>
      </w:r>
      <w:r w:rsidR="000655D3">
        <w:rPr>
          <w:noProof/>
        </w:rPr>
        <w:t>10</w:t>
      </w:r>
      <w:r w:rsidR="00CE066B">
        <w:fldChar w:fldCharType="end"/>
      </w:r>
      <w:r w:rsidRPr="003433B9">
        <w:t>, the portion of the study area located on the south-west of map is sequestrating 0 t/ha to 40 t/ha, with spread higher values ranging from 41 t/ha to 80 t/ha. On the other hand, the second portion of the study area, located on the north-east side of the map, is characterized by higher CS, with areas storing over 120 t/ha.</w:t>
      </w:r>
    </w:p>
    <w:p w14:paraId="016CE1ED" w14:textId="19231E90" w:rsidR="00B643C3" w:rsidRDefault="00B643C3" w:rsidP="00B643C3">
      <w:pPr>
        <w:jc w:val="center"/>
      </w:pPr>
      <w:r w:rsidRPr="00142CBA">
        <w:rPr>
          <w:rFonts w:cs="Arial"/>
          <w:noProof/>
          <w:lang w:val="es-ES" w:eastAsia="es-ES"/>
        </w:rPr>
        <w:drawing>
          <wp:inline distT="0" distB="0" distL="0" distR="0" wp14:anchorId="73583FD8" wp14:editId="1B9630E4">
            <wp:extent cx="4748323" cy="2856134"/>
            <wp:effectExtent l="0" t="0" r="0" b="190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5826" cy="2866662"/>
                    </a:xfrm>
                    <a:prstGeom prst="rect">
                      <a:avLst/>
                    </a:prstGeom>
                    <a:noFill/>
                    <a:ln>
                      <a:noFill/>
                    </a:ln>
                  </pic:spPr>
                </pic:pic>
              </a:graphicData>
            </a:graphic>
          </wp:inline>
        </w:drawing>
      </w:r>
    </w:p>
    <w:p w14:paraId="452D1609" w14:textId="2A45B3DB" w:rsidR="00B643C3" w:rsidRPr="003433B9" w:rsidRDefault="00677EF8" w:rsidP="00677EF8">
      <w:pPr>
        <w:pStyle w:val="Caption"/>
        <w:rPr>
          <w:rFonts w:cs="Arial"/>
          <w:b w:val="0"/>
          <w:bCs w:val="0"/>
        </w:rPr>
      </w:pPr>
      <w:bookmarkStart w:id="61" w:name="_Ref90392911"/>
      <w:bookmarkStart w:id="62" w:name="_Toc91575554"/>
      <w:r>
        <w:t xml:space="preserve">Figure </w:t>
      </w:r>
      <w:r>
        <w:fldChar w:fldCharType="begin"/>
      </w:r>
      <w:r>
        <w:instrText xml:space="preserve"> SEQ Figure \* ARABIC </w:instrText>
      </w:r>
      <w:r>
        <w:fldChar w:fldCharType="separate"/>
      </w:r>
      <w:r w:rsidR="000655D3">
        <w:rPr>
          <w:noProof/>
        </w:rPr>
        <w:t>10</w:t>
      </w:r>
      <w:r>
        <w:fldChar w:fldCharType="end"/>
      </w:r>
      <w:bookmarkEnd w:id="61"/>
      <w:r>
        <w:t xml:space="preserve">: </w:t>
      </w:r>
      <w:r w:rsidRPr="009D5B0C">
        <w:t>Current Carbon Sequestration map.</w:t>
      </w:r>
      <w:bookmarkEnd w:id="62"/>
    </w:p>
    <w:p w14:paraId="40522AA1" w14:textId="77777777" w:rsidR="00026090" w:rsidRDefault="00026090" w:rsidP="00B643C3"/>
    <w:p w14:paraId="06291096" w14:textId="7D60F237" w:rsidR="00B643C3" w:rsidRPr="003433B9" w:rsidRDefault="00B643C3" w:rsidP="00B643C3">
      <w:r w:rsidRPr="003433B9">
        <w:lastRenderedPageBreak/>
        <w:t xml:space="preserve">Deliverable 2.3 defined 3 levels of marginality. These are Marginal Lands with high plantation suitability (ML1), Marginal Lands with low plantation suitability (ML2), and potentially unsuitable lands (ML3). Hence, within Serra de Espadan, all 3 types of marginality were identified. As illustrated in </w:t>
      </w:r>
      <w:r w:rsidR="008945CE">
        <w:fldChar w:fldCharType="begin"/>
      </w:r>
      <w:r w:rsidR="008945CE">
        <w:instrText xml:space="preserve"> REF _Ref90393039 \h </w:instrText>
      </w:r>
      <w:r w:rsidR="008945CE">
        <w:fldChar w:fldCharType="separate"/>
      </w:r>
      <w:r w:rsidR="000655D3">
        <w:t xml:space="preserve">Figure </w:t>
      </w:r>
      <w:r w:rsidR="000655D3">
        <w:rPr>
          <w:noProof/>
        </w:rPr>
        <w:t>11</w:t>
      </w:r>
      <w:r w:rsidR="008945CE">
        <w:fldChar w:fldCharType="end"/>
      </w:r>
      <w:r w:rsidRPr="003433B9">
        <w:t>, most of the study area is considered unsuitable for plantation, therefore its carbon sequestration could not be increased through reforestation practices. Hence, small patches were identified as of low suitable for reforestation, while a south-west portion of the area was considered to be highly suitable. Such levels of marginality are due to environmental limitations rather than economic or social.</w:t>
      </w:r>
    </w:p>
    <w:p w14:paraId="706DF6EC" w14:textId="77777777" w:rsidR="00B643C3" w:rsidRDefault="00B643C3" w:rsidP="00B643C3">
      <w:r w:rsidRPr="003433B9">
        <w:t xml:space="preserve">In the making of Deliverable 4.2, a reforestation scenario for Serra de Espadan was planned out, and the Carbon Carrying Capacity (CCC) for highly suitable (ML1) and low suitable (ML2) areas was estimated. Hence, the species selection prioritized the most resistant species to adverse ecological factors over more resource-demanding species. For this reason, coniferous were chosen for the reforestation proposal. Specifically, a mixture of </w:t>
      </w:r>
      <w:r w:rsidRPr="003433B9">
        <w:rPr>
          <w:i/>
        </w:rPr>
        <w:t xml:space="preserve">Pinus pinaster </w:t>
      </w:r>
      <w:r w:rsidRPr="003433B9">
        <w:t xml:space="preserve">in 70-80% and </w:t>
      </w:r>
      <w:r w:rsidRPr="003433B9">
        <w:rPr>
          <w:i/>
        </w:rPr>
        <w:t>Pinus halepensis</w:t>
      </w:r>
      <w:r w:rsidRPr="003433B9">
        <w:t xml:space="preserve"> in 30-20% was suggested for both levels of marginality. Hence, the CCC was estimated using forest growth tables and values of future biomass and carbon capacity of the selected species after 50 years from plantation. For ML1, the CCC after 50 years was estimated to be 94.2 t/ha, whilst in ML2, this value was predicted to be 55.2 t/ha.</w:t>
      </w:r>
    </w:p>
    <w:p w14:paraId="672EA77B" w14:textId="1F0D6BFF" w:rsidR="00B643C3" w:rsidRDefault="00B643C3" w:rsidP="00B643C3">
      <w:pPr>
        <w:jc w:val="center"/>
      </w:pPr>
      <w:r w:rsidRPr="00142CBA">
        <w:rPr>
          <w:rFonts w:cs="Arial"/>
          <w:b/>
          <w:bCs/>
          <w:noProof/>
          <w:lang w:val="es-ES" w:eastAsia="es-ES"/>
        </w:rPr>
        <w:drawing>
          <wp:inline distT="0" distB="0" distL="0" distR="0" wp14:anchorId="632362A0" wp14:editId="5F8B74B5">
            <wp:extent cx="4840227" cy="289205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50914" cy="2898442"/>
                    </a:xfrm>
                    <a:prstGeom prst="rect">
                      <a:avLst/>
                    </a:prstGeom>
                    <a:noFill/>
                    <a:ln>
                      <a:noFill/>
                    </a:ln>
                  </pic:spPr>
                </pic:pic>
              </a:graphicData>
            </a:graphic>
          </wp:inline>
        </w:drawing>
      </w:r>
    </w:p>
    <w:p w14:paraId="1E9F7664" w14:textId="39A45090" w:rsidR="00677EF8" w:rsidRDefault="00677EF8" w:rsidP="00677EF8">
      <w:pPr>
        <w:pStyle w:val="Caption"/>
      </w:pPr>
      <w:bookmarkStart w:id="63" w:name="_Ref90393039"/>
      <w:bookmarkStart w:id="64" w:name="_Toc91575555"/>
      <w:r>
        <w:t xml:space="preserve">Figure </w:t>
      </w:r>
      <w:r>
        <w:fldChar w:fldCharType="begin"/>
      </w:r>
      <w:r>
        <w:instrText xml:space="preserve"> SEQ Figure \* ARABIC </w:instrText>
      </w:r>
      <w:r>
        <w:fldChar w:fldCharType="separate"/>
      </w:r>
      <w:r w:rsidR="000655D3">
        <w:rPr>
          <w:noProof/>
        </w:rPr>
        <w:t>11</w:t>
      </w:r>
      <w:r>
        <w:fldChar w:fldCharType="end"/>
      </w:r>
      <w:bookmarkEnd w:id="63"/>
      <w:r>
        <w:t xml:space="preserve">: </w:t>
      </w:r>
      <w:r w:rsidRPr="008C6384">
        <w:t>Marginality levels.</w:t>
      </w:r>
      <w:bookmarkEnd w:id="64"/>
    </w:p>
    <w:p w14:paraId="7684E953" w14:textId="77777777" w:rsidR="00026090" w:rsidRDefault="00026090" w:rsidP="00B643C3"/>
    <w:p w14:paraId="1F15E78C" w14:textId="73C891AF" w:rsidR="00B643C3" w:rsidRPr="003433B9" w:rsidRDefault="00B643C3" w:rsidP="00B643C3">
      <w:r w:rsidRPr="003433B9">
        <w:lastRenderedPageBreak/>
        <w:t>Therefore, the Carbon Sequestration Capacity (CSC) was estimated for both, highly suitable (ML1) and low suitable areas (ML2), by following</w:t>
      </w:r>
      <w:r w:rsidR="00B32668">
        <w:t xml:space="preserve"> </w:t>
      </w:r>
      <w:r w:rsidR="00B32668">
        <w:fldChar w:fldCharType="begin"/>
      </w:r>
      <w:r w:rsidR="00B32668">
        <w:instrText xml:space="preserve"> REF _Ref90391100 \h </w:instrText>
      </w:r>
      <w:r w:rsidR="00B32668">
        <w:fldChar w:fldCharType="separate"/>
      </w:r>
      <w:r w:rsidR="000655D3">
        <w:t xml:space="preserve">Equation </w:t>
      </w:r>
      <w:r w:rsidR="000655D3">
        <w:rPr>
          <w:noProof/>
        </w:rPr>
        <w:t>1</w:t>
      </w:r>
      <w:r w:rsidR="00B32668">
        <w:fldChar w:fldCharType="end"/>
      </w:r>
      <w:r w:rsidRPr="003433B9">
        <w:t>, and using the previously predicted Current Carbon Sequestration (CCS), as well as the 2 Carbon Carrying Capacity (CCC) values proposed in Deliverable 4.2.</w:t>
      </w:r>
    </w:p>
    <w:p w14:paraId="2660B210" w14:textId="4668B2A7" w:rsidR="00B643C3" w:rsidRDefault="008945CE" w:rsidP="00B643C3">
      <w:r>
        <w:fldChar w:fldCharType="begin"/>
      </w:r>
      <w:r>
        <w:instrText xml:space="preserve"> REF _Ref90393069 \h </w:instrText>
      </w:r>
      <w:r>
        <w:fldChar w:fldCharType="separate"/>
      </w:r>
      <w:r w:rsidR="000655D3">
        <w:t xml:space="preserve">Figure </w:t>
      </w:r>
      <w:r w:rsidR="000655D3">
        <w:rPr>
          <w:noProof/>
        </w:rPr>
        <w:t>12</w:t>
      </w:r>
      <w:r>
        <w:fldChar w:fldCharType="end"/>
      </w:r>
      <w:r w:rsidR="00B643C3" w:rsidRPr="003433B9">
        <w:t xml:space="preserve"> shows the CSC groups. Group I (high suitability for plantation) is concentrated on the south-west of the pilot site, and their CSC varies from 9.64 to 94.14 t/ha, with an average of 72.01 and a standard deviation of 9.62 t/ha. Group II represents a very small part of the area and its CSC ranges from 0 to 53 t/ha, with an average of 29.32 and a standard deviation of 11.95 t/ha. Hence, the CSC for the remaining territory (Group III) was not estimated, as the rest of the pilot site was classified as unsuitable for reforestation in the context of Deliverable 2.3. </w:t>
      </w:r>
    </w:p>
    <w:p w14:paraId="760AD593" w14:textId="18B05846" w:rsidR="00E91276" w:rsidRPr="003433B9" w:rsidRDefault="00E91276" w:rsidP="00E91276">
      <w:pPr>
        <w:jc w:val="center"/>
        <w:rPr>
          <w:color w:val="993366"/>
        </w:rPr>
      </w:pPr>
      <w:r w:rsidRPr="00142CBA">
        <w:rPr>
          <w:rFonts w:cs="Arial"/>
          <w:b/>
          <w:bCs/>
          <w:noProof/>
          <w:lang w:val="es-ES" w:eastAsia="es-ES"/>
        </w:rPr>
        <w:drawing>
          <wp:inline distT="0" distB="0" distL="0" distR="0" wp14:anchorId="40373040" wp14:editId="23B4C19F">
            <wp:extent cx="3787554" cy="526582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03587" cy="5288111"/>
                    </a:xfrm>
                    <a:prstGeom prst="rect">
                      <a:avLst/>
                    </a:prstGeom>
                    <a:noFill/>
                    <a:ln>
                      <a:noFill/>
                    </a:ln>
                  </pic:spPr>
                </pic:pic>
              </a:graphicData>
            </a:graphic>
          </wp:inline>
        </w:drawing>
      </w:r>
    </w:p>
    <w:p w14:paraId="7A3C67B0" w14:textId="2DC65EE2" w:rsidR="00A622F2" w:rsidRDefault="00A622F2" w:rsidP="00A622F2">
      <w:pPr>
        <w:pStyle w:val="Caption"/>
      </w:pPr>
      <w:bookmarkStart w:id="65" w:name="_Ref90393069"/>
      <w:bookmarkStart w:id="66" w:name="_Toc91575556"/>
      <w:bookmarkStart w:id="67" w:name="_Toc66199624"/>
      <w:r>
        <w:t xml:space="preserve">Figure </w:t>
      </w:r>
      <w:r>
        <w:fldChar w:fldCharType="begin"/>
      </w:r>
      <w:r>
        <w:instrText xml:space="preserve"> SEQ Figure \* ARABIC </w:instrText>
      </w:r>
      <w:r>
        <w:fldChar w:fldCharType="separate"/>
      </w:r>
      <w:r w:rsidR="000655D3">
        <w:rPr>
          <w:noProof/>
        </w:rPr>
        <w:t>12</w:t>
      </w:r>
      <w:r>
        <w:fldChar w:fldCharType="end"/>
      </w:r>
      <w:bookmarkEnd w:id="65"/>
      <w:r>
        <w:t xml:space="preserve">: </w:t>
      </w:r>
      <w:r w:rsidRPr="00613A76">
        <w:t>Carbon Sequestration Capacity Groups map.</w:t>
      </w:r>
      <w:bookmarkEnd w:id="66"/>
    </w:p>
    <w:p w14:paraId="67B2D71A" w14:textId="6874BDC9" w:rsidR="00E91276" w:rsidRPr="00142CBA" w:rsidRDefault="00E91276" w:rsidP="00A85DD4">
      <w:pPr>
        <w:pStyle w:val="Heading2"/>
        <w:numPr>
          <w:ilvl w:val="0"/>
          <w:numId w:val="0"/>
        </w:numPr>
        <w:ind w:left="576" w:hanging="576"/>
      </w:pPr>
      <w:bookmarkStart w:id="68" w:name="_Toc91575529"/>
      <w:r w:rsidRPr="00142CBA">
        <w:lastRenderedPageBreak/>
        <w:t>3.5. Discussion &amp; Conclusion</w:t>
      </w:r>
      <w:bookmarkEnd w:id="67"/>
      <w:r w:rsidR="000A7E6E">
        <w:t>s</w:t>
      </w:r>
      <w:bookmarkEnd w:id="68"/>
    </w:p>
    <w:p w14:paraId="4BC67C02" w14:textId="4663A968" w:rsidR="00E91276" w:rsidRPr="0062164C" w:rsidRDefault="00E91276" w:rsidP="00E91276">
      <w:r w:rsidRPr="0062164C">
        <w:t xml:space="preserve">This Chapter aimed to assess the presence of Carbon Sequestration Capacity (CSC) groups in a Serra de Espadan, a Spanish pilot case which was identified as Marginal Land (ML) in the context of Task 2.3. Furthermore, within the </w:t>
      </w:r>
      <w:r w:rsidRPr="008514D9">
        <w:rPr>
          <w:b/>
          <w:i/>
          <w:color w:val="31479E" w:themeColor="accent1" w:themeShade="BF"/>
        </w:rPr>
        <w:t>MAIL</w:t>
      </w:r>
      <w:r w:rsidRPr="008514D9">
        <w:rPr>
          <w:color w:val="31479E" w:themeColor="accent1" w:themeShade="BF"/>
        </w:rPr>
        <w:t xml:space="preserve"> </w:t>
      </w:r>
      <w:r w:rsidRPr="0062164C">
        <w:t xml:space="preserve">project, this area was chosen as a study case to investigate the potential of certain indicators (Vegetations Indices, topographic measures, etc.) in improving the estimation of Above Ground Biomass (AGB). For this task, a Remote Sensing and Machine Learning based approach was proposed. </w:t>
      </w:r>
    </w:p>
    <w:p w14:paraId="6E5E1CF1" w14:textId="4B5B1CEB" w:rsidR="00E91276" w:rsidRPr="0062164C" w:rsidRDefault="00E91276" w:rsidP="00E91276">
      <w:r w:rsidRPr="0062164C">
        <w:t>Overall, indicators or features extracted from the Sentinel-2 Summer image were selected more often than Winter features by all the tested models. Out of the 63 initially generated variables, only 23 features selected by Mean Decrease in Impurity (MDI) were used for the final model. The</w:t>
      </w:r>
      <w:r w:rsidR="00565C5F">
        <w:t xml:space="preserve"> </w:t>
      </w:r>
      <w:r w:rsidR="00565C5F" w:rsidRPr="0062164C">
        <w:t>highest</w:t>
      </w:r>
      <w:r w:rsidR="00565C5F">
        <w:t>-ranking</w:t>
      </w:r>
      <w:r w:rsidRPr="0062164C">
        <w:t xml:space="preserve"> features by their importance are: biophysical parameters (LAI, LAI cw, FAPAR) from the</w:t>
      </w:r>
      <w:r w:rsidR="009C4358" w:rsidRPr="009C4358">
        <w:t xml:space="preserve"> </w:t>
      </w:r>
      <w:r w:rsidR="00840518" w:rsidRPr="0062164C">
        <w:t>summer</w:t>
      </w:r>
      <w:r w:rsidR="009C4358" w:rsidRPr="009C4358">
        <w:t xml:space="preserve"> </w:t>
      </w:r>
      <w:r w:rsidRPr="0062164C">
        <w:t xml:space="preserve">month, the Digital Elevation Model (DEM), a SWIR band (band 12) and a Chlorophyll index generated from the red-edge bands (Clre), both from the </w:t>
      </w:r>
      <w:r w:rsidR="00840518" w:rsidRPr="0062164C">
        <w:t>summer</w:t>
      </w:r>
      <w:r w:rsidRPr="0062164C">
        <w:t xml:space="preserve"> month.</w:t>
      </w:r>
    </w:p>
    <w:p w14:paraId="49CE863E" w14:textId="784B6BB3" w:rsidR="00E91276" w:rsidRPr="00E91276" w:rsidRDefault="00E91276" w:rsidP="00E91276">
      <w:r w:rsidRPr="0062164C">
        <w:t xml:space="preserve">Model explanation with SHapley Additive exPlanations (SHAP) helped gathering more insights on the input features and their influence on the model output. It was found that high values of a Vegetation Index generated from the red-edge bands and biophysical parameters extracted from the </w:t>
      </w:r>
      <w:r w:rsidR="00840518" w:rsidRPr="0062164C">
        <w:t>summer</w:t>
      </w:r>
      <w:r w:rsidRPr="0062164C">
        <w:t xml:space="preserve"> season, lead to an increase in predicted AGB. The same positive </w:t>
      </w:r>
      <w:r w:rsidR="00565C5F" w:rsidRPr="0062164C">
        <w:t>behavior</w:t>
      </w:r>
      <w:r w:rsidRPr="0062164C">
        <w:t xml:space="preserve"> was found for certain biophysical parameters extracted from the Autumn Season. In contrast, high values of the </w:t>
      </w:r>
      <w:r w:rsidR="00840518" w:rsidRPr="0062164C">
        <w:t>summer</w:t>
      </w:r>
      <w:r w:rsidRPr="0062164C">
        <w:t xml:space="preserve"> SWIR band and high elevation pushed the predicted AGB to values lower than the baseline. Those findings agree with the scientific consensus on the relationship between elevation and biomass. The insights gathered with SHAP showed the utility of a model explainer for the scientific community. </w:t>
      </w:r>
    </w:p>
    <w:p w14:paraId="1FB8C0CC" w14:textId="35614EEA" w:rsidR="00E91276" w:rsidRPr="0062164C" w:rsidRDefault="00E91276" w:rsidP="00E91276">
      <w:r w:rsidRPr="0062164C">
        <w:t>Concerning the prediction of AGB, a recurrent limitation was found. For all the tested models, AGB values lower than 40-50 t/ha were slightly overpredicted whereas values higher than 150-160 t/ha were underpredicted. As it was confirmed by previous studies</w:t>
      </w:r>
      <w:r w:rsidR="000A7E6E">
        <w:rPr>
          <w:noProof/>
        </w:rPr>
        <w:t xml:space="preserve"> (Galidaki, et al., 2017; Salem et al., 2020; Forkuor, et al., 2020)</w:t>
      </w:r>
      <w:r w:rsidRPr="0062164C">
        <w:t>, this is a typical issue when estimating AGB with the use of Machine Learning and satellite images, and it is exacerbated by a limited number of representative samples for low and high values of the forestry inventory.</w:t>
      </w:r>
    </w:p>
    <w:p w14:paraId="7EDC265D" w14:textId="1668B42E" w:rsidR="00A25EDC" w:rsidRDefault="00E91276" w:rsidP="00893A9E">
      <w:r w:rsidRPr="0062164C">
        <w:lastRenderedPageBreak/>
        <w:t>For those areas of the pilot case identified as suitable for plantation by Task 2.3, three groups were proposed: lands with high suitability for plantation (ML1), lands with low suitability for plantation (ML2), and unsuitable lands (ML3). Therefore, Task 4.2 proposed a reforestation scenario for the first 2 groups by estimating their Carbon Carrying Capacity (CCC) 50 years after plantation. Hence, this report delineates the Carbon Sequestration Capacity (CSC) for those areas identified as ML1 and ML2. Finally, we suggest that future reforestation projects should focus on highly suitable areas, because these show a higher CSC compared to ML2, reaching an increasing in carbon sequestration up to almost 100 t/ha after reforestation.</w:t>
      </w:r>
      <w:bookmarkStart w:id="69" w:name="_Toc223361319"/>
    </w:p>
    <w:p w14:paraId="17D24198" w14:textId="4F370ADC" w:rsidR="00774E4A" w:rsidRDefault="00774E4A" w:rsidP="00774E4A">
      <w:pPr>
        <w:pStyle w:val="Heading1"/>
      </w:pPr>
      <w:bookmarkStart w:id="70" w:name="_Toc91575530"/>
      <w:r w:rsidRPr="00774E4A">
        <w:t>Carbon Sequestration Capacity</w:t>
      </w:r>
      <w:r>
        <w:t xml:space="preserve"> </w:t>
      </w:r>
      <w:r w:rsidR="00034936">
        <w:t xml:space="preserve">Groups </w:t>
      </w:r>
      <w:r w:rsidR="00350594">
        <w:t xml:space="preserve">Mapping </w:t>
      </w:r>
      <w:r>
        <w:t>at</w:t>
      </w:r>
      <w:r w:rsidR="00F4753F">
        <w:t xml:space="preserve"> </w:t>
      </w:r>
      <w:r>
        <w:t>European level</w:t>
      </w:r>
      <w:bookmarkEnd w:id="70"/>
    </w:p>
    <w:p w14:paraId="21F806CB" w14:textId="6357EC45" w:rsidR="00350594" w:rsidRPr="00350594" w:rsidRDefault="00677B7A" w:rsidP="00390963">
      <w:r>
        <w:t>This chapter presents</w:t>
      </w:r>
      <w:r w:rsidR="00350594">
        <w:t xml:space="preserve"> a</w:t>
      </w:r>
      <w:r w:rsidR="00AE567A">
        <w:t xml:space="preserve"> new approach for</w:t>
      </w:r>
      <w:r>
        <w:t xml:space="preserve"> classifying MLs in</w:t>
      </w:r>
      <w:r w:rsidR="00F911F9">
        <w:t>to</w:t>
      </w:r>
      <w:r w:rsidR="00AE567A">
        <w:t xml:space="preserve"> </w:t>
      </w:r>
      <w:r w:rsidR="00350594">
        <w:t xml:space="preserve">Carbon Sequestration Capacity groups </w:t>
      </w:r>
      <w:r>
        <w:t>at</w:t>
      </w:r>
      <w:r w:rsidR="00350594">
        <w:t xml:space="preserve"> European </w:t>
      </w:r>
      <w:r>
        <w:t>scale</w:t>
      </w:r>
      <w:r w:rsidR="00350594">
        <w:t xml:space="preserve"> </w:t>
      </w:r>
      <w:r>
        <w:t xml:space="preserve">that </w:t>
      </w:r>
      <w:r w:rsidR="00AE567A">
        <w:t>was developed</w:t>
      </w:r>
      <w:r>
        <w:t xml:space="preserve"> along with</w:t>
      </w:r>
      <w:r w:rsidR="00132317">
        <w:t xml:space="preserve"> a tool in GEE </w:t>
      </w:r>
      <w:r>
        <w:t>to be embedded in</w:t>
      </w:r>
      <w:r w:rsidR="000A7E6E">
        <w:t xml:space="preserve"> a</w:t>
      </w:r>
      <w:r>
        <w:t xml:space="preserve"> Decision Support System</w:t>
      </w:r>
      <w:r w:rsidR="008B67F7">
        <w:t xml:space="preserve"> </w:t>
      </w:r>
      <w:r>
        <w:t>in</w:t>
      </w:r>
      <w:r w:rsidR="000A7E6E">
        <w:t xml:space="preserve"> the</w:t>
      </w:r>
      <w:r w:rsidR="008B67F7">
        <w:t xml:space="preserve"> </w:t>
      </w:r>
      <w:r w:rsidRPr="00677B7A">
        <w:rPr>
          <w:b/>
          <w:bCs/>
          <w:i/>
          <w:iCs/>
          <w:color w:val="31479E" w:themeColor="accent1" w:themeShade="BF"/>
        </w:rPr>
        <w:t>MAIL</w:t>
      </w:r>
      <w:r w:rsidR="008B67F7">
        <w:t xml:space="preserve"> </w:t>
      </w:r>
      <w:r>
        <w:t>geoportal.</w:t>
      </w:r>
      <w:r w:rsidR="008B67F7">
        <w:t xml:space="preserve"> </w:t>
      </w:r>
      <w:r w:rsidR="00390963">
        <w:t xml:space="preserve">It also presents </w:t>
      </w:r>
      <w:r w:rsidR="00395086">
        <w:t xml:space="preserve">the </w:t>
      </w:r>
      <w:r w:rsidR="00390963">
        <w:t>dataset</w:t>
      </w:r>
      <w:r w:rsidR="00395086">
        <w:t>s</w:t>
      </w:r>
      <w:r w:rsidR="00390963">
        <w:t xml:space="preserve"> select</w:t>
      </w:r>
      <w:r w:rsidR="00395086">
        <w:t>ed for the implementation of the</w:t>
      </w:r>
      <w:r w:rsidR="008B67F7">
        <w:t xml:space="preserve"> </w:t>
      </w:r>
      <w:r w:rsidR="00395086">
        <w:t>task</w:t>
      </w:r>
      <w:r w:rsidR="00390963">
        <w:t xml:space="preserve"> and </w:t>
      </w:r>
      <w:r w:rsidR="00395086">
        <w:t xml:space="preserve">the </w:t>
      </w:r>
      <w:r w:rsidR="00390963">
        <w:t>pre-processing</w:t>
      </w:r>
      <w:r w:rsidR="00395086">
        <w:t xml:space="preserve"> </w:t>
      </w:r>
      <w:r w:rsidR="00395086" w:rsidRPr="00395086">
        <w:t>required</w:t>
      </w:r>
      <w:r w:rsidR="00390963">
        <w:t>.</w:t>
      </w:r>
    </w:p>
    <w:p w14:paraId="1EE23BBA" w14:textId="20699C6D" w:rsidR="00DD450F" w:rsidRDefault="00DD450F" w:rsidP="00DD450F">
      <w:pPr>
        <w:pStyle w:val="Heading2"/>
        <w:numPr>
          <w:ilvl w:val="0"/>
          <w:numId w:val="0"/>
        </w:numPr>
        <w:ind w:left="576" w:hanging="576"/>
      </w:pPr>
      <w:bookmarkStart w:id="71" w:name="_Toc91575531"/>
      <w:r>
        <w:t>4.1. Methodology and Approach</w:t>
      </w:r>
      <w:bookmarkEnd w:id="71"/>
    </w:p>
    <w:p w14:paraId="05F70F70" w14:textId="349936F6" w:rsidR="00F67156" w:rsidRDefault="00F40270" w:rsidP="009C0356">
      <w:r w:rsidRPr="00F40270">
        <w:t xml:space="preserve">The methodology that presented in this </w:t>
      </w:r>
      <w:r w:rsidR="00B45C53">
        <w:t>section</w:t>
      </w:r>
      <w:r w:rsidRPr="00F40270">
        <w:t xml:space="preserve"> relates in how </w:t>
      </w:r>
      <w:r>
        <w:t xml:space="preserve">MLs </w:t>
      </w:r>
      <w:r w:rsidR="00132317">
        <w:t xml:space="preserve">can be </w:t>
      </w:r>
      <w:r>
        <w:t>classified in C</w:t>
      </w:r>
      <w:r w:rsidR="00DE286B">
        <w:t>arbon Sequestration Capacity</w:t>
      </w:r>
      <w:r w:rsidR="00132317">
        <w:t xml:space="preserve"> (CSC)</w:t>
      </w:r>
      <w:r w:rsidR="00DE286B">
        <w:t xml:space="preserve"> </w:t>
      </w:r>
      <w:r>
        <w:t>groups.</w:t>
      </w:r>
      <w:r w:rsidR="00866200">
        <w:t xml:space="preserve"> </w:t>
      </w:r>
      <w:r w:rsidR="00851293">
        <w:t xml:space="preserve">In order to estimate CSC for MLs and classify in CSC groups, it is crucial to </w:t>
      </w:r>
      <w:r w:rsidR="00851293" w:rsidRPr="00012FDC">
        <w:t>estimate potential suitable</w:t>
      </w:r>
      <w:r w:rsidR="00851293">
        <w:t xml:space="preserve"> species for afforestation and their Aboveground Biomass Carbon.</w:t>
      </w:r>
      <w:r w:rsidR="006A6897">
        <w:t xml:space="preserve"> </w:t>
      </w:r>
      <w:r w:rsidR="009C0356">
        <w:t xml:space="preserve">The MLs as calculated on </w:t>
      </w:r>
      <w:r w:rsidR="0008427B">
        <w:t>T</w:t>
      </w:r>
      <w:r w:rsidR="009C0356">
        <w:t xml:space="preserve">ask 2.3 is the basemap, where </w:t>
      </w:r>
      <w:r w:rsidR="009C0356" w:rsidRPr="00810C7E">
        <w:t>the most frequent species from neighbor forested areas, both dominant 1 and 2 species</w:t>
      </w:r>
      <w:r w:rsidR="009C0356">
        <w:t xml:space="preserve">, and </w:t>
      </w:r>
      <w:r w:rsidR="009C0356" w:rsidRPr="00810C7E">
        <w:t xml:space="preserve">species’ </w:t>
      </w:r>
      <w:r w:rsidR="009C0356">
        <w:t xml:space="preserve">Aboveground Biomass Carbon </w:t>
      </w:r>
      <w:r w:rsidR="009C0356" w:rsidRPr="00810C7E">
        <w:t>values</w:t>
      </w:r>
      <w:r w:rsidR="009C0356">
        <w:t xml:space="preserve"> are assigned.</w:t>
      </w:r>
      <w:r w:rsidR="00F67156">
        <w:t xml:space="preserve"> Dominant 1 and 2 species of neighbor forested areas are adapted to the ecological and climatological conditions and therefore are considered to be </w:t>
      </w:r>
      <w:r w:rsidR="00D55276">
        <w:t>the most</w:t>
      </w:r>
      <w:r w:rsidR="00F67156">
        <w:t xml:space="preserve"> suitable for afforestation projects. Also, species’ Aboveground Biomass Carbon is used as indicator of the </w:t>
      </w:r>
      <w:r w:rsidR="00F67156" w:rsidRPr="00F67156">
        <w:t xml:space="preserve">potential maximum capacity, </w:t>
      </w:r>
      <w:r w:rsidR="00F67156">
        <w:t xml:space="preserve">which </w:t>
      </w:r>
      <w:r w:rsidR="00F67156" w:rsidRPr="00F67156">
        <w:t xml:space="preserve">MLs </w:t>
      </w:r>
      <w:r w:rsidR="001E0F34">
        <w:t xml:space="preserve">never acquire as </w:t>
      </w:r>
      <w:r w:rsidR="00F67156" w:rsidRPr="00F67156">
        <w:t>by default have productivity restrictions</w:t>
      </w:r>
      <w:r w:rsidR="001E0F34">
        <w:t>.</w:t>
      </w:r>
    </w:p>
    <w:p w14:paraId="75683D93" w14:textId="63AE0581" w:rsidR="0045163A" w:rsidRDefault="0045163A" w:rsidP="0045163A">
      <w:pPr>
        <w:pStyle w:val="Heading2"/>
        <w:numPr>
          <w:ilvl w:val="0"/>
          <w:numId w:val="0"/>
        </w:numPr>
        <w:ind w:left="576" w:hanging="576"/>
      </w:pPr>
      <w:bookmarkStart w:id="72" w:name="_Toc91575532"/>
      <w:r>
        <w:t>4.</w:t>
      </w:r>
      <w:r w:rsidR="00B62943" w:rsidRPr="00C61199">
        <w:t>2</w:t>
      </w:r>
      <w:r>
        <w:t xml:space="preserve">. </w:t>
      </w:r>
      <w:r w:rsidR="00572461">
        <w:t>G</w:t>
      </w:r>
      <w:r w:rsidRPr="0045163A">
        <w:t xml:space="preserve">oogle </w:t>
      </w:r>
      <w:r w:rsidR="00572461">
        <w:t>E</w:t>
      </w:r>
      <w:r w:rsidRPr="0045163A">
        <w:t xml:space="preserve">arth </w:t>
      </w:r>
      <w:r w:rsidR="00572461">
        <w:t>E</w:t>
      </w:r>
      <w:r w:rsidRPr="0045163A">
        <w:t>ngine implementation</w:t>
      </w:r>
      <w:bookmarkEnd w:id="72"/>
    </w:p>
    <w:p w14:paraId="2D35FE65" w14:textId="74E618EC" w:rsidR="0045163A" w:rsidRDefault="00EC2B68" w:rsidP="0045163A">
      <w:r>
        <w:t xml:space="preserve">For the </w:t>
      </w:r>
      <w:r w:rsidR="00572461">
        <w:t>implementation</w:t>
      </w:r>
      <w:r>
        <w:t xml:space="preserve"> of the task, </w:t>
      </w:r>
      <w:r w:rsidR="009F1E2B">
        <w:t xml:space="preserve">due to the </w:t>
      </w:r>
      <w:r w:rsidR="00773000">
        <w:t>extent</w:t>
      </w:r>
      <w:r w:rsidR="009F1E2B">
        <w:t>,</w:t>
      </w:r>
      <w:r w:rsidR="00773000">
        <w:t xml:space="preserve"> size</w:t>
      </w:r>
      <w:r w:rsidR="000D7860">
        <w:t>,</w:t>
      </w:r>
      <w:r w:rsidR="0045163A">
        <w:t xml:space="preserve"> and resolution of the </w:t>
      </w:r>
      <w:r w:rsidR="009854E7">
        <w:t xml:space="preserve">data, </w:t>
      </w:r>
      <w:r w:rsidR="00572461">
        <w:t xml:space="preserve">as well </w:t>
      </w:r>
      <w:r w:rsidR="00132317">
        <w:t xml:space="preserve">as for compatibility with the </w:t>
      </w:r>
      <w:r w:rsidR="00132317" w:rsidRPr="00F81BA6">
        <w:rPr>
          <w:b/>
          <w:bCs/>
          <w:i/>
          <w:iCs/>
          <w:color w:val="31479E" w:themeColor="accent1" w:themeShade="BF"/>
        </w:rPr>
        <w:t>M</w:t>
      </w:r>
      <w:r w:rsidR="00F81BA6" w:rsidRPr="00F81BA6">
        <w:rPr>
          <w:b/>
          <w:bCs/>
          <w:i/>
          <w:iCs/>
          <w:color w:val="31479E" w:themeColor="accent1" w:themeShade="BF"/>
        </w:rPr>
        <w:t>AIL</w:t>
      </w:r>
      <w:r w:rsidR="00F81BA6">
        <w:t xml:space="preserve"> geoportal, </w:t>
      </w:r>
      <w:r w:rsidR="009854E7">
        <w:t>this task</w:t>
      </w:r>
      <w:r w:rsidR="00EE27FB">
        <w:t xml:space="preserve"> was</w:t>
      </w:r>
      <w:r w:rsidR="009854E7">
        <w:t xml:space="preserve"> implemented on </w:t>
      </w:r>
      <w:r w:rsidR="00257E50">
        <w:t>Google Earth Engine</w:t>
      </w:r>
      <w:r w:rsidR="00F81BA6">
        <w:t xml:space="preserve"> (GEE).</w:t>
      </w:r>
    </w:p>
    <w:p w14:paraId="27AA9786" w14:textId="50CE401E" w:rsidR="00FE6CF5" w:rsidRDefault="00FE6CF5" w:rsidP="00FE6CF5">
      <w:r>
        <w:lastRenderedPageBreak/>
        <w:t>G</w:t>
      </w:r>
      <w:r w:rsidR="00F81BA6">
        <w:t>EE</w:t>
      </w:r>
      <w:r>
        <w:t xml:space="preserve"> is a cloud-based platform for planetary-scale geospatial analysis that brings Google's massive computational capabilities to bear on a variety of high-impact societal issues including deforestation, drought, disaster, disease, food security, water management, climate monitoring and environmental protection. It is unique in the field as an integrated platform designed to empower not only traditional remote sensing scientists, but also a much wider audience that lacks the technical capacity needed to utilize traditional supercomputers or large-scale commodity cloud computing resources </w:t>
      </w:r>
      <w:sdt>
        <w:sdtPr>
          <w:id w:val="-272327712"/>
          <w:citation/>
        </w:sdtPr>
        <w:sdtEndPr/>
        <w:sdtContent>
          <w:r>
            <w:fldChar w:fldCharType="begin"/>
          </w:r>
          <w:r>
            <w:instrText xml:space="preserve"> CITATION Gor17 \l 1033 </w:instrText>
          </w:r>
          <w:r>
            <w:fldChar w:fldCharType="separate"/>
          </w:r>
          <w:r w:rsidR="004231A8">
            <w:rPr>
              <w:noProof/>
            </w:rPr>
            <w:t>(Gorelick, et al., 2017)</w:t>
          </w:r>
          <w:r>
            <w:fldChar w:fldCharType="end"/>
          </w:r>
        </w:sdtContent>
      </w:sdt>
      <w:r>
        <w:t>. Some of the main benefits of GEE are the large data catalog in combination with massive CPU and its speed and ease of use. GEE was launched in 2010 by Google as a proprietary system, but it is free to non-commercial educational, research, and nonprofit use.</w:t>
      </w:r>
    </w:p>
    <w:p w14:paraId="294D6826" w14:textId="11F2F5EC" w:rsidR="009854E7" w:rsidRPr="0045163A" w:rsidRDefault="00FE6CF5" w:rsidP="0045163A">
      <w:r>
        <w:t>The service utilizes cloud computing to enable different formats of data to be accessed, shared and integrated. This has entailed creating not only an infrastructure with petabyte-scale capability, but also APIs, using JavaScript and Python, that enable the addition and manipulation of various data. By placing multi-petabyte catalog of satellite imagery and geospatial datasets with planetary-scale analysis capabilities and the tools needed to access, filter, perform, and export analyses in the same easy to use application, users are able to explore and scale up analyses in both space and time without any of the hassles traditionally encountered with big data analysis. Constant development and refinement have propelled GEE into one of the most advanced and accessible cloud-based geospatial analysis platforms available.</w:t>
      </w:r>
    </w:p>
    <w:p w14:paraId="65570F9D" w14:textId="3A85AE6F" w:rsidR="00A25EDC" w:rsidRPr="00DC1D64" w:rsidRDefault="00F4753F" w:rsidP="00A25EDC">
      <w:pPr>
        <w:pStyle w:val="Heading2"/>
        <w:numPr>
          <w:ilvl w:val="0"/>
          <w:numId w:val="0"/>
        </w:numPr>
        <w:ind w:left="576" w:hanging="576"/>
      </w:pPr>
      <w:bookmarkStart w:id="73" w:name="_Toc91575533"/>
      <w:r>
        <w:t>4</w:t>
      </w:r>
      <w:r w:rsidR="00A25EDC">
        <w:t>.</w:t>
      </w:r>
      <w:r w:rsidR="00B62943" w:rsidRPr="00B62943">
        <w:t>3</w:t>
      </w:r>
      <w:r w:rsidR="00A25EDC">
        <w:t xml:space="preserve">. </w:t>
      </w:r>
      <w:r w:rsidR="00A25EDC" w:rsidRPr="003E7449">
        <w:t>Dataset</w:t>
      </w:r>
      <w:r w:rsidR="002B302C">
        <w:t xml:space="preserve"> selection</w:t>
      </w:r>
      <w:bookmarkEnd w:id="73"/>
    </w:p>
    <w:p w14:paraId="57FEDCDD" w14:textId="4C65FDE0" w:rsidR="00A25EDC" w:rsidRPr="009C23DE" w:rsidRDefault="00F4753F" w:rsidP="00A25EDC">
      <w:pPr>
        <w:pStyle w:val="Heading3"/>
        <w:numPr>
          <w:ilvl w:val="0"/>
          <w:numId w:val="0"/>
        </w:numPr>
        <w:ind w:left="720" w:hanging="720"/>
      </w:pPr>
      <w:bookmarkStart w:id="74" w:name="_Toc91575534"/>
      <w:r>
        <w:t>4</w:t>
      </w:r>
      <w:r w:rsidR="00A25EDC" w:rsidRPr="009C23DE">
        <w:t>.</w:t>
      </w:r>
      <w:r w:rsidR="00B62943" w:rsidRPr="00B62943">
        <w:t>3</w:t>
      </w:r>
      <w:r w:rsidR="00A25EDC" w:rsidRPr="009C23DE">
        <w:t>.1 Tree species in Europe according to European Forest Institute (EFI)</w:t>
      </w:r>
      <w:bookmarkEnd w:id="74"/>
    </w:p>
    <w:p w14:paraId="676BFA87" w14:textId="236D8F0C" w:rsidR="00A25EDC" w:rsidRPr="009C23DE" w:rsidRDefault="00A25EDC" w:rsidP="00A25EDC">
      <w:r w:rsidRPr="009C23DE">
        <w:t>Brus et al. (2011) publish a statistical map of tree species in Europe. This map represents the spatial distribution of twenty tree species groups over Europe at 1x1Km resolution where the ICP-Forest Level-I plot data were extended with the National Forest Inventory (NFI) plot data of eighteen countries.</w:t>
      </w:r>
    </w:p>
    <w:p w14:paraId="256B7FF5" w14:textId="2DC5E9C3" w:rsidR="006F36DE" w:rsidRDefault="00A25EDC" w:rsidP="00A25EDC">
      <w:r w:rsidRPr="009C23DE">
        <w:t>Basic dendrometric data were gathered for</w:t>
      </w:r>
      <w:r w:rsidR="00E15EF6" w:rsidRPr="00E15EF6">
        <w:t xml:space="preserve"> </w:t>
      </w:r>
      <w:r w:rsidRPr="009C23DE">
        <w:t>260</w:t>
      </w:r>
      <w:r w:rsidR="000D7860">
        <w:t>,</w:t>
      </w:r>
      <w:r w:rsidRPr="009C23DE">
        <w:t>000</w:t>
      </w:r>
      <w:r w:rsidR="00E15EF6" w:rsidRPr="00E15EF6">
        <w:t xml:space="preserve"> </w:t>
      </w:r>
      <w:r w:rsidRPr="009C23DE">
        <w:t>national forest inventory plot locations from 17 countries. In areas with national forest inventory data, area proportions covered by the 20 species</w:t>
      </w:r>
      <w:r w:rsidR="00E15EF6" w:rsidRPr="00E15EF6">
        <w:t xml:space="preserve"> </w:t>
      </w:r>
      <w:r w:rsidRPr="009C23DE">
        <w:t>were</w:t>
      </w:r>
      <w:r w:rsidR="00E15EF6" w:rsidRPr="00E15EF6">
        <w:t xml:space="preserve"> </w:t>
      </w:r>
      <w:r w:rsidRPr="009C23DE">
        <w:t>obtained</w:t>
      </w:r>
      <w:r w:rsidR="00E15EF6" w:rsidRPr="00E15EF6">
        <w:t xml:space="preserve"> </w:t>
      </w:r>
      <w:r w:rsidRPr="009C23DE">
        <w:t>by</w:t>
      </w:r>
      <w:r w:rsidR="00E15EF6" w:rsidRPr="00E15EF6">
        <w:t xml:space="preserve"> </w:t>
      </w:r>
      <w:r w:rsidRPr="009C23DE">
        <w:t xml:space="preserve">compositional kriging. For the rest of Europe, a multinomial logistic regression model was fitted to ICP-level-I plots using various abiotic factors as predictors (soil, biogeographical zones, bioindicators derived from temperature and precipitation data). The regression results were </w:t>
      </w:r>
      <w:r w:rsidRPr="009C23DE">
        <w:lastRenderedPageBreak/>
        <w:t>iteratively scaled to fit NUTS-II forest inventory statistics and the European Forest Map. The predictions for the twenty tree species were validated using 230 plot data separated from the calibration.</w:t>
      </w:r>
      <w:r>
        <w:t xml:space="preserve"> </w:t>
      </w:r>
      <w:r w:rsidR="007B718A">
        <w:fldChar w:fldCharType="begin"/>
      </w:r>
      <w:r w:rsidR="007B718A">
        <w:instrText xml:space="preserve"> REF _Ref90391049 \h </w:instrText>
      </w:r>
      <w:r w:rsidR="007B718A">
        <w:fldChar w:fldCharType="separate"/>
      </w:r>
      <w:r w:rsidR="000655D3">
        <w:t xml:space="preserve">Figure </w:t>
      </w:r>
      <w:r w:rsidR="000655D3">
        <w:rPr>
          <w:noProof/>
        </w:rPr>
        <w:t>13</w:t>
      </w:r>
      <w:r w:rsidR="007B718A">
        <w:fldChar w:fldCharType="end"/>
      </w:r>
      <w:r w:rsidR="007B718A">
        <w:t xml:space="preserve"> </w:t>
      </w:r>
      <w:r w:rsidRPr="00DB7ED7">
        <w:t>demonstrates the aggregated results</w:t>
      </w:r>
      <w:r>
        <w:t>.</w:t>
      </w:r>
    </w:p>
    <w:p w14:paraId="67DFABBC" w14:textId="2B45877D" w:rsidR="00E91276" w:rsidRDefault="006F36DE" w:rsidP="00A25EDC">
      <w:pPr>
        <w:rPr>
          <w:lang w:val="en-GB"/>
        </w:rPr>
      </w:pPr>
      <w:r>
        <w:rPr>
          <w:noProof/>
          <w:lang w:val="es-ES" w:eastAsia="es-ES"/>
        </w:rPr>
        <w:drawing>
          <wp:inline distT="0" distB="0" distL="0" distR="0" wp14:anchorId="195F520B" wp14:editId="78DB3FB7">
            <wp:extent cx="5400040" cy="3528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3"/>
                    <a:stretch>
                      <a:fillRect/>
                    </a:stretch>
                  </pic:blipFill>
                  <pic:spPr>
                    <a:xfrm>
                      <a:off x="0" y="0"/>
                      <a:ext cx="5400040" cy="3528060"/>
                    </a:xfrm>
                    <a:prstGeom prst="rect">
                      <a:avLst/>
                    </a:prstGeom>
                  </pic:spPr>
                </pic:pic>
              </a:graphicData>
            </a:graphic>
          </wp:inline>
        </w:drawing>
      </w:r>
    </w:p>
    <w:p w14:paraId="2EB3454A" w14:textId="33F4074F" w:rsidR="00893A9E" w:rsidRDefault="00893A9E" w:rsidP="00893A9E">
      <w:pPr>
        <w:pStyle w:val="Caption"/>
        <w:spacing w:line="240" w:lineRule="auto"/>
      </w:pPr>
      <w:bookmarkStart w:id="75" w:name="_Ref90391049"/>
      <w:bookmarkStart w:id="76" w:name="_Ref90391040"/>
      <w:bookmarkStart w:id="77" w:name="_Toc91575557"/>
      <w:r>
        <w:t xml:space="preserve">Figure </w:t>
      </w:r>
      <w:r>
        <w:fldChar w:fldCharType="begin"/>
      </w:r>
      <w:r>
        <w:instrText xml:space="preserve"> SEQ Figure \* ARABIC </w:instrText>
      </w:r>
      <w:r>
        <w:fldChar w:fldCharType="separate"/>
      </w:r>
      <w:r w:rsidR="000655D3">
        <w:rPr>
          <w:noProof/>
        </w:rPr>
        <w:t>13</w:t>
      </w:r>
      <w:r>
        <w:fldChar w:fldCharType="end"/>
      </w:r>
      <w:bookmarkEnd w:id="75"/>
      <w:r>
        <w:t xml:space="preserve">: </w:t>
      </w:r>
      <w:r w:rsidRPr="00960018">
        <w:t>Aggregated results showing the dominant species at 1x1km.</w:t>
      </w:r>
      <w:bookmarkEnd w:id="76"/>
      <w:bookmarkEnd w:id="77"/>
    </w:p>
    <w:p w14:paraId="699F721F" w14:textId="0187E163" w:rsidR="00CA5D75" w:rsidRDefault="00CA5D75" w:rsidP="00893A9E">
      <w:pPr>
        <w:pStyle w:val="Caption"/>
        <w:spacing w:line="240" w:lineRule="auto"/>
      </w:pPr>
      <w:r w:rsidRPr="00DB7ED7">
        <w:t xml:space="preserve">(Source: </w:t>
      </w:r>
      <w:hyperlink r:id="rId34" w:history="1">
        <w:r w:rsidR="0008427B" w:rsidRPr="003E3C8F">
          <w:rPr>
            <w:rStyle w:val="Hyperlink"/>
          </w:rPr>
          <w:t>https://www.efi.int/knowledge/maps/treespecies</w:t>
        </w:r>
      </w:hyperlink>
      <w:r w:rsidRPr="00DB7ED7">
        <w:t>)</w:t>
      </w:r>
    </w:p>
    <w:p w14:paraId="11900F3C" w14:textId="72987AB2" w:rsidR="009619C8" w:rsidRDefault="009619C8" w:rsidP="009619C8">
      <w:pPr>
        <w:pStyle w:val="Caption"/>
      </w:pPr>
      <w:bookmarkStart w:id="78" w:name="_Toc91575572"/>
      <w:r>
        <w:t xml:space="preserve">Table </w:t>
      </w:r>
      <w:r>
        <w:fldChar w:fldCharType="begin"/>
      </w:r>
      <w:r>
        <w:instrText xml:space="preserve"> SEQ Table \* ARABIC </w:instrText>
      </w:r>
      <w:r>
        <w:fldChar w:fldCharType="separate"/>
      </w:r>
      <w:r w:rsidR="000655D3">
        <w:rPr>
          <w:noProof/>
        </w:rPr>
        <w:t>5</w:t>
      </w:r>
      <w:r>
        <w:fldChar w:fldCharType="end"/>
      </w:r>
      <w:r>
        <w:t xml:space="preserve">: </w:t>
      </w:r>
      <w:r w:rsidRPr="007D68B5">
        <w:t>Technical specifications of Tree species maps for European forests dataset.</w:t>
      </w:r>
      <w:bookmarkEnd w:id="78"/>
    </w:p>
    <w:tbl>
      <w:tblPr>
        <w:tblW w:w="4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tblGrid>
      <w:tr w:rsidR="005C61BA" w:rsidRPr="006F1360" w14:paraId="1589401A" w14:textId="77777777" w:rsidTr="005C61BA">
        <w:trPr>
          <w:cantSplit/>
          <w:trHeight w:val="57"/>
          <w:tblHeader/>
          <w:jc w:val="center"/>
        </w:trPr>
        <w:tc>
          <w:tcPr>
            <w:tcW w:w="4531" w:type="dxa"/>
            <w:shd w:val="clear" w:color="auto" w:fill="DBE0F4" w:themeFill="accent1" w:themeFillTint="33"/>
            <w:vAlign w:val="center"/>
          </w:tcPr>
          <w:p w14:paraId="5C949429" w14:textId="562C2EDE" w:rsidR="005C61BA" w:rsidRPr="002B1340" w:rsidRDefault="00CA5D75" w:rsidP="00CA5D75">
            <w:pPr>
              <w:pStyle w:val="Table"/>
              <w:jc w:val="center"/>
              <w:rPr>
                <w:rStyle w:val="Strong"/>
              </w:rPr>
            </w:pPr>
            <w:r w:rsidRPr="002B1340">
              <w:rPr>
                <w:sz w:val="22"/>
              </w:rPr>
              <w:br w:type="page"/>
            </w:r>
            <w:bookmarkStart w:id="79" w:name="_Hlk89683214"/>
            <w:r w:rsidR="005C61BA" w:rsidRPr="002B1340">
              <w:rPr>
                <w:rStyle w:val="Strong"/>
              </w:rPr>
              <w:t>Specification</w:t>
            </w:r>
          </w:p>
        </w:tc>
      </w:tr>
      <w:tr w:rsidR="005C61BA" w:rsidRPr="006F1360" w14:paraId="0C330F55" w14:textId="77777777" w:rsidTr="002B1340">
        <w:trPr>
          <w:cantSplit/>
          <w:trHeight w:val="566"/>
          <w:jc w:val="center"/>
        </w:trPr>
        <w:tc>
          <w:tcPr>
            <w:tcW w:w="4531" w:type="dxa"/>
            <w:vAlign w:val="center"/>
          </w:tcPr>
          <w:p w14:paraId="4D6CEF40" w14:textId="77777777" w:rsidR="005C61BA" w:rsidRPr="002B1340" w:rsidRDefault="005C61BA" w:rsidP="00CA5D75">
            <w:pPr>
              <w:pStyle w:val="Table"/>
              <w:rPr>
                <w:sz w:val="22"/>
              </w:rPr>
            </w:pPr>
            <w:r w:rsidRPr="002B1340">
              <w:rPr>
                <w:rFonts w:cs="Arial"/>
                <w:sz w:val="22"/>
              </w:rPr>
              <w:t>File name: Tree species in Europe according to European Forest Institute (EFI)</w:t>
            </w:r>
          </w:p>
        </w:tc>
      </w:tr>
      <w:tr w:rsidR="005C61BA" w:rsidRPr="006F1360" w14:paraId="50B5D099" w14:textId="77777777" w:rsidTr="002B1340">
        <w:trPr>
          <w:cantSplit/>
          <w:trHeight w:val="379"/>
          <w:jc w:val="center"/>
        </w:trPr>
        <w:tc>
          <w:tcPr>
            <w:tcW w:w="4531" w:type="dxa"/>
            <w:vAlign w:val="center"/>
          </w:tcPr>
          <w:p w14:paraId="1DDFF99C" w14:textId="77777777" w:rsidR="005C61BA" w:rsidRPr="002B1340" w:rsidRDefault="005C61BA" w:rsidP="00CA5D75">
            <w:pPr>
              <w:pStyle w:val="Table"/>
              <w:rPr>
                <w:sz w:val="22"/>
              </w:rPr>
            </w:pPr>
            <w:r w:rsidRPr="002B1340">
              <w:rPr>
                <w:rFonts w:cs="Arial"/>
                <w:sz w:val="22"/>
              </w:rPr>
              <w:t>Coordinate system: ETRS89 LAEA</w:t>
            </w:r>
          </w:p>
        </w:tc>
      </w:tr>
      <w:tr w:rsidR="005C61BA" w:rsidRPr="006F1360" w14:paraId="79B7F9FA" w14:textId="77777777" w:rsidTr="005C61BA">
        <w:trPr>
          <w:cantSplit/>
          <w:trHeight w:val="57"/>
          <w:jc w:val="center"/>
        </w:trPr>
        <w:tc>
          <w:tcPr>
            <w:tcW w:w="4531" w:type="dxa"/>
            <w:vAlign w:val="center"/>
          </w:tcPr>
          <w:p w14:paraId="6A1065A8" w14:textId="0EFE7617" w:rsidR="005C61BA" w:rsidRPr="002B1340" w:rsidRDefault="005C61BA" w:rsidP="00CA5D75">
            <w:pPr>
              <w:pStyle w:val="Table"/>
              <w:rPr>
                <w:sz w:val="22"/>
              </w:rPr>
            </w:pPr>
            <w:r w:rsidRPr="002B1340">
              <w:rPr>
                <w:rFonts w:cs="Arial"/>
                <w:sz w:val="22"/>
              </w:rPr>
              <w:t>Production date: 2012</w:t>
            </w:r>
          </w:p>
        </w:tc>
      </w:tr>
      <w:tr w:rsidR="005C61BA" w:rsidRPr="006F1360" w14:paraId="4FE404A7" w14:textId="77777777" w:rsidTr="005C61BA">
        <w:trPr>
          <w:cantSplit/>
          <w:trHeight w:val="57"/>
          <w:jc w:val="center"/>
        </w:trPr>
        <w:tc>
          <w:tcPr>
            <w:tcW w:w="4531" w:type="dxa"/>
            <w:vAlign w:val="center"/>
          </w:tcPr>
          <w:p w14:paraId="21FDDC37" w14:textId="3608CA2B" w:rsidR="005C61BA" w:rsidRPr="002B1340" w:rsidRDefault="005C61BA" w:rsidP="005C61BA">
            <w:pPr>
              <w:pStyle w:val="Table"/>
              <w:rPr>
                <w:color w:val="FF0000"/>
                <w:sz w:val="22"/>
              </w:rPr>
            </w:pPr>
            <w:r w:rsidRPr="002B1340">
              <w:rPr>
                <w:rFonts w:cs="Arial"/>
                <w:sz w:val="22"/>
              </w:rPr>
              <w:t>Spatial Coverage:  Europe</w:t>
            </w:r>
          </w:p>
        </w:tc>
      </w:tr>
      <w:tr w:rsidR="005C61BA" w:rsidRPr="006F1360" w14:paraId="148EB94E" w14:textId="77777777" w:rsidTr="005C61BA">
        <w:trPr>
          <w:cantSplit/>
          <w:trHeight w:val="57"/>
          <w:jc w:val="center"/>
        </w:trPr>
        <w:tc>
          <w:tcPr>
            <w:tcW w:w="4531" w:type="dxa"/>
            <w:vAlign w:val="center"/>
          </w:tcPr>
          <w:p w14:paraId="79936CEE" w14:textId="17CFA23E" w:rsidR="005C61BA" w:rsidRPr="002B1340" w:rsidRDefault="005C61BA" w:rsidP="005C61BA">
            <w:pPr>
              <w:pStyle w:val="Table"/>
              <w:rPr>
                <w:color w:val="FF0000"/>
                <w:sz w:val="22"/>
              </w:rPr>
            </w:pPr>
            <w:r w:rsidRPr="002B1340">
              <w:rPr>
                <w:rFonts w:cs="Arial"/>
                <w:sz w:val="22"/>
              </w:rPr>
              <w:t>Spatial Resolution: 1km</w:t>
            </w:r>
          </w:p>
        </w:tc>
      </w:tr>
      <w:tr w:rsidR="005C61BA" w:rsidRPr="006F1360" w14:paraId="766B65CF" w14:textId="77777777" w:rsidTr="005C61BA">
        <w:trPr>
          <w:cantSplit/>
          <w:trHeight w:val="57"/>
          <w:jc w:val="center"/>
        </w:trPr>
        <w:tc>
          <w:tcPr>
            <w:tcW w:w="4531" w:type="dxa"/>
            <w:vAlign w:val="center"/>
          </w:tcPr>
          <w:p w14:paraId="7509E450" w14:textId="77777777" w:rsidR="005C61BA" w:rsidRPr="002B1340" w:rsidRDefault="005C61BA" w:rsidP="00CA5D75">
            <w:pPr>
              <w:pStyle w:val="Table"/>
              <w:rPr>
                <w:sz w:val="22"/>
              </w:rPr>
            </w:pPr>
            <w:r w:rsidRPr="002B1340">
              <w:rPr>
                <w:rFonts w:cs="Arial"/>
                <w:sz w:val="22"/>
              </w:rPr>
              <w:t>Completeness: Complete</w:t>
            </w:r>
          </w:p>
        </w:tc>
      </w:tr>
      <w:tr w:rsidR="005C61BA" w:rsidRPr="006F1360" w14:paraId="1F8DB842" w14:textId="77777777" w:rsidTr="005C61BA">
        <w:trPr>
          <w:cantSplit/>
          <w:trHeight w:val="57"/>
          <w:jc w:val="center"/>
        </w:trPr>
        <w:tc>
          <w:tcPr>
            <w:tcW w:w="4531" w:type="dxa"/>
            <w:vAlign w:val="center"/>
          </w:tcPr>
          <w:p w14:paraId="62B7B7E0" w14:textId="77777777" w:rsidR="005C61BA" w:rsidRPr="002B1340" w:rsidRDefault="005C61BA" w:rsidP="00CA5D75">
            <w:pPr>
              <w:pStyle w:val="Table"/>
              <w:rPr>
                <w:sz w:val="22"/>
              </w:rPr>
            </w:pPr>
            <w:r w:rsidRPr="002B1340">
              <w:rPr>
                <w:rFonts w:cs="Arial"/>
                <w:sz w:val="22"/>
              </w:rPr>
              <w:t>File type, format: Raster, TIFF image</w:t>
            </w:r>
          </w:p>
        </w:tc>
      </w:tr>
    </w:tbl>
    <w:p w14:paraId="5C22481E" w14:textId="2E97ED82" w:rsidR="00CA5D75" w:rsidRDefault="00F4753F" w:rsidP="00CA5D75">
      <w:pPr>
        <w:pStyle w:val="Heading3"/>
        <w:numPr>
          <w:ilvl w:val="0"/>
          <w:numId w:val="0"/>
        </w:numPr>
        <w:ind w:left="720" w:hanging="720"/>
      </w:pPr>
      <w:bookmarkStart w:id="80" w:name="_Toc91575535"/>
      <w:bookmarkEnd w:id="79"/>
      <w:r>
        <w:lastRenderedPageBreak/>
        <w:t>4</w:t>
      </w:r>
      <w:r w:rsidR="00CA5D75">
        <w:t>.</w:t>
      </w:r>
      <w:r w:rsidR="00B62943" w:rsidRPr="00C61199">
        <w:t>3</w:t>
      </w:r>
      <w:r w:rsidR="00CA5D75">
        <w:t xml:space="preserve">.2. </w:t>
      </w:r>
      <w:bookmarkStart w:id="81" w:name="_Hlk89162368"/>
      <w:r w:rsidR="00CA5D75" w:rsidRPr="00B15D33">
        <w:t>Global Aboveground and Belowground Biomass Carbon Density Maps</w:t>
      </w:r>
      <w:bookmarkEnd w:id="80"/>
      <w:bookmarkEnd w:id="81"/>
    </w:p>
    <w:p w14:paraId="17C9A90D" w14:textId="30EB002C" w:rsidR="003E6CD7" w:rsidRDefault="003E6CD7" w:rsidP="00CA5D75">
      <w:r w:rsidRPr="00B15D33">
        <w:t>Global Aboveground and Belowground Biomass Carbon Density Maps</w:t>
      </w:r>
      <w:r w:rsidR="00CC168E">
        <w:t xml:space="preserve"> </w:t>
      </w:r>
      <w:r>
        <w:t xml:space="preserve">are </w:t>
      </w:r>
      <w:r w:rsidRPr="003E6CD7">
        <w:t xml:space="preserve">available in </w:t>
      </w:r>
      <w:r>
        <w:t>Google Earth Engine</w:t>
      </w:r>
      <w:r w:rsidRPr="003E6CD7">
        <w:t xml:space="preserve"> and allow to distinguish between Aboveground Biomass Carbon Density (</w:t>
      </w:r>
      <w:r>
        <w:t>AGBC</w:t>
      </w:r>
      <w:r w:rsidRPr="003E6CD7">
        <w:t>) and Belowground Biomass Carbon Density (</w:t>
      </w:r>
      <w:r>
        <w:t>BGBC</w:t>
      </w:r>
      <w:r w:rsidRPr="003E6CD7">
        <w:t>). To harmonize the biomass for all the ecosystems around the world, layers listed in Table 1</w:t>
      </w:r>
      <w:r w:rsidR="00CC168E">
        <w:t xml:space="preserve"> “</w:t>
      </w:r>
      <w:r w:rsidR="00CC168E" w:rsidRPr="00CC168E">
        <w:t>Data sources used to generate harmonized global maps of above and belowground biomass carbon density</w:t>
      </w:r>
      <w:r w:rsidR="00CC168E">
        <w:t xml:space="preserve">” </w:t>
      </w:r>
      <w:r w:rsidR="00CE175A">
        <w:t xml:space="preserve">used </w:t>
      </w:r>
      <w:r w:rsidR="00CC168E">
        <w:t xml:space="preserve">as published </w:t>
      </w:r>
      <w:r w:rsidR="00CE175A">
        <w:t xml:space="preserve">on </w:t>
      </w:r>
      <w:r w:rsidR="00CE175A" w:rsidRPr="00CE175A">
        <w:t>Harmonized global maps of above and belowground biomass carbon density in the year 2010</w:t>
      </w:r>
      <w:r w:rsidR="000D7860">
        <w:rPr>
          <w:noProof/>
        </w:rPr>
        <w:t xml:space="preserve"> (Spawn et al., 2020)</w:t>
      </w:r>
      <w:r w:rsidR="00CE175A">
        <w:t>.</w:t>
      </w:r>
    </w:p>
    <w:p w14:paraId="2A3593FF" w14:textId="20079CAC" w:rsidR="00CA5D75" w:rsidRPr="00CD2994" w:rsidRDefault="00CA5D75" w:rsidP="00CA5D75">
      <w:r w:rsidRPr="00CD2994">
        <w:t>This dataset provides temporally consistent and harmonized global maps of aboveground and belowground biomass carbon density for the year 2010 at a 300</w:t>
      </w:r>
      <w:r w:rsidR="002B302C">
        <w:t xml:space="preserve"> </w:t>
      </w:r>
      <w:r w:rsidRPr="00CD2994">
        <w:t>m spatial resolution.</w:t>
      </w:r>
      <w:r w:rsidR="002B302C">
        <w:t xml:space="preserve"> </w:t>
      </w:r>
      <w:r w:rsidRPr="00CD2994">
        <w:t>The</w:t>
      </w:r>
      <w:r w:rsidR="002B302C">
        <w:t xml:space="preserve"> </w:t>
      </w:r>
      <w:r w:rsidRPr="00CD2994">
        <w:t>aboveground biomass map integrates land-cover specific, remotely sensed maps of woody, grassland, cropland, and tundra biomass. Input maps were amassed from the published literature and, where necessary, updated to cover the focal extent or time period. The belowground biomass map similarly integrates matching maps derived from each aboveground biomass map and land-cover specific empirical models. Aboveground and belowground maps were then integrated separately using ancillary maps of percent tree cover and landcover and a rule-based decision tree. Maps reporting the accumulated uncertainty of pixel-level estimates are also provided</w:t>
      </w:r>
      <w:r w:rsidR="000D7860">
        <w:rPr>
          <w:noProof/>
        </w:rPr>
        <w:t xml:space="preserve"> (Spawn et al.,, 2020)</w:t>
      </w:r>
      <w:r w:rsidRPr="00CD2994">
        <w:t>.</w:t>
      </w:r>
    </w:p>
    <w:p w14:paraId="2AFC24F7" w14:textId="1BFAE48E" w:rsidR="0085375A" w:rsidRDefault="00CA5D75" w:rsidP="00CA5D75">
      <w:r w:rsidRPr="00CD2994">
        <w:t>Aboveground living biomass carbon density includes carbon stored in living plant tissues located above the earth’s surface (stems, bark, branches, twigs). It does not include leaf litter or coarse woody debris that was once attached to living plants but have since been deposited and are no longer living. Belowground living biomass carbon density includes carbon stored in living plant tissues located below the earth’s surface (roots). This does not include dead and/or dislocated root tissue, nor does it include soil organic matter. Woody cover includes any vegetation whose biomass is primarily composed woody biomass (</w:t>
      </w:r>
      <w:r w:rsidR="00027626" w:rsidRPr="00CD2994">
        <w:t>e.g.,</w:t>
      </w:r>
      <w:r w:rsidRPr="00CD2994">
        <w:t xml:space="preserve"> trees and shrubs). Herbaceous cover includes any vegetation whose biomass is primarily composed of leaf-like matter (</w:t>
      </w:r>
      <w:r w:rsidR="00027626" w:rsidRPr="00CD2994">
        <w:t>e.g.,</w:t>
      </w:r>
      <w:r w:rsidRPr="00CD2994">
        <w:t xml:space="preserve"> grasses and many crops)</w:t>
      </w:r>
      <w:r w:rsidR="000D7860">
        <w:rPr>
          <w:noProof/>
        </w:rPr>
        <w:t xml:space="preserve"> (Spawn et al., 2020)</w:t>
      </w:r>
      <w:r w:rsidRPr="00CD2994">
        <w:t>.</w:t>
      </w:r>
    </w:p>
    <w:p w14:paraId="0378600F" w14:textId="6E696CE9" w:rsidR="009619C8" w:rsidRDefault="009619C8" w:rsidP="00CA5D75"/>
    <w:p w14:paraId="5D841E87" w14:textId="2ADFBF55" w:rsidR="00026090" w:rsidRDefault="00026090" w:rsidP="00CA5D75"/>
    <w:p w14:paraId="64BBF2E6" w14:textId="77777777" w:rsidR="00026090" w:rsidRDefault="00026090" w:rsidP="00CA5D75"/>
    <w:p w14:paraId="32FE8BB1" w14:textId="6C49097C" w:rsidR="009619C8" w:rsidRDefault="009619C8" w:rsidP="009619C8">
      <w:pPr>
        <w:pStyle w:val="Caption"/>
      </w:pPr>
      <w:bookmarkStart w:id="82" w:name="_Toc91575573"/>
      <w:r>
        <w:lastRenderedPageBreak/>
        <w:t xml:space="preserve">Table </w:t>
      </w:r>
      <w:r>
        <w:fldChar w:fldCharType="begin"/>
      </w:r>
      <w:r>
        <w:instrText xml:space="preserve"> SEQ Table \* ARABIC </w:instrText>
      </w:r>
      <w:r>
        <w:fldChar w:fldCharType="separate"/>
      </w:r>
      <w:r w:rsidR="000655D3">
        <w:rPr>
          <w:noProof/>
        </w:rPr>
        <w:t>6</w:t>
      </w:r>
      <w:r>
        <w:fldChar w:fldCharType="end"/>
      </w:r>
      <w:r>
        <w:t xml:space="preserve">: </w:t>
      </w:r>
      <w:r w:rsidRPr="008B450C">
        <w:t>Technical specifications of Global Aboveground and Belowground Biomass Carbon Density Maps.</w:t>
      </w:r>
      <w:bookmarkEnd w:id="82"/>
    </w:p>
    <w:tbl>
      <w:tblPr>
        <w:tblW w:w="8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1"/>
        <w:gridCol w:w="4064"/>
      </w:tblGrid>
      <w:tr w:rsidR="00CA5D75" w:rsidRPr="006F1360" w14:paraId="7DA510AF" w14:textId="77777777" w:rsidTr="00CA5D75">
        <w:trPr>
          <w:cantSplit/>
          <w:trHeight w:val="445"/>
          <w:tblHeader/>
          <w:jc w:val="center"/>
        </w:trPr>
        <w:tc>
          <w:tcPr>
            <w:tcW w:w="4461" w:type="dxa"/>
            <w:shd w:val="clear" w:color="auto" w:fill="DBE0F4" w:themeFill="accent1" w:themeFillTint="33"/>
            <w:vAlign w:val="center"/>
          </w:tcPr>
          <w:p w14:paraId="4187D943" w14:textId="77777777" w:rsidR="00CA5D75" w:rsidRPr="002B1340" w:rsidRDefault="00CA5D75" w:rsidP="00CA5D75">
            <w:pPr>
              <w:pStyle w:val="Table"/>
              <w:jc w:val="center"/>
              <w:rPr>
                <w:rStyle w:val="Strong"/>
              </w:rPr>
            </w:pPr>
            <w:r w:rsidRPr="002B1340">
              <w:rPr>
                <w:rStyle w:val="Strong"/>
              </w:rPr>
              <w:t>Specification</w:t>
            </w:r>
          </w:p>
        </w:tc>
        <w:tc>
          <w:tcPr>
            <w:tcW w:w="4064" w:type="dxa"/>
            <w:shd w:val="clear" w:color="auto" w:fill="DBE0F4" w:themeFill="accent1" w:themeFillTint="33"/>
            <w:vAlign w:val="center"/>
          </w:tcPr>
          <w:p w14:paraId="13A6B61C" w14:textId="77777777" w:rsidR="00CA5D75" w:rsidRPr="002B1340" w:rsidRDefault="00CA5D75" w:rsidP="00CA5D75">
            <w:pPr>
              <w:pStyle w:val="Table"/>
              <w:jc w:val="center"/>
              <w:rPr>
                <w:rStyle w:val="Strong"/>
              </w:rPr>
            </w:pPr>
            <w:r w:rsidRPr="002B1340">
              <w:rPr>
                <w:rStyle w:val="Strong"/>
              </w:rPr>
              <w:t>Properties of the GeoTIFFs</w:t>
            </w:r>
          </w:p>
        </w:tc>
      </w:tr>
      <w:tr w:rsidR="00CA5D75" w:rsidRPr="006F1360" w14:paraId="3CF08120" w14:textId="77777777" w:rsidTr="006F36DE">
        <w:trPr>
          <w:cantSplit/>
          <w:trHeight w:val="435"/>
          <w:jc w:val="center"/>
        </w:trPr>
        <w:tc>
          <w:tcPr>
            <w:tcW w:w="4461" w:type="dxa"/>
            <w:vAlign w:val="center"/>
          </w:tcPr>
          <w:p w14:paraId="407DF279" w14:textId="77777777" w:rsidR="00CA5D75" w:rsidRPr="002B1340" w:rsidRDefault="00CA5D75" w:rsidP="00CA5D75">
            <w:pPr>
              <w:pStyle w:val="Table"/>
              <w:rPr>
                <w:sz w:val="22"/>
              </w:rPr>
            </w:pPr>
            <w:r w:rsidRPr="002B1340">
              <w:rPr>
                <w:rFonts w:cs="Arial"/>
                <w:sz w:val="22"/>
              </w:rPr>
              <w:t>File name: Global Aboveground and Belowground Biomass Carbon Density Maps</w:t>
            </w:r>
          </w:p>
        </w:tc>
        <w:tc>
          <w:tcPr>
            <w:tcW w:w="4064" w:type="dxa"/>
            <w:vAlign w:val="center"/>
          </w:tcPr>
          <w:p w14:paraId="3ACBF130" w14:textId="77777777" w:rsidR="00CA5D75" w:rsidRPr="002B1340" w:rsidRDefault="00CA5D75" w:rsidP="00CA5D75">
            <w:pPr>
              <w:pStyle w:val="Table"/>
              <w:rPr>
                <w:rFonts w:cs="Arial"/>
                <w:sz w:val="22"/>
              </w:rPr>
            </w:pPr>
            <w:r w:rsidRPr="002B1340">
              <w:rPr>
                <w:rFonts w:cs="Arial"/>
                <w:sz w:val="22"/>
              </w:rPr>
              <w:t>Bands: 1</w:t>
            </w:r>
          </w:p>
        </w:tc>
      </w:tr>
      <w:tr w:rsidR="00CA5D75" w:rsidRPr="006F1360" w14:paraId="593FDE55" w14:textId="77777777" w:rsidTr="008F1F41">
        <w:trPr>
          <w:cantSplit/>
          <w:trHeight w:val="554"/>
          <w:jc w:val="center"/>
        </w:trPr>
        <w:tc>
          <w:tcPr>
            <w:tcW w:w="4461" w:type="dxa"/>
            <w:vAlign w:val="center"/>
          </w:tcPr>
          <w:p w14:paraId="7196756C" w14:textId="77777777" w:rsidR="00CA5D75" w:rsidRPr="002B1340" w:rsidRDefault="00CA5D75" w:rsidP="00CA5D75">
            <w:pPr>
              <w:pStyle w:val="Table"/>
              <w:rPr>
                <w:rFonts w:eastAsia="Times New Roman" w:cs="Arial"/>
                <w:sz w:val="22"/>
                <w:lang w:val="el-GR" w:eastAsia="el-GR"/>
              </w:rPr>
            </w:pPr>
            <w:r w:rsidRPr="002B1340">
              <w:rPr>
                <w:rFonts w:cs="Arial"/>
                <w:sz w:val="22"/>
              </w:rPr>
              <w:t xml:space="preserve">Coordinate system: </w:t>
            </w:r>
            <w:r w:rsidRPr="002B1340">
              <w:rPr>
                <w:rFonts w:eastAsia="Times New Roman" w:cs="Arial"/>
                <w:sz w:val="22"/>
                <w:lang w:val="el-GR" w:eastAsia="el-GR"/>
              </w:rPr>
              <w:t>EPSG: 4326</w:t>
            </w:r>
          </w:p>
        </w:tc>
        <w:tc>
          <w:tcPr>
            <w:tcW w:w="4064" w:type="dxa"/>
            <w:vAlign w:val="center"/>
          </w:tcPr>
          <w:p w14:paraId="3423B768" w14:textId="77777777" w:rsidR="00CA5D75" w:rsidRPr="002B1340" w:rsidRDefault="00CA5D75" w:rsidP="00CA5D75">
            <w:pPr>
              <w:pStyle w:val="Table"/>
              <w:rPr>
                <w:rFonts w:cs="Arial"/>
                <w:sz w:val="22"/>
              </w:rPr>
            </w:pPr>
            <w:r w:rsidRPr="002B1340">
              <w:rPr>
                <w:rFonts w:cs="Arial"/>
                <w:sz w:val="22"/>
              </w:rPr>
              <w:t>Scaling: 0.1</w:t>
            </w:r>
          </w:p>
        </w:tc>
      </w:tr>
      <w:tr w:rsidR="00CA5D75" w:rsidRPr="006F1360" w14:paraId="3BE2A774" w14:textId="77777777" w:rsidTr="008F1F41">
        <w:trPr>
          <w:cantSplit/>
          <w:trHeight w:val="397"/>
          <w:jc w:val="center"/>
        </w:trPr>
        <w:tc>
          <w:tcPr>
            <w:tcW w:w="4461" w:type="dxa"/>
            <w:vAlign w:val="center"/>
          </w:tcPr>
          <w:p w14:paraId="02413CA6" w14:textId="77777777" w:rsidR="00CA5D75" w:rsidRPr="002B1340" w:rsidRDefault="00CA5D75" w:rsidP="00CA5D75">
            <w:pPr>
              <w:pStyle w:val="Table"/>
              <w:rPr>
                <w:rFonts w:cs="Arial"/>
                <w:sz w:val="22"/>
              </w:rPr>
            </w:pPr>
            <w:r w:rsidRPr="002B1340">
              <w:rPr>
                <w:rFonts w:cs="Arial"/>
                <w:sz w:val="22"/>
              </w:rPr>
              <w:t>Spatial Coverage:  Global</w:t>
            </w:r>
          </w:p>
        </w:tc>
        <w:tc>
          <w:tcPr>
            <w:tcW w:w="4064" w:type="dxa"/>
            <w:vAlign w:val="center"/>
          </w:tcPr>
          <w:p w14:paraId="1BC050A6" w14:textId="77777777" w:rsidR="00CA5D75" w:rsidRPr="002B1340" w:rsidRDefault="00CA5D75" w:rsidP="00CA5D75">
            <w:pPr>
              <w:pStyle w:val="Table"/>
              <w:rPr>
                <w:rFonts w:cs="Arial"/>
                <w:sz w:val="22"/>
              </w:rPr>
            </w:pPr>
            <w:r w:rsidRPr="002B1340">
              <w:rPr>
                <w:rFonts w:cs="Arial"/>
                <w:sz w:val="22"/>
              </w:rPr>
              <w:t>Data units: Mg C/ha</w:t>
            </w:r>
          </w:p>
        </w:tc>
      </w:tr>
      <w:tr w:rsidR="00CA5D75" w:rsidRPr="006F1360" w14:paraId="4F7304E0" w14:textId="77777777" w:rsidTr="00CA5D75">
        <w:trPr>
          <w:cantSplit/>
          <w:trHeight w:val="681"/>
          <w:jc w:val="center"/>
        </w:trPr>
        <w:tc>
          <w:tcPr>
            <w:tcW w:w="4461" w:type="dxa"/>
            <w:vAlign w:val="center"/>
          </w:tcPr>
          <w:p w14:paraId="013EF200" w14:textId="60D48F16" w:rsidR="00CA5D75" w:rsidRPr="002B1340" w:rsidRDefault="00CA5D75" w:rsidP="00CA5D75">
            <w:pPr>
              <w:pStyle w:val="Table"/>
              <w:rPr>
                <w:rFonts w:cs="Arial"/>
                <w:sz w:val="22"/>
              </w:rPr>
            </w:pPr>
            <w:r w:rsidRPr="002B1340">
              <w:rPr>
                <w:rFonts w:cs="Arial"/>
                <w:sz w:val="22"/>
              </w:rPr>
              <w:t>Spatial Resolution: ~300 m (0.002777778 degree)</w:t>
            </w:r>
          </w:p>
        </w:tc>
        <w:tc>
          <w:tcPr>
            <w:tcW w:w="4064" w:type="dxa"/>
            <w:vAlign w:val="center"/>
          </w:tcPr>
          <w:p w14:paraId="66D689D8" w14:textId="77777777" w:rsidR="00CA5D75" w:rsidRPr="002B1340" w:rsidRDefault="00CA5D75" w:rsidP="00CA5D75">
            <w:pPr>
              <w:pStyle w:val="Table"/>
              <w:rPr>
                <w:rFonts w:cs="Arial"/>
                <w:sz w:val="22"/>
              </w:rPr>
            </w:pPr>
            <w:r w:rsidRPr="002B1340">
              <w:rPr>
                <w:rFonts w:cs="Arial"/>
                <w:sz w:val="22"/>
              </w:rPr>
              <w:t>Data type: UInt16</w:t>
            </w:r>
          </w:p>
        </w:tc>
      </w:tr>
      <w:tr w:rsidR="00CA5D75" w:rsidRPr="006F1360" w14:paraId="6A9FD3E4" w14:textId="77777777" w:rsidTr="008F1F41">
        <w:trPr>
          <w:cantSplit/>
          <w:trHeight w:val="397"/>
          <w:jc w:val="center"/>
        </w:trPr>
        <w:tc>
          <w:tcPr>
            <w:tcW w:w="4461" w:type="dxa"/>
            <w:vAlign w:val="center"/>
          </w:tcPr>
          <w:p w14:paraId="0A8EEFC7" w14:textId="77777777" w:rsidR="00CA5D75" w:rsidRPr="002B1340" w:rsidRDefault="00CA5D75" w:rsidP="00CA5D75">
            <w:pPr>
              <w:pStyle w:val="Table"/>
              <w:rPr>
                <w:rFonts w:cs="Arial"/>
                <w:sz w:val="22"/>
              </w:rPr>
            </w:pPr>
            <w:r w:rsidRPr="002B1340">
              <w:rPr>
                <w:rFonts w:cs="Arial"/>
                <w:sz w:val="22"/>
              </w:rPr>
              <w:t>Temporal Coverage: 2010-01-01 to 2010-12-31</w:t>
            </w:r>
          </w:p>
        </w:tc>
        <w:tc>
          <w:tcPr>
            <w:tcW w:w="4064" w:type="dxa"/>
            <w:vAlign w:val="center"/>
          </w:tcPr>
          <w:p w14:paraId="28915613" w14:textId="77777777" w:rsidR="00CA5D75" w:rsidRPr="002B1340" w:rsidRDefault="00CA5D75" w:rsidP="00CA5D75">
            <w:pPr>
              <w:pStyle w:val="Table"/>
              <w:rPr>
                <w:rFonts w:cs="Arial"/>
                <w:sz w:val="22"/>
              </w:rPr>
            </w:pPr>
            <w:r w:rsidRPr="002B1340">
              <w:rPr>
                <w:rFonts w:cs="Arial"/>
                <w:sz w:val="22"/>
              </w:rPr>
              <w:t>No data value: 65536</w:t>
            </w:r>
          </w:p>
        </w:tc>
      </w:tr>
      <w:tr w:rsidR="00CA5D75" w:rsidRPr="006F1360" w14:paraId="3E36C13F" w14:textId="77777777" w:rsidTr="008F1F41">
        <w:trPr>
          <w:cantSplit/>
          <w:trHeight w:val="397"/>
          <w:jc w:val="center"/>
        </w:trPr>
        <w:tc>
          <w:tcPr>
            <w:tcW w:w="4461" w:type="dxa"/>
            <w:vAlign w:val="center"/>
          </w:tcPr>
          <w:p w14:paraId="1090CC7D" w14:textId="77777777" w:rsidR="00CA5D75" w:rsidRPr="002B1340" w:rsidRDefault="00CA5D75" w:rsidP="00CA5D75">
            <w:pPr>
              <w:pStyle w:val="Table"/>
              <w:rPr>
                <w:rFonts w:cs="Arial"/>
                <w:sz w:val="22"/>
              </w:rPr>
            </w:pPr>
            <w:r w:rsidRPr="002B1340">
              <w:rPr>
                <w:rFonts w:cs="Arial"/>
                <w:sz w:val="22"/>
              </w:rPr>
              <w:t>Temporal Resolution: Annual</w:t>
            </w:r>
          </w:p>
        </w:tc>
        <w:tc>
          <w:tcPr>
            <w:tcW w:w="4064" w:type="dxa"/>
            <w:vAlign w:val="center"/>
          </w:tcPr>
          <w:p w14:paraId="1E019827" w14:textId="77777777" w:rsidR="00CA5D75" w:rsidRPr="002B1340" w:rsidRDefault="00CA5D75" w:rsidP="00CA5D75">
            <w:pPr>
              <w:pStyle w:val="Table"/>
              <w:rPr>
                <w:rFonts w:cs="Arial"/>
                <w:sz w:val="22"/>
              </w:rPr>
            </w:pPr>
            <w:r w:rsidRPr="002B1340">
              <w:rPr>
                <w:rFonts w:cs="Arial"/>
                <w:sz w:val="22"/>
              </w:rPr>
              <w:t>Map units: degree</w:t>
            </w:r>
          </w:p>
        </w:tc>
      </w:tr>
      <w:tr w:rsidR="00CA5D75" w:rsidRPr="006F1360" w14:paraId="0592BDED" w14:textId="77777777" w:rsidTr="008F1F41">
        <w:trPr>
          <w:cantSplit/>
          <w:trHeight w:val="397"/>
          <w:jc w:val="center"/>
        </w:trPr>
        <w:tc>
          <w:tcPr>
            <w:tcW w:w="8525" w:type="dxa"/>
            <w:gridSpan w:val="2"/>
            <w:vAlign w:val="center"/>
          </w:tcPr>
          <w:p w14:paraId="55A066C0" w14:textId="77777777" w:rsidR="00CA5D75" w:rsidRPr="002B1340" w:rsidRDefault="00CA5D75" w:rsidP="00CA5D75">
            <w:pPr>
              <w:pStyle w:val="Table"/>
              <w:rPr>
                <w:sz w:val="22"/>
              </w:rPr>
            </w:pPr>
            <w:r w:rsidRPr="002B1340">
              <w:rPr>
                <w:rFonts w:cs="Arial"/>
                <w:sz w:val="22"/>
              </w:rPr>
              <w:t xml:space="preserve">File type, format: </w:t>
            </w:r>
            <w:r w:rsidRPr="002B1340">
              <w:rPr>
                <w:rFonts w:cs="Arial"/>
                <w:sz w:val="22"/>
                <w:shd w:val="clear" w:color="auto" w:fill="FFFFFF"/>
              </w:rPr>
              <w:t>GeoTIFF (.tif) format</w:t>
            </w:r>
          </w:p>
        </w:tc>
      </w:tr>
    </w:tbl>
    <w:p w14:paraId="58C6FA6C" w14:textId="754C3CC0" w:rsidR="009619C8" w:rsidRPr="00CA5D75" w:rsidRDefault="009619C8" w:rsidP="009619C8">
      <w:pPr>
        <w:pStyle w:val="Caption"/>
      </w:pPr>
      <w:bookmarkStart w:id="83" w:name="_Toc91575574"/>
      <w:r>
        <w:t xml:space="preserve">Table </w:t>
      </w:r>
      <w:r>
        <w:fldChar w:fldCharType="begin"/>
      </w:r>
      <w:r>
        <w:instrText xml:space="preserve"> SEQ Table \* ARABIC </w:instrText>
      </w:r>
      <w:r>
        <w:fldChar w:fldCharType="separate"/>
      </w:r>
      <w:r w:rsidR="000655D3">
        <w:rPr>
          <w:noProof/>
        </w:rPr>
        <w:t>7</w:t>
      </w:r>
      <w:r>
        <w:fldChar w:fldCharType="end"/>
      </w:r>
      <w:r>
        <w:t xml:space="preserve">: </w:t>
      </w:r>
      <w:r w:rsidRPr="005E2431">
        <w:t>File names and descriptions of Global Aboveground and Belowground Biomass Carbon Density Maps.</w:t>
      </w:r>
      <w:bookmarkEnd w:id="83"/>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850"/>
        <w:gridCol w:w="4439"/>
      </w:tblGrid>
      <w:tr w:rsidR="00CA5D75" w:rsidRPr="00CA5D75" w14:paraId="44486D08" w14:textId="77777777" w:rsidTr="002B1340">
        <w:trPr>
          <w:cantSplit/>
          <w:trHeight w:val="425"/>
          <w:tblHeader/>
          <w:jc w:val="center"/>
        </w:trPr>
        <w:tc>
          <w:tcPr>
            <w:tcW w:w="3256" w:type="dxa"/>
            <w:shd w:val="clear" w:color="auto" w:fill="DBE0F4" w:themeFill="accent1" w:themeFillTint="33"/>
            <w:vAlign w:val="center"/>
          </w:tcPr>
          <w:p w14:paraId="37CE7D2B" w14:textId="77777777" w:rsidR="00CA5D75" w:rsidRPr="002B1340" w:rsidRDefault="00CA5D75" w:rsidP="00CA5D75">
            <w:pPr>
              <w:pStyle w:val="Table"/>
              <w:jc w:val="center"/>
              <w:rPr>
                <w:rStyle w:val="Strong"/>
              </w:rPr>
            </w:pPr>
            <w:r w:rsidRPr="002B1340">
              <w:rPr>
                <w:rStyle w:val="Strong"/>
              </w:rPr>
              <w:t>File name</w:t>
            </w:r>
          </w:p>
        </w:tc>
        <w:tc>
          <w:tcPr>
            <w:tcW w:w="850" w:type="dxa"/>
            <w:shd w:val="clear" w:color="auto" w:fill="DBE0F4" w:themeFill="accent1" w:themeFillTint="33"/>
          </w:tcPr>
          <w:p w14:paraId="07A4A45B" w14:textId="77777777" w:rsidR="00CA5D75" w:rsidRPr="002B1340" w:rsidRDefault="00CA5D75" w:rsidP="00CA5D75">
            <w:pPr>
              <w:pStyle w:val="Table"/>
              <w:jc w:val="center"/>
              <w:rPr>
                <w:rStyle w:val="Strong"/>
              </w:rPr>
            </w:pPr>
            <w:r w:rsidRPr="002B1340">
              <w:rPr>
                <w:rStyle w:val="Strong"/>
              </w:rPr>
              <w:t>Units</w:t>
            </w:r>
          </w:p>
        </w:tc>
        <w:tc>
          <w:tcPr>
            <w:tcW w:w="4439" w:type="dxa"/>
            <w:shd w:val="clear" w:color="auto" w:fill="DBE0F4" w:themeFill="accent1" w:themeFillTint="33"/>
            <w:vAlign w:val="center"/>
          </w:tcPr>
          <w:p w14:paraId="5241E058" w14:textId="77777777" w:rsidR="00CA5D75" w:rsidRPr="002B1340" w:rsidRDefault="00CA5D75" w:rsidP="00CA5D75">
            <w:pPr>
              <w:pStyle w:val="Table"/>
              <w:jc w:val="center"/>
              <w:rPr>
                <w:rStyle w:val="Strong"/>
              </w:rPr>
            </w:pPr>
            <w:r w:rsidRPr="002B1340">
              <w:rPr>
                <w:rStyle w:val="Strong"/>
              </w:rPr>
              <w:t>Description</w:t>
            </w:r>
          </w:p>
        </w:tc>
      </w:tr>
      <w:tr w:rsidR="00CA5D75" w:rsidRPr="00CA5D75" w14:paraId="286926A3" w14:textId="77777777" w:rsidTr="002B1340">
        <w:trPr>
          <w:cantSplit/>
          <w:trHeight w:val="2102"/>
          <w:jc w:val="center"/>
        </w:trPr>
        <w:tc>
          <w:tcPr>
            <w:tcW w:w="3256" w:type="dxa"/>
            <w:vAlign w:val="center"/>
          </w:tcPr>
          <w:p w14:paraId="298B9650" w14:textId="77777777" w:rsidR="00CA5D75" w:rsidRPr="002B1340" w:rsidRDefault="00CA5D75" w:rsidP="00CA5D75">
            <w:pPr>
              <w:pStyle w:val="Table"/>
              <w:rPr>
                <w:sz w:val="22"/>
              </w:rPr>
            </w:pPr>
            <w:r w:rsidRPr="002B1340">
              <w:rPr>
                <w:sz w:val="22"/>
              </w:rPr>
              <w:t>aboveground_biomass_carbon_2010.tif</w:t>
            </w:r>
          </w:p>
        </w:tc>
        <w:tc>
          <w:tcPr>
            <w:tcW w:w="850" w:type="dxa"/>
            <w:vAlign w:val="center"/>
          </w:tcPr>
          <w:p w14:paraId="6B123CB3" w14:textId="77777777" w:rsidR="00CA5D75" w:rsidRPr="002B1340" w:rsidRDefault="00CA5D75" w:rsidP="002B1340">
            <w:pPr>
              <w:pStyle w:val="Table"/>
              <w:jc w:val="center"/>
              <w:rPr>
                <w:sz w:val="22"/>
              </w:rPr>
            </w:pPr>
            <w:r w:rsidRPr="002B1340">
              <w:rPr>
                <w:sz w:val="22"/>
              </w:rPr>
              <w:t>Mg C/ha</w:t>
            </w:r>
          </w:p>
        </w:tc>
        <w:tc>
          <w:tcPr>
            <w:tcW w:w="4439" w:type="dxa"/>
            <w:vAlign w:val="center"/>
          </w:tcPr>
          <w:p w14:paraId="35AF7D5D" w14:textId="77777777" w:rsidR="00CA5D75" w:rsidRPr="002B1340" w:rsidRDefault="00CA5D75" w:rsidP="00CA5D75">
            <w:pPr>
              <w:pStyle w:val="Table"/>
              <w:rPr>
                <w:sz w:val="22"/>
              </w:rPr>
            </w:pPr>
            <w:r w:rsidRPr="002B1340">
              <w:rPr>
                <w:sz w:val="22"/>
              </w:rPr>
              <w:t>Aboveground living biomass carbon stock density of combined woody and herbaceous cover in 2010. This includes carbon stored in living plant tissues that are located above the earth’s surface (stems, bark, branches, twigs). This does not include leaf litter or coarse woody debris that were once attached to living plants but have since been deposited and are no longer living.</w:t>
            </w:r>
          </w:p>
        </w:tc>
      </w:tr>
      <w:tr w:rsidR="00CA5D75" w:rsidRPr="00CA5D75" w14:paraId="710E6848" w14:textId="77777777" w:rsidTr="002B1340">
        <w:trPr>
          <w:cantSplit/>
          <w:trHeight w:val="1753"/>
          <w:jc w:val="center"/>
        </w:trPr>
        <w:tc>
          <w:tcPr>
            <w:tcW w:w="3256" w:type="dxa"/>
            <w:vAlign w:val="center"/>
          </w:tcPr>
          <w:p w14:paraId="64FC0A7D" w14:textId="77777777" w:rsidR="00CA5D75" w:rsidRPr="002B1340" w:rsidRDefault="00CA5D75" w:rsidP="00CA5D75">
            <w:pPr>
              <w:pStyle w:val="Table"/>
              <w:rPr>
                <w:sz w:val="22"/>
              </w:rPr>
            </w:pPr>
            <w:r w:rsidRPr="002B1340">
              <w:rPr>
                <w:sz w:val="22"/>
              </w:rPr>
              <w:t>belowground_biomass_carbon_2010.tif</w:t>
            </w:r>
          </w:p>
        </w:tc>
        <w:tc>
          <w:tcPr>
            <w:tcW w:w="850" w:type="dxa"/>
            <w:vAlign w:val="center"/>
          </w:tcPr>
          <w:p w14:paraId="342B3DFE" w14:textId="77777777" w:rsidR="00CA5D75" w:rsidRPr="002B1340" w:rsidRDefault="00CA5D75" w:rsidP="002B1340">
            <w:pPr>
              <w:pStyle w:val="Table"/>
              <w:jc w:val="center"/>
              <w:rPr>
                <w:sz w:val="22"/>
              </w:rPr>
            </w:pPr>
            <w:r w:rsidRPr="002B1340">
              <w:rPr>
                <w:sz w:val="22"/>
              </w:rPr>
              <w:t>Mg C/ha</w:t>
            </w:r>
          </w:p>
        </w:tc>
        <w:tc>
          <w:tcPr>
            <w:tcW w:w="4439" w:type="dxa"/>
            <w:vAlign w:val="center"/>
          </w:tcPr>
          <w:p w14:paraId="79F61848" w14:textId="77777777" w:rsidR="00CA5D75" w:rsidRPr="002B1340" w:rsidRDefault="00CA5D75" w:rsidP="00CA5D75">
            <w:pPr>
              <w:pStyle w:val="Table"/>
              <w:rPr>
                <w:sz w:val="22"/>
              </w:rPr>
            </w:pPr>
            <w:r w:rsidRPr="002B1340">
              <w:rPr>
                <w:sz w:val="22"/>
              </w:rPr>
              <w:t>Belowground living biomass carbon stock density of combined woody and herbaceous cover in 2010. This includes carbon stored in living plant tissues that are located below the earth’s surface (roots). This does not include dead and/or dislocated root tissue, nor does it include soil organic matter.</w:t>
            </w:r>
          </w:p>
        </w:tc>
      </w:tr>
      <w:tr w:rsidR="00CA5D75" w:rsidRPr="00596797" w14:paraId="4C0DB5A4" w14:textId="77777777" w:rsidTr="002B1340">
        <w:trPr>
          <w:cantSplit/>
          <w:trHeight w:val="1170"/>
          <w:jc w:val="center"/>
        </w:trPr>
        <w:tc>
          <w:tcPr>
            <w:tcW w:w="3256" w:type="dxa"/>
            <w:vAlign w:val="center"/>
          </w:tcPr>
          <w:p w14:paraId="50C3822C" w14:textId="77777777" w:rsidR="00CA5D75" w:rsidRPr="002B1340" w:rsidRDefault="00CA5D75" w:rsidP="00CA5D75">
            <w:pPr>
              <w:pStyle w:val="Table"/>
              <w:rPr>
                <w:sz w:val="22"/>
              </w:rPr>
            </w:pPr>
            <w:r w:rsidRPr="002B1340">
              <w:rPr>
                <w:sz w:val="22"/>
              </w:rPr>
              <w:lastRenderedPageBreak/>
              <w:t>aboveground_biomass_carbon_2010_uncertainty.tif</w:t>
            </w:r>
          </w:p>
        </w:tc>
        <w:tc>
          <w:tcPr>
            <w:tcW w:w="850" w:type="dxa"/>
            <w:vAlign w:val="center"/>
          </w:tcPr>
          <w:p w14:paraId="7765C11A" w14:textId="77777777" w:rsidR="00CA5D75" w:rsidRPr="002B1340" w:rsidRDefault="00CA5D75" w:rsidP="002B1340">
            <w:pPr>
              <w:pStyle w:val="Table"/>
              <w:jc w:val="center"/>
              <w:rPr>
                <w:sz w:val="22"/>
              </w:rPr>
            </w:pPr>
            <w:r w:rsidRPr="002B1340">
              <w:rPr>
                <w:sz w:val="22"/>
              </w:rPr>
              <w:t>Mg C/ha</w:t>
            </w:r>
          </w:p>
        </w:tc>
        <w:tc>
          <w:tcPr>
            <w:tcW w:w="4439" w:type="dxa"/>
            <w:vAlign w:val="center"/>
          </w:tcPr>
          <w:p w14:paraId="15ADEA99" w14:textId="77777777" w:rsidR="00CA5D75" w:rsidRPr="002B1340" w:rsidRDefault="00CA5D75" w:rsidP="00CA5D75">
            <w:pPr>
              <w:pStyle w:val="Table"/>
              <w:rPr>
                <w:sz w:val="22"/>
              </w:rPr>
            </w:pPr>
            <w:r w:rsidRPr="002B1340">
              <w:rPr>
                <w:sz w:val="22"/>
              </w:rPr>
              <w:t>Uncertainty of estimated aboveground living biomass carbon density of combined woody and herbaceous cover in 2010. Uncertainty represents the cumulative standard error that has been propagated through the harmonization process using summation in quadrature.</w:t>
            </w:r>
          </w:p>
        </w:tc>
      </w:tr>
      <w:tr w:rsidR="00CA5D75" w:rsidRPr="00CA5D75" w14:paraId="71421A74" w14:textId="77777777" w:rsidTr="002B1340">
        <w:trPr>
          <w:cantSplit/>
          <w:trHeight w:val="1250"/>
          <w:jc w:val="center"/>
        </w:trPr>
        <w:tc>
          <w:tcPr>
            <w:tcW w:w="3256" w:type="dxa"/>
            <w:vAlign w:val="center"/>
          </w:tcPr>
          <w:p w14:paraId="44FE280C" w14:textId="77777777" w:rsidR="00CA5D75" w:rsidRPr="002B1340" w:rsidRDefault="00CA5D75" w:rsidP="00CA5D75">
            <w:pPr>
              <w:pStyle w:val="Table"/>
              <w:rPr>
                <w:sz w:val="22"/>
              </w:rPr>
            </w:pPr>
            <w:r w:rsidRPr="002B1340">
              <w:rPr>
                <w:sz w:val="22"/>
              </w:rPr>
              <w:t>belowground_biomass_carbon_2010_uncertainty.tif</w:t>
            </w:r>
          </w:p>
        </w:tc>
        <w:tc>
          <w:tcPr>
            <w:tcW w:w="850" w:type="dxa"/>
            <w:vAlign w:val="center"/>
          </w:tcPr>
          <w:p w14:paraId="65533B89" w14:textId="77777777" w:rsidR="00CA5D75" w:rsidRPr="002B1340" w:rsidRDefault="00CA5D75" w:rsidP="002B1340">
            <w:pPr>
              <w:pStyle w:val="Table"/>
              <w:jc w:val="center"/>
              <w:rPr>
                <w:sz w:val="22"/>
              </w:rPr>
            </w:pPr>
            <w:r w:rsidRPr="002B1340">
              <w:rPr>
                <w:sz w:val="22"/>
              </w:rPr>
              <w:t>Mg C/ha</w:t>
            </w:r>
          </w:p>
        </w:tc>
        <w:tc>
          <w:tcPr>
            <w:tcW w:w="4439" w:type="dxa"/>
            <w:vAlign w:val="center"/>
          </w:tcPr>
          <w:p w14:paraId="451FD52E" w14:textId="77777777" w:rsidR="00CA5D75" w:rsidRPr="002B1340" w:rsidRDefault="00CA5D75" w:rsidP="00CA5D75">
            <w:pPr>
              <w:pStyle w:val="Table"/>
              <w:rPr>
                <w:sz w:val="22"/>
              </w:rPr>
            </w:pPr>
            <w:r w:rsidRPr="002B1340">
              <w:rPr>
                <w:sz w:val="22"/>
              </w:rPr>
              <w:t>Uncertainty of estimated belowground living biomass carbon density of combined woody and herbaceous cover in 2010. Uncertainty represents the cumulative standard error that has been propagated through the harmonization process using summation in quadrature.</w:t>
            </w:r>
          </w:p>
        </w:tc>
      </w:tr>
    </w:tbl>
    <w:p w14:paraId="1103F69F" w14:textId="33CCC928" w:rsidR="00CA5D75" w:rsidRDefault="00F4753F" w:rsidP="00CA5D75">
      <w:pPr>
        <w:pStyle w:val="Heading3"/>
        <w:numPr>
          <w:ilvl w:val="0"/>
          <w:numId w:val="0"/>
        </w:numPr>
        <w:ind w:left="720" w:hanging="720"/>
      </w:pPr>
      <w:bookmarkStart w:id="84" w:name="_Toc91575536"/>
      <w:r>
        <w:t>4</w:t>
      </w:r>
      <w:r w:rsidR="00CA5D75">
        <w:t>.</w:t>
      </w:r>
      <w:r w:rsidR="00B62943" w:rsidRPr="00C61199">
        <w:t>3</w:t>
      </w:r>
      <w:r w:rsidR="00CA5D75">
        <w:t xml:space="preserve">.3. </w:t>
      </w:r>
      <w:r w:rsidR="00CA5D75" w:rsidRPr="00B15D33">
        <w:t>S2GLC</w:t>
      </w:r>
      <w:bookmarkEnd w:id="84"/>
    </w:p>
    <w:p w14:paraId="2EFD156B" w14:textId="286FCDCD" w:rsidR="00CA5D75" w:rsidRDefault="00CA5D75" w:rsidP="00374FCC">
      <w:r w:rsidRPr="005228B2">
        <w:t>S2GLC land cover map is one the most detailed pan-European land cover products. It was produced using automatic classification approach and Sentinel-2 images from 2017. It contains 13 classes with MMU equal to Sentinel-2 pixel which is 10×10 m. The overall accuracy is 86%.</w:t>
      </w:r>
      <w:r w:rsidR="000D7860">
        <w:t xml:space="preserve"> The</w:t>
      </w:r>
      <w:r w:rsidRPr="005228B2">
        <w:t xml:space="preserve"> </w:t>
      </w:r>
      <w:r w:rsidR="000D7860">
        <w:t>p</w:t>
      </w:r>
      <w:r w:rsidRPr="005228B2">
        <w:t>roduct is available in two forms: mosaic for the whole Europe, Sentinel-2 tiles.</w:t>
      </w:r>
    </w:p>
    <w:p w14:paraId="40C0F28C" w14:textId="027FBE33" w:rsidR="009619C8" w:rsidRDefault="009619C8" w:rsidP="009619C8">
      <w:pPr>
        <w:pStyle w:val="Caption"/>
        <w:rPr>
          <w:rFonts w:asciiTheme="majorHAnsi" w:hAnsiTheme="majorHAnsi" w:cs="Arial"/>
          <w:sz w:val="22"/>
          <w:szCs w:val="22"/>
        </w:rPr>
      </w:pPr>
      <w:bookmarkStart w:id="85" w:name="_Toc91575575"/>
      <w:r>
        <w:t xml:space="preserve">Table </w:t>
      </w:r>
      <w:r>
        <w:fldChar w:fldCharType="begin"/>
      </w:r>
      <w:r>
        <w:instrText xml:space="preserve"> SEQ Table \* ARABIC </w:instrText>
      </w:r>
      <w:r>
        <w:fldChar w:fldCharType="separate"/>
      </w:r>
      <w:r w:rsidR="000655D3">
        <w:rPr>
          <w:noProof/>
        </w:rPr>
        <w:t>8</w:t>
      </w:r>
      <w:r>
        <w:fldChar w:fldCharType="end"/>
      </w:r>
      <w:r>
        <w:t xml:space="preserve">: </w:t>
      </w:r>
      <w:r w:rsidRPr="003412C8">
        <w:t>Technical specifications of the S2CLG layer.</w:t>
      </w:r>
      <w:bookmarkEnd w:id="85"/>
    </w:p>
    <w:tbl>
      <w:tblPr>
        <w:tblW w:w="8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1"/>
        <w:gridCol w:w="4064"/>
      </w:tblGrid>
      <w:tr w:rsidR="00CA5D75" w:rsidRPr="007E73E2" w14:paraId="12E22EB7" w14:textId="77777777" w:rsidTr="008F1F41">
        <w:trPr>
          <w:cantSplit/>
          <w:trHeight w:val="397"/>
          <w:tblHeader/>
          <w:jc w:val="center"/>
        </w:trPr>
        <w:tc>
          <w:tcPr>
            <w:tcW w:w="4461" w:type="dxa"/>
            <w:shd w:val="clear" w:color="auto" w:fill="DBE0F4" w:themeFill="accent1" w:themeFillTint="33"/>
            <w:vAlign w:val="center"/>
          </w:tcPr>
          <w:p w14:paraId="6CA51275" w14:textId="77777777" w:rsidR="00CA5D75" w:rsidRPr="00351BA4" w:rsidRDefault="00CA5D75" w:rsidP="00CA5D75">
            <w:pPr>
              <w:pStyle w:val="Table"/>
              <w:jc w:val="center"/>
              <w:rPr>
                <w:rStyle w:val="Strong"/>
              </w:rPr>
            </w:pPr>
            <w:r w:rsidRPr="00351BA4">
              <w:rPr>
                <w:rStyle w:val="Strong"/>
              </w:rPr>
              <w:t>Specification</w:t>
            </w:r>
          </w:p>
        </w:tc>
        <w:tc>
          <w:tcPr>
            <w:tcW w:w="4064" w:type="dxa"/>
            <w:shd w:val="clear" w:color="auto" w:fill="DBE0F4" w:themeFill="accent1" w:themeFillTint="33"/>
            <w:vAlign w:val="center"/>
          </w:tcPr>
          <w:p w14:paraId="13C1F50A" w14:textId="77777777" w:rsidR="00CA5D75" w:rsidRPr="00351BA4" w:rsidRDefault="00CA5D75" w:rsidP="00CA5D75">
            <w:pPr>
              <w:pStyle w:val="Table"/>
              <w:jc w:val="center"/>
              <w:rPr>
                <w:rStyle w:val="Strong"/>
              </w:rPr>
            </w:pPr>
            <w:r w:rsidRPr="00351BA4">
              <w:rPr>
                <w:rStyle w:val="Strong"/>
              </w:rPr>
              <w:t>Source data specification</w:t>
            </w:r>
          </w:p>
        </w:tc>
      </w:tr>
      <w:tr w:rsidR="00CA5D75" w:rsidRPr="006F1360" w14:paraId="42EB918C" w14:textId="77777777" w:rsidTr="008F1F41">
        <w:trPr>
          <w:cantSplit/>
          <w:trHeight w:val="397"/>
          <w:jc w:val="center"/>
        </w:trPr>
        <w:tc>
          <w:tcPr>
            <w:tcW w:w="4461" w:type="dxa"/>
            <w:vAlign w:val="center"/>
          </w:tcPr>
          <w:p w14:paraId="0A26F129" w14:textId="77777777" w:rsidR="00CA5D75" w:rsidRPr="00351BA4" w:rsidRDefault="00CA5D75" w:rsidP="00CA5D75">
            <w:pPr>
              <w:pStyle w:val="Table"/>
              <w:rPr>
                <w:rFonts w:cs="Arial"/>
                <w:sz w:val="22"/>
              </w:rPr>
            </w:pPr>
            <w:r w:rsidRPr="00351BA4">
              <w:rPr>
                <w:rFonts w:cs="Arial"/>
                <w:sz w:val="22"/>
              </w:rPr>
              <w:t>File names: 2GLC_</w:t>
            </w:r>
            <w:r w:rsidRPr="00351BA4">
              <w:rPr>
                <w:rFonts w:eastAsiaTheme="minorHAnsi" w:cs="Arial"/>
                <w:sz w:val="22"/>
                <w:lang w:val="en-GB"/>
              </w:rPr>
              <w:t>Europe</w:t>
            </w:r>
            <w:r w:rsidRPr="00351BA4">
              <w:rPr>
                <w:rFonts w:cs="Arial"/>
                <w:sz w:val="22"/>
              </w:rPr>
              <w:t>_2017_v1.2_grey.tif</w:t>
            </w:r>
          </w:p>
        </w:tc>
        <w:tc>
          <w:tcPr>
            <w:tcW w:w="4064" w:type="dxa"/>
            <w:vAlign w:val="center"/>
          </w:tcPr>
          <w:p w14:paraId="12FE5ABC" w14:textId="77777777" w:rsidR="00CA5D75" w:rsidRPr="00351BA4" w:rsidRDefault="00CA5D75" w:rsidP="00CA5D75">
            <w:pPr>
              <w:pStyle w:val="Table"/>
              <w:rPr>
                <w:rFonts w:cs="Arial"/>
                <w:sz w:val="22"/>
              </w:rPr>
            </w:pPr>
            <w:r w:rsidRPr="00351BA4">
              <w:rPr>
                <w:rFonts w:cs="Arial"/>
                <w:sz w:val="22"/>
              </w:rPr>
              <w:t>Sensor: Sentinel-2</w:t>
            </w:r>
          </w:p>
        </w:tc>
      </w:tr>
      <w:tr w:rsidR="00CA5D75" w:rsidRPr="007E73E2" w14:paraId="12F6D3DD" w14:textId="77777777" w:rsidTr="008F1F41">
        <w:trPr>
          <w:cantSplit/>
          <w:trHeight w:val="397"/>
          <w:jc w:val="center"/>
        </w:trPr>
        <w:tc>
          <w:tcPr>
            <w:tcW w:w="4461" w:type="dxa"/>
            <w:vAlign w:val="center"/>
          </w:tcPr>
          <w:p w14:paraId="623B8AFD" w14:textId="77777777" w:rsidR="00CA5D75" w:rsidRPr="00351BA4" w:rsidRDefault="00CA5D75" w:rsidP="00CA5D75">
            <w:pPr>
              <w:pStyle w:val="Table"/>
              <w:rPr>
                <w:sz w:val="22"/>
              </w:rPr>
            </w:pPr>
            <w:r w:rsidRPr="00351BA4">
              <w:rPr>
                <w:rFonts w:cs="Arial"/>
                <w:sz w:val="22"/>
              </w:rPr>
              <w:t>Coordinate system: ETRS89 LAEA</w:t>
            </w:r>
          </w:p>
        </w:tc>
        <w:tc>
          <w:tcPr>
            <w:tcW w:w="4064" w:type="dxa"/>
            <w:vAlign w:val="center"/>
          </w:tcPr>
          <w:p w14:paraId="214FF1AA" w14:textId="77777777" w:rsidR="00CA5D75" w:rsidRPr="00351BA4" w:rsidRDefault="00CA5D75" w:rsidP="00CA5D75">
            <w:pPr>
              <w:pStyle w:val="Table"/>
              <w:rPr>
                <w:sz w:val="22"/>
              </w:rPr>
            </w:pPr>
            <w:r w:rsidRPr="00351BA4">
              <w:rPr>
                <w:rFonts w:cs="Arial"/>
                <w:sz w:val="22"/>
              </w:rPr>
              <w:t>Data type: Thematic mapper</w:t>
            </w:r>
          </w:p>
        </w:tc>
      </w:tr>
      <w:tr w:rsidR="00CA5D75" w:rsidRPr="007E73E2" w14:paraId="2DE4E41F" w14:textId="77777777" w:rsidTr="008F1F41">
        <w:trPr>
          <w:cantSplit/>
          <w:trHeight w:val="397"/>
          <w:jc w:val="center"/>
        </w:trPr>
        <w:tc>
          <w:tcPr>
            <w:tcW w:w="4461" w:type="dxa"/>
            <w:vAlign w:val="center"/>
          </w:tcPr>
          <w:p w14:paraId="222A753E" w14:textId="7B5C3956" w:rsidR="00CA5D75" w:rsidRPr="00351BA4" w:rsidRDefault="00CA5D75" w:rsidP="00CA5D75">
            <w:pPr>
              <w:pStyle w:val="Table"/>
              <w:rPr>
                <w:sz w:val="22"/>
              </w:rPr>
            </w:pPr>
            <w:r w:rsidRPr="00351BA4">
              <w:rPr>
                <w:rFonts w:cs="Arial"/>
                <w:sz w:val="22"/>
              </w:rPr>
              <w:t>Production date:</w:t>
            </w:r>
            <w:r w:rsidR="00374FCC" w:rsidRPr="00351BA4">
              <w:rPr>
                <w:rFonts w:cs="Arial"/>
                <w:sz w:val="22"/>
              </w:rPr>
              <w:t xml:space="preserve"> 2017</w:t>
            </w:r>
          </w:p>
        </w:tc>
        <w:tc>
          <w:tcPr>
            <w:tcW w:w="4064" w:type="dxa"/>
            <w:vAlign w:val="center"/>
          </w:tcPr>
          <w:p w14:paraId="51E08897" w14:textId="77777777" w:rsidR="00CA5D75" w:rsidRPr="00351BA4" w:rsidRDefault="00CA5D75" w:rsidP="00CA5D75">
            <w:pPr>
              <w:pStyle w:val="Table"/>
              <w:rPr>
                <w:sz w:val="22"/>
              </w:rPr>
            </w:pPr>
            <w:r w:rsidRPr="00351BA4">
              <w:rPr>
                <w:rFonts w:cs="Arial"/>
                <w:sz w:val="22"/>
              </w:rPr>
              <w:t xml:space="preserve">Sensor resolution:10 m </w:t>
            </w:r>
          </w:p>
        </w:tc>
      </w:tr>
      <w:tr w:rsidR="00CA5D75" w:rsidRPr="007E73E2" w14:paraId="7C20ACED" w14:textId="77777777" w:rsidTr="008F1F41">
        <w:trPr>
          <w:cantSplit/>
          <w:trHeight w:val="397"/>
          <w:jc w:val="center"/>
        </w:trPr>
        <w:tc>
          <w:tcPr>
            <w:tcW w:w="4461" w:type="dxa"/>
            <w:vAlign w:val="center"/>
          </w:tcPr>
          <w:p w14:paraId="411035E1" w14:textId="77777777" w:rsidR="00CA5D75" w:rsidRPr="00351BA4" w:rsidRDefault="00CA5D75" w:rsidP="00CA5D75">
            <w:pPr>
              <w:pStyle w:val="Table"/>
              <w:rPr>
                <w:sz w:val="22"/>
              </w:rPr>
            </w:pPr>
            <w:r w:rsidRPr="00351BA4">
              <w:rPr>
                <w:rFonts w:cs="Arial"/>
                <w:sz w:val="22"/>
              </w:rPr>
              <w:t>Coverage (top L, BR coordinates): Europe</w:t>
            </w:r>
          </w:p>
        </w:tc>
        <w:tc>
          <w:tcPr>
            <w:tcW w:w="4064" w:type="dxa"/>
            <w:vAlign w:val="center"/>
          </w:tcPr>
          <w:p w14:paraId="25EFD08E" w14:textId="77777777" w:rsidR="00CA5D75" w:rsidRPr="00351BA4" w:rsidRDefault="00CA5D75" w:rsidP="00CA5D75">
            <w:pPr>
              <w:pStyle w:val="Table"/>
              <w:rPr>
                <w:sz w:val="22"/>
              </w:rPr>
            </w:pPr>
            <w:r w:rsidRPr="00351BA4">
              <w:rPr>
                <w:rFonts w:cs="Arial"/>
                <w:sz w:val="22"/>
              </w:rPr>
              <w:t xml:space="preserve">Acquisition date: </w:t>
            </w:r>
          </w:p>
        </w:tc>
      </w:tr>
      <w:tr w:rsidR="00CA5D75" w:rsidRPr="007E73E2" w14:paraId="6067CE4E" w14:textId="77777777" w:rsidTr="008F1F41">
        <w:trPr>
          <w:cantSplit/>
          <w:trHeight w:val="397"/>
          <w:jc w:val="center"/>
        </w:trPr>
        <w:tc>
          <w:tcPr>
            <w:tcW w:w="4461" w:type="dxa"/>
            <w:vAlign w:val="center"/>
          </w:tcPr>
          <w:p w14:paraId="0C96FC08" w14:textId="18450CB7" w:rsidR="00CA5D75" w:rsidRPr="00351BA4" w:rsidRDefault="00CA5D75" w:rsidP="00CA5D75">
            <w:pPr>
              <w:pStyle w:val="Table"/>
              <w:rPr>
                <w:sz w:val="22"/>
              </w:rPr>
            </w:pPr>
            <w:r w:rsidRPr="00351BA4">
              <w:rPr>
                <w:rFonts w:cs="Arial"/>
                <w:sz w:val="22"/>
              </w:rPr>
              <w:t>Grid size: 10 x 10 m</w:t>
            </w:r>
          </w:p>
        </w:tc>
        <w:tc>
          <w:tcPr>
            <w:tcW w:w="4064" w:type="dxa"/>
            <w:vAlign w:val="center"/>
          </w:tcPr>
          <w:p w14:paraId="174F832B" w14:textId="77777777" w:rsidR="00CA5D75" w:rsidRPr="00351BA4" w:rsidRDefault="00CA5D75" w:rsidP="00CA5D75">
            <w:pPr>
              <w:pStyle w:val="Table"/>
              <w:rPr>
                <w:sz w:val="22"/>
              </w:rPr>
            </w:pPr>
            <w:r w:rsidRPr="00351BA4">
              <w:rPr>
                <w:rFonts w:cs="Arial"/>
                <w:sz w:val="22"/>
              </w:rPr>
              <w:t>Grid size: -</w:t>
            </w:r>
          </w:p>
        </w:tc>
      </w:tr>
      <w:tr w:rsidR="00CA5D75" w:rsidRPr="007E73E2" w14:paraId="1932915D" w14:textId="77777777" w:rsidTr="008F1F41">
        <w:trPr>
          <w:cantSplit/>
          <w:trHeight w:val="397"/>
          <w:jc w:val="center"/>
        </w:trPr>
        <w:tc>
          <w:tcPr>
            <w:tcW w:w="4461" w:type="dxa"/>
            <w:vAlign w:val="center"/>
          </w:tcPr>
          <w:p w14:paraId="09625D55" w14:textId="77777777" w:rsidR="00CA5D75" w:rsidRPr="00351BA4" w:rsidRDefault="00CA5D75" w:rsidP="00CA5D75">
            <w:pPr>
              <w:pStyle w:val="Table"/>
              <w:rPr>
                <w:sz w:val="22"/>
              </w:rPr>
            </w:pPr>
            <w:r w:rsidRPr="00351BA4">
              <w:rPr>
                <w:rFonts w:cs="Arial"/>
                <w:sz w:val="22"/>
              </w:rPr>
              <w:t>Position accuracy: -</w:t>
            </w:r>
          </w:p>
        </w:tc>
        <w:tc>
          <w:tcPr>
            <w:tcW w:w="4064" w:type="dxa"/>
            <w:vAlign w:val="center"/>
          </w:tcPr>
          <w:p w14:paraId="1DA334F0" w14:textId="77777777" w:rsidR="00CA5D75" w:rsidRPr="00351BA4" w:rsidRDefault="00CA5D75" w:rsidP="00CA5D75">
            <w:pPr>
              <w:pStyle w:val="Table"/>
              <w:rPr>
                <w:sz w:val="22"/>
              </w:rPr>
            </w:pPr>
            <w:r w:rsidRPr="00351BA4">
              <w:rPr>
                <w:rFonts w:cs="Arial"/>
                <w:sz w:val="22"/>
              </w:rPr>
              <w:t>Positional accuracy: -</w:t>
            </w:r>
          </w:p>
        </w:tc>
      </w:tr>
      <w:tr w:rsidR="00CA5D75" w:rsidRPr="007E73E2" w14:paraId="58781C38" w14:textId="77777777" w:rsidTr="008F1F41">
        <w:trPr>
          <w:cantSplit/>
          <w:trHeight w:val="397"/>
          <w:jc w:val="center"/>
        </w:trPr>
        <w:tc>
          <w:tcPr>
            <w:tcW w:w="4461" w:type="dxa"/>
            <w:vAlign w:val="center"/>
          </w:tcPr>
          <w:p w14:paraId="43FF5CC6" w14:textId="77777777" w:rsidR="00CA5D75" w:rsidRPr="00351BA4" w:rsidRDefault="00CA5D75" w:rsidP="00CA5D75">
            <w:pPr>
              <w:pStyle w:val="Table"/>
              <w:rPr>
                <w:sz w:val="22"/>
              </w:rPr>
            </w:pPr>
            <w:r w:rsidRPr="00351BA4">
              <w:rPr>
                <w:rFonts w:cs="Arial"/>
                <w:sz w:val="22"/>
              </w:rPr>
              <w:t>Vertical accuracy: -</w:t>
            </w:r>
          </w:p>
        </w:tc>
        <w:tc>
          <w:tcPr>
            <w:tcW w:w="4064" w:type="dxa"/>
            <w:vAlign w:val="center"/>
          </w:tcPr>
          <w:p w14:paraId="3696F66A" w14:textId="77777777" w:rsidR="00CA5D75" w:rsidRPr="00351BA4" w:rsidRDefault="00CA5D75" w:rsidP="00CA5D75">
            <w:pPr>
              <w:pStyle w:val="Table"/>
              <w:rPr>
                <w:sz w:val="22"/>
              </w:rPr>
            </w:pPr>
            <w:r w:rsidRPr="00351BA4">
              <w:rPr>
                <w:rFonts w:cs="Arial"/>
                <w:sz w:val="22"/>
              </w:rPr>
              <w:t>Vertical accuracy: -</w:t>
            </w:r>
          </w:p>
        </w:tc>
      </w:tr>
      <w:tr w:rsidR="00CA5D75" w:rsidRPr="007E73E2" w14:paraId="21DC4905" w14:textId="77777777" w:rsidTr="008F1F41">
        <w:trPr>
          <w:cantSplit/>
          <w:trHeight w:val="397"/>
          <w:jc w:val="center"/>
        </w:trPr>
        <w:tc>
          <w:tcPr>
            <w:tcW w:w="8525" w:type="dxa"/>
            <w:gridSpan w:val="2"/>
            <w:vAlign w:val="center"/>
          </w:tcPr>
          <w:p w14:paraId="12DF76C6" w14:textId="77777777" w:rsidR="00CA5D75" w:rsidRPr="00351BA4" w:rsidRDefault="00CA5D75" w:rsidP="00CA5D75">
            <w:pPr>
              <w:pStyle w:val="Table"/>
              <w:rPr>
                <w:sz w:val="22"/>
              </w:rPr>
            </w:pPr>
            <w:r w:rsidRPr="00351BA4">
              <w:rPr>
                <w:rFonts w:cs="Arial"/>
                <w:sz w:val="22"/>
              </w:rPr>
              <w:t>Completeness: Complete</w:t>
            </w:r>
          </w:p>
        </w:tc>
      </w:tr>
      <w:tr w:rsidR="00CA5D75" w:rsidRPr="007E73E2" w14:paraId="2250A896" w14:textId="77777777" w:rsidTr="008F1F41">
        <w:trPr>
          <w:cantSplit/>
          <w:trHeight w:val="397"/>
          <w:jc w:val="center"/>
        </w:trPr>
        <w:tc>
          <w:tcPr>
            <w:tcW w:w="8525" w:type="dxa"/>
            <w:gridSpan w:val="2"/>
            <w:vAlign w:val="center"/>
          </w:tcPr>
          <w:p w14:paraId="1AEA1C69" w14:textId="77777777" w:rsidR="00CA5D75" w:rsidRPr="00351BA4" w:rsidRDefault="00CA5D75" w:rsidP="00CA5D75">
            <w:pPr>
              <w:pStyle w:val="Table"/>
              <w:rPr>
                <w:sz w:val="22"/>
              </w:rPr>
            </w:pPr>
            <w:r w:rsidRPr="00351BA4">
              <w:rPr>
                <w:rFonts w:cs="Arial"/>
                <w:sz w:val="22"/>
              </w:rPr>
              <w:t>File type, format: Raster</w:t>
            </w:r>
          </w:p>
        </w:tc>
      </w:tr>
    </w:tbl>
    <w:p w14:paraId="439BC506" w14:textId="12F9D2CA" w:rsidR="009619C8" w:rsidRPr="00CA5D75" w:rsidRDefault="009619C8" w:rsidP="009619C8">
      <w:pPr>
        <w:pStyle w:val="Caption"/>
        <w:rPr>
          <w:rFonts w:asciiTheme="majorHAnsi" w:hAnsiTheme="majorHAnsi" w:cs="Arial"/>
          <w:sz w:val="22"/>
          <w:szCs w:val="22"/>
        </w:rPr>
      </w:pPr>
      <w:bookmarkStart w:id="86" w:name="_Toc91575576"/>
      <w:r>
        <w:lastRenderedPageBreak/>
        <w:t xml:space="preserve">Table </w:t>
      </w:r>
      <w:r>
        <w:fldChar w:fldCharType="begin"/>
      </w:r>
      <w:r>
        <w:instrText xml:space="preserve"> SEQ Table \* ARABIC </w:instrText>
      </w:r>
      <w:r>
        <w:fldChar w:fldCharType="separate"/>
      </w:r>
      <w:r w:rsidR="000655D3">
        <w:rPr>
          <w:noProof/>
        </w:rPr>
        <w:t>9</w:t>
      </w:r>
      <w:r>
        <w:fldChar w:fldCharType="end"/>
      </w:r>
      <w:r>
        <w:t xml:space="preserve">: Land Cover </w:t>
      </w:r>
      <w:r w:rsidRPr="00A30259">
        <w:t>Classes of the S2CLG layer.</w:t>
      </w:r>
      <w:bookmarkEnd w:id="86"/>
    </w:p>
    <w:tbl>
      <w:tblPr>
        <w:tblStyle w:val="TableGrid"/>
        <w:tblW w:w="5949" w:type="dxa"/>
        <w:jc w:val="center"/>
        <w:tblLook w:val="04A0" w:firstRow="1" w:lastRow="0" w:firstColumn="1" w:lastColumn="0" w:noHBand="0" w:noVBand="1"/>
      </w:tblPr>
      <w:tblGrid>
        <w:gridCol w:w="1555"/>
        <w:gridCol w:w="584"/>
        <w:gridCol w:w="3810"/>
      </w:tblGrid>
      <w:tr w:rsidR="00374FCC" w:rsidRPr="007E73E2" w14:paraId="16ABDEE6" w14:textId="77777777" w:rsidTr="00F81BA6">
        <w:trPr>
          <w:trHeight w:val="397"/>
          <w:tblHeader/>
          <w:jc w:val="center"/>
        </w:trPr>
        <w:tc>
          <w:tcPr>
            <w:tcW w:w="1555" w:type="dxa"/>
            <w:vMerge w:val="restart"/>
            <w:shd w:val="clear" w:color="auto" w:fill="DBE0F4" w:themeFill="accent1" w:themeFillTint="33"/>
            <w:noWrap/>
            <w:vAlign w:val="center"/>
            <w:hideMark/>
          </w:tcPr>
          <w:p w14:paraId="030E7233" w14:textId="77777777" w:rsidR="00374FCC" w:rsidRPr="00351BA4" w:rsidRDefault="00374FCC" w:rsidP="008F1F41">
            <w:pPr>
              <w:pStyle w:val="Table"/>
              <w:jc w:val="center"/>
              <w:rPr>
                <w:rStyle w:val="Strong"/>
                <w:bCs w:val="0"/>
              </w:rPr>
            </w:pPr>
            <w:r w:rsidRPr="00351BA4">
              <w:rPr>
                <w:rStyle w:val="Strong"/>
                <w:bCs w:val="0"/>
              </w:rPr>
              <w:t>BASEMAP LAYER</w:t>
            </w:r>
          </w:p>
        </w:tc>
        <w:tc>
          <w:tcPr>
            <w:tcW w:w="4394" w:type="dxa"/>
            <w:gridSpan w:val="2"/>
            <w:shd w:val="clear" w:color="auto" w:fill="DBE0F4" w:themeFill="accent1" w:themeFillTint="33"/>
            <w:vAlign w:val="center"/>
          </w:tcPr>
          <w:p w14:paraId="5C3FCD17" w14:textId="5F08B83C" w:rsidR="00374FCC" w:rsidRPr="00351BA4" w:rsidRDefault="008443BE" w:rsidP="008F1F41">
            <w:pPr>
              <w:pStyle w:val="Table"/>
              <w:jc w:val="center"/>
              <w:rPr>
                <w:rStyle w:val="Strong"/>
                <w:bCs w:val="0"/>
              </w:rPr>
            </w:pPr>
            <w:r w:rsidRPr="00351BA4">
              <w:rPr>
                <w:rStyle w:val="Strong"/>
                <w:bCs w:val="0"/>
              </w:rPr>
              <w:t>L</w:t>
            </w:r>
            <w:r w:rsidRPr="00351BA4">
              <w:rPr>
                <w:rStyle w:val="Strong"/>
              </w:rPr>
              <w:t xml:space="preserve">and Cover </w:t>
            </w:r>
            <w:r w:rsidR="00374FCC" w:rsidRPr="00351BA4">
              <w:rPr>
                <w:rStyle w:val="Strong"/>
                <w:bCs w:val="0"/>
              </w:rPr>
              <w:t>Classes</w:t>
            </w:r>
          </w:p>
        </w:tc>
      </w:tr>
      <w:tr w:rsidR="00374FCC" w:rsidRPr="007E73E2" w14:paraId="042C2856" w14:textId="77777777" w:rsidTr="009619C8">
        <w:trPr>
          <w:trHeight w:val="397"/>
          <w:tblHeader/>
          <w:jc w:val="center"/>
        </w:trPr>
        <w:tc>
          <w:tcPr>
            <w:tcW w:w="1555" w:type="dxa"/>
            <w:vMerge/>
            <w:shd w:val="clear" w:color="auto" w:fill="DBE0F4" w:themeFill="accent1" w:themeFillTint="33"/>
            <w:noWrap/>
            <w:vAlign w:val="center"/>
          </w:tcPr>
          <w:p w14:paraId="5A92EB7B" w14:textId="77777777" w:rsidR="00374FCC" w:rsidRPr="00351BA4" w:rsidRDefault="00374FCC" w:rsidP="008F1F41">
            <w:pPr>
              <w:pStyle w:val="Table"/>
              <w:jc w:val="center"/>
              <w:rPr>
                <w:rStyle w:val="Strong"/>
                <w:bCs w:val="0"/>
              </w:rPr>
            </w:pPr>
          </w:p>
        </w:tc>
        <w:tc>
          <w:tcPr>
            <w:tcW w:w="584" w:type="dxa"/>
            <w:shd w:val="clear" w:color="auto" w:fill="DBE0F4" w:themeFill="accent1" w:themeFillTint="33"/>
            <w:vAlign w:val="center"/>
          </w:tcPr>
          <w:p w14:paraId="5160A3ED" w14:textId="77777777" w:rsidR="00374FCC" w:rsidRPr="00351BA4" w:rsidRDefault="00374FCC" w:rsidP="008F1F41">
            <w:pPr>
              <w:pStyle w:val="Table"/>
              <w:jc w:val="center"/>
              <w:rPr>
                <w:rStyle w:val="Strong"/>
                <w:bCs w:val="0"/>
              </w:rPr>
            </w:pPr>
            <w:r w:rsidRPr="00351BA4">
              <w:rPr>
                <w:rStyle w:val="Strong"/>
                <w:bCs w:val="0"/>
              </w:rPr>
              <w:t>ID</w:t>
            </w:r>
          </w:p>
        </w:tc>
        <w:tc>
          <w:tcPr>
            <w:tcW w:w="3810" w:type="dxa"/>
            <w:shd w:val="clear" w:color="auto" w:fill="DBE0F4" w:themeFill="accent1" w:themeFillTint="33"/>
            <w:vAlign w:val="center"/>
          </w:tcPr>
          <w:p w14:paraId="037D9790" w14:textId="77777777" w:rsidR="00374FCC" w:rsidRPr="00351BA4" w:rsidRDefault="00374FCC" w:rsidP="008F1F41">
            <w:pPr>
              <w:pStyle w:val="Table"/>
              <w:jc w:val="center"/>
              <w:rPr>
                <w:rStyle w:val="Strong"/>
                <w:bCs w:val="0"/>
              </w:rPr>
            </w:pPr>
            <w:r w:rsidRPr="00351BA4">
              <w:rPr>
                <w:rStyle w:val="Strong"/>
                <w:bCs w:val="0"/>
              </w:rPr>
              <w:t>Name</w:t>
            </w:r>
          </w:p>
        </w:tc>
      </w:tr>
      <w:tr w:rsidR="00374FCC" w:rsidRPr="007E73E2" w14:paraId="631A3D11" w14:textId="77777777" w:rsidTr="009619C8">
        <w:trPr>
          <w:trHeight w:val="397"/>
          <w:jc w:val="center"/>
        </w:trPr>
        <w:tc>
          <w:tcPr>
            <w:tcW w:w="1555" w:type="dxa"/>
            <w:vMerge w:val="restart"/>
            <w:noWrap/>
            <w:vAlign w:val="center"/>
          </w:tcPr>
          <w:p w14:paraId="2D14277C" w14:textId="77777777" w:rsidR="00374FCC" w:rsidRPr="00351BA4" w:rsidRDefault="00374FCC" w:rsidP="008F1F41">
            <w:pPr>
              <w:spacing w:line="240" w:lineRule="auto"/>
              <w:jc w:val="center"/>
              <w:rPr>
                <w:rFonts w:cs="Arial"/>
              </w:rPr>
            </w:pPr>
            <w:r w:rsidRPr="00351BA4">
              <w:rPr>
                <w:rFonts w:cs="Arial"/>
              </w:rPr>
              <w:t>Land Cover Map of Europe 2017 (S2GLC)</w:t>
            </w:r>
          </w:p>
        </w:tc>
        <w:tc>
          <w:tcPr>
            <w:tcW w:w="584" w:type="dxa"/>
            <w:vAlign w:val="center"/>
          </w:tcPr>
          <w:p w14:paraId="793B9B62" w14:textId="77777777" w:rsidR="00374FCC" w:rsidRPr="00351BA4" w:rsidRDefault="00374FCC" w:rsidP="008F1F41">
            <w:pPr>
              <w:spacing w:line="240" w:lineRule="auto"/>
              <w:jc w:val="center"/>
              <w:rPr>
                <w:rFonts w:cs="Arial"/>
              </w:rPr>
            </w:pPr>
            <w:r w:rsidRPr="00351BA4">
              <w:rPr>
                <w:rFonts w:cs="Arial"/>
              </w:rPr>
              <w:t>0</w:t>
            </w:r>
          </w:p>
        </w:tc>
        <w:tc>
          <w:tcPr>
            <w:tcW w:w="3810" w:type="dxa"/>
            <w:vAlign w:val="center"/>
          </w:tcPr>
          <w:p w14:paraId="7EC4E88C" w14:textId="77777777" w:rsidR="00374FCC" w:rsidRPr="00351BA4" w:rsidRDefault="00374FCC" w:rsidP="00F81BA6">
            <w:pPr>
              <w:spacing w:line="240" w:lineRule="auto"/>
              <w:jc w:val="left"/>
              <w:rPr>
                <w:rFonts w:cs="Arial"/>
              </w:rPr>
            </w:pPr>
            <w:r w:rsidRPr="00351BA4">
              <w:rPr>
                <w:rFonts w:cs="Arial"/>
              </w:rPr>
              <w:t>Clouds</w:t>
            </w:r>
          </w:p>
        </w:tc>
      </w:tr>
      <w:tr w:rsidR="00374FCC" w:rsidRPr="007E73E2" w14:paraId="74C98D0E" w14:textId="77777777" w:rsidTr="009619C8">
        <w:trPr>
          <w:trHeight w:val="397"/>
          <w:jc w:val="center"/>
        </w:trPr>
        <w:tc>
          <w:tcPr>
            <w:tcW w:w="1555" w:type="dxa"/>
            <w:vMerge/>
            <w:noWrap/>
            <w:vAlign w:val="center"/>
          </w:tcPr>
          <w:p w14:paraId="00A598E9" w14:textId="77777777" w:rsidR="00374FCC" w:rsidRPr="00351BA4" w:rsidRDefault="00374FCC" w:rsidP="008F1F41">
            <w:pPr>
              <w:spacing w:line="240" w:lineRule="auto"/>
              <w:jc w:val="center"/>
              <w:rPr>
                <w:rFonts w:cs="Arial"/>
              </w:rPr>
            </w:pPr>
          </w:p>
        </w:tc>
        <w:tc>
          <w:tcPr>
            <w:tcW w:w="584" w:type="dxa"/>
            <w:vAlign w:val="center"/>
          </w:tcPr>
          <w:p w14:paraId="6BE7CD0D" w14:textId="77777777" w:rsidR="00374FCC" w:rsidRPr="00351BA4" w:rsidRDefault="00374FCC" w:rsidP="008F1F41">
            <w:pPr>
              <w:spacing w:line="240" w:lineRule="auto"/>
              <w:jc w:val="center"/>
              <w:rPr>
                <w:rFonts w:cs="Arial"/>
              </w:rPr>
            </w:pPr>
            <w:r w:rsidRPr="00351BA4">
              <w:rPr>
                <w:rFonts w:cs="Arial"/>
              </w:rPr>
              <w:t>62</w:t>
            </w:r>
          </w:p>
        </w:tc>
        <w:tc>
          <w:tcPr>
            <w:tcW w:w="3810" w:type="dxa"/>
            <w:vAlign w:val="center"/>
          </w:tcPr>
          <w:p w14:paraId="36B26496" w14:textId="77777777" w:rsidR="00374FCC" w:rsidRPr="00351BA4" w:rsidRDefault="00374FCC" w:rsidP="00F81BA6">
            <w:pPr>
              <w:spacing w:line="240" w:lineRule="auto"/>
              <w:jc w:val="left"/>
              <w:rPr>
                <w:rFonts w:cs="Arial"/>
              </w:rPr>
            </w:pPr>
            <w:r w:rsidRPr="00351BA4">
              <w:rPr>
                <w:rFonts w:cs="Arial"/>
              </w:rPr>
              <w:t>Artificial surfaces and constructions</w:t>
            </w:r>
          </w:p>
        </w:tc>
      </w:tr>
      <w:tr w:rsidR="00374FCC" w:rsidRPr="007E73E2" w14:paraId="38AE686E" w14:textId="77777777" w:rsidTr="009619C8">
        <w:trPr>
          <w:trHeight w:val="397"/>
          <w:jc w:val="center"/>
        </w:trPr>
        <w:tc>
          <w:tcPr>
            <w:tcW w:w="1555" w:type="dxa"/>
            <w:vMerge/>
            <w:noWrap/>
            <w:vAlign w:val="center"/>
          </w:tcPr>
          <w:p w14:paraId="7335459F" w14:textId="77777777" w:rsidR="00374FCC" w:rsidRPr="00351BA4" w:rsidRDefault="00374FCC" w:rsidP="008F1F41">
            <w:pPr>
              <w:spacing w:line="240" w:lineRule="auto"/>
              <w:jc w:val="center"/>
              <w:rPr>
                <w:rFonts w:cs="Arial"/>
              </w:rPr>
            </w:pPr>
          </w:p>
        </w:tc>
        <w:tc>
          <w:tcPr>
            <w:tcW w:w="584" w:type="dxa"/>
            <w:vAlign w:val="center"/>
          </w:tcPr>
          <w:p w14:paraId="5DBCE88F" w14:textId="77777777" w:rsidR="00374FCC" w:rsidRPr="00351BA4" w:rsidRDefault="00374FCC" w:rsidP="008F1F41">
            <w:pPr>
              <w:spacing w:line="240" w:lineRule="auto"/>
              <w:jc w:val="center"/>
              <w:rPr>
                <w:rFonts w:cs="Arial"/>
              </w:rPr>
            </w:pPr>
            <w:r w:rsidRPr="00351BA4">
              <w:rPr>
                <w:rFonts w:cs="Arial"/>
              </w:rPr>
              <w:t>73</w:t>
            </w:r>
          </w:p>
        </w:tc>
        <w:tc>
          <w:tcPr>
            <w:tcW w:w="3810" w:type="dxa"/>
            <w:vAlign w:val="center"/>
          </w:tcPr>
          <w:p w14:paraId="3332A345" w14:textId="77777777" w:rsidR="00374FCC" w:rsidRPr="00351BA4" w:rsidRDefault="00374FCC" w:rsidP="00F81BA6">
            <w:pPr>
              <w:spacing w:line="240" w:lineRule="auto"/>
              <w:jc w:val="left"/>
              <w:rPr>
                <w:rFonts w:cs="Arial"/>
              </w:rPr>
            </w:pPr>
            <w:r w:rsidRPr="00351BA4">
              <w:rPr>
                <w:rFonts w:cs="Arial"/>
              </w:rPr>
              <w:t>Cultivated areas</w:t>
            </w:r>
          </w:p>
        </w:tc>
      </w:tr>
      <w:tr w:rsidR="00374FCC" w:rsidRPr="007E73E2" w14:paraId="71EB5EAF" w14:textId="77777777" w:rsidTr="009619C8">
        <w:trPr>
          <w:trHeight w:val="397"/>
          <w:jc w:val="center"/>
        </w:trPr>
        <w:tc>
          <w:tcPr>
            <w:tcW w:w="1555" w:type="dxa"/>
            <w:vMerge/>
            <w:noWrap/>
            <w:vAlign w:val="center"/>
          </w:tcPr>
          <w:p w14:paraId="15E9200D" w14:textId="77777777" w:rsidR="00374FCC" w:rsidRPr="00351BA4" w:rsidRDefault="00374FCC" w:rsidP="008F1F41">
            <w:pPr>
              <w:spacing w:line="240" w:lineRule="auto"/>
              <w:jc w:val="center"/>
              <w:rPr>
                <w:rFonts w:cs="Arial"/>
              </w:rPr>
            </w:pPr>
          </w:p>
        </w:tc>
        <w:tc>
          <w:tcPr>
            <w:tcW w:w="584" w:type="dxa"/>
            <w:vAlign w:val="center"/>
          </w:tcPr>
          <w:p w14:paraId="2B7F4F44" w14:textId="77777777" w:rsidR="00374FCC" w:rsidRPr="00351BA4" w:rsidRDefault="00374FCC" w:rsidP="008F1F41">
            <w:pPr>
              <w:spacing w:line="240" w:lineRule="auto"/>
              <w:jc w:val="center"/>
              <w:rPr>
                <w:rFonts w:cs="Arial"/>
              </w:rPr>
            </w:pPr>
            <w:r w:rsidRPr="00351BA4">
              <w:rPr>
                <w:rFonts w:cs="Arial"/>
              </w:rPr>
              <w:t>75</w:t>
            </w:r>
          </w:p>
        </w:tc>
        <w:tc>
          <w:tcPr>
            <w:tcW w:w="3810" w:type="dxa"/>
            <w:vAlign w:val="center"/>
          </w:tcPr>
          <w:p w14:paraId="4E10B48D" w14:textId="77777777" w:rsidR="00374FCC" w:rsidRPr="00351BA4" w:rsidRDefault="00374FCC" w:rsidP="00F81BA6">
            <w:pPr>
              <w:spacing w:line="240" w:lineRule="auto"/>
              <w:jc w:val="left"/>
              <w:rPr>
                <w:rFonts w:cs="Arial"/>
              </w:rPr>
            </w:pPr>
            <w:r w:rsidRPr="00351BA4">
              <w:rPr>
                <w:rFonts w:cs="Arial"/>
              </w:rPr>
              <w:t>Vineyards</w:t>
            </w:r>
          </w:p>
        </w:tc>
      </w:tr>
      <w:tr w:rsidR="00374FCC" w:rsidRPr="007E73E2" w14:paraId="0BE16FAE" w14:textId="77777777" w:rsidTr="009619C8">
        <w:trPr>
          <w:trHeight w:val="397"/>
          <w:jc w:val="center"/>
        </w:trPr>
        <w:tc>
          <w:tcPr>
            <w:tcW w:w="1555" w:type="dxa"/>
            <w:vMerge/>
            <w:noWrap/>
            <w:vAlign w:val="center"/>
          </w:tcPr>
          <w:p w14:paraId="6D9C5B21" w14:textId="77777777" w:rsidR="00374FCC" w:rsidRPr="00351BA4" w:rsidRDefault="00374FCC" w:rsidP="008F1F41">
            <w:pPr>
              <w:spacing w:line="240" w:lineRule="auto"/>
              <w:jc w:val="center"/>
              <w:rPr>
                <w:rFonts w:cs="Arial"/>
              </w:rPr>
            </w:pPr>
          </w:p>
        </w:tc>
        <w:tc>
          <w:tcPr>
            <w:tcW w:w="584" w:type="dxa"/>
            <w:vAlign w:val="center"/>
          </w:tcPr>
          <w:p w14:paraId="2260EF0F" w14:textId="77777777" w:rsidR="00374FCC" w:rsidRPr="00351BA4" w:rsidRDefault="00374FCC" w:rsidP="008F1F41">
            <w:pPr>
              <w:spacing w:line="240" w:lineRule="auto"/>
              <w:jc w:val="center"/>
              <w:rPr>
                <w:rFonts w:cs="Arial"/>
              </w:rPr>
            </w:pPr>
            <w:r w:rsidRPr="00351BA4">
              <w:rPr>
                <w:rFonts w:cs="Arial"/>
              </w:rPr>
              <w:t>82</w:t>
            </w:r>
          </w:p>
        </w:tc>
        <w:tc>
          <w:tcPr>
            <w:tcW w:w="3810" w:type="dxa"/>
            <w:vAlign w:val="center"/>
          </w:tcPr>
          <w:p w14:paraId="7BBFE5D7" w14:textId="77777777" w:rsidR="00374FCC" w:rsidRPr="00351BA4" w:rsidRDefault="00374FCC" w:rsidP="00F81BA6">
            <w:pPr>
              <w:spacing w:line="240" w:lineRule="auto"/>
              <w:jc w:val="left"/>
              <w:rPr>
                <w:rFonts w:cs="Arial"/>
              </w:rPr>
            </w:pPr>
            <w:r w:rsidRPr="00351BA4">
              <w:rPr>
                <w:rFonts w:cs="Arial"/>
              </w:rPr>
              <w:t>Broadleaf tree cover</w:t>
            </w:r>
          </w:p>
        </w:tc>
      </w:tr>
      <w:tr w:rsidR="00374FCC" w:rsidRPr="007E73E2" w14:paraId="7181938E" w14:textId="77777777" w:rsidTr="009619C8">
        <w:trPr>
          <w:trHeight w:val="397"/>
          <w:jc w:val="center"/>
        </w:trPr>
        <w:tc>
          <w:tcPr>
            <w:tcW w:w="1555" w:type="dxa"/>
            <w:vMerge/>
            <w:noWrap/>
            <w:vAlign w:val="center"/>
          </w:tcPr>
          <w:p w14:paraId="62862260" w14:textId="77777777" w:rsidR="00374FCC" w:rsidRPr="00351BA4" w:rsidRDefault="00374FCC" w:rsidP="008F1F41">
            <w:pPr>
              <w:spacing w:line="240" w:lineRule="auto"/>
              <w:jc w:val="center"/>
              <w:rPr>
                <w:rFonts w:cs="Arial"/>
              </w:rPr>
            </w:pPr>
          </w:p>
        </w:tc>
        <w:tc>
          <w:tcPr>
            <w:tcW w:w="584" w:type="dxa"/>
            <w:vAlign w:val="center"/>
          </w:tcPr>
          <w:p w14:paraId="4EE1B79B" w14:textId="77777777" w:rsidR="00374FCC" w:rsidRPr="00351BA4" w:rsidRDefault="00374FCC" w:rsidP="008F1F41">
            <w:pPr>
              <w:spacing w:line="240" w:lineRule="auto"/>
              <w:jc w:val="center"/>
              <w:rPr>
                <w:rFonts w:cs="Arial"/>
              </w:rPr>
            </w:pPr>
            <w:r w:rsidRPr="00351BA4">
              <w:rPr>
                <w:rFonts w:cs="Arial"/>
              </w:rPr>
              <w:t>83</w:t>
            </w:r>
          </w:p>
        </w:tc>
        <w:tc>
          <w:tcPr>
            <w:tcW w:w="3810" w:type="dxa"/>
            <w:vAlign w:val="center"/>
          </w:tcPr>
          <w:p w14:paraId="444DA361" w14:textId="77777777" w:rsidR="00374FCC" w:rsidRPr="00351BA4" w:rsidRDefault="00374FCC" w:rsidP="00F81BA6">
            <w:pPr>
              <w:spacing w:line="240" w:lineRule="auto"/>
              <w:jc w:val="left"/>
              <w:rPr>
                <w:rFonts w:cs="Arial"/>
              </w:rPr>
            </w:pPr>
            <w:r w:rsidRPr="00351BA4">
              <w:rPr>
                <w:rFonts w:cs="Arial"/>
              </w:rPr>
              <w:t>Coniferous tree cover</w:t>
            </w:r>
          </w:p>
        </w:tc>
      </w:tr>
      <w:tr w:rsidR="00374FCC" w:rsidRPr="007E73E2" w14:paraId="4A3E5DD1" w14:textId="77777777" w:rsidTr="009619C8">
        <w:trPr>
          <w:trHeight w:val="397"/>
          <w:jc w:val="center"/>
        </w:trPr>
        <w:tc>
          <w:tcPr>
            <w:tcW w:w="1555" w:type="dxa"/>
            <w:vMerge/>
            <w:noWrap/>
            <w:vAlign w:val="center"/>
          </w:tcPr>
          <w:p w14:paraId="1306AE31" w14:textId="77777777" w:rsidR="00374FCC" w:rsidRPr="00351BA4" w:rsidRDefault="00374FCC" w:rsidP="008F1F41">
            <w:pPr>
              <w:spacing w:line="240" w:lineRule="auto"/>
              <w:jc w:val="center"/>
              <w:rPr>
                <w:rFonts w:cs="Arial"/>
              </w:rPr>
            </w:pPr>
          </w:p>
        </w:tc>
        <w:tc>
          <w:tcPr>
            <w:tcW w:w="584" w:type="dxa"/>
            <w:vAlign w:val="center"/>
          </w:tcPr>
          <w:p w14:paraId="02554E2B" w14:textId="77777777" w:rsidR="00374FCC" w:rsidRPr="00351BA4" w:rsidRDefault="00374FCC" w:rsidP="008F1F41">
            <w:pPr>
              <w:spacing w:line="240" w:lineRule="auto"/>
              <w:jc w:val="center"/>
              <w:rPr>
                <w:rFonts w:cs="Arial"/>
              </w:rPr>
            </w:pPr>
            <w:r w:rsidRPr="00351BA4">
              <w:rPr>
                <w:rFonts w:cs="Arial"/>
              </w:rPr>
              <w:t>102</w:t>
            </w:r>
          </w:p>
        </w:tc>
        <w:tc>
          <w:tcPr>
            <w:tcW w:w="3810" w:type="dxa"/>
            <w:vAlign w:val="center"/>
          </w:tcPr>
          <w:p w14:paraId="1DA47C39" w14:textId="77777777" w:rsidR="00374FCC" w:rsidRPr="00351BA4" w:rsidRDefault="00374FCC" w:rsidP="00F81BA6">
            <w:pPr>
              <w:spacing w:line="240" w:lineRule="auto"/>
              <w:jc w:val="left"/>
              <w:rPr>
                <w:rFonts w:cs="Arial"/>
              </w:rPr>
            </w:pPr>
            <w:r w:rsidRPr="00351BA4">
              <w:rPr>
                <w:rFonts w:cs="Arial"/>
              </w:rPr>
              <w:t>Herbaceous vegetation</w:t>
            </w:r>
          </w:p>
        </w:tc>
      </w:tr>
      <w:tr w:rsidR="00374FCC" w:rsidRPr="007E73E2" w14:paraId="4F8860FF" w14:textId="77777777" w:rsidTr="009619C8">
        <w:trPr>
          <w:trHeight w:val="397"/>
          <w:jc w:val="center"/>
        </w:trPr>
        <w:tc>
          <w:tcPr>
            <w:tcW w:w="1555" w:type="dxa"/>
            <w:vMerge/>
            <w:noWrap/>
            <w:vAlign w:val="center"/>
          </w:tcPr>
          <w:p w14:paraId="55A1F3DD" w14:textId="77777777" w:rsidR="00374FCC" w:rsidRPr="00351BA4" w:rsidRDefault="00374FCC" w:rsidP="008F1F41">
            <w:pPr>
              <w:spacing w:line="240" w:lineRule="auto"/>
              <w:jc w:val="center"/>
              <w:rPr>
                <w:rFonts w:cs="Arial"/>
              </w:rPr>
            </w:pPr>
          </w:p>
        </w:tc>
        <w:tc>
          <w:tcPr>
            <w:tcW w:w="584" w:type="dxa"/>
            <w:vAlign w:val="center"/>
          </w:tcPr>
          <w:p w14:paraId="4115566D" w14:textId="77777777" w:rsidR="00374FCC" w:rsidRPr="00351BA4" w:rsidRDefault="00374FCC" w:rsidP="008F1F41">
            <w:pPr>
              <w:spacing w:line="240" w:lineRule="auto"/>
              <w:jc w:val="center"/>
              <w:rPr>
                <w:rFonts w:cs="Arial"/>
              </w:rPr>
            </w:pPr>
            <w:r w:rsidRPr="00351BA4">
              <w:rPr>
                <w:rFonts w:cs="Arial"/>
              </w:rPr>
              <w:t>103</w:t>
            </w:r>
          </w:p>
        </w:tc>
        <w:tc>
          <w:tcPr>
            <w:tcW w:w="3810" w:type="dxa"/>
            <w:vAlign w:val="center"/>
          </w:tcPr>
          <w:p w14:paraId="6AA17813" w14:textId="77777777" w:rsidR="00374FCC" w:rsidRPr="00351BA4" w:rsidRDefault="00374FCC" w:rsidP="00F81BA6">
            <w:pPr>
              <w:spacing w:line="240" w:lineRule="auto"/>
              <w:jc w:val="left"/>
              <w:rPr>
                <w:rFonts w:cs="Arial"/>
              </w:rPr>
            </w:pPr>
            <w:r w:rsidRPr="00351BA4">
              <w:rPr>
                <w:rFonts w:cs="Arial"/>
              </w:rPr>
              <w:t>Moors and Heathland</w:t>
            </w:r>
          </w:p>
        </w:tc>
      </w:tr>
      <w:tr w:rsidR="00374FCC" w:rsidRPr="007E73E2" w14:paraId="1C05A269" w14:textId="77777777" w:rsidTr="009619C8">
        <w:trPr>
          <w:trHeight w:val="397"/>
          <w:jc w:val="center"/>
        </w:trPr>
        <w:tc>
          <w:tcPr>
            <w:tcW w:w="1555" w:type="dxa"/>
            <w:vMerge/>
            <w:noWrap/>
            <w:vAlign w:val="center"/>
          </w:tcPr>
          <w:p w14:paraId="3DFDE649" w14:textId="77777777" w:rsidR="00374FCC" w:rsidRPr="00351BA4" w:rsidRDefault="00374FCC" w:rsidP="008F1F41">
            <w:pPr>
              <w:spacing w:line="240" w:lineRule="auto"/>
              <w:jc w:val="center"/>
              <w:rPr>
                <w:rFonts w:cs="Arial"/>
              </w:rPr>
            </w:pPr>
          </w:p>
        </w:tc>
        <w:tc>
          <w:tcPr>
            <w:tcW w:w="584" w:type="dxa"/>
            <w:vAlign w:val="center"/>
          </w:tcPr>
          <w:p w14:paraId="50785B94" w14:textId="77777777" w:rsidR="00374FCC" w:rsidRPr="00351BA4" w:rsidRDefault="00374FCC" w:rsidP="008F1F41">
            <w:pPr>
              <w:spacing w:line="240" w:lineRule="auto"/>
              <w:jc w:val="center"/>
              <w:rPr>
                <w:rFonts w:cs="Arial"/>
              </w:rPr>
            </w:pPr>
            <w:r w:rsidRPr="00351BA4">
              <w:rPr>
                <w:rFonts w:cs="Arial"/>
              </w:rPr>
              <w:t>104</w:t>
            </w:r>
          </w:p>
        </w:tc>
        <w:tc>
          <w:tcPr>
            <w:tcW w:w="3810" w:type="dxa"/>
            <w:vAlign w:val="center"/>
          </w:tcPr>
          <w:p w14:paraId="345E2D89" w14:textId="77777777" w:rsidR="00374FCC" w:rsidRPr="00351BA4" w:rsidRDefault="00374FCC" w:rsidP="00F81BA6">
            <w:pPr>
              <w:spacing w:line="240" w:lineRule="auto"/>
              <w:jc w:val="left"/>
              <w:rPr>
                <w:rFonts w:cs="Arial"/>
              </w:rPr>
            </w:pPr>
            <w:r w:rsidRPr="00351BA4">
              <w:rPr>
                <w:rFonts w:cs="Arial"/>
              </w:rPr>
              <w:t>Sclerophyllous vegetation</w:t>
            </w:r>
          </w:p>
        </w:tc>
      </w:tr>
      <w:tr w:rsidR="00374FCC" w:rsidRPr="007E73E2" w14:paraId="33A6AFDF" w14:textId="77777777" w:rsidTr="009619C8">
        <w:trPr>
          <w:trHeight w:val="397"/>
          <w:jc w:val="center"/>
        </w:trPr>
        <w:tc>
          <w:tcPr>
            <w:tcW w:w="1555" w:type="dxa"/>
            <w:vMerge/>
            <w:noWrap/>
            <w:vAlign w:val="center"/>
          </w:tcPr>
          <w:p w14:paraId="1F344E1E" w14:textId="77777777" w:rsidR="00374FCC" w:rsidRPr="00351BA4" w:rsidRDefault="00374FCC" w:rsidP="008F1F41">
            <w:pPr>
              <w:spacing w:line="240" w:lineRule="auto"/>
              <w:jc w:val="center"/>
              <w:rPr>
                <w:rFonts w:cs="Arial"/>
              </w:rPr>
            </w:pPr>
          </w:p>
        </w:tc>
        <w:tc>
          <w:tcPr>
            <w:tcW w:w="584" w:type="dxa"/>
            <w:vAlign w:val="center"/>
          </w:tcPr>
          <w:p w14:paraId="34A5A2AD" w14:textId="77777777" w:rsidR="00374FCC" w:rsidRPr="00351BA4" w:rsidRDefault="00374FCC" w:rsidP="008F1F41">
            <w:pPr>
              <w:spacing w:line="240" w:lineRule="auto"/>
              <w:jc w:val="center"/>
              <w:rPr>
                <w:rFonts w:cs="Arial"/>
              </w:rPr>
            </w:pPr>
            <w:r w:rsidRPr="00351BA4">
              <w:rPr>
                <w:rFonts w:cs="Arial"/>
              </w:rPr>
              <w:t>105</w:t>
            </w:r>
          </w:p>
        </w:tc>
        <w:tc>
          <w:tcPr>
            <w:tcW w:w="3810" w:type="dxa"/>
            <w:vAlign w:val="center"/>
          </w:tcPr>
          <w:p w14:paraId="515E8F27" w14:textId="77777777" w:rsidR="00374FCC" w:rsidRPr="00351BA4" w:rsidRDefault="00374FCC" w:rsidP="00F81BA6">
            <w:pPr>
              <w:spacing w:line="240" w:lineRule="auto"/>
              <w:jc w:val="left"/>
              <w:rPr>
                <w:rFonts w:cs="Arial"/>
              </w:rPr>
            </w:pPr>
            <w:r w:rsidRPr="00351BA4">
              <w:rPr>
                <w:rFonts w:cs="Arial"/>
              </w:rPr>
              <w:t>Marshes</w:t>
            </w:r>
          </w:p>
        </w:tc>
      </w:tr>
      <w:tr w:rsidR="00374FCC" w:rsidRPr="007E73E2" w14:paraId="6A1ECFD5" w14:textId="77777777" w:rsidTr="009619C8">
        <w:trPr>
          <w:trHeight w:val="397"/>
          <w:jc w:val="center"/>
        </w:trPr>
        <w:tc>
          <w:tcPr>
            <w:tcW w:w="1555" w:type="dxa"/>
            <w:vMerge/>
            <w:noWrap/>
            <w:vAlign w:val="center"/>
          </w:tcPr>
          <w:p w14:paraId="1CB5DCA6" w14:textId="77777777" w:rsidR="00374FCC" w:rsidRPr="00351BA4" w:rsidRDefault="00374FCC" w:rsidP="008F1F41">
            <w:pPr>
              <w:spacing w:line="240" w:lineRule="auto"/>
              <w:jc w:val="center"/>
              <w:rPr>
                <w:rFonts w:cs="Arial"/>
              </w:rPr>
            </w:pPr>
          </w:p>
        </w:tc>
        <w:tc>
          <w:tcPr>
            <w:tcW w:w="584" w:type="dxa"/>
            <w:vAlign w:val="center"/>
          </w:tcPr>
          <w:p w14:paraId="07DE8F98" w14:textId="77777777" w:rsidR="00374FCC" w:rsidRPr="00351BA4" w:rsidRDefault="00374FCC" w:rsidP="008F1F41">
            <w:pPr>
              <w:spacing w:line="240" w:lineRule="auto"/>
              <w:jc w:val="center"/>
              <w:rPr>
                <w:rFonts w:cs="Arial"/>
              </w:rPr>
            </w:pPr>
            <w:r w:rsidRPr="00351BA4">
              <w:rPr>
                <w:rFonts w:cs="Arial"/>
              </w:rPr>
              <w:t>106</w:t>
            </w:r>
          </w:p>
        </w:tc>
        <w:tc>
          <w:tcPr>
            <w:tcW w:w="3810" w:type="dxa"/>
            <w:vAlign w:val="center"/>
          </w:tcPr>
          <w:p w14:paraId="0037720B" w14:textId="77777777" w:rsidR="00374FCC" w:rsidRPr="00351BA4" w:rsidRDefault="00374FCC" w:rsidP="00F81BA6">
            <w:pPr>
              <w:spacing w:line="240" w:lineRule="auto"/>
              <w:jc w:val="left"/>
              <w:rPr>
                <w:rFonts w:cs="Arial"/>
              </w:rPr>
            </w:pPr>
            <w:r w:rsidRPr="00351BA4">
              <w:rPr>
                <w:rFonts w:cs="Arial"/>
              </w:rPr>
              <w:t>Peatbogs</w:t>
            </w:r>
          </w:p>
        </w:tc>
      </w:tr>
      <w:tr w:rsidR="00374FCC" w:rsidRPr="007E73E2" w14:paraId="2231CE60" w14:textId="77777777" w:rsidTr="009619C8">
        <w:trPr>
          <w:trHeight w:val="397"/>
          <w:jc w:val="center"/>
        </w:trPr>
        <w:tc>
          <w:tcPr>
            <w:tcW w:w="1555" w:type="dxa"/>
            <w:vMerge/>
            <w:noWrap/>
            <w:vAlign w:val="center"/>
          </w:tcPr>
          <w:p w14:paraId="3B18154B" w14:textId="77777777" w:rsidR="00374FCC" w:rsidRPr="00351BA4" w:rsidRDefault="00374FCC" w:rsidP="008F1F41">
            <w:pPr>
              <w:spacing w:line="240" w:lineRule="auto"/>
              <w:jc w:val="center"/>
              <w:rPr>
                <w:rFonts w:cs="Arial"/>
              </w:rPr>
            </w:pPr>
          </w:p>
        </w:tc>
        <w:tc>
          <w:tcPr>
            <w:tcW w:w="584" w:type="dxa"/>
            <w:vAlign w:val="center"/>
          </w:tcPr>
          <w:p w14:paraId="25F5AA3A" w14:textId="77777777" w:rsidR="00374FCC" w:rsidRPr="00351BA4" w:rsidRDefault="00374FCC" w:rsidP="008F1F41">
            <w:pPr>
              <w:spacing w:line="240" w:lineRule="auto"/>
              <w:jc w:val="center"/>
              <w:rPr>
                <w:rFonts w:cs="Arial"/>
              </w:rPr>
            </w:pPr>
            <w:r w:rsidRPr="00351BA4">
              <w:rPr>
                <w:rFonts w:cs="Arial"/>
              </w:rPr>
              <w:t>121</w:t>
            </w:r>
          </w:p>
        </w:tc>
        <w:tc>
          <w:tcPr>
            <w:tcW w:w="3810" w:type="dxa"/>
            <w:vAlign w:val="center"/>
          </w:tcPr>
          <w:p w14:paraId="5C902D97" w14:textId="77777777" w:rsidR="00374FCC" w:rsidRPr="00351BA4" w:rsidRDefault="00374FCC" w:rsidP="00F81BA6">
            <w:pPr>
              <w:spacing w:line="240" w:lineRule="auto"/>
              <w:jc w:val="left"/>
              <w:rPr>
                <w:rFonts w:cs="Arial"/>
              </w:rPr>
            </w:pPr>
            <w:r w:rsidRPr="00351BA4">
              <w:rPr>
                <w:rFonts w:cs="Arial"/>
              </w:rPr>
              <w:t>Natural material surfaces</w:t>
            </w:r>
          </w:p>
        </w:tc>
      </w:tr>
      <w:tr w:rsidR="00374FCC" w:rsidRPr="007E73E2" w14:paraId="3FD8C590" w14:textId="77777777" w:rsidTr="009619C8">
        <w:trPr>
          <w:trHeight w:val="397"/>
          <w:jc w:val="center"/>
        </w:trPr>
        <w:tc>
          <w:tcPr>
            <w:tcW w:w="1555" w:type="dxa"/>
            <w:vMerge/>
            <w:noWrap/>
            <w:vAlign w:val="center"/>
          </w:tcPr>
          <w:p w14:paraId="6BC70E84" w14:textId="77777777" w:rsidR="00374FCC" w:rsidRPr="00351BA4" w:rsidRDefault="00374FCC" w:rsidP="008F1F41">
            <w:pPr>
              <w:spacing w:line="240" w:lineRule="auto"/>
              <w:jc w:val="center"/>
              <w:rPr>
                <w:rFonts w:cs="Arial"/>
              </w:rPr>
            </w:pPr>
          </w:p>
        </w:tc>
        <w:tc>
          <w:tcPr>
            <w:tcW w:w="584" w:type="dxa"/>
            <w:vAlign w:val="center"/>
          </w:tcPr>
          <w:p w14:paraId="4E84CF65" w14:textId="77777777" w:rsidR="00374FCC" w:rsidRPr="00351BA4" w:rsidRDefault="00374FCC" w:rsidP="008F1F41">
            <w:pPr>
              <w:spacing w:line="240" w:lineRule="auto"/>
              <w:jc w:val="center"/>
              <w:rPr>
                <w:rFonts w:cs="Arial"/>
              </w:rPr>
            </w:pPr>
            <w:r w:rsidRPr="00351BA4">
              <w:rPr>
                <w:rFonts w:cs="Arial"/>
              </w:rPr>
              <w:t>123</w:t>
            </w:r>
          </w:p>
        </w:tc>
        <w:tc>
          <w:tcPr>
            <w:tcW w:w="3810" w:type="dxa"/>
            <w:vAlign w:val="center"/>
          </w:tcPr>
          <w:p w14:paraId="58152FD4" w14:textId="77777777" w:rsidR="00374FCC" w:rsidRPr="00351BA4" w:rsidRDefault="00374FCC" w:rsidP="00F81BA6">
            <w:pPr>
              <w:spacing w:line="240" w:lineRule="auto"/>
              <w:jc w:val="left"/>
              <w:rPr>
                <w:rFonts w:cs="Arial"/>
              </w:rPr>
            </w:pPr>
            <w:r w:rsidRPr="00351BA4">
              <w:rPr>
                <w:rFonts w:cs="Arial"/>
              </w:rPr>
              <w:t>Permanent snow-covered surfaces</w:t>
            </w:r>
          </w:p>
        </w:tc>
      </w:tr>
      <w:tr w:rsidR="00374FCC" w:rsidRPr="007E73E2" w14:paraId="6FE9E189" w14:textId="77777777" w:rsidTr="009619C8">
        <w:trPr>
          <w:trHeight w:val="397"/>
          <w:jc w:val="center"/>
        </w:trPr>
        <w:tc>
          <w:tcPr>
            <w:tcW w:w="1555" w:type="dxa"/>
            <w:vMerge/>
            <w:noWrap/>
            <w:vAlign w:val="center"/>
          </w:tcPr>
          <w:p w14:paraId="7A1FEE37" w14:textId="77777777" w:rsidR="00374FCC" w:rsidRPr="00351BA4" w:rsidRDefault="00374FCC" w:rsidP="008F1F41">
            <w:pPr>
              <w:spacing w:line="240" w:lineRule="auto"/>
              <w:jc w:val="center"/>
              <w:rPr>
                <w:rFonts w:cs="Arial"/>
              </w:rPr>
            </w:pPr>
          </w:p>
        </w:tc>
        <w:tc>
          <w:tcPr>
            <w:tcW w:w="584" w:type="dxa"/>
            <w:vAlign w:val="center"/>
          </w:tcPr>
          <w:p w14:paraId="3602AA12" w14:textId="77777777" w:rsidR="00374FCC" w:rsidRPr="00351BA4" w:rsidRDefault="00374FCC" w:rsidP="008F1F41">
            <w:pPr>
              <w:spacing w:line="240" w:lineRule="auto"/>
              <w:jc w:val="center"/>
              <w:rPr>
                <w:rFonts w:cs="Arial"/>
              </w:rPr>
            </w:pPr>
            <w:r w:rsidRPr="00351BA4">
              <w:rPr>
                <w:rFonts w:cs="Arial"/>
              </w:rPr>
              <w:t>162</w:t>
            </w:r>
          </w:p>
        </w:tc>
        <w:tc>
          <w:tcPr>
            <w:tcW w:w="3810" w:type="dxa"/>
            <w:vAlign w:val="center"/>
          </w:tcPr>
          <w:p w14:paraId="1F433235" w14:textId="77777777" w:rsidR="00374FCC" w:rsidRPr="00351BA4" w:rsidRDefault="00374FCC" w:rsidP="00F81BA6">
            <w:pPr>
              <w:spacing w:line="240" w:lineRule="auto"/>
              <w:jc w:val="left"/>
              <w:rPr>
                <w:rFonts w:cs="Arial"/>
              </w:rPr>
            </w:pPr>
            <w:r w:rsidRPr="00351BA4">
              <w:rPr>
                <w:rFonts w:cs="Arial"/>
              </w:rPr>
              <w:t>Water bodies</w:t>
            </w:r>
          </w:p>
        </w:tc>
      </w:tr>
    </w:tbl>
    <w:p w14:paraId="179DAFCE" w14:textId="5F0B621E" w:rsidR="00494E52" w:rsidRDefault="00F4753F" w:rsidP="002B302C">
      <w:pPr>
        <w:pStyle w:val="Heading2"/>
        <w:numPr>
          <w:ilvl w:val="0"/>
          <w:numId w:val="0"/>
        </w:numPr>
        <w:ind w:left="576" w:hanging="576"/>
      </w:pPr>
      <w:bookmarkStart w:id="87" w:name="_Toc91575537"/>
      <w:r>
        <w:t>4</w:t>
      </w:r>
      <w:r w:rsidR="00494E52">
        <w:t>.</w:t>
      </w:r>
      <w:r w:rsidR="007D570F" w:rsidRPr="00C61199">
        <w:t>4</w:t>
      </w:r>
      <w:r w:rsidR="00494E52">
        <w:t xml:space="preserve">. </w:t>
      </w:r>
      <w:r w:rsidR="002B302C" w:rsidRPr="003E7449">
        <w:t>Dataset</w:t>
      </w:r>
      <w:r w:rsidR="002B302C">
        <w:t xml:space="preserve"> p</w:t>
      </w:r>
      <w:r w:rsidR="00494E52" w:rsidRPr="00142CBA">
        <w:t>re</w:t>
      </w:r>
      <w:r w:rsidR="00494E52">
        <w:t>-</w:t>
      </w:r>
      <w:r w:rsidR="00494E52" w:rsidRPr="00142CBA">
        <w:t>processing</w:t>
      </w:r>
      <w:bookmarkEnd w:id="87"/>
    </w:p>
    <w:p w14:paraId="329382CA" w14:textId="41405CB4" w:rsidR="009302DE" w:rsidRDefault="009302DE" w:rsidP="009302DE">
      <w:r>
        <w:t>In order to apply the methodology for mapping CSC groups at European level, all three datasets needed necessary data preprocessing, such as handling missing or null values</w:t>
      </w:r>
      <w:r w:rsidR="00EC2B68">
        <w:t xml:space="preserve">, remove errors and </w:t>
      </w:r>
      <w:r>
        <w:t>data transformation</w:t>
      </w:r>
      <w:r w:rsidR="00EC2B68">
        <w:t xml:space="preserve"> to make the various data consistent.</w:t>
      </w:r>
    </w:p>
    <w:p w14:paraId="7A80362D" w14:textId="65BCAFC9" w:rsidR="00E27D05" w:rsidRPr="009302DE" w:rsidRDefault="00E27D05" w:rsidP="009302DE">
      <w:r>
        <w:t xml:space="preserve">The </w:t>
      </w:r>
      <w:r w:rsidRPr="007E73E2">
        <w:t xml:space="preserve">datasets </w:t>
      </w:r>
      <w:r>
        <w:t>imported as assets in Google Earth Engine, reprojected</w:t>
      </w:r>
      <w:r w:rsidRPr="004B03AC">
        <w:t xml:space="preserve"> in EPSG:3035 projection and resampled to 10m resolution</w:t>
      </w:r>
      <w:r>
        <w:t>, to match soft layers as produced on Task 2.3.</w:t>
      </w:r>
    </w:p>
    <w:p w14:paraId="48849B3D" w14:textId="7F322E96" w:rsidR="001A629D" w:rsidRDefault="001A629D" w:rsidP="001A629D">
      <w:r w:rsidRPr="001A629D">
        <w:t>Tree species maps for European forests, consist of 20 tree species rasters with values from 0 to 100 which is the percentage share of the respective tree species from land area. These rasters</w:t>
      </w:r>
      <w:r w:rsidR="00A1352B">
        <w:t xml:space="preserve"> were</w:t>
      </w:r>
      <w:r w:rsidRPr="001A629D">
        <w:t xml:space="preserve"> reclassified by </w:t>
      </w:r>
      <w:r w:rsidR="00A1352B">
        <w:t xml:space="preserve">a </w:t>
      </w:r>
      <w:r w:rsidRPr="001A629D">
        <w:t>5% interval, combined in one raster and processed in order to detect the dominant 1 and 2 species. Finally, 4 singleband rasters</w:t>
      </w:r>
      <w:r w:rsidR="00A1352B">
        <w:t xml:space="preserve"> were</w:t>
      </w:r>
      <w:r w:rsidR="00D975AC">
        <w:t xml:space="preserve"> produced</w:t>
      </w:r>
      <w:r w:rsidRPr="001A629D">
        <w:t>: Dominant 1 Species, Dominant 1 Percent, Dominant 2 Species and Dominant 2 Percent</w:t>
      </w:r>
      <w:r w:rsidR="005F61C5">
        <w:t xml:space="preserve"> as shown on </w:t>
      </w:r>
      <w:r w:rsidR="002F06B5">
        <w:fldChar w:fldCharType="begin"/>
      </w:r>
      <w:r w:rsidR="002F06B5">
        <w:instrText xml:space="preserve"> REF _Ref90476494 \h </w:instrText>
      </w:r>
      <w:r w:rsidR="002F06B5">
        <w:fldChar w:fldCharType="separate"/>
      </w:r>
      <w:r w:rsidR="000655D3">
        <w:t xml:space="preserve">Figure </w:t>
      </w:r>
      <w:r w:rsidR="000655D3">
        <w:rPr>
          <w:noProof/>
        </w:rPr>
        <w:t>14</w:t>
      </w:r>
      <w:r w:rsidR="002F06B5">
        <w:fldChar w:fldCharType="end"/>
      </w:r>
      <w:r w:rsidR="005F61C5">
        <w:t>.</w:t>
      </w:r>
    </w:p>
    <w:p w14:paraId="7BB03B5C" w14:textId="1D5846B6" w:rsidR="009302DE" w:rsidRPr="001A629D" w:rsidRDefault="009302DE" w:rsidP="009302DE">
      <w:pPr>
        <w:jc w:val="center"/>
      </w:pPr>
      <w:r>
        <w:rPr>
          <w:noProof/>
          <w:lang w:val="es-ES" w:eastAsia="es-ES"/>
        </w:rPr>
        <w:lastRenderedPageBreak/>
        <w:drawing>
          <wp:inline distT="0" distB="0" distL="0" distR="0" wp14:anchorId="2C8F58D6" wp14:editId="5C1499AC">
            <wp:extent cx="4533900" cy="55530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33900" cy="5553075"/>
                    </a:xfrm>
                    <a:prstGeom prst="rect">
                      <a:avLst/>
                    </a:prstGeom>
                    <a:noFill/>
                    <a:ln>
                      <a:noFill/>
                    </a:ln>
                  </pic:spPr>
                </pic:pic>
              </a:graphicData>
            </a:graphic>
          </wp:inline>
        </w:drawing>
      </w:r>
    </w:p>
    <w:p w14:paraId="4B9CA9DD" w14:textId="4AE1ED1B" w:rsidR="008F4400" w:rsidRDefault="008F4400" w:rsidP="008F4400">
      <w:pPr>
        <w:pStyle w:val="Caption"/>
      </w:pPr>
      <w:bookmarkStart w:id="88" w:name="_Ref90476494"/>
      <w:bookmarkStart w:id="89" w:name="_Toc91575558"/>
      <w:r>
        <w:t xml:space="preserve">Figure </w:t>
      </w:r>
      <w:r>
        <w:fldChar w:fldCharType="begin"/>
      </w:r>
      <w:r>
        <w:instrText xml:space="preserve"> SEQ Figure \* ARABIC </w:instrText>
      </w:r>
      <w:r>
        <w:fldChar w:fldCharType="separate"/>
      </w:r>
      <w:r w:rsidR="000655D3">
        <w:rPr>
          <w:noProof/>
        </w:rPr>
        <w:t>14</w:t>
      </w:r>
      <w:r>
        <w:fldChar w:fldCharType="end"/>
      </w:r>
      <w:bookmarkEnd w:id="88"/>
      <w:r>
        <w:rPr>
          <w:noProof/>
        </w:rPr>
        <w:t>: Tree species maps for European forests workflow</w:t>
      </w:r>
      <w:bookmarkEnd w:id="89"/>
    </w:p>
    <w:p w14:paraId="2C17277E" w14:textId="4999EC7F" w:rsidR="00452A4F" w:rsidRDefault="005F61C5" w:rsidP="00D07006">
      <w:r>
        <w:t xml:space="preserve">Because of the original resolution of </w:t>
      </w:r>
      <w:r w:rsidRPr="001A629D">
        <w:t>Tree species maps for European forests</w:t>
      </w:r>
      <w:r w:rsidR="00881567">
        <w:t xml:space="preserve"> and </w:t>
      </w:r>
      <w:r w:rsidR="00452A4F">
        <w:t>the limited extent</w:t>
      </w:r>
      <w:r>
        <w:t>, i</w:t>
      </w:r>
      <w:r w:rsidRPr="005F61C5">
        <w:t>n order to cover all forested areas</w:t>
      </w:r>
      <w:r>
        <w:t>,</w:t>
      </w:r>
      <w:r w:rsidRPr="005F61C5">
        <w:t xml:space="preserve"> </w:t>
      </w:r>
      <w:r w:rsidRPr="00E77B68">
        <w:rPr>
          <w:rFonts w:ascii="Consolas" w:hAnsi="Consolas" w:cs="Courier New"/>
        </w:rPr>
        <w:t>focal mode</w:t>
      </w:r>
      <w:r>
        <w:t xml:space="preserve"> </w:t>
      </w:r>
      <w:r w:rsidR="00A1352B">
        <w:t xml:space="preserve">was </w:t>
      </w:r>
      <w:r>
        <w:t>applied</w:t>
      </w:r>
      <w:r w:rsidRPr="005F61C5">
        <w:t>, a morphological operation implemented on G</w:t>
      </w:r>
      <w:r>
        <w:t xml:space="preserve">oogle </w:t>
      </w:r>
      <w:r w:rsidRPr="005F61C5">
        <w:t>E</w:t>
      </w:r>
      <w:r>
        <w:t xml:space="preserve">arth </w:t>
      </w:r>
      <w:r w:rsidRPr="005F61C5">
        <w:t>E</w:t>
      </w:r>
      <w:r>
        <w:t>ngine</w:t>
      </w:r>
      <w:r w:rsidRPr="005F61C5">
        <w:t xml:space="preserve">, configured </w:t>
      </w:r>
      <w:r>
        <w:t>and repeated</w:t>
      </w:r>
      <w:r w:rsidRPr="005F61C5">
        <w:t xml:space="preserve"> in ranges from 500m to 30km, both for Dominant 1 and 2 Species.</w:t>
      </w:r>
      <w:r w:rsidR="00452A4F">
        <w:t xml:space="preserve"> The results from both operations </w:t>
      </w:r>
      <w:r w:rsidR="00452A4F" w:rsidRPr="00452A4F">
        <w:t>were compos</w:t>
      </w:r>
      <w:r w:rsidR="00A1352B">
        <w:t>e</w:t>
      </w:r>
      <w:r w:rsidR="00452A4F" w:rsidRPr="00452A4F">
        <w:t>d</w:t>
      </w:r>
      <w:r w:rsidR="00452A4F">
        <w:t xml:space="preserve"> i</w:t>
      </w:r>
      <w:r w:rsidR="00D07006">
        <w:t>nto new image</w:t>
      </w:r>
      <w:r w:rsidR="00434D56">
        <w:t>s</w:t>
      </w:r>
      <w:r w:rsidR="00D07006">
        <w:t xml:space="preserve">, using </w:t>
      </w:r>
      <w:r w:rsidR="00434D56">
        <w:t xml:space="preserve">mosaic, with calculated images arranged </w:t>
      </w:r>
      <w:r w:rsidR="00D07006">
        <w:t>from 30km to 500m, to preserve accuracy, as the last image is on top.</w:t>
      </w:r>
    </w:p>
    <w:p w14:paraId="7EF367E0" w14:textId="2ED77D40" w:rsidR="00D07006" w:rsidRDefault="00434D56" w:rsidP="0046116C">
      <w:pPr>
        <w:jc w:val="center"/>
      </w:pPr>
      <w:r>
        <w:rPr>
          <w:noProof/>
          <w:lang w:val="es-ES" w:eastAsia="es-ES"/>
        </w:rPr>
        <w:lastRenderedPageBreak/>
        <w:drawing>
          <wp:inline distT="0" distB="0" distL="0" distR="0" wp14:anchorId="13221F49" wp14:editId="617B7BDC">
            <wp:extent cx="3781920" cy="468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81920" cy="4680000"/>
                    </a:xfrm>
                    <a:prstGeom prst="rect">
                      <a:avLst/>
                    </a:prstGeom>
                    <a:noFill/>
                    <a:ln>
                      <a:noFill/>
                    </a:ln>
                  </pic:spPr>
                </pic:pic>
              </a:graphicData>
            </a:graphic>
          </wp:inline>
        </w:drawing>
      </w:r>
    </w:p>
    <w:p w14:paraId="1BECD958" w14:textId="7F4CDCF3" w:rsidR="004A0D56" w:rsidRDefault="008F4400" w:rsidP="008F4400">
      <w:pPr>
        <w:pStyle w:val="Caption"/>
      </w:pPr>
      <w:bookmarkStart w:id="90" w:name="_Toc91575559"/>
      <w:r>
        <w:t xml:space="preserve">Figure </w:t>
      </w:r>
      <w:r>
        <w:fldChar w:fldCharType="begin"/>
      </w:r>
      <w:r>
        <w:instrText xml:space="preserve"> SEQ Figure \* ARABIC </w:instrText>
      </w:r>
      <w:r>
        <w:fldChar w:fldCharType="separate"/>
      </w:r>
      <w:r w:rsidR="000655D3">
        <w:rPr>
          <w:noProof/>
        </w:rPr>
        <w:t>15</w:t>
      </w:r>
      <w:r>
        <w:fldChar w:fldCharType="end"/>
      </w:r>
      <w:r>
        <w:t>: Dominant 1 Species workflow</w:t>
      </w:r>
      <w:bookmarkEnd w:id="90"/>
    </w:p>
    <w:p w14:paraId="7BE3AF13" w14:textId="77777777" w:rsidR="00026090" w:rsidRPr="00026090" w:rsidRDefault="00026090" w:rsidP="00026090">
      <w:pPr>
        <w:rPr>
          <w:lang w:val="en-GB"/>
        </w:rPr>
      </w:pPr>
    </w:p>
    <w:p w14:paraId="2002106C" w14:textId="7B37A106" w:rsidR="001A629D" w:rsidRDefault="00434D56" w:rsidP="00434D56">
      <w:pPr>
        <w:jc w:val="center"/>
      </w:pPr>
      <w:r>
        <w:rPr>
          <w:noProof/>
          <w:lang w:val="es-ES" w:eastAsia="es-ES"/>
        </w:rPr>
        <w:lastRenderedPageBreak/>
        <w:drawing>
          <wp:inline distT="0" distB="0" distL="0" distR="0" wp14:anchorId="5E834E10" wp14:editId="44DBD95E">
            <wp:extent cx="3771941" cy="468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71941" cy="4680000"/>
                    </a:xfrm>
                    <a:prstGeom prst="rect">
                      <a:avLst/>
                    </a:prstGeom>
                    <a:noFill/>
                    <a:ln>
                      <a:noFill/>
                    </a:ln>
                  </pic:spPr>
                </pic:pic>
              </a:graphicData>
            </a:graphic>
          </wp:inline>
        </w:drawing>
      </w:r>
    </w:p>
    <w:p w14:paraId="20295406" w14:textId="024BD54D" w:rsidR="004A0D56" w:rsidRDefault="008F4400" w:rsidP="008F4400">
      <w:pPr>
        <w:pStyle w:val="Caption"/>
      </w:pPr>
      <w:bookmarkStart w:id="91" w:name="_Toc91575560"/>
      <w:r>
        <w:t xml:space="preserve">Figure </w:t>
      </w:r>
      <w:r>
        <w:fldChar w:fldCharType="begin"/>
      </w:r>
      <w:r>
        <w:instrText xml:space="preserve"> SEQ Figure \* ARABIC </w:instrText>
      </w:r>
      <w:r>
        <w:fldChar w:fldCharType="separate"/>
      </w:r>
      <w:r w:rsidR="000655D3">
        <w:rPr>
          <w:noProof/>
        </w:rPr>
        <w:t>16</w:t>
      </w:r>
      <w:r>
        <w:fldChar w:fldCharType="end"/>
      </w:r>
      <w:r>
        <w:t>: Dominant 2 Species workflow</w:t>
      </w:r>
      <w:bookmarkEnd w:id="91"/>
    </w:p>
    <w:p w14:paraId="1ACAAB38" w14:textId="412ECB6E" w:rsidR="00FB09F2" w:rsidRPr="00FB09F2" w:rsidRDefault="00E15022" w:rsidP="002B302C">
      <w:r>
        <w:t>The same workflow applied also on S2GLC data in order to combine it with Dominant 1 species layer and provide info for forested</w:t>
      </w:r>
      <w:r w:rsidR="002B302C" w:rsidRPr="002B302C">
        <w:t xml:space="preserve"> areas with no data in the EFI Tree species maps like </w:t>
      </w:r>
      <w:r>
        <w:t xml:space="preserve">areas in </w:t>
      </w:r>
      <w:r w:rsidR="002B302C" w:rsidRPr="002B302C">
        <w:t>Cyprus</w:t>
      </w:r>
      <w:r w:rsidR="00FB09F2">
        <w:t xml:space="preserve">, </w:t>
      </w:r>
      <w:r w:rsidR="00FC1B7D">
        <w:t xml:space="preserve">areas </w:t>
      </w:r>
      <w:r w:rsidR="00FB09F2">
        <w:t>near coastline</w:t>
      </w:r>
      <w:r w:rsidR="002B302C" w:rsidRPr="002B302C">
        <w:t xml:space="preserve"> and</w:t>
      </w:r>
      <w:r w:rsidR="00FB09F2">
        <w:t xml:space="preserve"> some</w:t>
      </w:r>
      <w:r w:rsidR="002B302C" w:rsidRPr="002B302C">
        <w:t xml:space="preserve"> other islands</w:t>
      </w:r>
      <w:r>
        <w:t>.</w:t>
      </w:r>
    </w:p>
    <w:p w14:paraId="4DA6903E" w14:textId="2B283D74" w:rsidR="002B302C" w:rsidRDefault="00FB09F2" w:rsidP="002B302C">
      <w:r>
        <w:t>Firstly</w:t>
      </w:r>
      <w:r w:rsidR="008C404E">
        <w:t>,</w:t>
      </w:r>
      <w:r>
        <w:t xml:space="preserve"> </w:t>
      </w:r>
      <w:r w:rsidR="00E15022">
        <w:t>the tree cover pixel values</w:t>
      </w:r>
      <w:r w:rsidR="00190D06">
        <w:t xml:space="preserve"> selected</w:t>
      </w:r>
      <w:r w:rsidR="00E15022">
        <w:t>, conifers and broadleaves, by masking the layer with these pixel values and then</w:t>
      </w:r>
      <w:r>
        <w:t xml:space="preserve"> </w:t>
      </w:r>
      <w:r w:rsidRPr="00E77B68">
        <w:rPr>
          <w:rFonts w:ascii="Consolas" w:hAnsi="Consolas"/>
        </w:rPr>
        <w:t>focal mode</w:t>
      </w:r>
      <w:r w:rsidR="00190D06">
        <w:t xml:space="preserve"> </w:t>
      </w:r>
      <w:r w:rsidR="00A1352B">
        <w:t xml:space="preserve">was </w:t>
      </w:r>
      <w:r w:rsidR="00190D06">
        <w:t>applied</w:t>
      </w:r>
      <w:r w:rsidR="008C404E">
        <w:t xml:space="preserve"> in ranges</w:t>
      </w:r>
      <w:r>
        <w:t xml:space="preserve"> from 100m to 100k</w:t>
      </w:r>
      <w:r w:rsidR="00E15022">
        <w:t>m.</w:t>
      </w:r>
      <w:r w:rsidR="00FC1B7D">
        <w:t xml:space="preserve"> The results </w:t>
      </w:r>
      <w:r w:rsidR="00A1352B">
        <w:t xml:space="preserve">were </w:t>
      </w:r>
      <w:r w:rsidR="00FC1B7D" w:rsidRPr="00452A4F">
        <w:t>compos</w:t>
      </w:r>
      <w:r w:rsidR="00A1352B">
        <w:t>ed</w:t>
      </w:r>
      <w:r w:rsidR="00FC1B7D">
        <w:t xml:space="preserve"> into a new image, using mosaic, with calculated images arranged from 100km to 100m and then reclassified to match </w:t>
      </w:r>
      <w:r w:rsidR="001D7B74">
        <w:t>Dominant 1 species classes.</w:t>
      </w:r>
      <w:r w:rsidR="00AA410B">
        <w:t xml:space="preserve"> </w:t>
      </w:r>
      <w:r w:rsidR="00E15022">
        <w:t xml:space="preserve">Finally, </w:t>
      </w:r>
      <w:r w:rsidR="002B302C" w:rsidRPr="002B302C">
        <w:t xml:space="preserve">Tree species maps </w:t>
      </w:r>
      <w:r w:rsidR="00A1352B">
        <w:t xml:space="preserve">were </w:t>
      </w:r>
      <w:r w:rsidR="00190D06">
        <w:t xml:space="preserve">combined </w:t>
      </w:r>
      <w:r w:rsidR="002B302C" w:rsidRPr="002B302C">
        <w:t xml:space="preserve">with S2GLC data </w:t>
      </w:r>
      <w:r w:rsidR="00190D06">
        <w:t>in order to</w:t>
      </w:r>
      <w:r w:rsidR="002B302C" w:rsidRPr="002B302C">
        <w:t xml:space="preserve"> produce a tree species map for all European forested areas.</w:t>
      </w:r>
      <w:r w:rsidR="00B253B1">
        <w:t xml:space="preserve"> </w:t>
      </w:r>
    </w:p>
    <w:p w14:paraId="39A16F15" w14:textId="3CB52B4A" w:rsidR="008C404E" w:rsidRDefault="008C404E" w:rsidP="002B670B">
      <w:pPr>
        <w:jc w:val="center"/>
      </w:pPr>
      <w:r>
        <w:rPr>
          <w:noProof/>
          <w:lang w:val="es-ES" w:eastAsia="es-ES"/>
        </w:rPr>
        <w:lastRenderedPageBreak/>
        <w:drawing>
          <wp:inline distT="0" distB="0" distL="0" distR="0" wp14:anchorId="7C5FA9E7" wp14:editId="21EA39D6">
            <wp:extent cx="5040000" cy="522071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0000" cy="5220718"/>
                    </a:xfrm>
                    <a:prstGeom prst="rect">
                      <a:avLst/>
                    </a:prstGeom>
                    <a:noFill/>
                    <a:ln>
                      <a:noFill/>
                    </a:ln>
                  </pic:spPr>
                </pic:pic>
              </a:graphicData>
            </a:graphic>
          </wp:inline>
        </w:drawing>
      </w:r>
    </w:p>
    <w:p w14:paraId="0D4A9006" w14:textId="21AD0140" w:rsidR="008F4400" w:rsidRDefault="008F4400" w:rsidP="008F4400">
      <w:pPr>
        <w:pStyle w:val="Caption"/>
      </w:pPr>
      <w:bookmarkStart w:id="92" w:name="_Toc91575561"/>
      <w:r>
        <w:t xml:space="preserve">Figure </w:t>
      </w:r>
      <w:r>
        <w:fldChar w:fldCharType="begin"/>
      </w:r>
      <w:r>
        <w:instrText xml:space="preserve"> SEQ Figure \* ARABIC </w:instrText>
      </w:r>
      <w:r>
        <w:fldChar w:fldCharType="separate"/>
      </w:r>
      <w:r w:rsidR="000655D3">
        <w:rPr>
          <w:noProof/>
        </w:rPr>
        <w:t>17</w:t>
      </w:r>
      <w:r>
        <w:fldChar w:fldCharType="end"/>
      </w:r>
      <w:r>
        <w:t xml:space="preserve">: S2GLC Land Cover Map of Europe </w:t>
      </w:r>
      <w:r w:rsidR="00EE5D88">
        <w:t>2017 workflow</w:t>
      </w:r>
      <w:bookmarkEnd w:id="92"/>
    </w:p>
    <w:p w14:paraId="272F3240" w14:textId="6673E2F9" w:rsidR="008C404E" w:rsidRDefault="008C404E" w:rsidP="008C404E">
      <w:pPr>
        <w:jc w:val="center"/>
      </w:pPr>
      <w:r>
        <w:rPr>
          <w:noProof/>
          <w:lang w:val="es-ES" w:eastAsia="es-ES"/>
        </w:rPr>
        <w:drawing>
          <wp:inline distT="0" distB="0" distL="0" distR="0" wp14:anchorId="0ADCCC33" wp14:editId="35A6AE33">
            <wp:extent cx="3240000" cy="148807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40000" cy="1488077"/>
                    </a:xfrm>
                    <a:prstGeom prst="rect">
                      <a:avLst/>
                    </a:prstGeom>
                    <a:noFill/>
                    <a:ln>
                      <a:noFill/>
                    </a:ln>
                  </pic:spPr>
                </pic:pic>
              </a:graphicData>
            </a:graphic>
          </wp:inline>
        </w:drawing>
      </w:r>
    </w:p>
    <w:p w14:paraId="68FC938B" w14:textId="67105A6A" w:rsidR="008F4400" w:rsidRDefault="008F4400" w:rsidP="008F4400">
      <w:pPr>
        <w:pStyle w:val="Caption"/>
      </w:pPr>
      <w:bookmarkStart w:id="93" w:name="_Toc91575562"/>
      <w:r>
        <w:t xml:space="preserve">Figure </w:t>
      </w:r>
      <w:r>
        <w:fldChar w:fldCharType="begin"/>
      </w:r>
      <w:r>
        <w:instrText xml:space="preserve"> SEQ Figure \* ARABIC </w:instrText>
      </w:r>
      <w:r>
        <w:fldChar w:fldCharType="separate"/>
      </w:r>
      <w:r w:rsidR="000655D3">
        <w:rPr>
          <w:noProof/>
        </w:rPr>
        <w:t>18</w:t>
      </w:r>
      <w:r>
        <w:fldChar w:fldCharType="end"/>
      </w:r>
      <w:r>
        <w:t>: Dominant 1 Species layer workflow</w:t>
      </w:r>
      <w:bookmarkEnd w:id="93"/>
    </w:p>
    <w:p w14:paraId="7D41C40F" w14:textId="77777777" w:rsidR="00026090" w:rsidRDefault="00026090" w:rsidP="00494E52"/>
    <w:p w14:paraId="47813CAB" w14:textId="6DEE3D89" w:rsidR="00494E52" w:rsidRDefault="00563F93" w:rsidP="00494E52">
      <w:r>
        <w:lastRenderedPageBreak/>
        <w:t xml:space="preserve">Since </w:t>
      </w:r>
      <w:r w:rsidRPr="00B15D33">
        <w:t xml:space="preserve">Global Aboveground and Belowground Biomass </w:t>
      </w:r>
      <w:r w:rsidRPr="00A1352B">
        <w:rPr>
          <w:rFonts w:cs="Arial"/>
        </w:rPr>
        <w:t>Carbon Density Maps allows to distinguish between AGBC and BGBC, the AGB</w:t>
      </w:r>
      <w:r w:rsidR="00A1352B" w:rsidRPr="00A1352B">
        <w:rPr>
          <w:rFonts w:cs="Arial"/>
        </w:rPr>
        <w:t xml:space="preserve"> </w:t>
      </w:r>
      <w:r w:rsidRPr="00A1352B">
        <w:rPr>
          <w:rFonts w:cs="Arial"/>
        </w:rPr>
        <w:t>band</w:t>
      </w:r>
      <w:r w:rsidR="00A1352B">
        <w:rPr>
          <w:rFonts w:cs="Arial"/>
        </w:rPr>
        <w:t xml:space="preserve"> was</w:t>
      </w:r>
      <w:r w:rsidR="002603F4" w:rsidRPr="00A1352B">
        <w:rPr>
          <w:rFonts w:cs="Arial"/>
        </w:rPr>
        <w:t xml:space="preserve"> selected</w:t>
      </w:r>
      <w:r w:rsidRPr="00A1352B">
        <w:rPr>
          <w:rFonts w:cs="Arial"/>
        </w:rPr>
        <w:t xml:space="preserve"> in order to calculate through map algebra the AGBC of Dominant 1 and 2 species. For this case, </w:t>
      </w:r>
      <w:r w:rsidR="00AE0296" w:rsidRPr="00A1352B">
        <w:rPr>
          <w:rFonts w:cs="Arial"/>
        </w:rPr>
        <w:t>map algebra</w:t>
      </w:r>
      <w:r w:rsidR="002603F4" w:rsidRPr="00A1352B">
        <w:rPr>
          <w:rFonts w:cs="Arial"/>
        </w:rPr>
        <w:t xml:space="preserve"> used by</w:t>
      </w:r>
      <w:r w:rsidR="00AE0296" w:rsidRPr="00A1352B">
        <w:rPr>
          <w:rFonts w:cs="Arial"/>
        </w:rPr>
        <w:t xml:space="preserve"> multiplying AGBC with Dominant 1 Species layer and with Dominant 2 Species layer separately and then</w:t>
      </w:r>
      <w:r w:rsidR="00865769">
        <w:rPr>
          <w:rFonts w:ascii="Arial Nova" w:hAnsi="Arial Nova"/>
        </w:rPr>
        <w:t xml:space="preserve"> </w:t>
      </w:r>
      <w:r w:rsidR="00AE0296" w:rsidRPr="00E77B68">
        <w:rPr>
          <w:rFonts w:ascii="Consolas" w:hAnsi="Consolas"/>
        </w:rPr>
        <w:t>focal</w:t>
      </w:r>
      <w:r w:rsidR="00865769">
        <w:rPr>
          <w:rFonts w:ascii="Consolas" w:hAnsi="Consolas"/>
        </w:rPr>
        <w:t xml:space="preserve"> </w:t>
      </w:r>
      <w:r w:rsidR="00AE0296" w:rsidRPr="00A1352B">
        <w:rPr>
          <w:rFonts w:cs="Arial"/>
        </w:rPr>
        <w:t>mod</w:t>
      </w:r>
      <w:r w:rsidR="004E0C64" w:rsidRPr="00A1352B">
        <w:rPr>
          <w:rFonts w:cs="Arial"/>
        </w:rPr>
        <w:t>e</w:t>
      </w:r>
      <w:r w:rsidR="00865769" w:rsidRPr="00A1352B">
        <w:rPr>
          <w:rFonts w:cs="Arial"/>
        </w:rPr>
        <w:t xml:space="preserve"> </w:t>
      </w:r>
      <w:r w:rsidR="00A1352B" w:rsidRPr="00A1352B">
        <w:rPr>
          <w:rFonts w:cs="Arial"/>
        </w:rPr>
        <w:t xml:space="preserve">was </w:t>
      </w:r>
      <w:r w:rsidR="002603F4" w:rsidRPr="00A1352B">
        <w:rPr>
          <w:rFonts w:cs="Arial"/>
        </w:rPr>
        <w:t xml:space="preserve">applied </w:t>
      </w:r>
      <w:r w:rsidRPr="00A1352B">
        <w:rPr>
          <w:rFonts w:cs="Arial"/>
        </w:rPr>
        <w:t>for ranges from 500m to 30km, same as previously</w:t>
      </w:r>
      <w:r w:rsidR="00AE0296" w:rsidRPr="00A1352B">
        <w:rPr>
          <w:rFonts w:cs="Arial"/>
        </w:rPr>
        <w:t>. F</w:t>
      </w:r>
      <w:r w:rsidRPr="00A1352B">
        <w:rPr>
          <w:rFonts w:cs="Arial"/>
        </w:rPr>
        <w:t>inally</w:t>
      </w:r>
      <w:r w:rsidR="00AE0296" w:rsidRPr="00A1352B">
        <w:rPr>
          <w:rFonts w:cs="Arial"/>
        </w:rPr>
        <w:t xml:space="preserve">, </w:t>
      </w:r>
      <w:r w:rsidRPr="00A1352B">
        <w:rPr>
          <w:rFonts w:cs="Arial"/>
        </w:rPr>
        <w:t>m</w:t>
      </w:r>
      <w:r w:rsidR="00AE0296" w:rsidRPr="00A1352B">
        <w:rPr>
          <w:rFonts w:cs="Arial"/>
        </w:rPr>
        <w:t>osaic</w:t>
      </w:r>
      <w:r w:rsidR="00A1352B">
        <w:rPr>
          <w:rFonts w:cs="Arial"/>
        </w:rPr>
        <w:t xml:space="preserve"> was</w:t>
      </w:r>
      <w:r w:rsidR="00AE0296" w:rsidRPr="00A1352B">
        <w:rPr>
          <w:rFonts w:cs="Arial"/>
        </w:rPr>
        <w:t xml:space="preserve"> </w:t>
      </w:r>
      <w:r w:rsidR="002603F4" w:rsidRPr="00A1352B">
        <w:rPr>
          <w:rFonts w:cs="Arial"/>
        </w:rPr>
        <w:t xml:space="preserve">used </w:t>
      </w:r>
      <w:r w:rsidR="00AE0296" w:rsidRPr="00A1352B">
        <w:rPr>
          <w:rFonts w:cs="Arial"/>
        </w:rPr>
        <w:t>to produce AGBC for Dominant 1 Species and AGBC for Dominant 2 Species</w:t>
      </w:r>
      <w:r w:rsidR="00AE0296">
        <w:rPr>
          <w:rFonts w:ascii="Arial Nova" w:hAnsi="Arial Nova"/>
        </w:rPr>
        <w:t>.</w:t>
      </w:r>
    </w:p>
    <w:p w14:paraId="70CB21CA" w14:textId="4627EE0B" w:rsidR="00AE4052" w:rsidRDefault="003669CA" w:rsidP="00204CE0">
      <w:pPr>
        <w:jc w:val="center"/>
        <w:rPr>
          <w:lang w:val="el-GR"/>
        </w:rPr>
      </w:pPr>
      <w:r>
        <w:rPr>
          <w:noProof/>
          <w:lang w:val="es-ES" w:eastAsia="es-ES"/>
        </w:rPr>
        <w:drawing>
          <wp:inline distT="0" distB="0" distL="0" distR="0" wp14:anchorId="30CD0C71" wp14:editId="12354EE4">
            <wp:extent cx="4680510" cy="6485021"/>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83224" cy="6488782"/>
                    </a:xfrm>
                    <a:prstGeom prst="rect">
                      <a:avLst/>
                    </a:prstGeom>
                    <a:noFill/>
                    <a:ln>
                      <a:noFill/>
                    </a:ln>
                  </pic:spPr>
                </pic:pic>
              </a:graphicData>
            </a:graphic>
          </wp:inline>
        </w:drawing>
      </w:r>
    </w:p>
    <w:p w14:paraId="37298134" w14:textId="19873615" w:rsidR="002636EC" w:rsidRDefault="002636EC" w:rsidP="002636EC">
      <w:pPr>
        <w:jc w:val="center"/>
        <w:rPr>
          <w:lang w:val="el-GR"/>
        </w:rPr>
      </w:pPr>
      <w:r>
        <w:rPr>
          <w:noProof/>
          <w:lang w:val="es-ES" w:eastAsia="es-ES"/>
        </w:rPr>
        <w:lastRenderedPageBreak/>
        <w:drawing>
          <wp:inline distT="0" distB="0" distL="0" distR="0" wp14:anchorId="32169F37" wp14:editId="22FEB924">
            <wp:extent cx="3061970" cy="16903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61970" cy="1690370"/>
                    </a:xfrm>
                    <a:prstGeom prst="rect">
                      <a:avLst/>
                    </a:prstGeom>
                    <a:noFill/>
                    <a:ln>
                      <a:noFill/>
                    </a:ln>
                  </pic:spPr>
                </pic:pic>
              </a:graphicData>
            </a:graphic>
          </wp:inline>
        </w:drawing>
      </w:r>
    </w:p>
    <w:p w14:paraId="73327454" w14:textId="7C4B8E07" w:rsidR="00857337" w:rsidRDefault="00857337" w:rsidP="00857337">
      <w:pPr>
        <w:pStyle w:val="Caption"/>
      </w:pPr>
      <w:bookmarkStart w:id="94" w:name="_Toc91575563"/>
      <w:r>
        <w:t xml:space="preserve">Figure </w:t>
      </w:r>
      <w:r>
        <w:fldChar w:fldCharType="begin"/>
      </w:r>
      <w:r>
        <w:instrText xml:space="preserve"> SEQ Figure \* ARABIC </w:instrText>
      </w:r>
      <w:r>
        <w:fldChar w:fldCharType="separate"/>
      </w:r>
      <w:r w:rsidR="000655D3">
        <w:rPr>
          <w:noProof/>
        </w:rPr>
        <w:t>19</w:t>
      </w:r>
      <w:r>
        <w:fldChar w:fldCharType="end"/>
      </w:r>
      <w:r>
        <w:t>: Aboveground Biomass Carbon workflow</w:t>
      </w:r>
      <w:bookmarkEnd w:id="94"/>
    </w:p>
    <w:p w14:paraId="341FCD78" w14:textId="3B3D2E86" w:rsidR="00A35715" w:rsidRPr="003113FF" w:rsidRDefault="00A35715" w:rsidP="00A35715">
      <w:pPr>
        <w:pStyle w:val="Heading2"/>
        <w:numPr>
          <w:ilvl w:val="0"/>
          <w:numId w:val="0"/>
        </w:numPr>
        <w:ind w:left="576" w:hanging="576"/>
      </w:pPr>
      <w:bookmarkStart w:id="95" w:name="_Toc91575538"/>
      <w:r>
        <w:t>4</w:t>
      </w:r>
      <w:r w:rsidRPr="003113FF">
        <w:t>.</w:t>
      </w:r>
      <w:r w:rsidR="007D570F" w:rsidRPr="00C61199">
        <w:t>5</w:t>
      </w:r>
      <w:r w:rsidRPr="003113FF">
        <w:t xml:space="preserve">. </w:t>
      </w:r>
      <w:r w:rsidR="00926EAB">
        <w:t>Classification</w:t>
      </w:r>
      <w:r>
        <w:t xml:space="preserve"> </w:t>
      </w:r>
      <w:r w:rsidR="00926EAB">
        <w:t>into</w:t>
      </w:r>
      <w:r>
        <w:t xml:space="preserve"> CSC</w:t>
      </w:r>
      <w:r w:rsidR="00885E9F">
        <w:t xml:space="preserve"> groups</w:t>
      </w:r>
      <w:bookmarkEnd w:id="95"/>
    </w:p>
    <w:p w14:paraId="08D024C8" w14:textId="17A3D26E" w:rsidR="00A35715" w:rsidRDefault="006D1ADC" w:rsidP="006D1ADC">
      <w:r w:rsidRPr="006D1ADC">
        <w:t xml:space="preserve">The results </w:t>
      </w:r>
      <w:r>
        <w:t xml:space="preserve">from processing the workflows </w:t>
      </w:r>
      <w:r w:rsidRPr="006D1ADC">
        <w:t xml:space="preserve">previously analyzed </w:t>
      </w:r>
      <w:r>
        <w:t>are</w:t>
      </w:r>
      <w:r w:rsidRPr="006D1ADC">
        <w:t xml:space="preserve"> multiple rasters</w:t>
      </w:r>
      <w:r w:rsidR="003113FF">
        <w:t>. These rasters</w:t>
      </w:r>
      <w:r w:rsidRPr="006D1ADC">
        <w:t xml:space="preserve"> </w:t>
      </w:r>
      <w:r w:rsidR="00A1352B">
        <w:t xml:space="preserve">were </w:t>
      </w:r>
      <w:r w:rsidRPr="006D1ADC">
        <w:t xml:space="preserve">combined with </w:t>
      </w:r>
      <w:r>
        <w:t>layers</w:t>
      </w:r>
      <w:r w:rsidRPr="006D1ADC">
        <w:t xml:space="preserve"> of previous </w:t>
      </w:r>
      <w:r>
        <w:t>tasks</w:t>
      </w:r>
      <w:r w:rsidR="003113FF">
        <w:t>, Hard and Soft</w:t>
      </w:r>
      <w:r w:rsidRPr="006D1ADC">
        <w:t xml:space="preserve">, </w:t>
      </w:r>
      <w:r w:rsidR="003113FF">
        <w:t>composed to</w:t>
      </w:r>
      <w:r>
        <w:t xml:space="preserve"> a multiband raster with 10m spatial resolution</w:t>
      </w:r>
      <w:r w:rsidR="003113FF">
        <w:t xml:space="preserve"> providing bands with information as shown on</w:t>
      </w:r>
      <w:r w:rsidR="00EE5D88">
        <w:t xml:space="preserve"> </w:t>
      </w:r>
      <w:r w:rsidR="00EE5D88">
        <w:fldChar w:fldCharType="begin"/>
      </w:r>
      <w:r w:rsidR="00EE5D88">
        <w:instrText xml:space="preserve"> REF _Ref90476669 \h </w:instrText>
      </w:r>
      <w:r w:rsidR="00EE5D88">
        <w:fldChar w:fldCharType="separate"/>
      </w:r>
      <w:r w:rsidR="000655D3">
        <w:t xml:space="preserve">Table </w:t>
      </w:r>
      <w:r w:rsidR="000655D3">
        <w:rPr>
          <w:noProof/>
        </w:rPr>
        <w:t>10</w:t>
      </w:r>
      <w:r w:rsidR="00EE5D88">
        <w:fldChar w:fldCharType="end"/>
      </w:r>
      <w:r w:rsidR="003113FF">
        <w:t>.</w:t>
      </w:r>
    </w:p>
    <w:p w14:paraId="17D93AD2" w14:textId="5B1B23C1" w:rsidR="009619C8" w:rsidRDefault="009619C8" w:rsidP="009619C8">
      <w:pPr>
        <w:pStyle w:val="Caption"/>
      </w:pPr>
      <w:bookmarkStart w:id="96" w:name="_Ref90476669"/>
      <w:bookmarkStart w:id="97" w:name="_Toc91575577"/>
      <w:r>
        <w:t xml:space="preserve">Table </w:t>
      </w:r>
      <w:r>
        <w:fldChar w:fldCharType="begin"/>
      </w:r>
      <w:r>
        <w:instrText xml:space="preserve"> SEQ Table \* ARABIC </w:instrText>
      </w:r>
      <w:r>
        <w:fldChar w:fldCharType="separate"/>
      </w:r>
      <w:r w:rsidR="000655D3">
        <w:rPr>
          <w:noProof/>
        </w:rPr>
        <w:t>10</w:t>
      </w:r>
      <w:r>
        <w:fldChar w:fldCharType="end"/>
      </w:r>
      <w:bookmarkEnd w:id="96"/>
      <w:r>
        <w:t>: Final ML raster</w:t>
      </w:r>
      <w:bookmarkEnd w:id="97"/>
    </w:p>
    <w:tbl>
      <w:tblPr>
        <w:tblW w:w="6300" w:type="dxa"/>
        <w:jc w:val="center"/>
        <w:tblLook w:val="04A0" w:firstRow="1" w:lastRow="0" w:firstColumn="1" w:lastColumn="0" w:noHBand="0" w:noVBand="1"/>
      </w:tblPr>
      <w:tblGrid>
        <w:gridCol w:w="2940"/>
        <w:gridCol w:w="3360"/>
      </w:tblGrid>
      <w:tr w:rsidR="00547374" w:rsidRPr="00547374" w14:paraId="2773FA56" w14:textId="77777777" w:rsidTr="00A54EBF">
        <w:trPr>
          <w:trHeight w:val="379"/>
          <w:tblHeader/>
          <w:jc w:val="center"/>
        </w:trPr>
        <w:tc>
          <w:tcPr>
            <w:tcW w:w="6300" w:type="dxa"/>
            <w:gridSpan w:val="2"/>
            <w:tcBorders>
              <w:top w:val="single" w:sz="4" w:space="0" w:color="000000"/>
              <w:left w:val="single" w:sz="4" w:space="0" w:color="000000"/>
              <w:bottom w:val="single" w:sz="4" w:space="0" w:color="000000"/>
              <w:right w:val="single" w:sz="4" w:space="0" w:color="000000"/>
            </w:tcBorders>
            <w:shd w:val="clear" w:color="auto" w:fill="DBE0F4" w:themeFill="accent1" w:themeFillTint="33"/>
            <w:vAlign w:val="center"/>
            <w:hideMark/>
          </w:tcPr>
          <w:p w14:paraId="393E55F2" w14:textId="77777777" w:rsidR="00547374" w:rsidRPr="00A54EBF" w:rsidRDefault="00547374" w:rsidP="00572939">
            <w:pPr>
              <w:pStyle w:val="Table"/>
              <w:spacing w:before="0" w:after="0"/>
              <w:jc w:val="center"/>
              <w:rPr>
                <w:rStyle w:val="Strong"/>
                <w:rFonts w:cs="Arial"/>
                <w:bCs w:val="0"/>
              </w:rPr>
            </w:pPr>
            <w:r w:rsidRPr="00A54EBF">
              <w:rPr>
                <w:rStyle w:val="Strong"/>
                <w:rFonts w:cs="Arial"/>
                <w:bCs w:val="0"/>
              </w:rPr>
              <w:t>Final ML raster (multiband)</w:t>
            </w:r>
          </w:p>
        </w:tc>
      </w:tr>
      <w:tr w:rsidR="00547374" w:rsidRPr="00547374" w14:paraId="7CF48167" w14:textId="77777777" w:rsidTr="00A54EBF">
        <w:trPr>
          <w:trHeight w:val="342"/>
          <w:tblHeader/>
          <w:jc w:val="center"/>
        </w:trPr>
        <w:tc>
          <w:tcPr>
            <w:tcW w:w="2940" w:type="dxa"/>
            <w:tcBorders>
              <w:top w:val="nil"/>
              <w:left w:val="single" w:sz="4" w:space="0" w:color="000000"/>
              <w:bottom w:val="single" w:sz="4" w:space="0" w:color="000000"/>
              <w:right w:val="single" w:sz="4" w:space="0" w:color="000000"/>
            </w:tcBorders>
            <w:shd w:val="clear" w:color="auto" w:fill="DBE0F4" w:themeFill="accent1" w:themeFillTint="33"/>
            <w:vAlign w:val="center"/>
            <w:hideMark/>
          </w:tcPr>
          <w:p w14:paraId="27576B6B" w14:textId="77777777" w:rsidR="00547374" w:rsidRPr="00A54EBF" w:rsidRDefault="00547374" w:rsidP="00572939">
            <w:pPr>
              <w:pStyle w:val="Table"/>
              <w:spacing w:before="0" w:after="0"/>
              <w:jc w:val="center"/>
              <w:rPr>
                <w:rStyle w:val="Strong"/>
                <w:rFonts w:cs="Arial"/>
                <w:bCs w:val="0"/>
              </w:rPr>
            </w:pPr>
            <w:r w:rsidRPr="00A54EBF">
              <w:rPr>
                <w:rStyle w:val="Strong"/>
                <w:rFonts w:cs="Arial"/>
                <w:bCs w:val="0"/>
              </w:rPr>
              <w:t>Bands</w:t>
            </w:r>
          </w:p>
        </w:tc>
        <w:tc>
          <w:tcPr>
            <w:tcW w:w="3360" w:type="dxa"/>
            <w:tcBorders>
              <w:top w:val="nil"/>
              <w:left w:val="nil"/>
              <w:bottom w:val="single" w:sz="4" w:space="0" w:color="000000"/>
              <w:right w:val="single" w:sz="4" w:space="0" w:color="000000"/>
            </w:tcBorders>
            <w:shd w:val="clear" w:color="auto" w:fill="DBE0F4" w:themeFill="accent1" w:themeFillTint="33"/>
            <w:vAlign w:val="center"/>
            <w:hideMark/>
          </w:tcPr>
          <w:p w14:paraId="5FC0A7DC" w14:textId="77777777" w:rsidR="00547374" w:rsidRPr="00A54EBF" w:rsidRDefault="00547374" w:rsidP="00572939">
            <w:pPr>
              <w:pStyle w:val="Table"/>
              <w:spacing w:before="0" w:after="0"/>
              <w:jc w:val="center"/>
              <w:rPr>
                <w:rStyle w:val="Strong"/>
                <w:rFonts w:cs="Arial"/>
                <w:bCs w:val="0"/>
              </w:rPr>
            </w:pPr>
            <w:r w:rsidRPr="00A54EBF">
              <w:rPr>
                <w:rStyle w:val="Strong"/>
                <w:rFonts w:cs="Arial"/>
                <w:bCs w:val="0"/>
              </w:rPr>
              <w:t>Values</w:t>
            </w:r>
          </w:p>
        </w:tc>
      </w:tr>
      <w:tr w:rsidR="00547374" w:rsidRPr="00547374" w14:paraId="0DA06FFC" w14:textId="77777777" w:rsidTr="00572939">
        <w:trPr>
          <w:trHeight w:val="319"/>
          <w:jc w:val="center"/>
        </w:trPr>
        <w:tc>
          <w:tcPr>
            <w:tcW w:w="2940" w:type="dxa"/>
            <w:tcBorders>
              <w:top w:val="nil"/>
              <w:left w:val="single" w:sz="4" w:space="0" w:color="000000"/>
              <w:bottom w:val="single" w:sz="4" w:space="0" w:color="000000"/>
              <w:right w:val="single" w:sz="4" w:space="0" w:color="000000"/>
            </w:tcBorders>
            <w:shd w:val="clear" w:color="auto" w:fill="auto"/>
            <w:vAlign w:val="center"/>
            <w:hideMark/>
          </w:tcPr>
          <w:p w14:paraId="4B154E7E" w14:textId="77777777" w:rsidR="00547374" w:rsidRPr="00A54EBF" w:rsidRDefault="00547374" w:rsidP="00572939">
            <w:pPr>
              <w:spacing w:before="0" w:after="0" w:line="240" w:lineRule="auto"/>
              <w:jc w:val="left"/>
              <w:rPr>
                <w:rFonts w:eastAsiaTheme="minorEastAsia" w:cs="Arial"/>
              </w:rPr>
            </w:pPr>
            <w:r w:rsidRPr="00A54EBF">
              <w:rPr>
                <w:rFonts w:eastAsiaTheme="minorEastAsia" w:cs="Arial"/>
              </w:rPr>
              <w:t>Hard</w:t>
            </w:r>
          </w:p>
        </w:tc>
        <w:tc>
          <w:tcPr>
            <w:tcW w:w="3360" w:type="dxa"/>
            <w:tcBorders>
              <w:top w:val="nil"/>
              <w:left w:val="nil"/>
              <w:bottom w:val="single" w:sz="4" w:space="0" w:color="000000"/>
              <w:right w:val="single" w:sz="4" w:space="0" w:color="000000"/>
            </w:tcBorders>
            <w:shd w:val="clear" w:color="auto" w:fill="auto"/>
            <w:vAlign w:val="center"/>
            <w:hideMark/>
          </w:tcPr>
          <w:p w14:paraId="0B711E34" w14:textId="77777777" w:rsidR="00547374" w:rsidRPr="00A54EBF" w:rsidRDefault="00547374" w:rsidP="00572939">
            <w:pPr>
              <w:spacing w:before="0" w:after="0" w:line="240" w:lineRule="auto"/>
              <w:jc w:val="left"/>
              <w:rPr>
                <w:rFonts w:eastAsiaTheme="minorEastAsia" w:cs="Arial"/>
              </w:rPr>
            </w:pPr>
            <w:r w:rsidRPr="00A54EBF">
              <w:rPr>
                <w:rFonts w:eastAsiaTheme="minorEastAsia" w:cs="Arial"/>
              </w:rPr>
              <w:t>1: Marginal Land</w:t>
            </w:r>
          </w:p>
        </w:tc>
      </w:tr>
      <w:tr w:rsidR="00547374" w:rsidRPr="00547374" w14:paraId="096730DE" w14:textId="77777777" w:rsidTr="00572939">
        <w:trPr>
          <w:trHeight w:val="422"/>
          <w:jc w:val="center"/>
        </w:trPr>
        <w:tc>
          <w:tcPr>
            <w:tcW w:w="2940" w:type="dxa"/>
            <w:tcBorders>
              <w:top w:val="nil"/>
              <w:left w:val="single" w:sz="4" w:space="0" w:color="000000"/>
              <w:bottom w:val="single" w:sz="4" w:space="0" w:color="000000"/>
              <w:right w:val="single" w:sz="4" w:space="0" w:color="000000"/>
            </w:tcBorders>
            <w:shd w:val="clear" w:color="auto" w:fill="auto"/>
            <w:vAlign w:val="center"/>
            <w:hideMark/>
          </w:tcPr>
          <w:p w14:paraId="5EF4C7C6" w14:textId="77777777" w:rsidR="00547374" w:rsidRPr="00A54EBF" w:rsidRDefault="00547374" w:rsidP="00572939">
            <w:pPr>
              <w:spacing w:before="0" w:after="0" w:line="240" w:lineRule="auto"/>
              <w:jc w:val="left"/>
              <w:rPr>
                <w:rFonts w:eastAsiaTheme="minorEastAsia" w:cs="Arial"/>
              </w:rPr>
            </w:pPr>
            <w:r w:rsidRPr="00A54EBF">
              <w:rPr>
                <w:rFonts w:eastAsiaTheme="minorEastAsia" w:cs="Arial"/>
              </w:rPr>
              <w:t>Soft</w:t>
            </w:r>
          </w:p>
        </w:tc>
        <w:tc>
          <w:tcPr>
            <w:tcW w:w="3360" w:type="dxa"/>
            <w:tcBorders>
              <w:top w:val="nil"/>
              <w:left w:val="nil"/>
              <w:bottom w:val="single" w:sz="4" w:space="0" w:color="000000"/>
              <w:right w:val="single" w:sz="4" w:space="0" w:color="000000"/>
            </w:tcBorders>
            <w:shd w:val="clear" w:color="auto" w:fill="auto"/>
            <w:vAlign w:val="center"/>
            <w:hideMark/>
          </w:tcPr>
          <w:p w14:paraId="6FA0DDBB" w14:textId="77777777" w:rsidR="00547374" w:rsidRPr="00A54EBF" w:rsidRDefault="00547374" w:rsidP="00572939">
            <w:pPr>
              <w:spacing w:before="0" w:after="0" w:line="240" w:lineRule="auto"/>
              <w:jc w:val="left"/>
              <w:rPr>
                <w:rFonts w:eastAsiaTheme="minorEastAsia" w:cs="Arial"/>
              </w:rPr>
            </w:pPr>
            <w:r w:rsidRPr="00A54EBF">
              <w:rPr>
                <w:rFonts w:eastAsiaTheme="minorEastAsia" w:cs="Arial"/>
              </w:rPr>
              <w:t xml:space="preserve">0.41 </w:t>
            </w:r>
            <w:r w:rsidRPr="00A54EBF">
              <w:rPr>
                <w:rFonts w:ascii="Cambria Math" w:eastAsiaTheme="minorEastAsia" w:hAnsi="Cambria Math" w:cs="Cambria Math"/>
              </w:rPr>
              <w:t>‐</w:t>
            </w:r>
            <w:r w:rsidRPr="00A54EBF">
              <w:rPr>
                <w:rFonts w:eastAsiaTheme="minorEastAsia" w:cs="Arial"/>
              </w:rPr>
              <w:t xml:space="preserve"> 10.3: low to high</w:t>
            </w:r>
            <w:r w:rsidRPr="00A54EBF">
              <w:rPr>
                <w:rFonts w:eastAsiaTheme="minorEastAsia" w:cs="Arial"/>
              </w:rPr>
              <w:br/>
              <w:t>marginality</w:t>
            </w:r>
          </w:p>
        </w:tc>
      </w:tr>
      <w:tr w:rsidR="00547374" w:rsidRPr="00547374" w14:paraId="52B5F742" w14:textId="77777777" w:rsidTr="00572939">
        <w:trPr>
          <w:trHeight w:val="2215"/>
          <w:jc w:val="center"/>
        </w:trPr>
        <w:tc>
          <w:tcPr>
            <w:tcW w:w="2940" w:type="dxa"/>
            <w:tcBorders>
              <w:top w:val="nil"/>
              <w:left w:val="single" w:sz="4" w:space="0" w:color="000000"/>
              <w:bottom w:val="single" w:sz="4" w:space="0" w:color="000000"/>
              <w:right w:val="single" w:sz="4" w:space="0" w:color="000000"/>
            </w:tcBorders>
            <w:shd w:val="clear" w:color="auto" w:fill="auto"/>
            <w:vAlign w:val="center"/>
            <w:hideMark/>
          </w:tcPr>
          <w:p w14:paraId="56CA77B5" w14:textId="77777777" w:rsidR="00547374" w:rsidRPr="00A54EBF" w:rsidRDefault="00547374" w:rsidP="00572939">
            <w:pPr>
              <w:spacing w:before="0" w:after="0" w:line="240" w:lineRule="auto"/>
              <w:jc w:val="left"/>
              <w:rPr>
                <w:rFonts w:eastAsiaTheme="minorEastAsia" w:cs="Arial"/>
              </w:rPr>
            </w:pPr>
            <w:r w:rsidRPr="00A54EBF">
              <w:rPr>
                <w:rFonts w:eastAsiaTheme="minorEastAsia" w:cs="Arial"/>
              </w:rPr>
              <w:t>Dominant 1 species</w:t>
            </w:r>
          </w:p>
        </w:tc>
        <w:tc>
          <w:tcPr>
            <w:tcW w:w="33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05F4A66" w14:textId="77777777" w:rsidR="00547374" w:rsidRPr="00A54EBF" w:rsidRDefault="00547374" w:rsidP="00572939">
            <w:pPr>
              <w:spacing w:before="0" w:after="0" w:line="240" w:lineRule="auto"/>
              <w:jc w:val="left"/>
              <w:rPr>
                <w:rFonts w:eastAsiaTheme="minorEastAsia" w:cs="Arial"/>
              </w:rPr>
            </w:pPr>
            <w:r w:rsidRPr="00A54EBF">
              <w:rPr>
                <w:rFonts w:eastAsiaTheme="minorEastAsia" w:cs="Arial"/>
              </w:rPr>
              <w:t>1: Abies spp</w:t>
            </w:r>
            <w:r w:rsidRPr="00A54EBF">
              <w:rPr>
                <w:rFonts w:eastAsiaTheme="minorEastAsia" w:cs="Arial"/>
              </w:rPr>
              <w:br/>
              <w:t>2: Alnus spp</w:t>
            </w:r>
            <w:r w:rsidRPr="00A54EBF">
              <w:rPr>
                <w:rFonts w:eastAsiaTheme="minorEastAsia" w:cs="Arial"/>
              </w:rPr>
              <w:br/>
              <w:t>3: Betula spp</w:t>
            </w:r>
            <w:r w:rsidRPr="00A54EBF">
              <w:rPr>
                <w:rFonts w:eastAsiaTheme="minorEastAsia" w:cs="Arial"/>
              </w:rPr>
              <w:br/>
              <w:t>4: Carpinus spp</w:t>
            </w:r>
            <w:r w:rsidRPr="00A54EBF">
              <w:rPr>
                <w:rFonts w:eastAsiaTheme="minorEastAsia" w:cs="Arial"/>
              </w:rPr>
              <w:br/>
              <w:t>5: Castanea spp</w:t>
            </w:r>
            <w:r w:rsidRPr="00A54EBF">
              <w:rPr>
                <w:rFonts w:eastAsiaTheme="minorEastAsia" w:cs="Arial"/>
              </w:rPr>
              <w:br/>
              <w:t>6: Eucalyptus</w:t>
            </w:r>
            <w:r w:rsidRPr="00A54EBF">
              <w:rPr>
                <w:rFonts w:eastAsiaTheme="minorEastAsia" w:cs="Arial"/>
              </w:rPr>
              <w:br/>
              <w:t>7: Fagus spp</w:t>
            </w:r>
            <w:r w:rsidRPr="00A54EBF">
              <w:rPr>
                <w:rFonts w:eastAsiaTheme="minorEastAsia" w:cs="Arial"/>
              </w:rPr>
              <w:br/>
              <w:t>8: Fraxinus spp</w:t>
            </w:r>
            <w:r w:rsidRPr="00A54EBF">
              <w:rPr>
                <w:rFonts w:eastAsiaTheme="minorEastAsia" w:cs="Arial"/>
              </w:rPr>
              <w:br/>
              <w:t>9: Larix spp</w:t>
            </w:r>
            <w:r w:rsidRPr="00A54EBF">
              <w:rPr>
                <w:rFonts w:eastAsiaTheme="minorEastAsia" w:cs="Arial"/>
              </w:rPr>
              <w:br/>
              <w:t>10: Broadleaves</w:t>
            </w:r>
            <w:r w:rsidRPr="00A54EBF">
              <w:rPr>
                <w:rFonts w:eastAsiaTheme="minorEastAsia" w:cs="Arial"/>
              </w:rPr>
              <w:br/>
              <w:t>11: Conifers</w:t>
            </w:r>
            <w:r w:rsidRPr="00A54EBF">
              <w:rPr>
                <w:rFonts w:eastAsiaTheme="minorEastAsia" w:cs="Arial"/>
              </w:rPr>
              <w:br/>
              <w:t>12: Pines misc</w:t>
            </w:r>
            <w:r w:rsidRPr="00A54EBF">
              <w:rPr>
                <w:rFonts w:eastAsiaTheme="minorEastAsia" w:cs="Arial"/>
              </w:rPr>
              <w:br/>
              <w:t>13: Quercus misc</w:t>
            </w:r>
            <w:r w:rsidRPr="00A54EBF">
              <w:rPr>
                <w:rFonts w:eastAsiaTheme="minorEastAsia" w:cs="Arial"/>
              </w:rPr>
              <w:br/>
              <w:t>14: Picea spp</w:t>
            </w:r>
            <w:r w:rsidRPr="00A54EBF">
              <w:rPr>
                <w:rFonts w:eastAsiaTheme="minorEastAsia" w:cs="Arial"/>
              </w:rPr>
              <w:br/>
              <w:t>15: Pinus pinaster</w:t>
            </w:r>
            <w:r w:rsidRPr="00A54EBF">
              <w:rPr>
                <w:rFonts w:eastAsiaTheme="minorEastAsia" w:cs="Arial"/>
              </w:rPr>
              <w:br/>
              <w:t>16: Pinus sylvestris</w:t>
            </w:r>
            <w:r w:rsidRPr="00A54EBF">
              <w:rPr>
                <w:rFonts w:eastAsiaTheme="minorEastAsia" w:cs="Arial"/>
              </w:rPr>
              <w:br/>
              <w:t>17: Populus spp</w:t>
            </w:r>
            <w:r w:rsidRPr="00A54EBF">
              <w:rPr>
                <w:rFonts w:eastAsiaTheme="minorEastAsia" w:cs="Arial"/>
              </w:rPr>
              <w:br/>
              <w:t>18: Pseudotsuga menziessi 19: Quercus robur &amp; Quercus petraea</w:t>
            </w:r>
            <w:r w:rsidRPr="00A54EBF">
              <w:rPr>
                <w:rFonts w:eastAsiaTheme="minorEastAsia" w:cs="Arial"/>
              </w:rPr>
              <w:br/>
            </w:r>
            <w:r w:rsidRPr="00A54EBF">
              <w:rPr>
                <w:rFonts w:eastAsiaTheme="minorEastAsia" w:cs="Arial"/>
              </w:rPr>
              <w:lastRenderedPageBreak/>
              <w:t>20: Robinia spp</w:t>
            </w:r>
          </w:p>
        </w:tc>
      </w:tr>
      <w:tr w:rsidR="00547374" w:rsidRPr="00547374" w14:paraId="140C372C" w14:textId="77777777" w:rsidTr="00572939">
        <w:trPr>
          <w:trHeight w:val="1312"/>
          <w:jc w:val="center"/>
        </w:trPr>
        <w:tc>
          <w:tcPr>
            <w:tcW w:w="2940" w:type="dxa"/>
            <w:tcBorders>
              <w:top w:val="nil"/>
              <w:left w:val="single" w:sz="4" w:space="0" w:color="000000"/>
              <w:bottom w:val="single" w:sz="4" w:space="0" w:color="000000"/>
              <w:right w:val="single" w:sz="4" w:space="0" w:color="000000"/>
            </w:tcBorders>
            <w:shd w:val="clear" w:color="auto" w:fill="auto"/>
            <w:vAlign w:val="center"/>
            <w:hideMark/>
          </w:tcPr>
          <w:p w14:paraId="29DB6E67" w14:textId="77777777" w:rsidR="00547374" w:rsidRPr="00A54EBF" w:rsidRDefault="00547374" w:rsidP="00572939">
            <w:pPr>
              <w:spacing w:before="0" w:after="0" w:line="240" w:lineRule="auto"/>
              <w:jc w:val="left"/>
              <w:rPr>
                <w:rFonts w:eastAsiaTheme="minorEastAsia" w:cs="Arial"/>
              </w:rPr>
            </w:pPr>
            <w:r w:rsidRPr="00A54EBF">
              <w:rPr>
                <w:rFonts w:eastAsiaTheme="minorEastAsia" w:cs="Arial"/>
              </w:rPr>
              <w:t>Dominant 2 species</w:t>
            </w:r>
          </w:p>
        </w:tc>
        <w:tc>
          <w:tcPr>
            <w:tcW w:w="3360" w:type="dxa"/>
            <w:vMerge/>
            <w:tcBorders>
              <w:top w:val="nil"/>
              <w:left w:val="single" w:sz="4" w:space="0" w:color="000000"/>
              <w:bottom w:val="single" w:sz="4" w:space="0" w:color="000000"/>
              <w:right w:val="single" w:sz="4" w:space="0" w:color="000000"/>
            </w:tcBorders>
            <w:vAlign w:val="center"/>
            <w:hideMark/>
          </w:tcPr>
          <w:p w14:paraId="62272D92" w14:textId="77777777" w:rsidR="00547374" w:rsidRPr="00A54EBF" w:rsidRDefault="00547374" w:rsidP="00572939">
            <w:pPr>
              <w:spacing w:before="0" w:after="0" w:line="240" w:lineRule="auto"/>
              <w:jc w:val="left"/>
              <w:rPr>
                <w:rFonts w:eastAsiaTheme="minorEastAsia" w:cs="Arial"/>
              </w:rPr>
            </w:pPr>
          </w:p>
        </w:tc>
      </w:tr>
      <w:tr w:rsidR="00547374" w:rsidRPr="00547374" w14:paraId="29CBF680" w14:textId="77777777" w:rsidTr="00572939">
        <w:trPr>
          <w:trHeight w:val="720"/>
          <w:jc w:val="center"/>
        </w:trPr>
        <w:tc>
          <w:tcPr>
            <w:tcW w:w="2940" w:type="dxa"/>
            <w:tcBorders>
              <w:top w:val="nil"/>
              <w:left w:val="single" w:sz="4" w:space="0" w:color="000000"/>
              <w:bottom w:val="single" w:sz="4" w:space="0" w:color="000000"/>
              <w:right w:val="single" w:sz="4" w:space="0" w:color="000000"/>
            </w:tcBorders>
            <w:shd w:val="clear" w:color="auto" w:fill="auto"/>
            <w:vAlign w:val="center"/>
            <w:hideMark/>
          </w:tcPr>
          <w:p w14:paraId="33AD5380" w14:textId="77777777" w:rsidR="00547374" w:rsidRPr="00A54EBF" w:rsidRDefault="00547374" w:rsidP="00572939">
            <w:pPr>
              <w:spacing w:before="0" w:after="0" w:line="240" w:lineRule="auto"/>
              <w:jc w:val="left"/>
              <w:rPr>
                <w:rFonts w:eastAsiaTheme="minorEastAsia" w:cs="Arial"/>
              </w:rPr>
            </w:pPr>
            <w:r w:rsidRPr="00A54EBF">
              <w:rPr>
                <w:rFonts w:eastAsiaTheme="minorEastAsia" w:cs="Arial"/>
              </w:rPr>
              <w:t>Dominant 1 percent</w:t>
            </w:r>
          </w:p>
        </w:tc>
        <w:tc>
          <w:tcPr>
            <w:tcW w:w="3360" w:type="dxa"/>
            <w:tcBorders>
              <w:top w:val="nil"/>
              <w:left w:val="nil"/>
              <w:bottom w:val="single" w:sz="4" w:space="0" w:color="000000"/>
              <w:right w:val="single" w:sz="4" w:space="0" w:color="000000"/>
            </w:tcBorders>
            <w:shd w:val="clear" w:color="auto" w:fill="auto"/>
            <w:vAlign w:val="center"/>
            <w:hideMark/>
          </w:tcPr>
          <w:p w14:paraId="1B69180A" w14:textId="77777777" w:rsidR="00547374" w:rsidRPr="00A54EBF" w:rsidRDefault="00547374" w:rsidP="00572939">
            <w:pPr>
              <w:spacing w:before="0" w:after="0" w:line="240" w:lineRule="auto"/>
              <w:jc w:val="left"/>
              <w:rPr>
                <w:rFonts w:eastAsiaTheme="minorEastAsia" w:cs="Arial"/>
              </w:rPr>
            </w:pPr>
            <w:r w:rsidRPr="00A54EBF">
              <w:rPr>
                <w:rFonts w:eastAsiaTheme="minorEastAsia" w:cs="Arial"/>
              </w:rPr>
              <w:t xml:space="preserve">0 </w:t>
            </w:r>
            <w:r w:rsidRPr="00A54EBF">
              <w:rPr>
                <w:rFonts w:ascii="Cambria Math" w:eastAsiaTheme="minorEastAsia" w:hAnsi="Cambria Math" w:cs="Cambria Math"/>
              </w:rPr>
              <w:t>‐</w:t>
            </w:r>
            <w:r w:rsidRPr="00A54EBF">
              <w:rPr>
                <w:rFonts w:eastAsiaTheme="minorEastAsia" w:cs="Arial"/>
              </w:rPr>
              <w:t xml:space="preserve"> 100: Percentage share of the respective tree species</w:t>
            </w:r>
            <w:r w:rsidRPr="00A54EBF">
              <w:rPr>
                <w:rFonts w:eastAsiaTheme="minorEastAsia" w:cs="Arial"/>
              </w:rPr>
              <w:br/>
              <w:t>from land area</w:t>
            </w:r>
          </w:p>
        </w:tc>
      </w:tr>
      <w:tr w:rsidR="00547374" w:rsidRPr="00547374" w14:paraId="043A51F9" w14:textId="77777777" w:rsidTr="00572939">
        <w:trPr>
          <w:trHeight w:val="703"/>
          <w:jc w:val="center"/>
        </w:trPr>
        <w:tc>
          <w:tcPr>
            <w:tcW w:w="2940" w:type="dxa"/>
            <w:tcBorders>
              <w:top w:val="nil"/>
              <w:left w:val="single" w:sz="4" w:space="0" w:color="000000"/>
              <w:bottom w:val="single" w:sz="4" w:space="0" w:color="000000"/>
              <w:right w:val="single" w:sz="4" w:space="0" w:color="000000"/>
            </w:tcBorders>
            <w:shd w:val="clear" w:color="auto" w:fill="auto"/>
            <w:vAlign w:val="center"/>
            <w:hideMark/>
          </w:tcPr>
          <w:p w14:paraId="10BC4F30" w14:textId="77777777" w:rsidR="00547374" w:rsidRPr="00A54EBF" w:rsidRDefault="00547374" w:rsidP="00572939">
            <w:pPr>
              <w:spacing w:before="0" w:after="0" w:line="240" w:lineRule="auto"/>
              <w:jc w:val="left"/>
              <w:rPr>
                <w:rFonts w:eastAsiaTheme="minorEastAsia" w:cs="Arial"/>
              </w:rPr>
            </w:pPr>
            <w:r w:rsidRPr="00A54EBF">
              <w:rPr>
                <w:rFonts w:eastAsiaTheme="minorEastAsia" w:cs="Arial"/>
              </w:rPr>
              <w:t>Dominant 2 percent</w:t>
            </w:r>
          </w:p>
        </w:tc>
        <w:tc>
          <w:tcPr>
            <w:tcW w:w="3360" w:type="dxa"/>
            <w:tcBorders>
              <w:top w:val="nil"/>
              <w:left w:val="nil"/>
              <w:bottom w:val="single" w:sz="4" w:space="0" w:color="000000"/>
              <w:right w:val="single" w:sz="4" w:space="0" w:color="000000"/>
            </w:tcBorders>
            <w:shd w:val="clear" w:color="auto" w:fill="auto"/>
            <w:vAlign w:val="center"/>
            <w:hideMark/>
          </w:tcPr>
          <w:p w14:paraId="2336B13E" w14:textId="77777777" w:rsidR="00547374" w:rsidRPr="00A54EBF" w:rsidRDefault="00547374" w:rsidP="00572939">
            <w:pPr>
              <w:spacing w:before="0" w:after="0" w:line="240" w:lineRule="auto"/>
              <w:jc w:val="left"/>
              <w:rPr>
                <w:rFonts w:eastAsiaTheme="minorEastAsia" w:cs="Arial"/>
              </w:rPr>
            </w:pPr>
            <w:r w:rsidRPr="00A54EBF">
              <w:rPr>
                <w:rFonts w:eastAsiaTheme="minorEastAsia" w:cs="Arial"/>
              </w:rPr>
              <w:t xml:space="preserve">0 </w:t>
            </w:r>
            <w:r w:rsidRPr="00A54EBF">
              <w:rPr>
                <w:rFonts w:ascii="Cambria Math" w:eastAsiaTheme="minorEastAsia" w:hAnsi="Cambria Math" w:cs="Cambria Math"/>
              </w:rPr>
              <w:t>‐</w:t>
            </w:r>
            <w:r w:rsidRPr="00A54EBF">
              <w:rPr>
                <w:rFonts w:eastAsiaTheme="minorEastAsia" w:cs="Arial"/>
              </w:rPr>
              <w:t xml:space="preserve"> 50: Percentage share of</w:t>
            </w:r>
            <w:r w:rsidRPr="00A54EBF">
              <w:rPr>
                <w:rFonts w:eastAsiaTheme="minorEastAsia" w:cs="Arial"/>
              </w:rPr>
              <w:br/>
              <w:t>the respective tree species from land area</w:t>
            </w:r>
          </w:p>
        </w:tc>
      </w:tr>
      <w:tr w:rsidR="00547374" w:rsidRPr="00547374" w14:paraId="79A1D574" w14:textId="77777777" w:rsidTr="00572939">
        <w:trPr>
          <w:trHeight w:val="319"/>
          <w:jc w:val="center"/>
        </w:trPr>
        <w:tc>
          <w:tcPr>
            <w:tcW w:w="2940" w:type="dxa"/>
            <w:tcBorders>
              <w:top w:val="nil"/>
              <w:left w:val="single" w:sz="4" w:space="0" w:color="000000"/>
              <w:bottom w:val="single" w:sz="4" w:space="0" w:color="000000"/>
              <w:right w:val="single" w:sz="4" w:space="0" w:color="000000"/>
            </w:tcBorders>
            <w:shd w:val="clear" w:color="auto" w:fill="auto"/>
            <w:vAlign w:val="center"/>
            <w:hideMark/>
          </w:tcPr>
          <w:p w14:paraId="4C6764A5" w14:textId="77777777" w:rsidR="00547374" w:rsidRPr="00A54EBF" w:rsidRDefault="00547374" w:rsidP="00572939">
            <w:pPr>
              <w:spacing w:before="0" w:after="0" w:line="240" w:lineRule="auto"/>
              <w:jc w:val="left"/>
              <w:rPr>
                <w:rFonts w:eastAsiaTheme="minorEastAsia" w:cs="Arial"/>
              </w:rPr>
            </w:pPr>
            <w:r w:rsidRPr="00A54EBF">
              <w:rPr>
                <w:rFonts w:eastAsiaTheme="minorEastAsia" w:cs="Arial"/>
              </w:rPr>
              <w:t>AGBC</w:t>
            </w:r>
          </w:p>
        </w:tc>
        <w:tc>
          <w:tcPr>
            <w:tcW w:w="3360" w:type="dxa"/>
            <w:tcBorders>
              <w:top w:val="nil"/>
              <w:left w:val="nil"/>
              <w:bottom w:val="single" w:sz="4" w:space="0" w:color="000000"/>
              <w:right w:val="single" w:sz="4" w:space="0" w:color="000000"/>
            </w:tcBorders>
            <w:shd w:val="clear" w:color="auto" w:fill="auto"/>
            <w:vAlign w:val="center"/>
            <w:hideMark/>
          </w:tcPr>
          <w:p w14:paraId="358CE7B5" w14:textId="77777777" w:rsidR="00547374" w:rsidRPr="00A54EBF" w:rsidRDefault="00547374" w:rsidP="00572939">
            <w:pPr>
              <w:spacing w:before="0" w:after="0" w:line="240" w:lineRule="auto"/>
              <w:jc w:val="left"/>
              <w:rPr>
                <w:rFonts w:eastAsiaTheme="minorEastAsia" w:cs="Arial"/>
              </w:rPr>
            </w:pPr>
            <w:r w:rsidRPr="00A54EBF">
              <w:rPr>
                <w:rFonts w:eastAsiaTheme="minorEastAsia" w:cs="Arial"/>
              </w:rPr>
              <w:t xml:space="preserve">0 </w:t>
            </w:r>
            <w:r w:rsidRPr="00A54EBF">
              <w:rPr>
                <w:rFonts w:ascii="Cambria Math" w:eastAsiaTheme="minorEastAsia" w:hAnsi="Cambria Math" w:cs="Cambria Math"/>
              </w:rPr>
              <w:t>‐</w:t>
            </w:r>
            <w:r w:rsidRPr="00A54EBF">
              <w:rPr>
                <w:rFonts w:eastAsiaTheme="minorEastAsia" w:cs="Arial"/>
              </w:rPr>
              <w:t xml:space="preserve"> 236: Mg C/ha</w:t>
            </w:r>
          </w:p>
        </w:tc>
      </w:tr>
      <w:tr w:rsidR="00547374" w:rsidRPr="00547374" w14:paraId="1FFE299D" w14:textId="77777777" w:rsidTr="00572939">
        <w:trPr>
          <w:trHeight w:val="319"/>
          <w:jc w:val="center"/>
        </w:trPr>
        <w:tc>
          <w:tcPr>
            <w:tcW w:w="2940" w:type="dxa"/>
            <w:tcBorders>
              <w:top w:val="nil"/>
              <w:left w:val="single" w:sz="4" w:space="0" w:color="000000"/>
              <w:bottom w:val="single" w:sz="4" w:space="0" w:color="000000"/>
              <w:right w:val="single" w:sz="4" w:space="0" w:color="000000"/>
            </w:tcBorders>
            <w:shd w:val="clear" w:color="auto" w:fill="auto"/>
            <w:vAlign w:val="center"/>
            <w:hideMark/>
          </w:tcPr>
          <w:p w14:paraId="5086C704" w14:textId="77777777" w:rsidR="00547374" w:rsidRPr="00A54EBF" w:rsidRDefault="00547374" w:rsidP="00572939">
            <w:pPr>
              <w:spacing w:before="0" w:after="0" w:line="240" w:lineRule="auto"/>
              <w:jc w:val="left"/>
              <w:rPr>
                <w:rFonts w:eastAsiaTheme="minorEastAsia" w:cs="Arial"/>
              </w:rPr>
            </w:pPr>
            <w:bookmarkStart w:id="98" w:name="_Hlk89952556"/>
            <w:r w:rsidRPr="00A54EBF">
              <w:rPr>
                <w:rFonts w:eastAsiaTheme="minorEastAsia" w:cs="Arial"/>
              </w:rPr>
              <w:t>AGBC for D1 species</w:t>
            </w:r>
          </w:p>
        </w:tc>
        <w:tc>
          <w:tcPr>
            <w:tcW w:w="3360" w:type="dxa"/>
            <w:tcBorders>
              <w:top w:val="nil"/>
              <w:left w:val="nil"/>
              <w:bottom w:val="single" w:sz="4" w:space="0" w:color="000000"/>
              <w:right w:val="single" w:sz="4" w:space="0" w:color="000000"/>
            </w:tcBorders>
            <w:shd w:val="clear" w:color="auto" w:fill="auto"/>
            <w:vAlign w:val="center"/>
            <w:hideMark/>
          </w:tcPr>
          <w:p w14:paraId="5D8DB24D" w14:textId="77777777" w:rsidR="00547374" w:rsidRPr="00A54EBF" w:rsidRDefault="00547374" w:rsidP="00572939">
            <w:pPr>
              <w:spacing w:before="0" w:after="0" w:line="240" w:lineRule="auto"/>
              <w:jc w:val="left"/>
              <w:rPr>
                <w:rFonts w:eastAsiaTheme="minorEastAsia" w:cs="Arial"/>
              </w:rPr>
            </w:pPr>
            <w:r w:rsidRPr="00A54EBF">
              <w:rPr>
                <w:rFonts w:eastAsiaTheme="minorEastAsia" w:cs="Arial"/>
              </w:rPr>
              <w:t xml:space="preserve">0 </w:t>
            </w:r>
            <w:r w:rsidRPr="00A54EBF">
              <w:rPr>
                <w:rFonts w:ascii="Cambria Math" w:eastAsiaTheme="minorEastAsia" w:hAnsi="Cambria Math" w:cs="Cambria Math"/>
              </w:rPr>
              <w:t>‐</w:t>
            </w:r>
            <w:r w:rsidRPr="00A54EBF">
              <w:rPr>
                <w:rFonts w:eastAsiaTheme="minorEastAsia" w:cs="Arial"/>
              </w:rPr>
              <w:t xml:space="preserve"> 236: Mg C/ha</w:t>
            </w:r>
          </w:p>
        </w:tc>
      </w:tr>
      <w:bookmarkEnd w:id="98"/>
      <w:tr w:rsidR="00547374" w:rsidRPr="00547374" w14:paraId="5AF63BE3" w14:textId="77777777" w:rsidTr="00572939">
        <w:trPr>
          <w:trHeight w:val="319"/>
          <w:jc w:val="center"/>
        </w:trPr>
        <w:tc>
          <w:tcPr>
            <w:tcW w:w="2940" w:type="dxa"/>
            <w:tcBorders>
              <w:top w:val="nil"/>
              <w:left w:val="single" w:sz="4" w:space="0" w:color="000000"/>
              <w:bottom w:val="single" w:sz="4" w:space="0" w:color="000000"/>
              <w:right w:val="single" w:sz="4" w:space="0" w:color="000000"/>
            </w:tcBorders>
            <w:shd w:val="clear" w:color="auto" w:fill="auto"/>
            <w:vAlign w:val="center"/>
            <w:hideMark/>
          </w:tcPr>
          <w:p w14:paraId="748F2640" w14:textId="77777777" w:rsidR="00547374" w:rsidRPr="00A54EBF" w:rsidRDefault="00547374" w:rsidP="00572939">
            <w:pPr>
              <w:spacing w:before="0" w:after="0" w:line="240" w:lineRule="auto"/>
              <w:jc w:val="left"/>
              <w:rPr>
                <w:rFonts w:eastAsiaTheme="minorEastAsia" w:cs="Arial"/>
              </w:rPr>
            </w:pPr>
            <w:r w:rsidRPr="00A54EBF">
              <w:rPr>
                <w:rFonts w:eastAsiaTheme="minorEastAsia" w:cs="Arial"/>
              </w:rPr>
              <w:t>AGBC for D2 species</w:t>
            </w:r>
          </w:p>
        </w:tc>
        <w:tc>
          <w:tcPr>
            <w:tcW w:w="3360" w:type="dxa"/>
            <w:tcBorders>
              <w:top w:val="nil"/>
              <w:left w:val="nil"/>
              <w:bottom w:val="single" w:sz="4" w:space="0" w:color="000000"/>
              <w:right w:val="single" w:sz="4" w:space="0" w:color="000000"/>
            </w:tcBorders>
            <w:shd w:val="clear" w:color="auto" w:fill="auto"/>
            <w:vAlign w:val="center"/>
            <w:hideMark/>
          </w:tcPr>
          <w:p w14:paraId="32BB6AA0" w14:textId="77777777" w:rsidR="00547374" w:rsidRPr="00A54EBF" w:rsidRDefault="00547374" w:rsidP="00572939">
            <w:pPr>
              <w:spacing w:before="0" w:after="0" w:line="240" w:lineRule="auto"/>
              <w:jc w:val="left"/>
              <w:rPr>
                <w:rFonts w:eastAsiaTheme="minorEastAsia" w:cs="Arial"/>
              </w:rPr>
            </w:pPr>
            <w:r w:rsidRPr="00A54EBF">
              <w:rPr>
                <w:rFonts w:eastAsiaTheme="minorEastAsia" w:cs="Arial"/>
              </w:rPr>
              <w:t xml:space="preserve">0 </w:t>
            </w:r>
            <w:r w:rsidRPr="00A54EBF">
              <w:rPr>
                <w:rFonts w:ascii="Cambria Math" w:eastAsiaTheme="minorEastAsia" w:hAnsi="Cambria Math" w:cs="Cambria Math"/>
              </w:rPr>
              <w:t>‐</w:t>
            </w:r>
            <w:r w:rsidRPr="00A54EBF">
              <w:rPr>
                <w:rFonts w:eastAsiaTheme="minorEastAsia" w:cs="Arial"/>
              </w:rPr>
              <w:t xml:space="preserve"> 236: Mg C/ha</w:t>
            </w:r>
          </w:p>
        </w:tc>
      </w:tr>
      <w:tr w:rsidR="00547374" w:rsidRPr="00547374" w14:paraId="02FDDADE" w14:textId="77777777" w:rsidTr="00572939">
        <w:trPr>
          <w:trHeight w:val="841"/>
          <w:jc w:val="center"/>
        </w:trPr>
        <w:tc>
          <w:tcPr>
            <w:tcW w:w="2940" w:type="dxa"/>
            <w:tcBorders>
              <w:top w:val="nil"/>
              <w:left w:val="single" w:sz="4" w:space="0" w:color="000000"/>
              <w:bottom w:val="single" w:sz="4" w:space="0" w:color="000000"/>
              <w:right w:val="single" w:sz="4" w:space="0" w:color="000000"/>
            </w:tcBorders>
            <w:shd w:val="clear" w:color="auto" w:fill="auto"/>
            <w:vAlign w:val="center"/>
            <w:hideMark/>
          </w:tcPr>
          <w:p w14:paraId="33646369" w14:textId="77777777" w:rsidR="00547374" w:rsidRPr="00A54EBF" w:rsidRDefault="00547374" w:rsidP="00572939">
            <w:pPr>
              <w:spacing w:before="0" w:after="0" w:line="240" w:lineRule="auto"/>
              <w:jc w:val="left"/>
              <w:rPr>
                <w:rFonts w:eastAsiaTheme="minorEastAsia" w:cs="Arial"/>
              </w:rPr>
            </w:pPr>
            <w:r w:rsidRPr="00A54EBF">
              <w:rPr>
                <w:rFonts w:eastAsiaTheme="minorEastAsia" w:cs="Arial"/>
              </w:rPr>
              <w:t>AGBC mean</w:t>
            </w:r>
            <w:r w:rsidRPr="00A54EBF">
              <w:rPr>
                <w:rFonts w:eastAsiaTheme="minorEastAsia" w:cs="Arial"/>
              </w:rPr>
              <w:br/>
              <w:t>(AGBC for D1 species + AGBC for D2 species)/2</w:t>
            </w:r>
          </w:p>
        </w:tc>
        <w:tc>
          <w:tcPr>
            <w:tcW w:w="3360" w:type="dxa"/>
            <w:tcBorders>
              <w:top w:val="nil"/>
              <w:left w:val="nil"/>
              <w:bottom w:val="single" w:sz="4" w:space="0" w:color="000000"/>
              <w:right w:val="single" w:sz="4" w:space="0" w:color="000000"/>
            </w:tcBorders>
            <w:shd w:val="clear" w:color="auto" w:fill="auto"/>
            <w:vAlign w:val="center"/>
            <w:hideMark/>
          </w:tcPr>
          <w:p w14:paraId="2D4674DC" w14:textId="77777777" w:rsidR="00547374" w:rsidRPr="00A54EBF" w:rsidRDefault="00547374" w:rsidP="00572939">
            <w:pPr>
              <w:spacing w:before="0" w:after="0" w:line="240" w:lineRule="auto"/>
              <w:jc w:val="left"/>
              <w:rPr>
                <w:rFonts w:eastAsiaTheme="minorEastAsia" w:cs="Arial"/>
              </w:rPr>
            </w:pPr>
            <w:r w:rsidRPr="00A54EBF">
              <w:rPr>
                <w:rFonts w:eastAsiaTheme="minorEastAsia" w:cs="Arial"/>
              </w:rPr>
              <w:t xml:space="preserve">0 </w:t>
            </w:r>
            <w:r w:rsidRPr="00A54EBF">
              <w:rPr>
                <w:rFonts w:ascii="Cambria Math" w:eastAsiaTheme="minorEastAsia" w:hAnsi="Cambria Math" w:cs="Cambria Math"/>
              </w:rPr>
              <w:t>‐</w:t>
            </w:r>
            <w:r w:rsidRPr="00A54EBF">
              <w:rPr>
                <w:rFonts w:eastAsiaTheme="minorEastAsia" w:cs="Arial"/>
              </w:rPr>
              <w:t xml:space="preserve"> 236: Mg C/ha</w:t>
            </w:r>
          </w:p>
        </w:tc>
      </w:tr>
    </w:tbl>
    <w:p w14:paraId="4F6BFA68" w14:textId="0A91354F" w:rsidR="00885E9F" w:rsidRDefault="00885E9F" w:rsidP="00885E9F">
      <w:r w:rsidRPr="00885E9F">
        <w:t xml:space="preserve">For the estimation of Carbon Sequestration </w:t>
      </w:r>
      <w:r w:rsidR="00697022" w:rsidRPr="00885E9F">
        <w:t>Capacity,</w:t>
      </w:r>
      <w:r w:rsidRPr="00885E9F">
        <w:t xml:space="preserve"> a formula</w:t>
      </w:r>
      <w:r>
        <w:t xml:space="preserve"> used</w:t>
      </w:r>
      <w:r w:rsidRPr="00885E9F">
        <w:t xml:space="preserve"> in which</w:t>
      </w:r>
      <w:r>
        <w:t xml:space="preserve"> AGBC mean, productivity value and weight factor </w:t>
      </w:r>
      <w:r w:rsidR="00A1352B">
        <w:t xml:space="preserve">of </w:t>
      </w:r>
      <w:r>
        <w:t xml:space="preserve">70% multiplied. From these three variables, AGBC mean is the mean value calculated from </w:t>
      </w:r>
      <w:r w:rsidR="00E20F42" w:rsidRPr="00E20F42">
        <w:t>AGBC for D1 species</w:t>
      </w:r>
      <w:r w:rsidR="00E20F42">
        <w:t xml:space="preserve"> - </w:t>
      </w:r>
      <w:r w:rsidR="00E20F42" w:rsidRPr="00E20F42">
        <w:t>AGBC for D</w:t>
      </w:r>
      <w:r w:rsidR="00E20F42">
        <w:t>2</w:t>
      </w:r>
      <w:r w:rsidR="00E20F42" w:rsidRPr="00E20F42">
        <w:t xml:space="preserve"> species</w:t>
      </w:r>
      <w:r w:rsidR="00E20F42">
        <w:t xml:space="preserve"> </w:t>
      </w:r>
      <w:r>
        <w:t>and productivity value is calculated on task 2.3</w:t>
      </w:r>
      <w:r w:rsidR="00697022">
        <w:t xml:space="preserve"> for each ML</w:t>
      </w:r>
      <w:r>
        <w:t>.</w:t>
      </w:r>
      <w:r w:rsidR="00697022">
        <w:t xml:space="preserve"> </w:t>
      </w:r>
      <w:r w:rsidR="00A1352B">
        <w:t>The w</w:t>
      </w:r>
      <w:r>
        <w:t>eight factor</w:t>
      </w:r>
      <w:r w:rsidR="00A1352B">
        <w:t xml:space="preserve"> of</w:t>
      </w:r>
      <w:r>
        <w:t xml:space="preserve"> 70% is </w:t>
      </w:r>
      <w:r w:rsidR="00926EAB">
        <w:t>defined</w:t>
      </w:r>
      <w:r>
        <w:t xml:space="preserve"> as the upper limit of a ML’s CSC after being afforested, compared to neighbor forested areas, because MLs by default have productivity restrictions.</w:t>
      </w:r>
    </w:p>
    <w:p w14:paraId="03B94317" w14:textId="77777777" w:rsidR="0015249F" w:rsidRDefault="0015249F" w:rsidP="00204CE0">
      <w:pPr>
        <w:pStyle w:val="Caption"/>
        <w:rPr>
          <w:b w:val="0"/>
          <w:bCs w:val="0"/>
          <w:color w:val="auto"/>
          <w:sz w:val="22"/>
          <w:szCs w:val="22"/>
          <w:lang w:val="en-US"/>
        </w:rPr>
      </w:pPr>
      <w:bookmarkStart w:id="99" w:name="_Ref90636505"/>
      <m:oMathPara>
        <m:oMath>
          <m:r>
            <m:rPr>
              <m:sty m:val="bi"/>
            </m:rPr>
            <w:rPr>
              <w:rFonts w:ascii="Cambria Math" w:eastAsiaTheme="minorHAnsi" w:hAnsi="Cambria Math" w:cstheme="minorBidi"/>
              <w:color w:val="auto"/>
              <w:sz w:val="22"/>
              <w:szCs w:val="22"/>
              <w:lang w:val="en-US"/>
            </w:rPr>
            <m:t>AGBC mean × Productivity value × Weight factor 70%</m:t>
          </m:r>
        </m:oMath>
      </m:oMathPara>
    </w:p>
    <w:p w14:paraId="19B88AF2" w14:textId="1AFFE27F" w:rsidR="00204CE0" w:rsidRDefault="00204CE0" w:rsidP="00204CE0">
      <w:pPr>
        <w:pStyle w:val="Caption"/>
      </w:pPr>
      <w:r>
        <w:t xml:space="preserve">Equation </w:t>
      </w:r>
      <w:r>
        <w:fldChar w:fldCharType="begin"/>
      </w:r>
      <w:r>
        <w:instrText xml:space="preserve"> SEQ Equation \* ARABIC </w:instrText>
      </w:r>
      <w:r>
        <w:fldChar w:fldCharType="separate"/>
      </w:r>
      <w:r w:rsidR="000655D3">
        <w:rPr>
          <w:noProof/>
        </w:rPr>
        <w:t>4</w:t>
      </w:r>
      <w:r>
        <w:fldChar w:fldCharType="end"/>
      </w:r>
      <w:bookmarkEnd w:id="99"/>
      <w:r>
        <w:t xml:space="preserve">.  </w:t>
      </w:r>
      <w:r w:rsidR="00F21042">
        <w:t>Carbon Sequestration Capacity (European level)</w:t>
      </w:r>
    </w:p>
    <w:p w14:paraId="73DA222F" w14:textId="2F353180" w:rsidR="000B0373" w:rsidRDefault="00697022" w:rsidP="00906081">
      <w:r>
        <w:t xml:space="preserve">Because of the extent of the study area, </w:t>
      </w:r>
      <w:r w:rsidR="00906081">
        <w:t xml:space="preserve">covering </w:t>
      </w:r>
      <w:r>
        <w:t xml:space="preserve">the whole </w:t>
      </w:r>
      <w:r w:rsidR="00805D84">
        <w:t>Europe</w:t>
      </w:r>
      <w:r>
        <w:t xml:space="preserve">, the </w:t>
      </w:r>
      <w:r w:rsidR="00101C2A">
        <w:t xml:space="preserve">available data regarding AGBC which refer to 2010 and the fact that CSC of MLs may change from year to year due to various reasons and factors, the </w:t>
      </w:r>
      <w:r w:rsidR="001B2032">
        <w:t>formula’s results</w:t>
      </w:r>
      <w:r w:rsidR="00101C2A">
        <w:t xml:space="preserve"> </w:t>
      </w:r>
      <w:r w:rsidR="001B2032">
        <w:t>do</w:t>
      </w:r>
      <w:r w:rsidR="00101C2A">
        <w:t xml:space="preserve"> not </w:t>
      </w:r>
      <w:r w:rsidR="001B2032">
        <w:t>represent</w:t>
      </w:r>
      <w:r w:rsidR="00101C2A">
        <w:t xml:space="preserve"> the maximum C stock that can be obtained</w:t>
      </w:r>
      <w:r w:rsidR="001B2032">
        <w:t>.</w:t>
      </w:r>
      <w:r w:rsidR="00101C2A">
        <w:t xml:space="preserve"> </w:t>
      </w:r>
      <w:r w:rsidR="001B2032">
        <w:t xml:space="preserve">The results of the formula </w:t>
      </w:r>
      <w:r w:rsidR="008922BB">
        <w:t>serve</w:t>
      </w:r>
      <w:r w:rsidR="001B2032">
        <w:t xml:space="preserve"> classification purposes only. </w:t>
      </w:r>
      <w:r w:rsidR="008922BB">
        <w:t>Through classification in</w:t>
      </w:r>
      <w:r w:rsidR="00CF4C99">
        <w:t>to</w:t>
      </w:r>
      <w:r w:rsidR="008922BB">
        <w:t xml:space="preserve"> CSC</w:t>
      </w:r>
      <w:r w:rsidR="001B2032">
        <w:t xml:space="preserve"> </w:t>
      </w:r>
      <w:r w:rsidR="008922BB">
        <w:t>groups,</w:t>
      </w:r>
      <w:r w:rsidR="001B2032">
        <w:t xml:space="preserve"> </w:t>
      </w:r>
      <w:r w:rsidR="008922BB">
        <w:t>we get</w:t>
      </w:r>
      <w:r w:rsidR="00CC4989">
        <w:t xml:space="preserve"> a better </w:t>
      </w:r>
      <w:r w:rsidR="00906081" w:rsidRPr="00906081">
        <w:t>understand</w:t>
      </w:r>
      <w:r w:rsidR="00CC4989">
        <w:t>ing regarding</w:t>
      </w:r>
      <w:r w:rsidR="00906081" w:rsidRPr="00906081">
        <w:t xml:space="preserve"> the relative interconnections between groups and each one's potential trend</w:t>
      </w:r>
      <w:r w:rsidR="00906081">
        <w:t>.</w:t>
      </w:r>
    </w:p>
    <w:p w14:paraId="2DD4AB9B" w14:textId="1A422EC6" w:rsidR="00DD698A" w:rsidRDefault="003469B8" w:rsidP="00DD698A">
      <w:r>
        <w:t>In order to discover and present the frequency distribution of the formula’s results, a histogram plotte</w:t>
      </w:r>
      <w:r w:rsidR="00DD698A">
        <w:t>d</w:t>
      </w:r>
      <w:r>
        <w:t>.</w:t>
      </w:r>
      <w:r w:rsidR="00DD698A">
        <w:t xml:space="preserve"> </w:t>
      </w:r>
      <w:r w:rsidR="00DD698A" w:rsidRPr="00DD698A">
        <w:t>Classification in</w:t>
      </w:r>
      <w:r w:rsidR="00CF4C99">
        <w:t>to</w:t>
      </w:r>
      <w:r w:rsidR="00DD698A" w:rsidRPr="00DD698A">
        <w:t xml:space="preserve"> CSC groups was done by manually defining </w:t>
      </w:r>
      <w:r w:rsidR="00DD698A" w:rsidRPr="00DD698A">
        <w:lastRenderedPageBreak/>
        <w:t>classes ranges, in such a way so each class to cover approximately the same area across Europe, with the exception of higher and lower sequestration groups, Group A and Group E respectively.</w:t>
      </w:r>
      <w:r w:rsidR="00805D84">
        <w:t xml:space="preserve"> </w:t>
      </w:r>
      <w:r w:rsidR="00DD698A" w:rsidRPr="00DD698A">
        <w:t>Group A represents higher sequestration MLs, covering 5% of Europe’s total MLs and on the other side Group E represents lower sequestration MLs covering 31% of Europe’s ML</w:t>
      </w:r>
      <w:r w:rsidR="00805D84">
        <w:t>s.</w:t>
      </w:r>
    </w:p>
    <w:p w14:paraId="30BB1D3D" w14:textId="6A9CC145" w:rsidR="00014156" w:rsidRDefault="00014156" w:rsidP="00204CE0">
      <w:pPr>
        <w:jc w:val="center"/>
      </w:pPr>
      <w:r w:rsidRPr="00014156">
        <w:rPr>
          <w:noProof/>
          <w:lang w:val="es-ES" w:eastAsia="es-ES"/>
        </w:rPr>
        <w:drawing>
          <wp:inline distT="0" distB="0" distL="0" distR="0" wp14:anchorId="05604B73" wp14:editId="354506C5">
            <wp:extent cx="5011921" cy="3102825"/>
            <wp:effectExtent l="0" t="0" r="17780" b="2540"/>
            <wp:docPr id="13" name="Chart 13">
              <a:extLst xmlns:a="http://schemas.openxmlformats.org/drawingml/2006/main">
                <a:ext uri="{FF2B5EF4-FFF2-40B4-BE49-F238E27FC236}">
                  <a16:creationId xmlns:a16="http://schemas.microsoft.com/office/drawing/2014/main" id="{D47FFD2E-9C3B-49BF-8E79-4FDF7852D427}"/>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089B327" w14:textId="7B70D144" w:rsidR="00857337" w:rsidRDefault="00857337" w:rsidP="00857337">
      <w:pPr>
        <w:pStyle w:val="Caption"/>
      </w:pPr>
      <w:bookmarkStart w:id="100" w:name="_Toc91575564"/>
      <w:r>
        <w:t xml:space="preserve">Figure </w:t>
      </w:r>
      <w:r>
        <w:fldChar w:fldCharType="begin"/>
      </w:r>
      <w:r>
        <w:instrText xml:space="preserve"> SEQ Figure \* ARABIC </w:instrText>
      </w:r>
      <w:r>
        <w:fldChar w:fldCharType="separate"/>
      </w:r>
      <w:r w:rsidR="000655D3">
        <w:rPr>
          <w:noProof/>
        </w:rPr>
        <w:t>20</w:t>
      </w:r>
      <w:r>
        <w:fldChar w:fldCharType="end"/>
      </w:r>
      <w:r>
        <w:t>: Histogram of CSC values for European level</w:t>
      </w:r>
      <w:bookmarkEnd w:id="100"/>
    </w:p>
    <w:p w14:paraId="539E427B" w14:textId="25917053" w:rsidR="00DD698A" w:rsidRPr="00014156" w:rsidRDefault="00DD698A" w:rsidP="00014156">
      <w:pPr>
        <w:jc w:val="center"/>
      </w:pPr>
      <w:r w:rsidRPr="00DD698A">
        <w:rPr>
          <w:noProof/>
          <w:lang w:val="es-ES" w:eastAsia="es-ES"/>
        </w:rPr>
        <w:drawing>
          <wp:inline distT="0" distB="0" distL="0" distR="0" wp14:anchorId="578ED43A" wp14:editId="21807768">
            <wp:extent cx="5113421" cy="3068173"/>
            <wp:effectExtent l="0" t="0" r="11430" b="18415"/>
            <wp:docPr id="35" name="Chart 35">
              <a:extLst xmlns:a="http://schemas.openxmlformats.org/drawingml/2006/main">
                <a:ext uri="{FF2B5EF4-FFF2-40B4-BE49-F238E27FC236}">
                  <a16:creationId xmlns:a16="http://schemas.microsoft.com/office/drawing/2014/main" id="{E24EAEA5-D57E-4841-93A7-9B5BCAE3C08E}"/>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1B66237" w14:textId="743430BE" w:rsidR="00014156" w:rsidRPr="00C61199" w:rsidRDefault="00FC62EB" w:rsidP="00FC62EB">
      <w:pPr>
        <w:pStyle w:val="Caption"/>
      </w:pPr>
      <w:bookmarkStart w:id="101" w:name="_Toc91575565"/>
      <w:r>
        <w:t xml:space="preserve">Figure </w:t>
      </w:r>
      <w:r>
        <w:fldChar w:fldCharType="begin"/>
      </w:r>
      <w:r>
        <w:instrText xml:space="preserve"> SEQ Figure \* ARABIC </w:instrText>
      </w:r>
      <w:r>
        <w:fldChar w:fldCharType="separate"/>
      </w:r>
      <w:r w:rsidR="000655D3">
        <w:rPr>
          <w:noProof/>
        </w:rPr>
        <w:t>21</w:t>
      </w:r>
      <w:r>
        <w:fldChar w:fldCharType="end"/>
      </w:r>
      <w:r>
        <w:t xml:space="preserve">: </w:t>
      </w:r>
      <w:r w:rsidRPr="008E17F6">
        <w:t>Groups’ distribution in percentages for European cover</w:t>
      </w:r>
      <w:bookmarkEnd w:id="101"/>
    </w:p>
    <w:p w14:paraId="027242B0" w14:textId="21D65C0B" w:rsidR="00494E52" w:rsidRPr="00926EAB" w:rsidRDefault="00F4753F" w:rsidP="00F97776">
      <w:pPr>
        <w:pStyle w:val="Heading2"/>
        <w:numPr>
          <w:ilvl w:val="0"/>
          <w:numId w:val="0"/>
        </w:numPr>
        <w:ind w:left="576" w:hanging="576"/>
      </w:pPr>
      <w:bookmarkStart w:id="102" w:name="_Toc91575539"/>
      <w:r>
        <w:lastRenderedPageBreak/>
        <w:t>4</w:t>
      </w:r>
      <w:r w:rsidR="00494E52" w:rsidRPr="00926EAB">
        <w:t>.</w:t>
      </w:r>
      <w:r w:rsidR="00F97776">
        <w:t>6</w:t>
      </w:r>
      <w:r w:rsidR="00494E52" w:rsidRPr="00926EAB">
        <w:t xml:space="preserve">. </w:t>
      </w:r>
      <w:r w:rsidR="00A37525">
        <w:t>Google Earth Engine</w:t>
      </w:r>
      <w:r w:rsidR="00D87BF3">
        <w:t xml:space="preserve"> </w:t>
      </w:r>
      <w:r w:rsidR="00494E52">
        <w:t>Tool</w:t>
      </w:r>
      <w:bookmarkEnd w:id="102"/>
    </w:p>
    <w:p w14:paraId="23BA23F6" w14:textId="291AAD18" w:rsidR="002C2A5B" w:rsidRDefault="00650505" w:rsidP="004F5E6D">
      <w:r>
        <w:t>From the finding</w:t>
      </w:r>
      <w:r w:rsidR="004A7125">
        <w:t>s</w:t>
      </w:r>
      <w:r>
        <w:t xml:space="preserve"> of this </w:t>
      </w:r>
      <w:r w:rsidR="004A7125">
        <w:t>chapter</w:t>
      </w:r>
      <w:r>
        <w:t>, a</w:t>
      </w:r>
      <w:r w:rsidR="00CB6EEE" w:rsidRPr="00CB6EEE">
        <w:t xml:space="preserve"> tool</w:t>
      </w:r>
      <w:r w:rsidR="00520822">
        <w:t xml:space="preserve"> was</w:t>
      </w:r>
      <w:r w:rsidR="00CB6EEE">
        <w:t xml:space="preserve"> also developed to</w:t>
      </w:r>
      <w:r w:rsidR="00CB6EEE" w:rsidRPr="00CB6EEE">
        <w:t xml:space="preserve"> be accommodated to the</w:t>
      </w:r>
      <w:r>
        <w:t xml:space="preserve"> </w:t>
      </w:r>
      <w:r w:rsidRPr="00650505">
        <w:rPr>
          <w:b/>
          <w:i/>
          <w:color w:val="31479E" w:themeColor="accent1" w:themeShade="BF"/>
        </w:rPr>
        <w:t>MAIL</w:t>
      </w:r>
      <w:r w:rsidR="00CB6EEE" w:rsidRPr="00650505">
        <w:rPr>
          <w:color w:val="31479E" w:themeColor="accent1" w:themeShade="BF"/>
        </w:rPr>
        <w:t xml:space="preserve"> </w:t>
      </w:r>
      <w:r>
        <w:t>geoportal,</w:t>
      </w:r>
      <w:r w:rsidR="00CB6EEE" w:rsidRPr="00CB6EEE">
        <w:t xml:space="preserve"> into the Decision Support System</w:t>
      </w:r>
      <w:r w:rsidR="004F5E6D">
        <w:t xml:space="preserve"> under the name “Potential Suitable Species”</w:t>
      </w:r>
      <w:r w:rsidR="00CB6EEE" w:rsidRPr="00CB6EEE">
        <w:t>.</w:t>
      </w:r>
    </w:p>
    <w:p w14:paraId="49F114EC" w14:textId="77777777" w:rsidR="002C2A5B" w:rsidRDefault="004F5E6D" w:rsidP="004F5E6D">
      <w:r>
        <w:t>The purpose is to provide a general overview regarding Carbon Sequestration Capacity Groups (CSC Groups) and to suggest Potential Suitable Species for afforestation. The CSC groups are calculated based on the methodology applied for the whole Europe and Potential Suitable Species on presence frequency in the neighbor forested areas, ranked according to dominance.</w:t>
      </w:r>
    </w:p>
    <w:p w14:paraId="23AD8C53" w14:textId="77777777" w:rsidR="002C2A5B" w:rsidRDefault="004F5E6D" w:rsidP="004F5E6D">
      <w:r>
        <w:t xml:space="preserve">The analysis occurs at a user’s defined level (student, stakeholder, etc.) by drawing or inserting a specified Area Of Interest (AOI; </w:t>
      </w:r>
      <w:r w:rsidRPr="0031759F">
        <w:rPr>
          <w:i/>
          <w:iCs/>
        </w:rPr>
        <w:t>*.geojson</w:t>
      </w:r>
      <w:r>
        <w:t>). The AOI information is displayed on three relative pie charts, one for CSC Groups and another two for species, dominant 1 and dominant 2. In each relative pie chart, the results illustrate the participation percentages in the AOI.</w:t>
      </w:r>
    </w:p>
    <w:p w14:paraId="1EB5046A" w14:textId="67531A0B" w:rsidR="002C2A5B" w:rsidRDefault="004F5E6D" w:rsidP="004F5E6D">
      <w:r>
        <w:t xml:space="preserve">There is </w:t>
      </w:r>
      <w:r w:rsidR="0031759F">
        <w:t xml:space="preserve">no </w:t>
      </w:r>
      <w:r>
        <w:t>specified limit in the AOI extend. However, the tool designed for parcel scale analysis. Therefore, it is suggested not to exceed 100,000 ha, as the accuracy is inversely proportional to the AOI.</w:t>
      </w:r>
    </w:p>
    <w:p w14:paraId="29D11BAE" w14:textId="1E1C62C8" w:rsidR="00CB6EEE" w:rsidRDefault="00CB6EEE" w:rsidP="00026090">
      <w:pPr>
        <w:jc w:val="center"/>
      </w:pPr>
      <w:r w:rsidRPr="00CB6EEE">
        <w:rPr>
          <w:noProof/>
          <w:lang w:val="es-ES" w:eastAsia="es-ES"/>
        </w:rPr>
        <w:drawing>
          <wp:inline distT="0" distB="0" distL="0" distR="0" wp14:anchorId="40C484FB" wp14:editId="0A3E2546">
            <wp:extent cx="5228811" cy="2777633"/>
            <wp:effectExtent l="19050" t="19050" r="10160" b="22860"/>
            <wp:docPr id="38" name="Picture 6">
              <a:extLst xmlns:a="http://schemas.openxmlformats.org/drawingml/2006/main">
                <a:ext uri="{FF2B5EF4-FFF2-40B4-BE49-F238E27FC236}">
                  <a16:creationId xmlns:a16="http://schemas.microsoft.com/office/drawing/2014/main" id="{C6BD5CDC-243F-443B-875E-EE46030B83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6BD5CDC-243F-443B-875E-EE46030B8347}"/>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51641" cy="2789761"/>
                    </a:xfrm>
                    <a:prstGeom prst="rect">
                      <a:avLst/>
                    </a:prstGeom>
                    <a:ln>
                      <a:solidFill>
                        <a:schemeClr val="tx1"/>
                      </a:solidFill>
                    </a:ln>
                  </pic:spPr>
                </pic:pic>
              </a:graphicData>
            </a:graphic>
          </wp:inline>
        </w:drawing>
      </w:r>
    </w:p>
    <w:p w14:paraId="42064CBA" w14:textId="65F13C84" w:rsidR="002D0216" w:rsidRDefault="002D0216" w:rsidP="002D0216">
      <w:pPr>
        <w:pStyle w:val="Caption"/>
      </w:pPr>
      <w:bookmarkStart w:id="103" w:name="_Toc91575566"/>
      <w:r>
        <w:t xml:space="preserve">Figure </w:t>
      </w:r>
      <w:r>
        <w:fldChar w:fldCharType="begin"/>
      </w:r>
      <w:r>
        <w:instrText xml:space="preserve"> SEQ Figure \* ARABIC </w:instrText>
      </w:r>
      <w:r>
        <w:fldChar w:fldCharType="separate"/>
      </w:r>
      <w:r w:rsidR="000655D3">
        <w:rPr>
          <w:noProof/>
        </w:rPr>
        <w:t>22</w:t>
      </w:r>
      <w:r>
        <w:fldChar w:fldCharType="end"/>
      </w:r>
      <w:r>
        <w:t>: Potential Suitable Species tool menu</w:t>
      </w:r>
      <w:bookmarkEnd w:id="103"/>
    </w:p>
    <w:p w14:paraId="683DB38D" w14:textId="77777777" w:rsidR="00A9781E" w:rsidRPr="003E3342" w:rsidRDefault="00A9781E" w:rsidP="00A9781E">
      <w:r>
        <w:lastRenderedPageBreak/>
        <w:t>The tool scope is a broader approach in European level. Thus, by no means can substitute an in-situ analysis, that takes into account more aspects such as micro-climate, ecological zone, elevation, soil attributes, plant indicators, etc.</w:t>
      </w:r>
    </w:p>
    <w:p w14:paraId="7365C813" w14:textId="4C6417AF" w:rsidR="00CB6EEE" w:rsidRDefault="00CB6EEE" w:rsidP="00A25EDC">
      <w:r w:rsidRPr="00CB6EEE">
        <w:rPr>
          <w:noProof/>
          <w:lang w:val="es-ES" w:eastAsia="es-ES"/>
        </w:rPr>
        <w:drawing>
          <wp:inline distT="0" distB="0" distL="0" distR="0" wp14:anchorId="6ABB3B29" wp14:editId="7D5823B0">
            <wp:extent cx="5400675" cy="2871470"/>
            <wp:effectExtent l="19050" t="19050" r="28575" b="24130"/>
            <wp:docPr id="39" name="Picture 14">
              <a:extLst xmlns:a="http://schemas.openxmlformats.org/drawingml/2006/main">
                <a:ext uri="{FF2B5EF4-FFF2-40B4-BE49-F238E27FC236}">
                  <a16:creationId xmlns:a16="http://schemas.microsoft.com/office/drawing/2014/main" id="{D780FDD2-7BC5-4BDC-AA62-72CE619C8F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D780FDD2-7BC5-4BDC-AA62-72CE619C8FCF}"/>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00675" cy="2871470"/>
                    </a:xfrm>
                    <a:prstGeom prst="rect">
                      <a:avLst/>
                    </a:prstGeom>
                    <a:ln>
                      <a:solidFill>
                        <a:schemeClr val="tx1"/>
                      </a:solidFill>
                    </a:ln>
                  </pic:spPr>
                </pic:pic>
              </a:graphicData>
            </a:graphic>
          </wp:inline>
        </w:drawing>
      </w:r>
    </w:p>
    <w:p w14:paraId="231E43D4" w14:textId="326D732F" w:rsidR="00CB6EEE" w:rsidRDefault="002D0216" w:rsidP="002D0216">
      <w:pPr>
        <w:pStyle w:val="Caption"/>
      </w:pPr>
      <w:bookmarkStart w:id="104" w:name="_Toc91575567"/>
      <w:r>
        <w:t xml:space="preserve">Figure </w:t>
      </w:r>
      <w:r>
        <w:fldChar w:fldCharType="begin"/>
      </w:r>
      <w:r>
        <w:instrText xml:space="preserve"> SEQ Figure \* ARABIC </w:instrText>
      </w:r>
      <w:r>
        <w:fldChar w:fldCharType="separate"/>
      </w:r>
      <w:r w:rsidR="000655D3">
        <w:rPr>
          <w:noProof/>
        </w:rPr>
        <w:t>23</w:t>
      </w:r>
      <w:r>
        <w:fldChar w:fldCharType="end"/>
      </w:r>
      <w:r w:rsidRPr="007E6952">
        <w:t>: Potential Suitable Species tool</w:t>
      </w:r>
      <w:r>
        <w:t xml:space="preserve"> results</w:t>
      </w:r>
      <w:bookmarkEnd w:id="104"/>
    </w:p>
    <w:p w14:paraId="68CA9E81" w14:textId="7F6F3D2B" w:rsidR="00D87BF3" w:rsidRPr="00142CBA" w:rsidRDefault="00D87BF3" w:rsidP="00D87BF3">
      <w:pPr>
        <w:pStyle w:val="Heading2"/>
        <w:numPr>
          <w:ilvl w:val="0"/>
          <w:numId w:val="0"/>
        </w:numPr>
        <w:ind w:left="576" w:hanging="576"/>
      </w:pPr>
      <w:bookmarkStart w:id="105" w:name="_Toc91575540"/>
      <w:r>
        <w:t>4.7</w:t>
      </w:r>
      <w:r w:rsidRPr="00142CBA">
        <w:t>. Discussion &amp; Conclusion</w:t>
      </w:r>
      <w:r w:rsidR="00520822">
        <w:t>s</w:t>
      </w:r>
      <w:bookmarkEnd w:id="105"/>
    </w:p>
    <w:p w14:paraId="35987A36" w14:textId="1640D863" w:rsidR="002C2A5B" w:rsidRDefault="0060410E" w:rsidP="00857C72">
      <w:r>
        <w:t>In this chapter a methodology for classifying MLs in</w:t>
      </w:r>
      <w:r w:rsidR="00F911F9">
        <w:t>to</w:t>
      </w:r>
      <w:r>
        <w:t xml:space="preserve"> CSC groups </w:t>
      </w:r>
      <w:r w:rsidR="008C0AF6">
        <w:t xml:space="preserve">was </w:t>
      </w:r>
      <w:r w:rsidRPr="0060410E">
        <w:t>developed</w:t>
      </w:r>
      <w:r>
        <w:t xml:space="preserve">. It would not be </w:t>
      </w:r>
      <w:r w:rsidR="00033E37">
        <w:t>possible</w:t>
      </w:r>
      <w:r>
        <w:t xml:space="preserve"> to apply the same methodology</w:t>
      </w:r>
      <w:r w:rsidR="00657BA9">
        <w:t xml:space="preserve"> </w:t>
      </w:r>
      <w:r>
        <w:t xml:space="preserve">applied </w:t>
      </w:r>
      <w:r w:rsidR="008C0AF6">
        <w:t>at</w:t>
      </w:r>
      <w:r>
        <w:t xml:space="preserve"> pilot site level</w:t>
      </w:r>
      <w:r w:rsidR="00657BA9">
        <w:t>. D</w:t>
      </w:r>
      <w:r>
        <w:t>ue to</w:t>
      </w:r>
      <w:r w:rsidR="00657BA9">
        <w:t xml:space="preserve"> the</w:t>
      </w:r>
      <w:r>
        <w:t xml:space="preserve"> </w:t>
      </w:r>
      <w:r w:rsidRPr="0060410E">
        <w:t>extent of the study area and the time frame of the task</w:t>
      </w:r>
      <w:r w:rsidR="00657BA9">
        <w:t xml:space="preserve">, </w:t>
      </w:r>
      <w:r w:rsidR="00657BA9" w:rsidRPr="00657BA9">
        <w:t>field measurements or remote sensing wouldn’t be feasible.</w:t>
      </w:r>
    </w:p>
    <w:p w14:paraId="1F07F897" w14:textId="77777777" w:rsidR="002C2A5B" w:rsidRDefault="00657BA9" w:rsidP="00857C72">
      <w:r>
        <w:t xml:space="preserve">The classification performed by developing a new methodology and using freely available data. </w:t>
      </w:r>
      <w:r w:rsidR="00033E37">
        <w:t xml:space="preserve">Estimating potential suitable species for afforestation and their </w:t>
      </w:r>
      <w:r w:rsidR="00EB4C4F">
        <w:t>AGBC</w:t>
      </w:r>
      <w:r w:rsidR="00033E37">
        <w:t xml:space="preserve"> were crucial in order to estimate MLs’ CSC.</w:t>
      </w:r>
      <w:r w:rsidR="00677C8C">
        <w:t xml:space="preserve"> </w:t>
      </w:r>
      <w:r w:rsidR="00033E37">
        <w:t>Detail</w:t>
      </w:r>
      <w:r w:rsidR="00201AE4">
        <w:t>ed</w:t>
      </w:r>
      <w:r w:rsidR="00677C8C">
        <w:t xml:space="preserve"> workflows were created that describe every step of the preprocessing of the datasets that used for the MLs classification in</w:t>
      </w:r>
      <w:r w:rsidR="002A69E9">
        <w:t>to</w:t>
      </w:r>
      <w:r w:rsidR="00677C8C">
        <w:t xml:space="preserve"> CSC groups as well as for estimating potential suitable species for afforestation.</w:t>
      </w:r>
    </w:p>
    <w:p w14:paraId="6F933AA8" w14:textId="77777777" w:rsidR="000655D3" w:rsidRDefault="001A1BD0" w:rsidP="00204CE0">
      <w:pPr>
        <w:pStyle w:val="Caption"/>
        <w:rPr>
          <w:b w:val="0"/>
          <w:bCs w:val="0"/>
          <w:color w:val="auto"/>
          <w:sz w:val="22"/>
          <w:szCs w:val="22"/>
          <w:lang w:val="en-US"/>
        </w:rPr>
      </w:pPr>
      <w:r>
        <w:t>Following the</w:t>
      </w:r>
      <w:r w:rsidR="003E0A90">
        <w:t xml:space="preserve"> collection and combination of all the </w:t>
      </w:r>
      <w:r w:rsidR="003E0A90" w:rsidRPr="003E0A90">
        <w:t>appropriate</w:t>
      </w:r>
      <w:r w:rsidR="003E0A90">
        <w:t xml:space="preserve"> datasets required for the methodology, a formula developed in which AGBC mean, productivity value and </w:t>
      </w:r>
      <w:r w:rsidR="008C0AF6">
        <w:t xml:space="preserve">a </w:t>
      </w:r>
      <w:r w:rsidR="003E0A90">
        <w:t>weight factor</w:t>
      </w:r>
      <w:r w:rsidR="008C0AF6">
        <w:t xml:space="preserve"> of</w:t>
      </w:r>
      <w:r w:rsidR="003E0A90">
        <w:t xml:space="preserve"> 70% are </w:t>
      </w:r>
      <w:r w:rsidR="003E0A90" w:rsidRPr="003E0A90">
        <w:t>multiplied</w:t>
      </w:r>
      <w:r w:rsidR="003E0A90">
        <w:t xml:space="preserve"> to estimate CSC</w:t>
      </w:r>
      <w:r w:rsidR="00204CE0">
        <w:t xml:space="preserve"> (</w:t>
      </w:r>
      <w:r w:rsidR="00204CE0">
        <w:fldChar w:fldCharType="begin"/>
      </w:r>
      <w:r w:rsidR="00204CE0">
        <w:instrText xml:space="preserve"> REF _Ref90636505 \h </w:instrText>
      </w:r>
      <w:r w:rsidR="00204CE0">
        <w:fldChar w:fldCharType="separate"/>
      </w:r>
      <m:oMath>
        <m:r>
          <m:rPr>
            <m:sty m:val="bi"/>
          </m:rPr>
          <w:rPr>
            <w:rFonts w:ascii="Cambria Math" w:eastAsiaTheme="minorHAnsi" w:hAnsi="Cambria Math" w:cstheme="minorBidi"/>
            <w:color w:val="auto"/>
            <w:sz w:val="22"/>
            <w:szCs w:val="22"/>
            <w:lang w:val="en-US"/>
          </w:rPr>
          <m:t>AGBC mean × Productivity value × Weight factor 70%</m:t>
        </m:r>
      </m:oMath>
    </w:p>
    <w:p w14:paraId="6F8DFADC" w14:textId="320A5534" w:rsidR="002C2A5B" w:rsidRDefault="000655D3" w:rsidP="00857C72">
      <w:r>
        <w:lastRenderedPageBreak/>
        <w:t xml:space="preserve">Equation </w:t>
      </w:r>
      <w:r>
        <w:rPr>
          <w:noProof/>
        </w:rPr>
        <w:t>4</w:t>
      </w:r>
      <w:r w:rsidR="00204CE0">
        <w:fldChar w:fldCharType="end"/>
      </w:r>
      <w:r w:rsidR="00204CE0">
        <w:t>)</w:t>
      </w:r>
      <w:r w:rsidR="00FE12A8">
        <w:t>.</w:t>
      </w:r>
      <w:r w:rsidR="00AD236E">
        <w:t xml:space="preserve"> </w:t>
      </w:r>
      <w:r w:rsidR="00677C8C">
        <w:t>MLs</w:t>
      </w:r>
      <w:r w:rsidR="008C0AF6">
        <w:t xml:space="preserve"> were</w:t>
      </w:r>
      <w:r w:rsidR="00677C8C">
        <w:t xml:space="preserve"> classified</w:t>
      </w:r>
      <w:r w:rsidR="00201AE4">
        <w:t xml:space="preserve"> </w:t>
      </w:r>
      <w:r w:rsidR="00677C8C">
        <w:t xml:space="preserve">in five </w:t>
      </w:r>
      <w:r w:rsidR="00201AE4">
        <w:t>groups by</w:t>
      </w:r>
      <w:r w:rsidR="00201AE4" w:rsidRPr="00201AE4">
        <w:t xml:space="preserve"> manually defining classes</w:t>
      </w:r>
      <w:r w:rsidR="00201AE4">
        <w:t>’</w:t>
      </w:r>
      <w:r w:rsidR="00201AE4" w:rsidRPr="00201AE4">
        <w:t xml:space="preserve"> ranges</w:t>
      </w:r>
      <w:r w:rsidR="00677C8C">
        <w:t>, Group A to E</w:t>
      </w:r>
      <w:r w:rsidR="00FE12A8">
        <w:t xml:space="preserve">, from </w:t>
      </w:r>
      <w:r w:rsidR="00FE12A8" w:rsidRPr="00DD698A">
        <w:t xml:space="preserve">higher </w:t>
      </w:r>
      <w:r w:rsidR="00FE12A8">
        <w:t>to</w:t>
      </w:r>
      <w:r w:rsidR="00FE12A8" w:rsidRPr="00DD698A">
        <w:t xml:space="preserve"> lower sequestration groups</w:t>
      </w:r>
      <w:r w:rsidR="00FE12A8">
        <w:t>.</w:t>
      </w:r>
      <w:r w:rsidR="004B201C">
        <w:t xml:space="preserve"> </w:t>
      </w:r>
      <w:r w:rsidR="00AD236E">
        <w:t>MLs classified in</w:t>
      </w:r>
      <w:r w:rsidR="004B201C">
        <w:t>to</w:t>
      </w:r>
      <w:r w:rsidR="000E32AC">
        <w:t xml:space="preserve"> CSC groups with 2010 as reference year and each group does not represent the maximum C stock that can be </w:t>
      </w:r>
      <w:r w:rsidR="00EF2029">
        <w:t>obtained, but classification purpose is to give</w:t>
      </w:r>
      <w:r w:rsidR="00ED295C">
        <w:t xml:space="preserve"> a better understanding</w:t>
      </w:r>
      <w:r w:rsidR="00857C72">
        <w:t xml:space="preserve"> regarding relative interconnections between groups</w:t>
      </w:r>
      <w:r w:rsidR="00EF2029">
        <w:t>.</w:t>
      </w:r>
      <w:r w:rsidR="00857C72">
        <w:t xml:space="preserve"> MLs’ CSC and the groups may change from year to year due to various reasons and factors.</w:t>
      </w:r>
    </w:p>
    <w:p w14:paraId="731B891E" w14:textId="4F0B5C71" w:rsidR="00CB6EEE" w:rsidRDefault="008C0AF6" w:rsidP="00857C72">
      <w:r>
        <w:t xml:space="preserve">The </w:t>
      </w:r>
      <w:r w:rsidR="00201AE4">
        <w:t>GEE platform used for the implementation of the MLs classification in</w:t>
      </w:r>
      <w:r w:rsidR="00CF4C99">
        <w:t>to</w:t>
      </w:r>
      <w:r w:rsidR="00201AE4">
        <w:t xml:space="preserve"> CSC groups and also for the development of a tool to be embedded in </w:t>
      </w:r>
      <w:r w:rsidR="00201AE4" w:rsidRPr="00BB54CA">
        <w:rPr>
          <w:b/>
          <w:bCs/>
          <w:i/>
          <w:iCs/>
          <w:color w:val="31479E" w:themeColor="accent1" w:themeShade="BF"/>
        </w:rPr>
        <w:t>MAIL</w:t>
      </w:r>
      <w:r w:rsidR="00201AE4" w:rsidRPr="00BB54CA">
        <w:rPr>
          <w:color w:val="31479E" w:themeColor="accent1" w:themeShade="BF"/>
        </w:rPr>
        <w:t xml:space="preserve"> </w:t>
      </w:r>
      <w:r w:rsidR="00201AE4">
        <w:t xml:space="preserve">geoportal, in the </w:t>
      </w:r>
      <w:r w:rsidR="00201AE4" w:rsidRPr="00BB54CA">
        <w:t>Decision Support System.</w:t>
      </w:r>
      <w:r w:rsidR="00201AE4">
        <w:t xml:space="preserve"> The tool provides the </w:t>
      </w:r>
      <w:r w:rsidR="00201AE4" w:rsidRPr="00201AE4">
        <w:t>stakeholders</w:t>
      </w:r>
      <w:r w:rsidR="00201AE4">
        <w:t xml:space="preserve"> with the option to display CSC group</w:t>
      </w:r>
      <w:r w:rsidR="00CD0BE5">
        <w:t>s</w:t>
      </w:r>
      <w:r w:rsidR="00201AE4">
        <w:t xml:space="preserve"> and potential suitable species for afforestation for </w:t>
      </w:r>
      <w:r w:rsidR="0080691F">
        <w:t xml:space="preserve">the areas of </w:t>
      </w:r>
      <w:r w:rsidR="00CD0BE5">
        <w:t>their interest</w:t>
      </w:r>
      <w:r w:rsidR="005D3C70">
        <w:t>.</w:t>
      </w:r>
    </w:p>
    <w:p w14:paraId="52B95892" w14:textId="77777777" w:rsidR="00DC0177" w:rsidRDefault="00DC0177" w:rsidP="00857C72"/>
    <w:p w14:paraId="6C320FED" w14:textId="395E192A" w:rsidR="00D87BF3" w:rsidRDefault="00D87BF3">
      <w:pPr>
        <w:spacing w:line="300" w:lineRule="exact"/>
        <w:jc w:val="left"/>
      </w:pPr>
      <w:r>
        <w:br w:type="page"/>
      </w:r>
    </w:p>
    <w:p w14:paraId="37E2896E" w14:textId="4D13914B" w:rsidR="00CB6EEE" w:rsidRPr="00CB6EEE" w:rsidRDefault="009B3BE6" w:rsidP="00CB6EEE">
      <w:pPr>
        <w:pStyle w:val="Heading1"/>
        <w:numPr>
          <w:ilvl w:val="0"/>
          <w:numId w:val="0"/>
        </w:numPr>
        <w:rPr>
          <w:lang w:val="en-GB"/>
        </w:rPr>
      </w:pPr>
      <w:bookmarkStart w:id="106" w:name="_Toc91575541"/>
      <w:r w:rsidRPr="00C60499">
        <w:rPr>
          <w:lang w:val="en-GB"/>
        </w:rPr>
        <w:lastRenderedPageBreak/>
        <w:t>References</w:t>
      </w:r>
      <w:bookmarkEnd w:id="69"/>
      <w:bookmarkEnd w:id="106"/>
    </w:p>
    <w:sdt>
      <w:sdtPr>
        <w:id w:val="-739243175"/>
        <w:docPartObj>
          <w:docPartGallery w:val="Bibliographies"/>
          <w:docPartUnique/>
        </w:docPartObj>
      </w:sdtPr>
      <w:sdtEndPr/>
      <w:sdtContent>
        <w:p w14:paraId="3009CAD4" w14:textId="3842F082" w:rsidR="00A25EDC" w:rsidRPr="009619C8" w:rsidRDefault="00A25EDC" w:rsidP="00A25EDC">
          <w:pPr>
            <w:rPr>
              <w:sz w:val="16"/>
              <w:szCs w:val="16"/>
            </w:rPr>
          </w:pPr>
        </w:p>
        <w:sdt>
          <w:sdtPr>
            <w:rPr>
              <w:rFonts w:eastAsiaTheme="minorHAnsi" w:cstheme="minorBidi"/>
              <w:lang w:val="en-US"/>
            </w:rPr>
            <w:id w:val="-573587230"/>
            <w:bibliography/>
          </w:sdtPr>
          <w:sdtEndPr/>
          <w:sdtContent>
            <w:p w14:paraId="0D104799" w14:textId="77777777" w:rsidR="004231A8" w:rsidRDefault="00A25EDC" w:rsidP="004231A8">
              <w:pPr>
                <w:pStyle w:val="Bibliography"/>
                <w:ind w:left="720" w:hanging="720"/>
                <w:rPr>
                  <w:noProof/>
                  <w:sz w:val="24"/>
                  <w:szCs w:val="24"/>
                </w:rPr>
              </w:pPr>
              <w:r>
                <w:fldChar w:fldCharType="begin"/>
              </w:r>
              <w:r>
                <w:instrText xml:space="preserve"> BIBLIOGRAPHY </w:instrText>
              </w:r>
              <w:r>
                <w:fldChar w:fldCharType="separate"/>
              </w:r>
              <w:r w:rsidR="004231A8">
                <w:rPr>
                  <w:noProof/>
                </w:rPr>
                <w:t xml:space="preserve">Brus, D. J., Hengeveld, G. M., Walvoort, D. J., Goedhart, P. W., Heidema, A. H., Nabuurs, G. J., &amp; Gunia, K. (2011). </w:t>
              </w:r>
              <w:r w:rsidR="004231A8">
                <w:rPr>
                  <w:i/>
                  <w:iCs/>
                  <w:noProof/>
                </w:rPr>
                <w:t>Statistical mapping of tree species over Europe. Special Issue European Journal of Forest Research.</w:t>
              </w:r>
              <w:r w:rsidR="004231A8">
                <w:rPr>
                  <w:noProof/>
                </w:rPr>
                <w:t xml:space="preserve"> </w:t>
              </w:r>
            </w:p>
            <w:p w14:paraId="4497700C" w14:textId="77777777" w:rsidR="004231A8" w:rsidRDefault="004231A8" w:rsidP="004231A8">
              <w:pPr>
                <w:pStyle w:val="Bibliography"/>
                <w:ind w:left="720" w:hanging="720"/>
                <w:rPr>
                  <w:noProof/>
                </w:rPr>
              </w:pPr>
              <w:r>
                <w:rPr>
                  <w:noProof/>
                </w:rPr>
                <w:t xml:space="preserve">Cairns, M., Brown, S., Helmer, E., &amp; Baumgardner, G. (1997). Root biomass allocation in the world’s upland forests. </w:t>
              </w:r>
              <w:r>
                <w:rPr>
                  <w:i/>
                  <w:iCs/>
                  <w:noProof/>
                </w:rPr>
                <w:t>Oelogia</w:t>
              </w:r>
              <w:r>
                <w:rPr>
                  <w:noProof/>
                </w:rPr>
                <w:t>, 111, 1–11.</w:t>
              </w:r>
            </w:p>
            <w:p w14:paraId="00B25E3D" w14:textId="77777777" w:rsidR="004231A8" w:rsidRDefault="004231A8" w:rsidP="004231A8">
              <w:pPr>
                <w:pStyle w:val="Bibliography"/>
                <w:ind w:left="720" w:hanging="720"/>
                <w:rPr>
                  <w:noProof/>
                </w:rPr>
              </w:pPr>
              <w:r>
                <w:rPr>
                  <w:noProof/>
                </w:rPr>
                <w:t xml:space="preserve">EEA. (2017). </w:t>
              </w:r>
              <w:r>
                <w:rPr>
                  <w:i/>
                  <w:iCs/>
                  <w:noProof/>
                </w:rPr>
                <w:t>European environmental agency. climate change, impacts and vulnerability in europe 2016, an indicator-based report.</w:t>
              </w:r>
              <w:r>
                <w:rPr>
                  <w:noProof/>
                </w:rPr>
                <w:t xml:space="preserve"> European Environment Agency.</w:t>
              </w:r>
            </w:p>
            <w:p w14:paraId="55D5FE4F" w14:textId="77777777" w:rsidR="004231A8" w:rsidRDefault="004231A8" w:rsidP="004231A8">
              <w:pPr>
                <w:pStyle w:val="Bibliography"/>
                <w:ind w:left="720" w:hanging="720"/>
                <w:rPr>
                  <w:noProof/>
                </w:rPr>
              </w:pPr>
              <w:r>
                <w:rPr>
                  <w:noProof/>
                </w:rPr>
                <w:t xml:space="preserve">FAO. (2012). Global ecological zones for FAO forest reporting: 2010 update. </w:t>
              </w:r>
              <w:r>
                <w:rPr>
                  <w:i/>
                  <w:iCs/>
                  <w:noProof/>
                </w:rPr>
                <w:t>Food and Agriculture Organization</w:t>
              </w:r>
              <w:r>
                <w:rPr>
                  <w:noProof/>
                </w:rPr>
                <w:t>.</w:t>
              </w:r>
            </w:p>
            <w:p w14:paraId="0D8A06BA" w14:textId="77777777" w:rsidR="004231A8" w:rsidRDefault="004231A8" w:rsidP="004231A8">
              <w:pPr>
                <w:pStyle w:val="Bibliography"/>
                <w:ind w:left="720" w:hanging="720"/>
                <w:rPr>
                  <w:noProof/>
                </w:rPr>
              </w:pPr>
              <w:r w:rsidRPr="000853EE">
                <w:rPr>
                  <w:noProof/>
                  <w:lang w:val="es-ES"/>
                </w:rPr>
                <w:t xml:space="preserve">Forkuor, G., Zoungrana, B., Dimobe, K., Ouattara, B., Vadrevu, K., &amp; Tondoh, E. (2020). </w:t>
              </w:r>
              <w:r>
                <w:rPr>
                  <w:noProof/>
                </w:rPr>
                <w:t xml:space="preserve">Above-ground biomass mapping in West African dryland forest using Sentinel-1 and 2 datasets - A case study. </w:t>
              </w:r>
              <w:r>
                <w:rPr>
                  <w:i/>
                  <w:iCs/>
                  <w:noProof/>
                </w:rPr>
                <w:t>Remote Sensing of Environment</w:t>
              </w:r>
              <w:r>
                <w:rPr>
                  <w:noProof/>
                </w:rPr>
                <w:t>, 236.</w:t>
              </w:r>
            </w:p>
            <w:p w14:paraId="0330CD57" w14:textId="77777777" w:rsidR="004231A8" w:rsidRDefault="004231A8" w:rsidP="004231A8">
              <w:pPr>
                <w:pStyle w:val="Bibliography"/>
                <w:ind w:left="720" w:hanging="720"/>
                <w:rPr>
                  <w:noProof/>
                </w:rPr>
              </w:pPr>
              <w:r>
                <w:rPr>
                  <w:noProof/>
                </w:rPr>
                <w:t xml:space="preserve">Galidaki, G., Zianis, D., Gitas, I., Radoglou, K., Karathanassi, V., Tsakiri–Strati, M., . . . Mallinis, G. (2017). Vegetation biomass estimation with remote sensing: focus on forest and other wooded land over the Mediterranean ecosystem. </w:t>
              </w:r>
              <w:r>
                <w:rPr>
                  <w:i/>
                  <w:iCs/>
                  <w:noProof/>
                </w:rPr>
                <w:t>International Journal of Remote Sensing</w:t>
              </w:r>
              <w:r>
                <w:rPr>
                  <w:noProof/>
                </w:rPr>
                <w:t>, 38(7), 1940–1966.</w:t>
              </w:r>
            </w:p>
            <w:p w14:paraId="024225D3" w14:textId="77777777" w:rsidR="004231A8" w:rsidRDefault="004231A8" w:rsidP="004231A8">
              <w:pPr>
                <w:pStyle w:val="Bibliography"/>
                <w:ind w:left="720" w:hanging="720"/>
                <w:rPr>
                  <w:noProof/>
                </w:rPr>
              </w:pPr>
              <w:r>
                <w:rPr>
                  <w:noProof/>
                </w:rPr>
                <w:t xml:space="preserve">Gao, Y., Lu, D., Li, G., Wang, G., Chen, Q., Liu, L., &amp; Li, D. (2018). Comparative analysis of modeling algorithms for forest aboveground biomass estimation in a subtropical region. </w:t>
              </w:r>
              <w:r>
                <w:rPr>
                  <w:i/>
                  <w:iCs/>
                  <w:noProof/>
                </w:rPr>
                <w:t>Remote Sensing</w:t>
              </w:r>
              <w:r>
                <w:rPr>
                  <w:noProof/>
                </w:rPr>
                <w:t>, 10, 627.</w:t>
              </w:r>
            </w:p>
            <w:p w14:paraId="3EB1D15E" w14:textId="77777777" w:rsidR="004231A8" w:rsidRDefault="004231A8" w:rsidP="004231A8">
              <w:pPr>
                <w:pStyle w:val="Bibliography"/>
                <w:ind w:left="720" w:hanging="720"/>
                <w:rPr>
                  <w:noProof/>
                </w:rPr>
              </w:pPr>
              <w:r>
                <w:rPr>
                  <w:noProof/>
                </w:rPr>
                <w:t xml:space="preserve">Gorelick, N., Hancher, M., Dixon, M., Ilyushchenko, S., Thau, D., &amp; Moore, R. (2017). </w:t>
              </w:r>
              <w:r>
                <w:rPr>
                  <w:i/>
                  <w:iCs/>
                  <w:noProof/>
                </w:rPr>
                <w:t>Google Earth Engine: Planetary-scale geospatial analysis for everyone. Remote Sensing of Environment.</w:t>
              </w:r>
              <w:r>
                <w:rPr>
                  <w:noProof/>
                </w:rPr>
                <w:t xml:space="preserve"> </w:t>
              </w:r>
            </w:p>
            <w:p w14:paraId="46B9D916" w14:textId="77777777" w:rsidR="004231A8" w:rsidRPr="000853EE" w:rsidRDefault="004231A8" w:rsidP="004231A8">
              <w:pPr>
                <w:pStyle w:val="Bibliography"/>
                <w:ind w:left="720" w:hanging="720"/>
                <w:rPr>
                  <w:noProof/>
                  <w:lang w:val="es-ES"/>
                </w:rPr>
              </w:pPr>
              <w:r w:rsidRPr="000853EE">
                <w:rPr>
                  <w:noProof/>
                  <w:lang w:val="es-ES"/>
                </w:rPr>
                <w:t xml:space="preserve">Gregorio, M., Ricardo, R., &amp; Marta, M. (2005). </w:t>
              </w:r>
              <w:r w:rsidRPr="000853EE">
                <w:rPr>
                  <w:i/>
                  <w:iCs/>
                  <w:noProof/>
                  <w:lang w:val="es-ES"/>
                </w:rPr>
                <w:t>Produccion de biomasa y fijacion de CO2 por los bosques espanoles.</w:t>
              </w:r>
              <w:r w:rsidRPr="000853EE">
                <w:rPr>
                  <w:noProof/>
                  <w:lang w:val="es-ES"/>
                </w:rPr>
                <w:t xml:space="preserve"> </w:t>
              </w:r>
            </w:p>
            <w:p w14:paraId="62CA004D" w14:textId="77777777" w:rsidR="004231A8" w:rsidRDefault="004231A8" w:rsidP="004231A8">
              <w:pPr>
                <w:pStyle w:val="Bibliography"/>
                <w:ind w:left="720" w:hanging="720"/>
                <w:rPr>
                  <w:noProof/>
                </w:rPr>
              </w:pPr>
              <w:r>
                <w:rPr>
                  <w:noProof/>
                </w:rPr>
                <w:t>Hall-Beyer, M. (2017a). Glcm texture: A tutorial .</w:t>
              </w:r>
            </w:p>
            <w:p w14:paraId="7A7A659B" w14:textId="77777777" w:rsidR="004231A8" w:rsidRDefault="004231A8" w:rsidP="004231A8">
              <w:pPr>
                <w:pStyle w:val="Bibliography"/>
                <w:ind w:left="720" w:hanging="720"/>
                <w:rPr>
                  <w:noProof/>
                </w:rPr>
              </w:pPr>
              <w:r>
                <w:rPr>
                  <w:noProof/>
                </w:rPr>
                <w:t xml:space="preserve">Haralick, R., Shanmugam, K., &amp; Dinstein. (1973). Textural features for image classification. </w:t>
              </w:r>
              <w:r>
                <w:rPr>
                  <w:i/>
                  <w:iCs/>
                  <w:noProof/>
                </w:rPr>
                <w:t>IEEE Trans Syst Man Cybern</w:t>
              </w:r>
              <w:r>
                <w:rPr>
                  <w:noProof/>
                </w:rPr>
                <w:t>, 610–621.</w:t>
              </w:r>
            </w:p>
            <w:p w14:paraId="4498F121" w14:textId="77777777" w:rsidR="004231A8" w:rsidRDefault="004231A8" w:rsidP="004231A8">
              <w:pPr>
                <w:pStyle w:val="Bibliography"/>
                <w:ind w:left="720" w:hanging="720"/>
                <w:rPr>
                  <w:noProof/>
                </w:rPr>
              </w:pPr>
              <w:r>
                <w:rPr>
                  <w:noProof/>
                </w:rPr>
                <w:lastRenderedPageBreak/>
                <w:t xml:space="preserve">Hong, H., Xiaoling, G., &amp; Hua, Y. (2016). Variable selection using mean decrease accuracy and mean decrease gini based on random forest. </w:t>
              </w:r>
              <w:r>
                <w:rPr>
                  <w:i/>
                  <w:iCs/>
                  <w:noProof/>
                </w:rPr>
                <w:t>IEEE International Conference on Software Engineering and Service Science</w:t>
              </w:r>
              <w:r>
                <w:rPr>
                  <w:noProof/>
                </w:rPr>
                <w:t>, 219–224.</w:t>
              </w:r>
            </w:p>
            <w:p w14:paraId="3A6768B6" w14:textId="77777777" w:rsidR="004231A8" w:rsidRDefault="004231A8" w:rsidP="004231A8">
              <w:pPr>
                <w:pStyle w:val="Bibliography"/>
                <w:ind w:left="720" w:hanging="720"/>
                <w:rPr>
                  <w:noProof/>
                </w:rPr>
              </w:pPr>
              <w:r>
                <w:rPr>
                  <w:noProof/>
                </w:rPr>
                <w:t xml:space="preserve">IPCC. (2006). </w:t>
              </w:r>
              <w:r>
                <w:rPr>
                  <w:i/>
                  <w:iCs/>
                  <w:noProof/>
                </w:rPr>
                <w:t>guidelines for national greenhouse gas inventories volume 4: agriculture, forestry and other land use.</w:t>
              </w:r>
              <w:r>
                <w:rPr>
                  <w:noProof/>
                </w:rPr>
                <w:t xml:space="preserve"> Intergovernmental Panel on Climate Change.</w:t>
              </w:r>
            </w:p>
            <w:p w14:paraId="2C28F346" w14:textId="77777777" w:rsidR="004231A8" w:rsidRDefault="004231A8" w:rsidP="004231A8">
              <w:pPr>
                <w:pStyle w:val="Bibliography"/>
                <w:ind w:left="720" w:hanging="720"/>
                <w:rPr>
                  <w:noProof/>
                </w:rPr>
              </w:pPr>
              <w:r w:rsidRPr="000853EE">
                <w:rPr>
                  <w:noProof/>
                  <w:lang w:val="es-ES"/>
                </w:rPr>
                <w:t xml:space="preserve">Kankare, V., Vastaranta, M., Holopainen, M., Raty, M., Yu, X., Hyyppa, J., . . . Viitala, R. (2013). </w:t>
              </w:r>
              <w:r>
                <w:rPr>
                  <w:noProof/>
                </w:rPr>
                <w:t xml:space="preserve">Retrieval of forest aboveground biomass and stem volume with airborne scanning lidar. </w:t>
              </w:r>
              <w:r>
                <w:rPr>
                  <w:i/>
                  <w:iCs/>
                  <w:noProof/>
                </w:rPr>
                <w:t>Remote Sensing</w:t>
              </w:r>
              <w:r>
                <w:rPr>
                  <w:noProof/>
                </w:rPr>
                <w:t>, 5, 2257–2274.</w:t>
              </w:r>
            </w:p>
            <w:p w14:paraId="3A098026" w14:textId="77777777" w:rsidR="004231A8" w:rsidRDefault="004231A8" w:rsidP="004231A8">
              <w:pPr>
                <w:pStyle w:val="Bibliography"/>
                <w:ind w:left="720" w:hanging="720"/>
                <w:rPr>
                  <w:noProof/>
                </w:rPr>
              </w:pPr>
              <w:r>
                <w:rPr>
                  <w:noProof/>
                </w:rPr>
                <w:t xml:space="preserve">Keith, H. M. (2009). Re-evaluation of forest biomass carbon stocks and lessons from the world’s most carbon-dense forests. </w:t>
              </w:r>
              <w:r>
                <w:rPr>
                  <w:i/>
                  <w:iCs/>
                  <w:noProof/>
                </w:rPr>
                <w:t>National Academy of Sciences</w:t>
              </w:r>
              <w:r>
                <w:rPr>
                  <w:noProof/>
                </w:rPr>
                <w:t>, 106: 11635-11640.</w:t>
              </w:r>
            </w:p>
            <w:p w14:paraId="198602BB" w14:textId="77777777" w:rsidR="004231A8" w:rsidRDefault="004231A8" w:rsidP="004231A8">
              <w:pPr>
                <w:pStyle w:val="Bibliography"/>
                <w:ind w:left="720" w:hanging="720"/>
                <w:rPr>
                  <w:noProof/>
                </w:rPr>
              </w:pPr>
              <w:r>
                <w:rPr>
                  <w:noProof/>
                </w:rPr>
                <w:t xml:space="preserve">Kelsey, K., &amp; Neff, J. (2014). Estimates of aboveground biomass from texture analysis of Landsat imagery. </w:t>
              </w:r>
              <w:r>
                <w:rPr>
                  <w:i/>
                  <w:iCs/>
                  <w:noProof/>
                </w:rPr>
                <w:t>Remote Sensing</w:t>
              </w:r>
              <w:r>
                <w:rPr>
                  <w:noProof/>
                </w:rPr>
                <w:t>, 6, 6407–6422.</w:t>
              </w:r>
            </w:p>
            <w:p w14:paraId="45237A01" w14:textId="77777777" w:rsidR="004231A8" w:rsidRDefault="004231A8" w:rsidP="004231A8">
              <w:pPr>
                <w:pStyle w:val="Bibliography"/>
                <w:ind w:left="720" w:hanging="720"/>
                <w:rPr>
                  <w:noProof/>
                </w:rPr>
              </w:pPr>
              <w:r>
                <w:rPr>
                  <w:noProof/>
                </w:rPr>
                <w:t xml:space="preserve">Khan, K., Iqbal, J., Ali, A., &amp; Khan, S. N. (2020). Assessment of sentinel-2-derived vegetation indices for the estimation of above-ground biomass/carbon stock, temporal deforestation and carbon emissions estimation in the moist temperate forests of Pakistan. </w:t>
              </w:r>
              <w:r>
                <w:rPr>
                  <w:i/>
                  <w:iCs/>
                  <w:noProof/>
                </w:rPr>
                <w:t>Applied Ecology and Environmental Research</w:t>
              </w:r>
              <w:r>
                <w:rPr>
                  <w:noProof/>
                </w:rPr>
                <w:t>, 18, 783–815.</w:t>
              </w:r>
            </w:p>
            <w:p w14:paraId="7D0C496F" w14:textId="77777777" w:rsidR="004231A8" w:rsidRDefault="004231A8" w:rsidP="004231A8">
              <w:pPr>
                <w:pStyle w:val="Bibliography"/>
                <w:ind w:left="720" w:hanging="720"/>
                <w:rPr>
                  <w:noProof/>
                </w:rPr>
              </w:pPr>
              <w:r>
                <w:rPr>
                  <w:noProof/>
                </w:rPr>
                <w:t xml:space="preserve">Lackner, K. S. (2003). A guide to CO2 sequestration. </w:t>
              </w:r>
              <w:r>
                <w:rPr>
                  <w:i/>
                  <w:iCs/>
                  <w:noProof/>
                </w:rPr>
                <w:t>Science</w:t>
              </w:r>
              <w:r>
                <w:rPr>
                  <w:noProof/>
                </w:rPr>
                <w:t>, 300 (5626) 1677–1678.</w:t>
              </w:r>
            </w:p>
            <w:p w14:paraId="5B6A15B1" w14:textId="77777777" w:rsidR="004231A8" w:rsidRDefault="004231A8" w:rsidP="004231A8">
              <w:pPr>
                <w:pStyle w:val="Bibliography"/>
                <w:ind w:left="720" w:hanging="720"/>
                <w:rPr>
                  <w:noProof/>
                </w:rPr>
              </w:pPr>
              <w:r>
                <w:rPr>
                  <w:noProof/>
                </w:rPr>
                <w:t xml:space="preserve">Lewinson, E. (2019). </w:t>
              </w:r>
              <w:r>
                <w:rPr>
                  <w:i/>
                  <w:iCs/>
                  <w:noProof/>
                </w:rPr>
                <w:t>Explaining feature importance by example of a Random Forest</w:t>
              </w:r>
              <w:r>
                <w:rPr>
                  <w:noProof/>
                </w:rPr>
                <w:t>. Retrieved from Towards Data Science: https://towardsdatascience.com/explaining-feature-importance-by-example-of-a-random-forest-d9166011959e</w:t>
              </w:r>
            </w:p>
            <w:p w14:paraId="0FCF1693" w14:textId="77777777" w:rsidR="004231A8" w:rsidRDefault="004231A8" w:rsidP="004231A8">
              <w:pPr>
                <w:pStyle w:val="Bibliography"/>
                <w:ind w:left="720" w:hanging="720"/>
                <w:rPr>
                  <w:noProof/>
                </w:rPr>
              </w:pPr>
              <w:r>
                <w:rPr>
                  <w:noProof/>
                </w:rPr>
                <w:t xml:space="preserve">Liu, Y. G.-F. (2012). Huge carbon sequestration potential in global forests. </w:t>
              </w:r>
              <w:r>
                <w:rPr>
                  <w:i/>
                  <w:iCs/>
                  <w:noProof/>
                </w:rPr>
                <w:t xml:space="preserve">Journal of Resources and Ecology </w:t>
              </w:r>
              <w:r>
                <w:rPr>
                  <w:noProof/>
                </w:rPr>
                <w:t>, 3, 193–201.</w:t>
              </w:r>
            </w:p>
            <w:p w14:paraId="16A1AEC4" w14:textId="77777777" w:rsidR="004231A8" w:rsidRDefault="004231A8" w:rsidP="004231A8">
              <w:pPr>
                <w:pStyle w:val="Bibliography"/>
                <w:ind w:left="720" w:hanging="720"/>
                <w:rPr>
                  <w:noProof/>
                </w:rPr>
              </w:pPr>
              <w:r>
                <w:rPr>
                  <w:noProof/>
                </w:rPr>
                <w:t xml:space="preserve">Lu, D. (2006). The potential and challenge of remote sensing-based biomass estimation. </w:t>
              </w:r>
              <w:r>
                <w:rPr>
                  <w:i/>
                  <w:iCs/>
                  <w:noProof/>
                </w:rPr>
                <w:t>International Journal of Remote Sensing</w:t>
              </w:r>
              <w:r>
                <w:rPr>
                  <w:noProof/>
                </w:rPr>
                <w:t>, 27(7), 1297–1328.</w:t>
              </w:r>
            </w:p>
            <w:p w14:paraId="53BA52DE" w14:textId="77777777" w:rsidR="004231A8" w:rsidRDefault="004231A8" w:rsidP="004231A8">
              <w:pPr>
                <w:pStyle w:val="Bibliography"/>
                <w:ind w:left="720" w:hanging="720"/>
                <w:rPr>
                  <w:noProof/>
                </w:rPr>
              </w:pPr>
              <w:r>
                <w:rPr>
                  <w:noProof/>
                </w:rPr>
                <w:t xml:space="preserve">Lundberg, S. E.-I. (2020). ‘From local explanations to global understanding with explainable ai for trees. </w:t>
              </w:r>
              <w:r>
                <w:rPr>
                  <w:i/>
                  <w:iCs/>
                  <w:noProof/>
                </w:rPr>
                <w:t>Nature Machine Intelligence</w:t>
              </w:r>
              <w:r>
                <w:rPr>
                  <w:noProof/>
                </w:rPr>
                <w:t>.</w:t>
              </w:r>
            </w:p>
            <w:p w14:paraId="2E09FB4C" w14:textId="77777777" w:rsidR="004231A8" w:rsidRDefault="004231A8" w:rsidP="004231A8">
              <w:pPr>
                <w:pStyle w:val="Bibliography"/>
                <w:ind w:left="720" w:hanging="720"/>
                <w:rPr>
                  <w:noProof/>
                </w:rPr>
              </w:pPr>
              <w:r>
                <w:rPr>
                  <w:noProof/>
                </w:rPr>
                <w:lastRenderedPageBreak/>
                <w:t xml:space="preserve">Malinowski, R., Lewiński, S., Rybicki, M., Gromny, E., Jenerowicz, M., Krupiński, M., . . . Schauer, P. (2020). </w:t>
              </w:r>
              <w:r>
                <w:rPr>
                  <w:i/>
                  <w:iCs/>
                  <w:noProof/>
                </w:rPr>
                <w:t>Automated Production of a Land Cover/Use Map of Europe Based on Sentinel-2 Imagery.</w:t>
              </w:r>
              <w:r>
                <w:rPr>
                  <w:noProof/>
                </w:rPr>
                <w:t xml:space="preserve"> Remote Sensing.</w:t>
              </w:r>
            </w:p>
            <w:p w14:paraId="4FFA549F" w14:textId="77777777" w:rsidR="004231A8" w:rsidRDefault="004231A8" w:rsidP="004231A8">
              <w:pPr>
                <w:pStyle w:val="Bibliography"/>
                <w:ind w:left="720" w:hanging="720"/>
                <w:rPr>
                  <w:noProof/>
                </w:rPr>
              </w:pPr>
              <w:r>
                <w:rPr>
                  <w:noProof/>
                </w:rPr>
                <w:t xml:space="preserve">Pandit, S., Tsuyuki, S., &amp; Dube, T. (2018). Estimating above-ground biomass in subtropical buffer zone community forests, Nepal, using sentinel-2 data. </w:t>
              </w:r>
              <w:r>
                <w:rPr>
                  <w:i/>
                  <w:iCs/>
                  <w:noProof/>
                </w:rPr>
                <w:t>Remote Sensing</w:t>
              </w:r>
              <w:r>
                <w:rPr>
                  <w:noProof/>
                </w:rPr>
                <w:t>, 10, 601.</w:t>
              </w:r>
            </w:p>
            <w:p w14:paraId="518D3293" w14:textId="77777777" w:rsidR="004231A8" w:rsidRDefault="004231A8" w:rsidP="004231A8">
              <w:pPr>
                <w:pStyle w:val="Bibliography"/>
                <w:ind w:left="720" w:hanging="720"/>
                <w:rPr>
                  <w:noProof/>
                </w:rPr>
              </w:pPr>
              <w:r>
                <w:rPr>
                  <w:noProof/>
                </w:rPr>
                <w:t xml:space="preserve">Pandit, S., Tsuyuki, S., &amp; Dube, T. (2019). Exploring the inclusion of Sentinel-2 MSI texture metrics in above-ground biomass estimation in the community forest of Nepal. </w:t>
              </w:r>
              <w:r>
                <w:rPr>
                  <w:i/>
                  <w:iCs/>
                  <w:noProof/>
                </w:rPr>
                <w:t>Geocarto International</w:t>
              </w:r>
              <w:r>
                <w:rPr>
                  <w:noProof/>
                </w:rPr>
                <w:t>.</w:t>
              </w:r>
            </w:p>
            <w:p w14:paraId="30DA10F0" w14:textId="77777777" w:rsidR="004231A8" w:rsidRDefault="004231A8" w:rsidP="004231A8">
              <w:pPr>
                <w:pStyle w:val="Bibliography"/>
                <w:ind w:left="720" w:hanging="720"/>
                <w:rPr>
                  <w:noProof/>
                </w:rPr>
              </w:pPr>
              <w:r>
                <w:rPr>
                  <w:noProof/>
                </w:rPr>
                <w:t xml:space="preserve">Pedregosa, F., Varoquaux, G., Gramfort, A., Michel, V., Thirion, B., Grisel, O., . . . Duchesnay, E. (2011). Scikit-learn: Machine learning in Python. </w:t>
              </w:r>
              <w:r>
                <w:rPr>
                  <w:i/>
                  <w:iCs/>
                  <w:noProof/>
                </w:rPr>
                <w:t>Journal of Machine Learning Research</w:t>
              </w:r>
              <w:r>
                <w:rPr>
                  <w:noProof/>
                </w:rPr>
                <w:t>, 12, 2825–2830.</w:t>
              </w:r>
            </w:p>
            <w:p w14:paraId="38C8915E" w14:textId="77777777" w:rsidR="004231A8" w:rsidRDefault="004231A8" w:rsidP="004231A8">
              <w:pPr>
                <w:pStyle w:val="Bibliography"/>
                <w:ind w:left="720" w:hanging="720"/>
                <w:rPr>
                  <w:noProof/>
                </w:rPr>
              </w:pPr>
              <w:r>
                <w:rPr>
                  <w:noProof/>
                </w:rPr>
                <w:t xml:space="preserve">Picard, N., Saint-Andre, L., &amp; Henry, M. (2012). </w:t>
              </w:r>
              <w:r>
                <w:rPr>
                  <w:i/>
                  <w:iCs/>
                  <w:noProof/>
                </w:rPr>
                <w:t>Manual for building tree volume and biomass allometric equations: from field measurement to prediction.</w:t>
              </w:r>
              <w:r>
                <w:rPr>
                  <w:noProof/>
                </w:rPr>
                <w:t xml:space="preserve"> </w:t>
              </w:r>
            </w:p>
            <w:p w14:paraId="017D9640" w14:textId="77777777" w:rsidR="004231A8" w:rsidRDefault="004231A8" w:rsidP="004231A8">
              <w:pPr>
                <w:pStyle w:val="Bibliography"/>
                <w:ind w:left="720" w:hanging="720"/>
                <w:rPr>
                  <w:noProof/>
                </w:rPr>
              </w:pPr>
              <w:r>
                <w:rPr>
                  <w:noProof/>
                </w:rPr>
                <w:t xml:space="preserve">Puliti, S., Hauglin, M., Breidenbach, J., Montesano, P., Neigh, C., Rahlf, J., . . . Astrup, R. (2020). Modelling above-ground biomass stock over norway using national forest inventory data with arcticdem and Sentinel-2 data. </w:t>
              </w:r>
              <w:r>
                <w:rPr>
                  <w:i/>
                  <w:iCs/>
                  <w:noProof/>
                </w:rPr>
                <w:t>Remote Sensing of Environment</w:t>
              </w:r>
              <w:r>
                <w:rPr>
                  <w:noProof/>
                </w:rPr>
                <w:t>, 236.</w:t>
              </w:r>
            </w:p>
            <w:p w14:paraId="49F9B339" w14:textId="77777777" w:rsidR="004231A8" w:rsidRDefault="004231A8" w:rsidP="004231A8">
              <w:pPr>
                <w:pStyle w:val="Bibliography"/>
                <w:ind w:left="720" w:hanging="720"/>
                <w:rPr>
                  <w:noProof/>
                </w:rPr>
              </w:pPr>
              <w:r>
                <w:rPr>
                  <w:noProof/>
                </w:rPr>
                <w:t xml:space="preserve">Salem, I., Basam, D., Taoufik, K., &amp; Nazmi, S. (2020). A review of terrestrial carbon assessment methods using geo-spatial technologies with emphasis on arid lands. </w:t>
              </w:r>
              <w:r>
                <w:rPr>
                  <w:i/>
                  <w:iCs/>
                  <w:noProof/>
                </w:rPr>
                <w:t>Remote Sensing</w:t>
              </w:r>
              <w:r>
                <w:rPr>
                  <w:noProof/>
                </w:rPr>
                <w:t>.</w:t>
              </w:r>
            </w:p>
            <w:p w14:paraId="0B5D5E5D" w14:textId="77777777" w:rsidR="004231A8" w:rsidRDefault="004231A8" w:rsidP="004231A8">
              <w:pPr>
                <w:pStyle w:val="Bibliography"/>
                <w:ind w:left="720" w:hanging="720"/>
                <w:rPr>
                  <w:noProof/>
                </w:rPr>
              </w:pPr>
              <w:r>
                <w:rPr>
                  <w:noProof/>
                </w:rPr>
                <w:t xml:space="preserve">Spawn, S. A., Sullivan, C. C., Lark, T. J., &amp; Gibbs, H. K. (2020). </w:t>
              </w:r>
              <w:r>
                <w:rPr>
                  <w:i/>
                  <w:iCs/>
                  <w:noProof/>
                </w:rPr>
                <w:t>Harmonized global maps of above and belowground biomass carbon density in the year 2010.</w:t>
              </w:r>
              <w:r>
                <w:rPr>
                  <w:noProof/>
                </w:rPr>
                <w:t xml:space="preserve"> Scientific Data.</w:t>
              </w:r>
            </w:p>
            <w:p w14:paraId="17F9CDC2" w14:textId="77777777" w:rsidR="004231A8" w:rsidRDefault="004231A8" w:rsidP="004231A8">
              <w:pPr>
                <w:pStyle w:val="Bibliography"/>
                <w:ind w:left="720" w:hanging="720"/>
                <w:rPr>
                  <w:noProof/>
                </w:rPr>
              </w:pPr>
              <w:r>
                <w:rPr>
                  <w:noProof/>
                </w:rPr>
                <w:t xml:space="preserve">Stinson, G., Kurz, W. A., Smyth, C. E., Neilson, E. T., Dymond, C. C., &amp; Metsaranta, J. (2012). An inventory-based analysis of canada’s managed forest carbon dynamics, 1990 to 2008. </w:t>
              </w:r>
              <w:r>
                <w:rPr>
                  <w:i/>
                  <w:iCs/>
                  <w:noProof/>
                </w:rPr>
                <w:t>Global Change Biology</w:t>
              </w:r>
              <w:r>
                <w:rPr>
                  <w:noProof/>
                </w:rPr>
                <w:t>, 17(6), 2227–2244.</w:t>
              </w:r>
            </w:p>
            <w:p w14:paraId="65575940" w14:textId="77777777" w:rsidR="004231A8" w:rsidRDefault="004231A8" w:rsidP="004231A8">
              <w:pPr>
                <w:pStyle w:val="Bibliography"/>
                <w:ind w:left="720" w:hanging="720"/>
                <w:rPr>
                  <w:noProof/>
                </w:rPr>
              </w:pPr>
              <w:r>
                <w:rPr>
                  <w:noProof/>
                </w:rPr>
                <w:t xml:space="preserve">Thomas, S., &amp; Martin, A. R. (2012). Carbon content of tree tissues: A synthesis. </w:t>
              </w:r>
              <w:r>
                <w:rPr>
                  <w:i/>
                  <w:iCs/>
                  <w:noProof/>
                </w:rPr>
                <w:t>Forests</w:t>
              </w:r>
              <w:r>
                <w:rPr>
                  <w:noProof/>
                </w:rPr>
                <w:t>, 3, 332–352.</w:t>
              </w:r>
            </w:p>
            <w:p w14:paraId="6307DAEB" w14:textId="77777777" w:rsidR="004231A8" w:rsidRDefault="004231A8" w:rsidP="004231A8">
              <w:pPr>
                <w:pStyle w:val="Bibliography"/>
                <w:ind w:left="720" w:hanging="720"/>
                <w:rPr>
                  <w:noProof/>
                </w:rPr>
              </w:pPr>
              <w:r w:rsidRPr="000853EE">
                <w:rPr>
                  <w:noProof/>
                  <w:lang w:val="es-ES"/>
                </w:rPr>
                <w:t xml:space="preserve">Torralba, J., Crespo-Peremarch, P., &amp; Ruiz, L. A. (2018). </w:t>
              </w:r>
              <w:r>
                <w:rPr>
                  <w:noProof/>
                </w:rPr>
                <w:t xml:space="preserve">Assessing the use of discrete , full-waveform LiDAR and TLS to classify Mediterranean forest species composition. </w:t>
              </w:r>
              <w:r>
                <w:rPr>
                  <w:i/>
                  <w:iCs/>
                  <w:noProof/>
                </w:rPr>
                <w:t>Revista de Teledetección</w:t>
              </w:r>
              <w:r>
                <w:rPr>
                  <w:noProof/>
                </w:rPr>
                <w:t>, 52, 27-40.</w:t>
              </w:r>
            </w:p>
            <w:p w14:paraId="3F664E13" w14:textId="77777777" w:rsidR="004231A8" w:rsidRDefault="004231A8" w:rsidP="004231A8">
              <w:pPr>
                <w:pStyle w:val="Bibliography"/>
                <w:ind w:left="720" w:hanging="720"/>
                <w:rPr>
                  <w:noProof/>
                </w:rPr>
              </w:pPr>
              <w:r>
                <w:rPr>
                  <w:noProof/>
                </w:rPr>
                <w:lastRenderedPageBreak/>
                <w:t xml:space="preserve">Vashum, K. (2012). Methods to estimate above-ground biomass and carbon stock in natural forests - a review. </w:t>
              </w:r>
              <w:r>
                <w:rPr>
                  <w:i/>
                  <w:iCs/>
                  <w:noProof/>
                </w:rPr>
                <w:t>Journal of Ecosystem Ecography</w:t>
              </w:r>
              <w:r>
                <w:rPr>
                  <w:noProof/>
                </w:rPr>
                <w:t>.</w:t>
              </w:r>
            </w:p>
            <w:p w14:paraId="52CE0D89" w14:textId="77777777" w:rsidR="004231A8" w:rsidRDefault="004231A8" w:rsidP="004231A8">
              <w:pPr>
                <w:pStyle w:val="Bibliography"/>
                <w:ind w:left="720" w:hanging="720"/>
                <w:rPr>
                  <w:noProof/>
                </w:rPr>
              </w:pPr>
              <w:r>
                <w:rPr>
                  <w:noProof/>
                </w:rPr>
                <w:t xml:space="preserve">Zheng, D., Rademacher, J., Chen, J., Crow, T., Bresee, M. K., Moine, J. L., &amp; Ryu, S. R. (2004). Estimating aboveground biomass using Landsat 7 ETM+ data across a managed landscape in northern Wisconsin, USA. </w:t>
              </w:r>
              <w:r>
                <w:rPr>
                  <w:i/>
                  <w:iCs/>
                  <w:noProof/>
                </w:rPr>
                <w:t>Remote Sensing of Environment</w:t>
              </w:r>
              <w:r>
                <w:rPr>
                  <w:noProof/>
                </w:rPr>
                <w:t>, 93, 402–411.</w:t>
              </w:r>
            </w:p>
            <w:p w14:paraId="45EA2A6B" w14:textId="77777777" w:rsidR="004231A8" w:rsidRDefault="004231A8" w:rsidP="004231A8">
              <w:pPr>
                <w:pStyle w:val="Bibliography"/>
                <w:ind w:left="720" w:hanging="720"/>
                <w:rPr>
                  <w:noProof/>
                </w:rPr>
              </w:pPr>
              <w:r>
                <w:rPr>
                  <w:noProof/>
                </w:rPr>
                <w:t xml:space="preserve">Zhou, G., Wang, Y., Jiang, Y., &amp; Yang, Z. (2002). Estimating biomass and net primary production from forest inventory data: A case study of China's Larix forests. </w:t>
              </w:r>
              <w:r>
                <w:rPr>
                  <w:i/>
                  <w:iCs/>
                  <w:noProof/>
                </w:rPr>
                <w:t>Forest Ecology and Management</w:t>
              </w:r>
              <w:r>
                <w:rPr>
                  <w:noProof/>
                </w:rPr>
                <w:t>, 169, 149-157.</w:t>
              </w:r>
            </w:p>
            <w:p w14:paraId="02B6F9F7" w14:textId="15B7BB91" w:rsidR="00A25EDC" w:rsidRDefault="00A25EDC" w:rsidP="004231A8">
              <w:r>
                <w:rPr>
                  <w:b/>
                  <w:bCs/>
                  <w:noProof/>
                </w:rPr>
                <w:fldChar w:fldCharType="end"/>
              </w:r>
            </w:p>
          </w:sdtContent>
        </w:sdt>
      </w:sdtContent>
    </w:sdt>
    <w:p w14:paraId="23AFEB15" w14:textId="77777777" w:rsidR="009619C8" w:rsidRDefault="009619C8">
      <w:pPr>
        <w:spacing w:line="300" w:lineRule="exact"/>
        <w:jc w:val="left"/>
        <w:rPr>
          <w:lang w:val="en-GB"/>
        </w:rPr>
      </w:pPr>
      <w:r>
        <w:rPr>
          <w:lang w:val="en-GB"/>
        </w:rPr>
        <w:br w:type="page"/>
      </w:r>
    </w:p>
    <w:p w14:paraId="3BDDE7A6" w14:textId="2EDA4785" w:rsidR="009B3BE6" w:rsidRPr="00C60499" w:rsidRDefault="009B3BE6" w:rsidP="00C25F91">
      <w:pPr>
        <w:pStyle w:val="Heading1"/>
        <w:numPr>
          <w:ilvl w:val="0"/>
          <w:numId w:val="0"/>
        </w:numPr>
        <w:rPr>
          <w:lang w:val="en-GB"/>
        </w:rPr>
      </w:pPr>
      <w:bookmarkStart w:id="107" w:name="_Toc223361321"/>
      <w:bookmarkStart w:id="108" w:name="_Toc91575542"/>
      <w:r w:rsidRPr="00C60499">
        <w:rPr>
          <w:lang w:val="en-GB"/>
        </w:rPr>
        <w:lastRenderedPageBreak/>
        <w:t>Annex I: Table of figures</w:t>
      </w:r>
      <w:bookmarkEnd w:id="107"/>
      <w:bookmarkEnd w:id="108"/>
    </w:p>
    <w:p w14:paraId="40E935EC" w14:textId="3D53D5C4" w:rsidR="000E79F2" w:rsidRDefault="00121AB0">
      <w:pPr>
        <w:pStyle w:val="TableofFigures"/>
        <w:tabs>
          <w:tab w:val="right" w:leader="dot" w:pos="8495"/>
        </w:tabs>
        <w:rPr>
          <w:rFonts w:asciiTheme="minorHAnsi" w:eastAsiaTheme="minorEastAsia" w:hAnsiTheme="minorHAnsi" w:cstheme="minorBidi"/>
          <w:noProof/>
          <w:lang w:val="el-GR" w:eastAsia="el-GR"/>
        </w:rPr>
      </w:pPr>
      <w:r w:rsidRPr="00C60499">
        <w:fldChar w:fldCharType="begin"/>
      </w:r>
      <w:r w:rsidR="009B3BE6" w:rsidRPr="00C60499">
        <w:instrText xml:space="preserve"> TOC \h \z \c "Figure" </w:instrText>
      </w:r>
      <w:r w:rsidRPr="00C60499">
        <w:fldChar w:fldCharType="separate"/>
      </w:r>
      <w:hyperlink w:anchor="_Toc91575545" w:history="1">
        <w:r w:rsidR="000E79F2" w:rsidRPr="00167F38">
          <w:rPr>
            <w:rStyle w:val="Hyperlink"/>
            <w:noProof/>
          </w:rPr>
          <w:t>Figure 1. Study area and location of Forestry Inventory plots.</w:t>
        </w:r>
        <w:r w:rsidR="000E79F2">
          <w:rPr>
            <w:noProof/>
            <w:webHidden/>
          </w:rPr>
          <w:tab/>
        </w:r>
        <w:r w:rsidR="000E79F2">
          <w:rPr>
            <w:noProof/>
            <w:webHidden/>
          </w:rPr>
          <w:fldChar w:fldCharType="begin"/>
        </w:r>
        <w:r w:rsidR="000E79F2">
          <w:rPr>
            <w:noProof/>
            <w:webHidden/>
          </w:rPr>
          <w:instrText xml:space="preserve"> PAGEREF _Toc91575545 \h </w:instrText>
        </w:r>
        <w:r w:rsidR="000E79F2">
          <w:rPr>
            <w:noProof/>
            <w:webHidden/>
          </w:rPr>
        </w:r>
        <w:r w:rsidR="000E79F2">
          <w:rPr>
            <w:noProof/>
            <w:webHidden/>
          </w:rPr>
          <w:fldChar w:fldCharType="separate"/>
        </w:r>
        <w:r w:rsidR="000655D3">
          <w:rPr>
            <w:noProof/>
            <w:webHidden/>
          </w:rPr>
          <w:t>16</w:t>
        </w:r>
        <w:r w:rsidR="000E79F2">
          <w:rPr>
            <w:noProof/>
            <w:webHidden/>
          </w:rPr>
          <w:fldChar w:fldCharType="end"/>
        </w:r>
      </w:hyperlink>
    </w:p>
    <w:p w14:paraId="4DC68310" w14:textId="35589960" w:rsidR="000E79F2" w:rsidRDefault="00AD71EB">
      <w:pPr>
        <w:pStyle w:val="TableofFigures"/>
        <w:tabs>
          <w:tab w:val="right" w:leader="dot" w:pos="8495"/>
        </w:tabs>
        <w:rPr>
          <w:rFonts w:asciiTheme="minorHAnsi" w:eastAsiaTheme="minorEastAsia" w:hAnsiTheme="minorHAnsi" w:cstheme="minorBidi"/>
          <w:noProof/>
          <w:lang w:val="el-GR" w:eastAsia="el-GR"/>
        </w:rPr>
      </w:pPr>
      <w:hyperlink w:anchor="_Toc91575546" w:history="1">
        <w:r w:rsidR="000E79F2" w:rsidRPr="00167F38">
          <w:rPr>
            <w:rStyle w:val="Hyperlink"/>
            <w:noProof/>
          </w:rPr>
          <w:t>Figure 2. Distribution of measures Above Ground Biomass.</w:t>
        </w:r>
        <w:r w:rsidR="000E79F2">
          <w:rPr>
            <w:noProof/>
            <w:webHidden/>
          </w:rPr>
          <w:tab/>
        </w:r>
        <w:r w:rsidR="000E79F2">
          <w:rPr>
            <w:noProof/>
            <w:webHidden/>
          </w:rPr>
          <w:fldChar w:fldCharType="begin"/>
        </w:r>
        <w:r w:rsidR="000E79F2">
          <w:rPr>
            <w:noProof/>
            <w:webHidden/>
          </w:rPr>
          <w:instrText xml:space="preserve"> PAGEREF _Toc91575546 \h </w:instrText>
        </w:r>
        <w:r w:rsidR="000E79F2">
          <w:rPr>
            <w:noProof/>
            <w:webHidden/>
          </w:rPr>
        </w:r>
        <w:r w:rsidR="000E79F2">
          <w:rPr>
            <w:noProof/>
            <w:webHidden/>
          </w:rPr>
          <w:fldChar w:fldCharType="separate"/>
        </w:r>
        <w:r w:rsidR="000655D3">
          <w:rPr>
            <w:noProof/>
            <w:webHidden/>
          </w:rPr>
          <w:t>17</w:t>
        </w:r>
        <w:r w:rsidR="000E79F2">
          <w:rPr>
            <w:noProof/>
            <w:webHidden/>
          </w:rPr>
          <w:fldChar w:fldCharType="end"/>
        </w:r>
      </w:hyperlink>
    </w:p>
    <w:p w14:paraId="539EDEF8" w14:textId="6E554F5C" w:rsidR="000E79F2" w:rsidRDefault="00AD71EB">
      <w:pPr>
        <w:pStyle w:val="TableofFigures"/>
        <w:tabs>
          <w:tab w:val="right" w:leader="dot" w:pos="8495"/>
        </w:tabs>
        <w:rPr>
          <w:rFonts w:asciiTheme="minorHAnsi" w:eastAsiaTheme="minorEastAsia" w:hAnsiTheme="minorHAnsi" w:cstheme="minorBidi"/>
          <w:noProof/>
          <w:lang w:val="el-GR" w:eastAsia="el-GR"/>
        </w:rPr>
      </w:pPr>
      <w:hyperlink w:anchor="_Toc91575547" w:history="1">
        <w:r w:rsidR="000E79F2" w:rsidRPr="00167F38">
          <w:rPr>
            <w:rStyle w:val="Hyperlink"/>
            <w:noProof/>
          </w:rPr>
          <w:t>Figure 3. Rasterization and cross-validation.</w:t>
        </w:r>
        <w:r w:rsidR="000E79F2">
          <w:rPr>
            <w:noProof/>
            <w:webHidden/>
          </w:rPr>
          <w:tab/>
        </w:r>
        <w:r w:rsidR="000E79F2">
          <w:rPr>
            <w:noProof/>
            <w:webHidden/>
          </w:rPr>
          <w:fldChar w:fldCharType="begin"/>
        </w:r>
        <w:r w:rsidR="000E79F2">
          <w:rPr>
            <w:noProof/>
            <w:webHidden/>
          </w:rPr>
          <w:instrText xml:space="preserve"> PAGEREF _Toc91575547 \h </w:instrText>
        </w:r>
        <w:r w:rsidR="000E79F2">
          <w:rPr>
            <w:noProof/>
            <w:webHidden/>
          </w:rPr>
        </w:r>
        <w:r w:rsidR="000E79F2">
          <w:rPr>
            <w:noProof/>
            <w:webHidden/>
          </w:rPr>
          <w:fldChar w:fldCharType="separate"/>
        </w:r>
        <w:r w:rsidR="000655D3">
          <w:rPr>
            <w:noProof/>
            <w:webHidden/>
          </w:rPr>
          <w:t>22</w:t>
        </w:r>
        <w:r w:rsidR="000E79F2">
          <w:rPr>
            <w:noProof/>
            <w:webHidden/>
          </w:rPr>
          <w:fldChar w:fldCharType="end"/>
        </w:r>
      </w:hyperlink>
    </w:p>
    <w:p w14:paraId="10DCA7FD" w14:textId="7B659379" w:rsidR="000E79F2" w:rsidRDefault="00AD71EB">
      <w:pPr>
        <w:pStyle w:val="TableofFigures"/>
        <w:tabs>
          <w:tab w:val="right" w:leader="dot" w:pos="8495"/>
        </w:tabs>
        <w:rPr>
          <w:rFonts w:asciiTheme="minorHAnsi" w:eastAsiaTheme="minorEastAsia" w:hAnsiTheme="minorHAnsi" w:cstheme="minorBidi"/>
          <w:noProof/>
          <w:lang w:val="el-GR" w:eastAsia="el-GR"/>
        </w:rPr>
      </w:pPr>
      <w:hyperlink w:anchor="_Toc91575548" w:history="1">
        <w:r w:rsidR="000E79F2" w:rsidRPr="00167F38">
          <w:rPr>
            <w:rStyle w:val="Hyperlink"/>
            <w:noProof/>
          </w:rPr>
          <w:t>Figure 4. Methodology workflow.</w:t>
        </w:r>
        <w:r w:rsidR="000E79F2">
          <w:rPr>
            <w:noProof/>
            <w:webHidden/>
          </w:rPr>
          <w:tab/>
        </w:r>
        <w:r w:rsidR="000E79F2">
          <w:rPr>
            <w:noProof/>
            <w:webHidden/>
          </w:rPr>
          <w:fldChar w:fldCharType="begin"/>
        </w:r>
        <w:r w:rsidR="000E79F2">
          <w:rPr>
            <w:noProof/>
            <w:webHidden/>
          </w:rPr>
          <w:instrText xml:space="preserve"> PAGEREF _Toc91575548 \h </w:instrText>
        </w:r>
        <w:r w:rsidR="000E79F2">
          <w:rPr>
            <w:noProof/>
            <w:webHidden/>
          </w:rPr>
        </w:r>
        <w:r w:rsidR="000E79F2">
          <w:rPr>
            <w:noProof/>
            <w:webHidden/>
          </w:rPr>
          <w:fldChar w:fldCharType="separate"/>
        </w:r>
        <w:r w:rsidR="000655D3">
          <w:rPr>
            <w:noProof/>
            <w:webHidden/>
          </w:rPr>
          <w:t>23</w:t>
        </w:r>
        <w:r w:rsidR="000E79F2">
          <w:rPr>
            <w:noProof/>
            <w:webHidden/>
          </w:rPr>
          <w:fldChar w:fldCharType="end"/>
        </w:r>
      </w:hyperlink>
    </w:p>
    <w:p w14:paraId="7C254ADB" w14:textId="1EEFBB83" w:rsidR="000E79F2" w:rsidRDefault="00AD71EB">
      <w:pPr>
        <w:pStyle w:val="TableofFigures"/>
        <w:tabs>
          <w:tab w:val="right" w:leader="dot" w:pos="8495"/>
        </w:tabs>
        <w:rPr>
          <w:rFonts w:asciiTheme="minorHAnsi" w:eastAsiaTheme="minorEastAsia" w:hAnsiTheme="minorHAnsi" w:cstheme="minorBidi"/>
          <w:noProof/>
          <w:lang w:val="el-GR" w:eastAsia="el-GR"/>
        </w:rPr>
      </w:pPr>
      <w:hyperlink w:anchor="_Toc91575549" w:history="1">
        <w:r w:rsidR="000E79F2" w:rsidRPr="00167F38">
          <w:rPr>
            <w:rStyle w:val="Hyperlink"/>
            <w:noProof/>
          </w:rPr>
          <w:t>Figure 5. Indicators selection with Mean Decrease in Impurity.</w:t>
        </w:r>
        <w:r w:rsidR="000E79F2">
          <w:rPr>
            <w:noProof/>
            <w:webHidden/>
          </w:rPr>
          <w:tab/>
        </w:r>
        <w:r w:rsidR="000E79F2">
          <w:rPr>
            <w:noProof/>
            <w:webHidden/>
          </w:rPr>
          <w:fldChar w:fldCharType="begin"/>
        </w:r>
        <w:r w:rsidR="000E79F2">
          <w:rPr>
            <w:noProof/>
            <w:webHidden/>
          </w:rPr>
          <w:instrText xml:space="preserve"> PAGEREF _Toc91575549 \h </w:instrText>
        </w:r>
        <w:r w:rsidR="000E79F2">
          <w:rPr>
            <w:noProof/>
            <w:webHidden/>
          </w:rPr>
        </w:r>
        <w:r w:rsidR="000E79F2">
          <w:rPr>
            <w:noProof/>
            <w:webHidden/>
          </w:rPr>
          <w:fldChar w:fldCharType="separate"/>
        </w:r>
        <w:r w:rsidR="000655D3">
          <w:rPr>
            <w:noProof/>
            <w:webHidden/>
          </w:rPr>
          <w:t>25</w:t>
        </w:r>
        <w:r w:rsidR="000E79F2">
          <w:rPr>
            <w:noProof/>
            <w:webHidden/>
          </w:rPr>
          <w:fldChar w:fldCharType="end"/>
        </w:r>
      </w:hyperlink>
    </w:p>
    <w:p w14:paraId="3DB5AB5F" w14:textId="11B4A653" w:rsidR="000E79F2" w:rsidRDefault="00AD71EB">
      <w:pPr>
        <w:pStyle w:val="TableofFigures"/>
        <w:tabs>
          <w:tab w:val="right" w:leader="dot" w:pos="8495"/>
        </w:tabs>
        <w:rPr>
          <w:rFonts w:asciiTheme="minorHAnsi" w:eastAsiaTheme="minorEastAsia" w:hAnsiTheme="minorHAnsi" w:cstheme="minorBidi"/>
          <w:noProof/>
          <w:lang w:val="el-GR" w:eastAsia="el-GR"/>
        </w:rPr>
      </w:pPr>
      <w:hyperlink w:anchor="_Toc91575550" w:history="1">
        <w:r w:rsidR="000E79F2" w:rsidRPr="00167F38">
          <w:rPr>
            <w:rStyle w:val="Hyperlink"/>
            <w:noProof/>
          </w:rPr>
          <w:t>Figure 6. SHAP summary plot.</w:t>
        </w:r>
        <w:r w:rsidR="000E79F2">
          <w:rPr>
            <w:noProof/>
            <w:webHidden/>
          </w:rPr>
          <w:tab/>
        </w:r>
        <w:r w:rsidR="000E79F2">
          <w:rPr>
            <w:noProof/>
            <w:webHidden/>
          </w:rPr>
          <w:fldChar w:fldCharType="begin"/>
        </w:r>
        <w:r w:rsidR="000E79F2">
          <w:rPr>
            <w:noProof/>
            <w:webHidden/>
          </w:rPr>
          <w:instrText xml:space="preserve"> PAGEREF _Toc91575550 \h </w:instrText>
        </w:r>
        <w:r w:rsidR="000E79F2">
          <w:rPr>
            <w:noProof/>
            <w:webHidden/>
          </w:rPr>
        </w:r>
        <w:r w:rsidR="000E79F2">
          <w:rPr>
            <w:noProof/>
            <w:webHidden/>
          </w:rPr>
          <w:fldChar w:fldCharType="separate"/>
        </w:r>
        <w:r w:rsidR="000655D3">
          <w:rPr>
            <w:noProof/>
            <w:webHidden/>
          </w:rPr>
          <w:t>28</w:t>
        </w:r>
        <w:r w:rsidR="000E79F2">
          <w:rPr>
            <w:noProof/>
            <w:webHidden/>
          </w:rPr>
          <w:fldChar w:fldCharType="end"/>
        </w:r>
      </w:hyperlink>
    </w:p>
    <w:p w14:paraId="7D7C2011" w14:textId="4E447A81" w:rsidR="000E79F2" w:rsidRDefault="00AD71EB">
      <w:pPr>
        <w:pStyle w:val="TableofFigures"/>
        <w:tabs>
          <w:tab w:val="right" w:leader="dot" w:pos="8495"/>
        </w:tabs>
        <w:rPr>
          <w:rFonts w:asciiTheme="minorHAnsi" w:eastAsiaTheme="minorEastAsia" w:hAnsiTheme="minorHAnsi" w:cstheme="minorBidi"/>
          <w:noProof/>
          <w:lang w:val="el-GR" w:eastAsia="el-GR"/>
        </w:rPr>
      </w:pPr>
      <w:hyperlink w:anchor="_Toc91575551" w:history="1">
        <w:r w:rsidR="000E79F2" w:rsidRPr="00167F38">
          <w:rPr>
            <w:rStyle w:val="Hyperlink"/>
            <w:noProof/>
          </w:rPr>
          <w:t>Figure 7: Goodness of fit.</w:t>
        </w:r>
        <w:r w:rsidR="000E79F2">
          <w:rPr>
            <w:noProof/>
            <w:webHidden/>
          </w:rPr>
          <w:tab/>
        </w:r>
        <w:r w:rsidR="000E79F2">
          <w:rPr>
            <w:noProof/>
            <w:webHidden/>
          </w:rPr>
          <w:fldChar w:fldCharType="begin"/>
        </w:r>
        <w:r w:rsidR="000E79F2">
          <w:rPr>
            <w:noProof/>
            <w:webHidden/>
          </w:rPr>
          <w:instrText xml:space="preserve"> PAGEREF _Toc91575551 \h </w:instrText>
        </w:r>
        <w:r w:rsidR="000E79F2">
          <w:rPr>
            <w:noProof/>
            <w:webHidden/>
          </w:rPr>
        </w:r>
        <w:r w:rsidR="000E79F2">
          <w:rPr>
            <w:noProof/>
            <w:webHidden/>
          </w:rPr>
          <w:fldChar w:fldCharType="separate"/>
        </w:r>
        <w:r w:rsidR="000655D3">
          <w:rPr>
            <w:noProof/>
            <w:webHidden/>
          </w:rPr>
          <w:t>29</w:t>
        </w:r>
        <w:r w:rsidR="000E79F2">
          <w:rPr>
            <w:noProof/>
            <w:webHidden/>
          </w:rPr>
          <w:fldChar w:fldCharType="end"/>
        </w:r>
      </w:hyperlink>
    </w:p>
    <w:p w14:paraId="1DE73419" w14:textId="4534830B" w:rsidR="000E79F2" w:rsidRDefault="00AD71EB">
      <w:pPr>
        <w:pStyle w:val="TableofFigures"/>
        <w:tabs>
          <w:tab w:val="right" w:leader="dot" w:pos="8495"/>
        </w:tabs>
        <w:rPr>
          <w:rFonts w:asciiTheme="minorHAnsi" w:eastAsiaTheme="minorEastAsia" w:hAnsiTheme="minorHAnsi" w:cstheme="minorBidi"/>
          <w:noProof/>
          <w:lang w:val="el-GR" w:eastAsia="el-GR"/>
        </w:rPr>
      </w:pPr>
      <w:hyperlink w:anchor="_Toc91575552" w:history="1">
        <w:r w:rsidR="000E79F2" w:rsidRPr="00167F38">
          <w:rPr>
            <w:rStyle w:val="Hyperlink"/>
            <w:noProof/>
          </w:rPr>
          <w:t>Figure 8: Above Ground Biomass map.</w:t>
        </w:r>
        <w:r w:rsidR="000E79F2">
          <w:rPr>
            <w:noProof/>
            <w:webHidden/>
          </w:rPr>
          <w:tab/>
        </w:r>
        <w:r w:rsidR="000E79F2">
          <w:rPr>
            <w:noProof/>
            <w:webHidden/>
          </w:rPr>
          <w:fldChar w:fldCharType="begin"/>
        </w:r>
        <w:r w:rsidR="000E79F2">
          <w:rPr>
            <w:noProof/>
            <w:webHidden/>
          </w:rPr>
          <w:instrText xml:space="preserve"> PAGEREF _Toc91575552 \h </w:instrText>
        </w:r>
        <w:r w:rsidR="000E79F2">
          <w:rPr>
            <w:noProof/>
            <w:webHidden/>
          </w:rPr>
        </w:r>
        <w:r w:rsidR="000E79F2">
          <w:rPr>
            <w:noProof/>
            <w:webHidden/>
          </w:rPr>
          <w:fldChar w:fldCharType="separate"/>
        </w:r>
        <w:r w:rsidR="000655D3">
          <w:rPr>
            <w:noProof/>
            <w:webHidden/>
          </w:rPr>
          <w:t>29</w:t>
        </w:r>
        <w:r w:rsidR="000E79F2">
          <w:rPr>
            <w:noProof/>
            <w:webHidden/>
          </w:rPr>
          <w:fldChar w:fldCharType="end"/>
        </w:r>
      </w:hyperlink>
    </w:p>
    <w:p w14:paraId="49C669BD" w14:textId="701FCBAF" w:rsidR="000E79F2" w:rsidRDefault="00AD71EB">
      <w:pPr>
        <w:pStyle w:val="TableofFigures"/>
        <w:tabs>
          <w:tab w:val="right" w:leader="dot" w:pos="8495"/>
        </w:tabs>
        <w:rPr>
          <w:rFonts w:asciiTheme="minorHAnsi" w:eastAsiaTheme="minorEastAsia" w:hAnsiTheme="minorHAnsi" w:cstheme="minorBidi"/>
          <w:noProof/>
          <w:lang w:val="el-GR" w:eastAsia="el-GR"/>
        </w:rPr>
      </w:pPr>
      <w:hyperlink w:anchor="_Toc91575553" w:history="1">
        <w:r w:rsidR="000E79F2" w:rsidRPr="00167F38">
          <w:rPr>
            <w:rStyle w:val="Hyperlink"/>
            <w:noProof/>
          </w:rPr>
          <w:t>Figure 9: Distribution of predictions.</w:t>
        </w:r>
        <w:r w:rsidR="000E79F2">
          <w:rPr>
            <w:noProof/>
            <w:webHidden/>
          </w:rPr>
          <w:tab/>
        </w:r>
        <w:r w:rsidR="000E79F2">
          <w:rPr>
            <w:noProof/>
            <w:webHidden/>
          </w:rPr>
          <w:fldChar w:fldCharType="begin"/>
        </w:r>
        <w:r w:rsidR="000E79F2">
          <w:rPr>
            <w:noProof/>
            <w:webHidden/>
          </w:rPr>
          <w:instrText xml:space="preserve"> PAGEREF _Toc91575553 \h </w:instrText>
        </w:r>
        <w:r w:rsidR="000E79F2">
          <w:rPr>
            <w:noProof/>
            <w:webHidden/>
          </w:rPr>
        </w:r>
        <w:r w:rsidR="000E79F2">
          <w:rPr>
            <w:noProof/>
            <w:webHidden/>
          </w:rPr>
          <w:fldChar w:fldCharType="separate"/>
        </w:r>
        <w:r w:rsidR="000655D3">
          <w:rPr>
            <w:noProof/>
            <w:webHidden/>
          </w:rPr>
          <w:t>30</w:t>
        </w:r>
        <w:r w:rsidR="000E79F2">
          <w:rPr>
            <w:noProof/>
            <w:webHidden/>
          </w:rPr>
          <w:fldChar w:fldCharType="end"/>
        </w:r>
      </w:hyperlink>
    </w:p>
    <w:p w14:paraId="5BD35C83" w14:textId="415F7FEB" w:rsidR="000E79F2" w:rsidRDefault="00AD71EB">
      <w:pPr>
        <w:pStyle w:val="TableofFigures"/>
        <w:tabs>
          <w:tab w:val="right" w:leader="dot" w:pos="8495"/>
        </w:tabs>
        <w:rPr>
          <w:rFonts w:asciiTheme="minorHAnsi" w:eastAsiaTheme="minorEastAsia" w:hAnsiTheme="minorHAnsi" w:cstheme="minorBidi"/>
          <w:noProof/>
          <w:lang w:val="el-GR" w:eastAsia="el-GR"/>
        </w:rPr>
      </w:pPr>
      <w:hyperlink w:anchor="_Toc91575554" w:history="1">
        <w:r w:rsidR="000E79F2" w:rsidRPr="00167F38">
          <w:rPr>
            <w:rStyle w:val="Hyperlink"/>
            <w:noProof/>
          </w:rPr>
          <w:t>Figure 10: Current Carbon Sequestration map.</w:t>
        </w:r>
        <w:r w:rsidR="000E79F2">
          <w:rPr>
            <w:noProof/>
            <w:webHidden/>
          </w:rPr>
          <w:tab/>
        </w:r>
        <w:r w:rsidR="000E79F2">
          <w:rPr>
            <w:noProof/>
            <w:webHidden/>
          </w:rPr>
          <w:fldChar w:fldCharType="begin"/>
        </w:r>
        <w:r w:rsidR="000E79F2">
          <w:rPr>
            <w:noProof/>
            <w:webHidden/>
          </w:rPr>
          <w:instrText xml:space="preserve"> PAGEREF _Toc91575554 \h </w:instrText>
        </w:r>
        <w:r w:rsidR="000E79F2">
          <w:rPr>
            <w:noProof/>
            <w:webHidden/>
          </w:rPr>
        </w:r>
        <w:r w:rsidR="000E79F2">
          <w:rPr>
            <w:noProof/>
            <w:webHidden/>
          </w:rPr>
          <w:fldChar w:fldCharType="separate"/>
        </w:r>
        <w:r w:rsidR="000655D3">
          <w:rPr>
            <w:noProof/>
            <w:webHidden/>
          </w:rPr>
          <w:t>30</w:t>
        </w:r>
        <w:r w:rsidR="000E79F2">
          <w:rPr>
            <w:noProof/>
            <w:webHidden/>
          </w:rPr>
          <w:fldChar w:fldCharType="end"/>
        </w:r>
      </w:hyperlink>
    </w:p>
    <w:p w14:paraId="5690FA29" w14:textId="3610934C" w:rsidR="000E79F2" w:rsidRDefault="00AD71EB">
      <w:pPr>
        <w:pStyle w:val="TableofFigures"/>
        <w:tabs>
          <w:tab w:val="right" w:leader="dot" w:pos="8495"/>
        </w:tabs>
        <w:rPr>
          <w:rFonts w:asciiTheme="minorHAnsi" w:eastAsiaTheme="minorEastAsia" w:hAnsiTheme="minorHAnsi" w:cstheme="minorBidi"/>
          <w:noProof/>
          <w:lang w:val="el-GR" w:eastAsia="el-GR"/>
        </w:rPr>
      </w:pPr>
      <w:hyperlink w:anchor="_Toc91575555" w:history="1">
        <w:r w:rsidR="000E79F2" w:rsidRPr="00167F38">
          <w:rPr>
            <w:rStyle w:val="Hyperlink"/>
            <w:noProof/>
          </w:rPr>
          <w:t>Figure 11: Marginality levels.</w:t>
        </w:r>
        <w:r w:rsidR="000E79F2">
          <w:rPr>
            <w:noProof/>
            <w:webHidden/>
          </w:rPr>
          <w:tab/>
        </w:r>
        <w:r w:rsidR="000E79F2">
          <w:rPr>
            <w:noProof/>
            <w:webHidden/>
          </w:rPr>
          <w:fldChar w:fldCharType="begin"/>
        </w:r>
        <w:r w:rsidR="000E79F2">
          <w:rPr>
            <w:noProof/>
            <w:webHidden/>
          </w:rPr>
          <w:instrText xml:space="preserve"> PAGEREF _Toc91575555 \h </w:instrText>
        </w:r>
        <w:r w:rsidR="000E79F2">
          <w:rPr>
            <w:noProof/>
            <w:webHidden/>
          </w:rPr>
        </w:r>
        <w:r w:rsidR="000E79F2">
          <w:rPr>
            <w:noProof/>
            <w:webHidden/>
          </w:rPr>
          <w:fldChar w:fldCharType="separate"/>
        </w:r>
        <w:r w:rsidR="000655D3">
          <w:rPr>
            <w:noProof/>
            <w:webHidden/>
          </w:rPr>
          <w:t>31</w:t>
        </w:r>
        <w:r w:rsidR="000E79F2">
          <w:rPr>
            <w:noProof/>
            <w:webHidden/>
          </w:rPr>
          <w:fldChar w:fldCharType="end"/>
        </w:r>
      </w:hyperlink>
    </w:p>
    <w:p w14:paraId="12D9D84E" w14:textId="650C6969" w:rsidR="000E79F2" w:rsidRDefault="00AD71EB">
      <w:pPr>
        <w:pStyle w:val="TableofFigures"/>
        <w:tabs>
          <w:tab w:val="right" w:leader="dot" w:pos="8495"/>
        </w:tabs>
        <w:rPr>
          <w:rFonts w:asciiTheme="minorHAnsi" w:eastAsiaTheme="minorEastAsia" w:hAnsiTheme="minorHAnsi" w:cstheme="minorBidi"/>
          <w:noProof/>
          <w:lang w:val="el-GR" w:eastAsia="el-GR"/>
        </w:rPr>
      </w:pPr>
      <w:hyperlink w:anchor="_Toc91575556" w:history="1">
        <w:r w:rsidR="000E79F2" w:rsidRPr="00167F38">
          <w:rPr>
            <w:rStyle w:val="Hyperlink"/>
            <w:noProof/>
          </w:rPr>
          <w:t>Figure 12: Carbon Sequestration Capacity Groups map.</w:t>
        </w:r>
        <w:r w:rsidR="000E79F2">
          <w:rPr>
            <w:noProof/>
            <w:webHidden/>
          </w:rPr>
          <w:tab/>
        </w:r>
        <w:r w:rsidR="000E79F2">
          <w:rPr>
            <w:noProof/>
            <w:webHidden/>
          </w:rPr>
          <w:fldChar w:fldCharType="begin"/>
        </w:r>
        <w:r w:rsidR="000E79F2">
          <w:rPr>
            <w:noProof/>
            <w:webHidden/>
          </w:rPr>
          <w:instrText xml:space="preserve"> PAGEREF _Toc91575556 \h </w:instrText>
        </w:r>
        <w:r w:rsidR="000E79F2">
          <w:rPr>
            <w:noProof/>
            <w:webHidden/>
          </w:rPr>
        </w:r>
        <w:r w:rsidR="000E79F2">
          <w:rPr>
            <w:noProof/>
            <w:webHidden/>
          </w:rPr>
          <w:fldChar w:fldCharType="separate"/>
        </w:r>
        <w:r w:rsidR="000655D3">
          <w:rPr>
            <w:noProof/>
            <w:webHidden/>
          </w:rPr>
          <w:t>32</w:t>
        </w:r>
        <w:r w:rsidR="000E79F2">
          <w:rPr>
            <w:noProof/>
            <w:webHidden/>
          </w:rPr>
          <w:fldChar w:fldCharType="end"/>
        </w:r>
      </w:hyperlink>
    </w:p>
    <w:p w14:paraId="4A4BE0E8" w14:textId="0B017B32" w:rsidR="000E79F2" w:rsidRDefault="00AD71EB">
      <w:pPr>
        <w:pStyle w:val="TableofFigures"/>
        <w:tabs>
          <w:tab w:val="right" w:leader="dot" w:pos="8495"/>
        </w:tabs>
        <w:rPr>
          <w:rFonts w:asciiTheme="minorHAnsi" w:eastAsiaTheme="minorEastAsia" w:hAnsiTheme="minorHAnsi" w:cstheme="minorBidi"/>
          <w:noProof/>
          <w:lang w:val="el-GR" w:eastAsia="el-GR"/>
        </w:rPr>
      </w:pPr>
      <w:hyperlink w:anchor="_Toc91575557" w:history="1">
        <w:r w:rsidR="000E79F2" w:rsidRPr="00167F38">
          <w:rPr>
            <w:rStyle w:val="Hyperlink"/>
            <w:noProof/>
          </w:rPr>
          <w:t>Figure 13: Aggregated results showing the dominant species at 1x1km.</w:t>
        </w:r>
        <w:r w:rsidR="000E79F2">
          <w:rPr>
            <w:noProof/>
            <w:webHidden/>
          </w:rPr>
          <w:tab/>
        </w:r>
        <w:r w:rsidR="000E79F2">
          <w:rPr>
            <w:noProof/>
            <w:webHidden/>
          </w:rPr>
          <w:fldChar w:fldCharType="begin"/>
        </w:r>
        <w:r w:rsidR="000E79F2">
          <w:rPr>
            <w:noProof/>
            <w:webHidden/>
          </w:rPr>
          <w:instrText xml:space="preserve"> PAGEREF _Toc91575557 \h </w:instrText>
        </w:r>
        <w:r w:rsidR="000E79F2">
          <w:rPr>
            <w:noProof/>
            <w:webHidden/>
          </w:rPr>
        </w:r>
        <w:r w:rsidR="000E79F2">
          <w:rPr>
            <w:noProof/>
            <w:webHidden/>
          </w:rPr>
          <w:fldChar w:fldCharType="separate"/>
        </w:r>
        <w:r w:rsidR="000655D3">
          <w:rPr>
            <w:noProof/>
            <w:webHidden/>
          </w:rPr>
          <w:t>36</w:t>
        </w:r>
        <w:r w:rsidR="000E79F2">
          <w:rPr>
            <w:noProof/>
            <w:webHidden/>
          </w:rPr>
          <w:fldChar w:fldCharType="end"/>
        </w:r>
      </w:hyperlink>
    </w:p>
    <w:p w14:paraId="5C000370" w14:textId="71B6E560" w:rsidR="000E79F2" w:rsidRDefault="00AD71EB">
      <w:pPr>
        <w:pStyle w:val="TableofFigures"/>
        <w:tabs>
          <w:tab w:val="right" w:leader="dot" w:pos="8495"/>
        </w:tabs>
        <w:rPr>
          <w:rFonts w:asciiTheme="minorHAnsi" w:eastAsiaTheme="minorEastAsia" w:hAnsiTheme="minorHAnsi" w:cstheme="minorBidi"/>
          <w:noProof/>
          <w:lang w:val="el-GR" w:eastAsia="el-GR"/>
        </w:rPr>
      </w:pPr>
      <w:hyperlink w:anchor="_Toc91575558" w:history="1">
        <w:r w:rsidR="000E79F2" w:rsidRPr="00167F38">
          <w:rPr>
            <w:rStyle w:val="Hyperlink"/>
            <w:noProof/>
          </w:rPr>
          <w:t>Figure 14: Tree species maps for European forests workflow</w:t>
        </w:r>
        <w:r w:rsidR="000E79F2">
          <w:rPr>
            <w:noProof/>
            <w:webHidden/>
          </w:rPr>
          <w:tab/>
        </w:r>
        <w:r w:rsidR="000E79F2">
          <w:rPr>
            <w:noProof/>
            <w:webHidden/>
          </w:rPr>
          <w:fldChar w:fldCharType="begin"/>
        </w:r>
        <w:r w:rsidR="000E79F2">
          <w:rPr>
            <w:noProof/>
            <w:webHidden/>
          </w:rPr>
          <w:instrText xml:space="preserve"> PAGEREF _Toc91575558 \h </w:instrText>
        </w:r>
        <w:r w:rsidR="000E79F2">
          <w:rPr>
            <w:noProof/>
            <w:webHidden/>
          </w:rPr>
        </w:r>
        <w:r w:rsidR="000E79F2">
          <w:rPr>
            <w:noProof/>
            <w:webHidden/>
          </w:rPr>
          <w:fldChar w:fldCharType="separate"/>
        </w:r>
        <w:r w:rsidR="000655D3">
          <w:rPr>
            <w:noProof/>
            <w:webHidden/>
          </w:rPr>
          <w:t>41</w:t>
        </w:r>
        <w:r w:rsidR="000E79F2">
          <w:rPr>
            <w:noProof/>
            <w:webHidden/>
          </w:rPr>
          <w:fldChar w:fldCharType="end"/>
        </w:r>
      </w:hyperlink>
    </w:p>
    <w:p w14:paraId="0790D3C1" w14:textId="2FEC6E9A" w:rsidR="000E79F2" w:rsidRDefault="00AD71EB">
      <w:pPr>
        <w:pStyle w:val="TableofFigures"/>
        <w:tabs>
          <w:tab w:val="right" w:leader="dot" w:pos="8495"/>
        </w:tabs>
        <w:rPr>
          <w:rFonts w:asciiTheme="minorHAnsi" w:eastAsiaTheme="minorEastAsia" w:hAnsiTheme="minorHAnsi" w:cstheme="minorBidi"/>
          <w:noProof/>
          <w:lang w:val="el-GR" w:eastAsia="el-GR"/>
        </w:rPr>
      </w:pPr>
      <w:hyperlink w:anchor="_Toc91575559" w:history="1">
        <w:r w:rsidR="000E79F2" w:rsidRPr="00167F38">
          <w:rPr>
            <w:rStyle w:val="Hyperlink"/>
            <w:noProof/>
          </w:rPr>
          <w:t>Figure 15: Dominant 1 Species workflow</w:t>
        </w:r>
        <w:r w:rsidR="000E79F2">
          <w:rPr>
            <w:noProof/>
            <w:webHidden/>
          </w:rPr>
          <w:tab/>
        </w:r>
        <w:r w:rsidR="000E79F2">
          <w:rPr>
            <w:noProof/>
            <w:webHidden/>
          </w:rPr>
          <w:fldChar w:fldCharType="begin"/>
        </w:r>
        <w:r w:rsidR="000E79F2">
          <w:rPr>
            <w:noProof/>
            <w:webHidden/>
          </w:rPr>
          <w:instrText xml:space="preserve"> PAGEREF _Toc91575559 \h </w:instrText>
        </w:r>
        <w:r w:rsidR="000E79F2">
          <w:rPr>
            <w:noProof/>
            <w:webHidden/>
          </w:rPr>
        </w:r>
        <w:r w:rsidR="000E79F2">
          <w:rPr>
            <w:noProof/>
            <w:webHidden/>
          </w:rPr>
          <w:fldChar w:fldCharType="separate"/>
        </w:r>
        <w:r w:rsidR="000655D3">
          <w:rPr>
            <w:noProof/>
            <w:webHidden/>
          </w:rPr>
          <w:t>42</w:t>
        </w:r>
        <w:r w:rsidR="000E79F2">
          <w:rPr>
            <w:noProof/>
            <w:webHidden/>
          </w:rPr>
          <w:fldChar w:fldCharType="end"/>
        </w:r>
      </w:hyperlink>
    </w:p>
    <w:p w14:paraId="5A185473" w14:textId="0AA919EE" w:rsidR="000E79F2" w:rsidRDefault="00AD71EB">
      <w:pPr>
        <w:pStyle w:val="TableofFigures"/>
        <w:tabs>
          <w:tab w:val="right" w:leader="dot" w:pos="8495"/>
        </w:tabs>
        <w:rPr>
          <w:rFonts w:asciiTheme="minorHAnsi" w:eastAsiaTheme="minorEastAsia" w:hAnsiTheme="minorHAnsi" w:cstheme="minorBidi"/>
          <w:noProof/>
          <w:lang w:val="el-GR" w:eastAsia="el-GR"/>
        </w:rPr>
      </w:pPr>
      <w:hyperlink w:anchor="_Toc91575560" w:history="1">
        <w:r w:rsidR="000E79F2" w:rsidRPr="00167F38">
          <w:rPr>
            <w:rStyle w:val="Hyperlink"/>
            <w:noProof/>
          </w:rPr>
          <w:t>Figure 16: Dominant 2 Species workflow</w:t>
        </w:r>
        <w:r w:rsidR="000E79F2">
          <w:rPr>
            <w:noProof/>
            <w:webHidden/>
          </w:rPr>
          <w:tab/>
        </w:r>
        <w:r w:rsidR="000E79F2">
          <w:rPr>
            <w:noProof/>
            <w:webHidden/>
          </w:rPr>
          <w:fldChar w:fldCharType="begin"/>
        </w:r>
        <w:r w:rsidR="000E79F2">
          <w:rPr>
            <w:noProof/>
            <w:webHidden/>
          </w:rPr>
          <w:instrText xml:space="preserve"> PAGEREF _Toc91575560 \h </w:instrText>
        </w:r>
        <w:r w:rsidR="000E79F2">
          <w:rPr>
            <w:noProof/>
            <w:webHidden/>
          </w:rPr>
        </w:r>
        <w:r w:rsidR="000E79F2">
          <w:rPr>
            <w:noProof/>
            <w:webHidden/>
          </w:rPr>
          <w:fldChar w:fldCharType="separate"/>
        </w:r>
        <w:r w:rsidR="000655D3">
          <w:rPr>
            <w:noProof/>
            <w:webHidden/>
          </w:rPr>
          <w:t>43</w:t>
        </w:r>
        <w:r w:rsidR="000E79F2">
          <w:rPr>
            <w:noProof/>
            <w:webHidden/>
          </w:rPr>
          <w:fldChar w:fldCharType="end"/>
        </w:r>
      </w:hyperlink>
    </w:p>
    <w:p w14:paraId="726CA899" w14:textId="079089F1" w:rsidR="000E79F2" w:rsidRDefault="00AD71EB">
      <w:pPr>
        <w:pStyle w:val="TableofFigures"/>
        <w:tabs>
          <w:tab w:val="right" w:leader="dot" w:pos="8495"/>
        </w:tabs>
        <w:rPr>
          <w:rFonts w:asciiTheme="minorHAnsi" w:eastAsiaTheme="minorEastAsia" w:hAnsiTheme="minorHAnsi" w:cstheme="minorBidi"/>
          <w:noProof/>
          <w:lang w:val="el-GR" w:eastAsia="el-GR"/>
        </w:rPr>
      </w:pPr>
      <w:hyperlink w:anchor="_Toc91575561" w:history="1">
        <w:r w:rsidR="000E79F2" w:rsidRPr="00167F38">
          <w:rPr>
            <w:rStyle w:val="Hyperlink"/>
            <w:noProof/>
          </w:rPr>
          <w:t>Figure 17: S2GLC Land Cover Map of Europe 2017 workflow</w:t>
        </w:r>
        <w:r w:rsidR="000E79F2">
          <w:rPr>
            <w:noProof/>
            <w:webHidden/>
          </w:rPr>
          <w:tab/>
        </w:r>
        <w:r w:rsidR="000E79F2">
          <w:rPr>
            <w:noProof/>
            <w:webHidden/>
          </w:rPr>
          <w:fldChar w:fldCharType="begin"/>
        </w:r>
        <w:r w:rsidR="000E79F2">
          <w:rPr>
            <w:noProof/>
            <w:webHidden/>
          </w:rPr>
          <w:instrText xml:space="preserve"> PAGEREF _Toc91575561 \h </w:instrText>
        </w:r>
        <w:r w:rsidR="000E79F2">
          <w:rPr>
            <w:noProof/>
            <w:webHidden/>
          </w:rPr>
        </w:r>
        <w:r w:rsidR="000E79F2">
          <w:rPr>
            <w:noProof/>
            <w:webHidden/>
          </w:rPr>
          <w:fldChar w:fldCharType="separate"/>
        </w:r>
        <w:r w:rsidR="000655D3">
          <w:rPr>
            <w:noProof/>
            <w:webHidden/>
          </w:rPr>
          <w:t>44</w:t>
        </w:r>
        <w:r w:rsidR="000E79F2">
          <w:rPr>
            <w:noProof/>
            <w:webHidden/>
          </w:rPr>
          <w:fldChar w:fldCharType="end"/>
        </w:r>
      </w:hyperlink>
    </w:p>
    <w:p w14:paraId="4D8CFA34" w14:textId="15009848" w:rsidR="000E79F2" w:rsidRDefault="00AD71EB">
      <w:pPr>
        <w:pStyle w:val="TableofFigures"/>
        <w:tabs>
          <w:tab w:val="right" w:leader="dot" w:pos="8495"/>
        </w:tabs>
        <w:rPr>
          <w:rFonts w:asciiTheme="minorHAnsi" w:eastAsiaTheme="minorEastAsia" w:hAnsiTheme="minorHAnsi" w:cstheme="minorBidi"/>
          <w:noProof/>
          <w:lang w:val="el-GR" w:eastAsia="el-GR"/>
        </w:rPr>
      </w:pPr>
      <w:hyperlink w:anchor="_Toc91575562" w:history="1">
        <w:r w:rsidR="000E79F2" w:rsidRPr="00167F38">
          <w:rPr>
            <w:rStyle w:val="Hyperlink"/>
            <w:noProof/>
          </w:rPr>
          <w:t>Figure 18: Dominant 1 Species layer workflow</w:t>
        </w:r>
        <w:r w:rsidR="000E79F2">
          <w:rPr>
            <w:noProof/>
            <w:webHidden/>
          </w:rPr>
          <w:tab/>
        </w:r>
        <w:r w:rsidR="000E79F2">
          <w:rPr>
            <w:noProof/>
            <w:webHidden/>
          </w:rPr>
          <w:fldChar w:fldCharType="begin"/>
        </w:r>
        <w:r w:rsidR="000E79F2">
          <w:rPr>
            <w:noProof/>
            <w:webHidden/>
          </w:rPr>
          <w:instrText xml:space="preserve"> PAGEREF _Toc91575562 \h </w:instrText>
        </w:r>
        <w:r w:rsidR="000E79F2">
          <w:rPr>
            <w:noProof/>
            <w:webHidden/>
          </w:rPr>
        </w:r>
        <w:r w:rsidR="000E79F2">
          <w:rPr>
            <w:noProof/>
            <w:webHidden/>
          </w:rPr>
          <w:fldChar w:fldCharType="separate"/>
        </w:r>
        <w:r w:rsidR="000655D3">
          <w:rPr>
            <w:noProof/>
            <w:webHidden/>
          </w:rPr>
          <w:t>44</w:t>
        </w:r>
        <w:r w:rsidR="000E79F2">
          <w:rPr>
            <w:noProof/>
            <w:webHidden/>
          </w:rPr>
          <w:fldChar w:fldCharType="end"/>
        </w:r>
      </w:hyperlink>
    </w:p>
    <w:p w14:paraId="34678A36" w14:textId="46A2A5BD" w:rsidR="000E79F2" w:rsidRDefault="00AD71EB">
      <w:pPr>
        <w:pStyle w:val="TableofFigures"/>
        <w:tabs>
          <w:tab w:val="right" w:leader="dot" w:pos="8495"/>
        </w:tabs>
        <w:rPr>
          <w:rFonts w:asciiTheme="minorHAnsi" w:eastAsiaTheme="minorEastAsia" w:hAnsiTheme="minorHAnsi" w:cstheme="minorBidi"/>
          <w:noProof/>
          <w:lang w:val="el-GR" w:eastAsia="el-GR"/>
        </w:rPr>
      </w:pPr>
      <w:hyperlink w:anchor="_Toc91575563" w:history="1">
        <w:r w:rsidR="000E79F2" w:rsidRPr="00167F38">
          <w:rPr>
            <w:rStyle w:val="Hyperlink"/>
            <w:noProof/>
          </w:rPr>
          <w:t>Figure 19: Aboveground Biomass Carbon workflow</w:t>
        </w:r>
        <w:r w:rsidR="000E79F2">
          <w:rPr>
            <w:noProof/>
            <w:webHidden/>
          </w:rPr>
          <w:tab/>
        </w:r>
        <w:r w:rsidR="000E79F2">
          <w:rPr>
            <w:noProof/>
            <w:webHidden/>
          </w:rPr>
          <w:fldChar w:fldCharType="begin"/>
        </w:r>
        <w:r w:rsidR="000E79F2">
          <w:rPr>
            <w:noProof/>
            <w:webHidden/>
          </w:rPr>
          <w:instrText xml:space="preserve"> PAGEREF _Toc91575563 \h </w:instrText>
        </w:r>
        <w:r w:rsidR="000E79F2">
          <w:rPr>
            <w:noProof/>
            <w:webHidden/>
          </w:rPr>
        </w:r>
        <w:r w:rsidR="000E79F2">
          <w:rPr>
            <w:noProof/>
            <w:webHidden/>
          </w:rPr>
          <w:fldChar w:fldCharType="separate"/>
        </w:r>
        <w:r w:rsidR="000655D3">
          <w:rPr>
            <w:noProof/>
            <w:webHidden/>
          </w:rPr>
          <w:t>46</w:t>
        </w:r>
        <w:r w:rsidR="000E79F2">
          <w:rPr>
            <w:noProof/>
            <w:webHidden/>
          </w:rPr>
          <w:fldChar w:fldCharType="end"/>
        </w:r>
      </w:hyperlink>
    </w:p>
    <w:p w14:paraId="032E13FC" w14:textId="378F46CA" w:rsidR="000E79F2" w:rsidRDefault="00AD71EB">
      <w:pPr>
        <w:pStyle w:val="TableofFigures"/>
        <w:tabs>
          <w:tab w:val="right" w:leader="dot" w:pos="8495"/>
        </w:tabs>
        <w:rPr>
          <w:rFonts w:asciiTheme="minorHAnsi" w:eastAsiaTheme="minorEastAsia" w:hAnsiTheme="minorHAnsi" w:cstheme="minorBidi"/>
          <w:noProof/>
          <w:lang w:val="el-GR" w:eastAsia="el-GR"/>
        </w:rPr>
      </w:pPr>
      <w:hyperlink w:anchor="_Toc91575564" w:history="1">
        <w:r w:rsidR="000E79F2" w:rsidRPr="00167F38">
          <w:rPr>
            <w:rStyle w:val="Hyperlink"/>
            <w:noProof/>
          </w:rPr>
          <w:t>Figure 20: Histogram of CSC values for European level</w:t>
        </w:r>
        <w:r w:rsidR="000E79F2">
          <w:rPr>
            <w:noProof/>
            <w:webHidden/>
          </w:rPr>
          <w:tab/>
        </w:r>
        <w:r w:rsidR="000E79F2">
          <w:rPr>
            <w:noProof/>
            <w:webHidden/>
          </w:rPr>
          <w:fldChar w:fldCharType="begin"/>
        </w:r>
        <w:r w:rsidR="000E79F2">
          <w:rPr>
            <w:noProof/>
            <w:webHidden/>
          </w:rPr>
          <w:instrText xml:space="preserve"> PAGEREF _Toc91575564 \h </w:instrText>
        </w:r>
        <w:r w:rsidR="000E79F2">
          <w:rPr>
            <w:noProof/>
            <w:webHidden/>
          </w:rPr>
        </w:r>
        <w:r w:rsidR="000E79F2">
          <w:rPr>
            <w:noProof/>
            <w:webHidden/>
          </w:rPr>
          <w:fldChar w:fldCharType="separate"/>
        </w:r>
        <w:r w:rsidR="000655D3">
          <w:rPr>
            <w:noProof/>
            <w:webHidden/>
          </w:rPr>
          <w:t>48</w:t>
        </w:r>
        <w:r w:rsidR="000E79F2">
          <w:rPr>
            <w:noProof/>
            <w:webHidden/>
          </w:rPr>
          <w:fldChar w:fldCharType="end"/>
        </w:r>
      </w:hyperlink>
    </w:p>
    <w:p w14:paraId="19C16046" w14:textId="7E2710AA" w:rsidR="000E79F2" w:rsidRDefault="00AD71EB">
      <w:pPr>
        <w:pStyle w:val="TableofFigures"/>
        <w:tabs>
          <w:tab w:val="right" w:leader="dot" w:pos="8495"/>
        </w:tabs>
        <w:rPr>
          <w:rFonts w:asciiTheme="minorHAnsi" w:eastAsiaTheme="minorEastAsia" w:hAnsiTheme="minorHAnsi" w:cstheme="minorBidi"/>
          <w:noProof/>
          <w:lang w:val="el-GR" w:eastAsia="el-GR"/>
        </w:rPr>
      </w:pPr>
      <w:hyperlink w:anchor="_Toc91575565" w:history="1">
        <w:r w:rsidR="000E79F2" w:rsidRPr="00167F38">
          <w:rPr>
            <w:rStyle w:val="Hyperlink"/>
            <w:noProof/>
          </w:rPr>
          <w:t>Figure 21: Groups’ distribution in percentages for European cover</w:t>
        </w:r>
        <w:r w:rsidR="000E79F2">
          <w:rPr>
            <w:noProof/>
            <w:webHidden/>
          </w:rPr>
          <w:tab/>
        </w:r>
        <w:r w:rsidR="000E79F2">
          <w:rPr>
            <w:noProof/>
            <w:webHidden/>
          </w:rPr>
          <w:fldChar w:fldCharType="begin"/>
        </w:r>
        <w:r w:rsidR="000E79F2">
          <w:rPr>
            <w:noProof/>
            <w:webHidden/>
          </w:rPr>
          <w:instrText xml:space="preserve"> PAGEREF _Toc91575565 \h </w:instrText>
        </w:r>
        <w:r w:rsidR="000E79F2">
          <w:rPr>
            <w:noProof/>
            <w:webHidden/>
          </w:rPr>
        </w:r>
        <w:r w:rsidR="000E79F2">
          <w:rPr>
            <w:noProof/>
            <w:webHidden/>
          </w:rPr>
          <w:fldChar w:fldCharType="separate"/>
        </w:r>
        <w:r w:rsidR="000655D3">
          <w:rPr>
            <w:noProof/>
            <w:webHidden/>
          </w:rPr>
          <w:t>48</w:t>
        </w:r>
        <w:r w:rsidR="000E79F2">
          <w:rPr>
            <w:noProof/>
            <w:webHidden/>
          </w:rPr>
          <w:fldChar w:fldCharType="end"/>
        </w:r>
      </w:hyperlink>
    </w:p>
    <w:p w14:paraId="2A9719FA" w14:textId="7FA06B13" w:rsidR="000E79F2" w:rsidRDefault="00AD71EB">
      <w:pPr>
        <w:pStyle w:val="TableofFigures"/>
        <w:tabs>
          <w:tab w:val="right" w:leader="dot" w:pos="8495"/>
        </w:tabs>
        <w:rPr>
          <w:rFonts w:asciiTheme="minorHAnsi" w:eastAsiaTheme="minorEastAsia" w:hAnsiTheme="minorHAnsi" w:cstheme="minorBidi"/>
          <w:noProof/>
          <w:lang w:val="el-GR" w:eastAsia="el-GR"/>
        </w:rPr>
      </w:pPr>
      <w:hyperlink w:anchor="_Toc91575566" w:history="1">
        <w:r w:rsidR="000E79F2" w:rsidRPr="00167F38">
          <w:rPr>
            <w:rStyle w:val="Hyperlink"/>
            <w:noProof/>
          </w:rPr>
          <w:t>Figure 22: Potential Suitable Species tool menu</w:t>
        </w:r>
        <w:r w:rsidR="000E79F2">
          <w:rPr>
            <w:noProof/>
            <w:webHidden/>
          </w:rPr>
          <w:tab/>
        </w:r>
        <w:r w:rsidR="000E79F2">
          <w:rPr>
            <w:noProof/>
            <w:webHidden/>
          </w:rPr>
          <w:fldChar w:fldCharType="begin"/>
        </w:r>
        <w:r w:rsidR="000E79F2">
          <w:rPr>
            <w:noProof/>
            <w:webHidden/>
          </w:rPr>
          <w:instrText xml:space="preserve"> PAGEREF _Toc91575566 \h </w:instrText>
        </w:r>
        <w:r w:rsidR="000E79F2">
          <w:rPr>
            <w:noProof/>
            <w:webHidden/>
          </w:rPr>
        </w:r>
        <w:r w:rsidR="000E79F2">
          <w:rPr>
            <w:noProof/>
            <w:webHidden/>
          </w:rPr>
          <w:fldChar w:fldCharType="separate"/>
        </w:r>
        <w:r w:rsidR="000655D3">
          <w:rPr>
            <w:noProof/>
            <w:webHidden/>
          </w:rPr>
          <w:t>49</w:t>
        </w:r>
        <w:r w:rsidR="000E79F2">
          <w:rPr>
            <w:noProof/>
            <w:webHidden/>
          </w:rPr>
          <w:fldChar w:fldCharType="end"/>
        </w:r>
      </w:hyperlink>
    </w:p>
    <w:p w14:paraId="01CC4D50" w14:textId="45153D72" w:rsidR="000E79F2" w:rsidRDefault="00AD71EB">
      <w:pPr>
        <w:pStyle w:val="TableofFigures"/>
        <w:tabs>
          <w:tab w:val="right" w:leader="dot" w:pos="8495"/>
        </w:tabs>
        <w:rPr>
          <w:rFonts w:asciiTheme="minorHAnsi" w:eastAsiaTheme="minorEastAsia" w:hAnsiTheme="minorHAnsi" w:cstheme="minorBidi"/>
          <w:noProof/>
          <w:lang w:val="el-GR" w:eastAsia="el-GR"/>
        </w:rPr>
      </w:pPr>
      <w:hyperlink w:anchor="_Toc91575567" w:history="1">
        <w:r w:rsidR="000E79F2" w:rsidRPr="00167F38">
          <w:rPr>
            <w:rStyle w:val="Hyperlink"/>
            <w:noProof/>
          </w:rPr>
          <w:t>Figure 23: Potential Suitable Species tool results</w:t>
        </w:r>
        <w:r w:rsidR="000E79F2">
          <w:rPr>
            <w:noProof/>
            <w:webHidden/>
          </w:rPr>
          <w:tab/>
        </w:r>
        <w:r w:rsidR="000E79F2">
          <w:rPr>
            <w:noProof/>
            <w:webHidden/>
          </w:rPr>
          <w:fldChar w:fldCharType="begin"/>
        </w:r>
        <w:r w:rsidR="000E79F2">
          <w:rPr>
            <w:noProof/>
            <w:webHidden/>
          </w:rPr>
          <w:instrText xml:space="preserve"> PAGEREF _Toc91575567 \h </w:instrText>
        </w:r>
        <w:r w:rsidR="000E79F2">
          <w:rPr>
            <w:noProof/>
            <w:webHidden/>
          </w:rPr>
        </w:r>
        <w:r w:rsidR="000E79F2">
          <w:rPr>
            <w:noProof/>
            <w:webHidden/>
          </w:rPr>
          <w:fldChar w:fldCharType="separate"/>
        </w:r>
        <w:r w:rsidR="000655D3">
          <w:rPr>
            <w:noProof/>
            <w:webHidden/>
          </w:rPr>
          <w:t>50</w:t>
        </w:r>
        <w:r w:rsidR="000E79F2">
          <w:rPr>
            <w:noProof/>
            <w:webHidden/>
          </w:rPr>
          <w:fldChar w:fldCharType="end"/>
        </w:r>
      </w:hyperlink>
    </w:p>
    <w:p w14:paraId="77B02839" w14:textId="15BEA01A" w:rsidR="009619C8" w:rsidRDefault="00121AB0" w:rsidP="00D21C20">
      <w:pPr>
        <w:rPr>
          <w:lang w:val="en-GB"/>
        </w:rPr>
      </w:pPr>
      <w:r w:rsidRPr="00C60499">
        <w:rPr>
          <w:lang w:val="en-GB"/>
        </w:rPr>
        <w:fldChar w:fldCharType="end"/>
      </w:r>
    </w:p>
    <w:p w14:paraId="55AC87A6" w14:textId="77777777" w:rsidR="009619C8" w:rsidRDefault="009619C8">
      <w:pPr>
        <w:spacing w:line="300" w:lineRule="exact"/>
        <w:jc w:val="left"/>
        <w:rPr>
          <w:lang w:val="en-GB"/>
        </w:rPr>
      </w:pPr>
      <w:r>
        <w:rPr>
          <w:lang w:val="en-GB"/>
        </w:rPr>
        <w:br w:type="page"/>
      </w:r>
    </w:p>
    <w:p w14:paraId="15C067FC" w14:textId="0B7A4485" w:rsidR="006D1E47" w:rsidRDefault="006D1E47" w:rsidP="006D1E47">
      <w:pPr>
        <w:pStyle w:val="Heading1"/>
        <w:numPr>
          <w:ilvl w:val="0"/>
          <w:numId w:val="0"/>
        </w:numPr>
      </w:pPr>
      <w:bookmarkStart w:id="109" w:name="_Toc382650074"/>
      <w:bookmarkStart w:id="110" w:name="_Toc91575543"/>
      <w:r>
        <w:lastRenderedPageBreak/>
        <w:t>Annex II: List of Tables</w:t>
      </w:r>
      <w:bookmarkEnd w:id="109"/>
      <w:bookmarkEnd w:id="110"/>
    </w:p>
    <w:p w14:paraId="173C66D8" w14:textId="56AA55D3" w:rsidR="000E79F2" w:rsidRDefault="005D744F">
      <w:pPr>
        <w:pStyle w:val="TableofFigures"/>
        <w:tabs>
          <w:tab w:val="right" w:leader="dot" w:pos="8495"/>
        </w:tabs>
        <w:rPr>
          <w:rFonts w:asciiTheme="minorHAnsi" w:eastAsiaTheme="minorEastAsia" w:hAnsiTheme="minorHAnsi" w:cstheme="minorBidi"/>
          <w:noProof/>
          <w:lang w:val="el-GR" w:eastAsia="el-GR"/>
        </w:rPr>
      </w:pPr>
      <w:r>
        <w:rPr>
          <w:noProof/>
        </w:rPr>
        <w:fldChar w:fldCharType="begin"/>
      </w:r>
      <w:r>
        <w:rPr>
          <w:noProof/>
        </w:rPr>
        <w:instrText xml:space="preserve"> TOC \h \z \c "Table" </w:instrText>
      </w:r>
      <w:r>
        <w:rPr>
          <w:noProof/>
        </w:rPr>
        <w:fldChar w:fldCharType="separate"/>
      </w:r>
      <w:hyperlink w:anchor="_Toc91575568" w:history="1">
        <w:r w:rsidR="000E79F2" w:rsidRPr="00AD361F">
          <w:rPr>
            <w:rStyle w:val="Hyperlink"/>
            <w:noProof/>
          </w:rPr>
          <w:t>Table 1. Sentinel-2 generated Vegetation Indices.</w:t>
        </w:r>
        <w:r w:rsidR="000E79F2">
          <w:rPr>
            <w:noProof/>
            <w:webHidden/>
          </w:rPr>
          <w:tab/>
        </w:r>
        <w:r w:rsidR="000E79F2">
          <w:rPr>
            <w:noProof/>
            <w:webHidden/>
          </w:rPr>
          <w:fldChar w:fldCharType="begin"/>
        </w:r>
        <w:r w:rsidR="000E79F2">
          <w:rPr>
            <w:noProof/>
            <w:webHidden/>
          </w:rPr>
          <w:instrText xml:space="preserve"> PAGEREF _Toc91575568 \h </w:instrText>
        </w:r>
        <w:r w:rsidR="000E79F2">
          <w:rPr>
            <w:noProof/>
            <w:webHidden/>
          </w:rPr>
        </w:r>
        <w:r w:rsidR="000E79F2">
          <w:rPr>
            <w:noProof/>
            <w:webHidden/>
          </w:rPr>
          <w:fldChar w:fldCharType="separate"/>
        </w:r>
        <w:r w:rsidR="000655D3">
          <w:rPr>
            <w:noProof/>
            <w:webHidden/>
          </w:rPr>
          <w:t>19</w:t>
        </w:r>
        <w:r w:rsidR="000E79F2">
          <w:rPr>
            <w:noProof/>
            <w:webHidden/>
          </w:rPr>
          <w:fldChar w:fldCharType="end"/>
        </w:r>
      </w:hyperlink>
    </w:p>
    <w:p w14:paraId="03421F46" w14:textId="4E60C83E" w:rsidR="000E79F2" w:rsidRDefault="00AD71EB">
      <w:pPr>
        <w:pStyle w:val="TableofFigures"/>
        <w:tabs>
          <w:tab w:val="right" w:leader="dot" w:pos="8495"/>
        </w:tabs>
        <w:rPr>
          <w:rFonts w:asciiTheme="minorHAnsi" w:eastAsiaTheme="minorEastAsia" w:hAnsiTheme="minorHAnsi" w:cstheme="minorBidi"/>
          <w:noProof/>
          <w:lang w:val="el-GR" w:eastAsia="el-GR"/>
        </w:rPr>
      </w:pPr>
      <w:hyperlink w:anchor="_Toc91575569" w:history="1">
        <w:r w:rsidR="000E79F2" w:rsidRPr="00AD361F">
          <w:rPr>
            <w:rStyle w:val="Hyperlink"/>
            <w:noProof/>
          </w:rPr>
          <w:t>Table 2. Sentinel-2 generated biophysical parameters.</w:t>
        </w:r>
        <w:r w:rsidR="000E79F2">
          <w:rPr>
            <w:noProof/>
            <w:webHidden/>
          </w:rPr>
          <w:tab/>
        </w:r>
        <w:r w:rsidR="000E79F2">
          <w:rPr>
            <w:noProof/>
            <w:webHidden/>
          </w:rPr>
          <w:fldChar w:fldCharType="begin"/>
        </w:r>
        <w:r w:rsidR="000E79F2">
          <w:rPr>
            <w:noProof/>
            <w:webHidden/>
          </w:rPr>
          <w:instrText xml:space="preserve"> PAGEREF _Toc91575569 \h </w:instrText>
        </w:r>
        <w:r w:rsidR="000E79F2">
          <w:rPr>
            <w:noProof/>
            <w:webHidden/>
          </w:rPr>
        </w:r>
        <w:r w:rsidR="000E79F2">
          <w:rPr>
            <w:noProof/>
            <w:webHidden/>
          </w:rPr>
          <w:fldChar w:fldCharType="separate"/>
        </w:r>
        <w:r w:rsidR="000655D3">
          <w:rPr>
            <w:noProof/>
            <w:webHidden/>
          </w:rPr>
          <w:t>19</w:t>
        </w:r>
        <w:r w:rsidR="000E79F2">
          <w:rPr>
            <w:noProof/>
            <w:webHidden/>
          </w:rPr>
          <w:fldChar w:fldCharType="end"/>
        </w:r>
      </w:hyperlink>
    </w:p>
    <w:p w14:paraId="1AB679C1" w14:textId="72846D8C" w:rsidR="000E79F2" w:rsidRDefault="00AD71EB">
      <w:pPr>
        <w:pStyle w:val="TableofFigures"/>
        <w:tabs>
          <w:tab w:val="right" w:leader="dot" w:pos="8495"/>
        </w:tabs>
        <w:rPr>
          <w:rFonts w:asciiTheme="minorHAnsi" w:eastAsiaTheme="minorEastAsia" w:hAnsiTheme="minorHAnsi" w:cstheme="minorBidi"/>
          <w:noProof/>
          <w:lang w:val="el-GR" w:eastAsia="el-GR"/>
        </w:rPr>
      </w:pPr>
      <w:hyperlink w:anchor="_Toc91575570" w:history="1">
        <w:r w:rsidR="000E79F2" w:rsidRPr="00AD361F">
          <w:rPr>
            <w:rStyle w:val="Hyperlink"/>
            <w:noProof/>
          </w:rPr>
          <w:t>Table 3. Sentinel-2 generated texture measures.</w:t>
        </w:r>
        <w:r w:rsidR="000E79F2">
          <w:rPr>
            <w:noProof/>
            <w:webHidden/>
          </w:rPr>
          <w:tab/>
        </w:r>
        <w:r w:rsidR="000E79F2">
          <w:rPr>
            <w:noProof/>
            <w:webHidden/>
          </w:rPr>
          <w:fldChar w:fldCharType="begin"/>
        </w:r>
        <w:r w:rsidR="000E79F2">
          <w:rPr>
            <w:noProof/>
            <w:webHidden/>
          </w:rPr>
          <w:instrText xml:space="preserve"> PAGEREF _Toc91575570 \h </w:instrText>
        </w:r>
        <w:r w:rsidR="000E79F2">
          <w:rPr>
            <w:noProof/>
            <w:webHidden/>
          </w:rPr>
        </w:r>
        <w:r w:rsidR="000E79F2">
          <w:rPr>
            <w:noProof/>
            <w:webHidden/>
          </w:rPr>
          <w:fldChar w:fldCharType="separate"/>
        </w:r>
        <w:r w:rsidR="000655D3">
          <w:rPr>
            <w:noProof/>
            <w:webHidden/>
          </w:rPr>
          <w:t>21</w:t>
        </w:r>
        <w:r w:rsidR="000E79F2">
          <w:rPr>
            <w:noProof/>
            <w:webHidden/>
          </w:rPr>
          <w:fldChar w:fldCharType="end"/>
        </w:r>
      </w:hyperlink>
    </w:p>
    <w:p w14:paraId="656992DE" w14:textId="01D44A4E" w:rsidR="000E79F2" w:rsidRDefault="00AD71EB">
      <w:pPr>
        <w:pStyle w:val="TableofFigures"/>
        <w:tabs>
          <w:tab w:val="right" w:leader="dot" w:pos="8495"/>
        </w:tabs>
        <w:rPr>
          <w:rFonts w:asciiTheme="minorHAnsi" w:eastAsiaTheme="minorEastAsia" w:hAnsiTheme="minorHAnsi" w:cstheme="minorBidi"/>
          <w:noProof/>
          <w:lang w:val="el-GR" w:eastAsia="el-GR"/>
        </w:rPr>
      </w:pPr>
      <w:hyperlink w:anchor="_Toc91575571" w:history="1">
        <w:r w:rsidR="000E79F2" w:rsidRPr="00AD361F">
          <w:rPr>
            <w:rStyle w:val="Hyperlink"/>
            <w:noProof/>
          </w:rPr>
          <w:t>Table 4. Frequency of selection.</w:t>
        </w:r>
        <w:r w:rsidR="000E79F2">
          <w:rPr>
            <w:noProof/>
            <w:webHidden/>
          </w:rPr>
          <w:tab/>
        </w:r>
        <w:r w:rsidR="000E79F2">
          <w:rPr>
            <w:noProof/>
            <w:webHidden/>
          </w:rPr>
          <w:fldChar w:fldCharType="begin"/>
        </w:r>
        <w:r w:rsidR="000E79F2">
          <w:rPr>
            <w:noProof/>
            <w:webHidden/>
          </w:rPr>
          <w:instrText xml:space="preserve"> PAGEREF _Toc91575571 \h </w:instrText>
        </w:r>
        <w:r w:rsidR="000E79F2">
          <w:rPr>
            <w:noProof/>
            <w:webHidden/>
          </w:rPr>
        </w:r>
        <w:r w:rsidR="000E79F2">
          <w:rPr>
            <w:noProof/>
            <w:webHidden/>
          </w:rPr>
          <w:fldChar w:fldCharType="separate"/>
        </w:r>
        <w:r w:rsidR="000655D3">
          <w:rPr>
            <w:noProof/>
            <w:webHidden/>
          </w:rPr>
          <w:t>26</w:t>
        </w:r>
        <w:r w:rsidR="000E79F2">
          <w:rPr>
            <w:noProof/>
            <w:webHidden/>
          </w:rPr>
          <w:fldChar w:fldCharType="end"/>
        </w:r>
      </w:hyperlink>
    </w:p>
    <w:p w14:paraId="1E343082" w14:textId="746E52B0" w:rsidR="000E79F2" w:rsidRDefault="00AD71EB">
      <w:pPr>
        <w:pStyle w:val="TableofFigures"/>
        <w:tabs>
          <w:tab w:val="right" w:leader="dot" w:pos="8495"/>
        </w:tabs>
        <w:rPr>
          <w:rFonts w:asciiTheme="minorHAnsi" w:eastAsiaTheme="minorEastAsia" w:hAnsiTheme="minorHAnsi" w:cstheme="minorBidi"/>
          <w:noProof/>
          <w:lang w:val="el-GR" w:eastAsia="el-GR"/>
        </w:rPr>
      </w:pPr>
      <w:hyperlink w:anchor="_Toc91575572" w:history="1">
        <w:r w:rsidR="000E79F2" w:rsidRPr="00AD361F">
          <w:rPr>
            <w:rStyle w:val="Hyperlink"/>
            <w:noProof/>
          </w:rPr>
          <w:t>Table 5: Technical specifications of Tree species maps for European forests dataset.</w:t>
        </w:r>
        <w:r w:rsidR="000E79F2">
          <w:rPr>
            <w:noProof/>
            <w:webHidden/>
          </w:rPr>
          <w:tab/>
        </w:r>
        <w:r w:rsidR="000E79F2">
          <w:rPr>
            <w:noProof/>
            <w:webHidden/>
          </w:rPr>
          <w:fldChar w:fldCharType="begin"/>
        </w:r>
        <w:r w:rsidR="000E79F2">
          <w:rPr>
            <w:noProof/>
            <w:webHidden/>
          </w:rPr>
          <w:instrText xml:space="preserve"> PAGEREF _Toc91575572 \h </w:instrText>
        </w:r>
        <w:r w:rsidR="000E79F2">
          <w:rPr>
            <w:noProof/>
            <w:webHidden/>
          </w:rPr>
        </w:r>
        <w:r w:rsidR="000E79F2">
          <w:rPr>
            <w:noProof/>
            <w:webHidden/>
          </w:rPr>
          <w:fldChar w:fldCharType="separate"/>
        </w:r>
        <w:r w:rsidR="000655D3">
          <w:rPr>
            <w:noProof/>
            <w:webHidden/>
          </w:rPr>
          <w:t>36</w:t>
        </w:r>
        <w:r w:rsidR="000E79F2">
          <w:rPr>
            <w:noProof/>
            <w:webHidden/>
          </w:rPr>
          <w:fldChar w:fldCharType="end"/>
        </w:r>
      </w:hyperlink>
    </w:p>
    <w:p w14:paraId="5335A73E" w14:textId="5A194C39" w:rsidR="000E79F2" w:rsidRDefault="00AD71EB">
      <w:pPr>
        <w:pStyle w:val="TableofFigures"/>
        <w:tabs>
          <w:tab w:val="right" w:leader="dot" w:pos="8495"/>
        </w:tabs>
        <w:rPr>
          <w:rFonts w:asciiTheme="minorHAnsi" w:eastAsiaTheme="minorEastAsia" w:hAnsiTheme="minorHAnsi" w:cstheme="minorBidi"/>
          <w:noProof/>
          <w:lang w:val="el-GR" w:eastAsia="el-GR"/>
        </w:rPr>
      </w:pPr>
      <w:hyperlink w:anchor="_Toc91575573" w:history="1">
        <w:r w:rsidR="000E79F2" w:rsidRPr="00AD361F">
          <w:rPr>
            <w:rStyle w:val="Hyperlink"/>
            <w:noProof/>
          </w:rPr>
          <w:t>Table 6: Technical specifications of Global Aboveground and Belowground Biomass Carbon Density Maps.</w:t>
        </w:r>
        <w:r w:rsidR="000E79F2">
          <w:rPr>
            <w:noProof/>
            <w:webHidden/>
          </w:rPr>
          <w:tab/>
        </w:r>
        <w:r w:rsidR="000E79F2">
          <w:rPr>
            <w:noProof/>
            <w:webHidden/>
          </w:rPr>
          <w:fldChar w:fldCharType="begin"/>
        </w:r>
        <w:r w:rsidR="000E79F2">
          <w:rPr>
            <w:noProof/>
            <w:webHidden/>
          </w:rPr>
          <w:instrText xml:space="preserve"> PAGEREF _Toc91575573 \h </w:instrText>
        </w:r>
        <w:r w:rsidR="000E79F2">
          <w:rPr>
            <w:noProof/>
            <w:webHidden/>
          </w:rPr>
        </w:r>
        <w:r w:rsidR="000E79F2">
          <w:rPr>
            <w:noProof/>
            <w:webHidden/>
          </w:rPr>
          <w:fldChar w:fldCharType="separate"/>
        </w:r>
        <w:r w:rsidR="000655D3">
          <w:rPr>
            <w:noProof/>
            <w:webHidden/>
          </w:rPr>
          <w:t>38</w:t>
        </w:r>
        <w:r w:rsidR="000E79F2">
          <w:rPr>
            <w:noProof/>
            <w:webHidden/>
          </w:rPr>
          <w:fldChar w:fldCharType="end"/>
        </w:r>
      </w:hyperlink>
    </w:p>
    <w:p w14:paraId="4C5DE252" w14:textId="3F5899C8" w:rsidR="000E79F2" w:rsidRDefault="00AD71EB">
      <w:pPr>
        <w:pStyle w:val="TableofFigures"/>
        <w:tabs>
          <w:tab w:val="right" w:leader="dot" w:pos="8495"/>
        </w:tabs>
        <w:rPr>
          <w:rFonts w:asciiTheme="minorHAnsi" w:eastAsiaTheme="minorEastAsia" w:hAnsiTheme="minorHAnsi" w:cstheme="minorBidi"/>
          <w:noProof/>
          <w:lang w:val="el-GR" w:eastAsia="el-GR"/>
        </w:rPr>
      </w:pPr>
      <w:hyperlink w:anchor="_Toc91575574" w:history="1">
        <w:r w:rsidR="000E79F2" w:rsidRPr="00AD361F">
          <w:rPr>
            <w:rStyle w:val="Hyperlink"/>
            <w:noProof/>
          </w:rPr>
          <w:t>Table 7: File names and descriptions of Global Aboveground and Belowground Biomass Carbon Density Maps.</w:t>
        </w:r>
        <w:r w:rsidR="000E79F2">
          <w:rPr>
            <w:noProof/>
            <w:webHidden/>
          </w:rPr>
          <w:tab/>
        </w:r>
        <w:r w:rsidR="000E79F2">
          <w:rPr>
            <w:noProof/>
            <w:webHidden/>
          </w:rPr>
          <w:fldChar w:fldCharType="begin"/>
        </w:r>
        <w:r w:rsidR="000E79F2">
          <w:rPr>
            <w:noProof/>
            <w:webHidden/>
          </w:rPr>
          <w:instrText xml:space="preserve"> PAGEREF _Toc91575574 \h </w:instrText>
        </w:r>
        <w:r w:rsidR="000E79F2">
          <w:rPr>
            <w:noProof/>
            <w:webHidden/>
          </w:rPr>
        </w:r>
        <w:r w:rsidR="000E79F2">
          <w:rPr>
            <w:noProof/>
            <w:webHidden/>
          </w:rPr>
          <w:fldChar w:fldCharType="separate"/>
        </w:r>
        <w:r w:rsidR="000655D3">
          <w:rPr>
            <w:noProof/>
            <w:webHidden/>
          </w:rPr>
          <w:t>38</w:t>
        </w:r>
        <w:r w:rsidR="000E79F2">
          <w:rPr>
            <w:noProof/>
            <w:webHidden/>
          </w:rPr>
          <w:fldChar w:fldCharType="end"/>
        </w:r>
      </w:hyperlink>
    </w:p>
    <w:p w14:paraId="48C033BD" w14:textId="1DFE0BBD" w:rsidR="000E79F2" w:rsidRDefault="00AD71EB">
      <w:pPr>
        <w:pStyle w:val="TableofFigures"/>
        <w:tabs>
          <w:tab w:val="right" w:leader="dot" w:pos="8495"/>
        </w:tabs>
        <w:rPr>
          <w:rFonts w:asciiTheme="minorHAnsi" w:eastAsiaTheme="minorEastAsia" w:hAnsiTheme="minorHAnsi" w:cstheme="minorBidi"/>
          <w:noProof/>
          <w:lang w:val="el-GR" w:eastAsia="el-GR"/>
        </w:rPr>
      </w:pPr>
      <w:hyperlink w:anchor="_Toc91575575" w:history="1">
        <w:r w:rsidR="000E79F2" w:rsidRPr="00AD361F">
          <w:rPr>
            <w:rStyle w:val="Hyperlink"/>
            <w:noProof/>
          </w:rPr>
          <w:t>Table 8: Technical specifications of the S2CLG layer.</w:t>
        </w:r>
        <w:r w:rsidR="000E79F2">
          <w:rPr>
            <w:noProof/>
            <w:webHidden/>
          </w:rPr>
          <w:tab/>
        </w:r>
        <w:r w:rsidR="000E79F2">
          <w:rPr>
            <w:noProof/>
            <w:webHidden/>
          </w:rPr>
          <w:fldChar w:fldCharType="begin"/>
        </w:r>
        <w:r w:rsidR="000E79F2">
          <w:rPr>
            <w:noProof/>
            <w:webHidden/>
          </w:rPr>
          <w:instrText xml:space="preserve"> PAGEREF _Toc91575575 \h </w:instrText>
        </w:r>
        <w:r w:rsidR="000E79F2">
          <w:rPr>
            <w:noProof/>
            <w:webHidden/>
          </w:rPr>
        </w:r>
        <w:r w:rsidR="000E79F2">
          <w:rPr>
            <w:noProof/>
            <w:webHidden/>
          </w:rPr>
          <w:fldChar w:fldCharType="separate"/>
        </w:r>
        <w:r w:rsidR="000655D3">
          <w:rPr>
            <w:noProof/>
            <w:webHidden/>
          </w:rPr>
          <w:t>39</w:t>
        </w:r>
        <w:r w:rsidR="000E79F2">
          <w:rPr>
            <w:noProof/>
            <w:webHidden/>
          </w:rPr>
          <w:fldChar w:fldCharType="end"/>
        </w:r>
      </w:hyperlink>
    </w:p>
    <w:p w14:paraId="108DAC3C" w14:textId="614D2C0C" w:rsidR="000E79F2" w:rsidRDefault="00AD71EB">
      <w:pPr>
        <w:pStyle w:val="TableofFigures"/>
        <w:tabs>
          <w:tab w:val="right" w:leader="dot" w:pos="8495"/>
        </w:tabs>
        <w:rPr>
          <w:rFonts w:asciiTheme="minorHAnsi" w:eastAsiaTheme="minorEastAsia" w:hAnsiTheme="minorHAnsi" w:cstheme="minorBidi"/>
          <w:noProof/>
          <w:lang w:val="el-GR" w:eastAsia="el-GR"/>
        </w:rPr>
      </w:pPr>
      <w:hyperlink w:anchor="_Toc91575576" w:history="1">
        <w:r w:rsidR="000E79F2" w:rsidRPr="00AD361F">
          <w:rPr>
            <w:rStyle w:val="Hyperlink"/>
            <w:noProof/>
          </w:rPr>
          <w:t>Table 9: Land Cover Classes of the S2CLG layer.</w:t>
        </w:r>
        <w:r w:rsidR="000E79F2">
          <w:rPr>
            <w:noProof/>
            <w:webHidden/>
          </w:rPr>
          <w:tab/>
        </w:r>
        <w:r w:rsidR="000E79F2">
          <w:rPr>
            <w:noProof/>
            <w:webHidden/>
          </w:rPr>
          <w:fldChar w:fldCharType="begin"/>
        </w:r>
        <w:r w:rsidR="000E79F2">
          <w:rPr>
            <w:noProof/>
            <w:webHidden/>
          </w:rPr>
          <w:instrText xml:space="preserve"> PAGEREF _Toc91575576 \h </w:instrText>
        </w:r>
        <w:r w:rsidR="000E79F2">
          <w:rPr>
            <w:noProof/>
            <w:webHidden/>
          </w:rPr>
        </w:r>
        <w:r w:rsidR="000E79F2">
          <w:rPr>
            <w:noProof/>
            <w:webHidden/>
          </w:rPr>
          <w:fldChar w:fldCharType="separate"/>
        </w:r>
        <w:r w:rsidR="000655D3">
          <w:rPr>
            <w:noProof/>
            <w:webHidden/>
          </w:rPr>
          <w:t>40</w:t>
        </w:r>
        <w:r w:rsidR="000E79F2">
          <w:rPr>
            <w:noProof/>
            <w:webHidden/>
          </w:rPr>
          <w:fldChar w:fldCharType="end"/>
        </w:r>
      </w:hyperlink>
    </w:p>
    <w:p w14:paraId="261533B8" w14:textId="50A25EBD" w:rsidR="000E79F2" w:rsidRDefault="00AD71EB">
      <w:pPr>
        <w:pStyle w:val="TableofFigures"/>
        <w:tabs>
          <w:tab w:val="right" w:leader="dot" w:pos="8495"/>
        </w:tabs>
        <w:rPr>
          <w:rFonts w:asciiTheme="minorHAnsi" w:eastAsiaTheme="minorEastAsia" w:hAnsiTheme="minorHAnsi" w:cstheme="minorBidi"/>
          <w:noProof/>
          <w:lang w:val="el-GR" w:eastAsia="el-GR"/>
        </w:rPr>
      </w:pPr>
      <w:hyperlink w:anchor="_Toc91575577" w:history="1">
        <w:r w:rsidR="000E79F2" w:rsidRPr="00AD361F">
          <w:rPr>
            <w:rStyle w:val="Hyperlink"/>
            <w:noProof/>
          </w:rPr>
          <w:t>Table 10: Final ML raster</w:t>
        </w:r>
        <w:r w:rsidR="000E79F2">
          <w:rPr>
            <w:noProof/>
            <w:webHidden/>
          </w:rPr>
          <w:tab/>
        </w:r>
        <w:r w:rsidR="000E79F2">
          <w:rPr>
            <w:noProof/>
            <w:webHidden/>
          </w:rPr>
          <w:fldChar w:fldCharType="begin"/>
        </w:r>
        <w:r w:rsidR="000E79F2">
          <w:rPr>
            <w:noProof/>
            <w:webHidden/>
          </w:rPr>
          <w:instrText xml:space="preserve"> PAGEREF _Toc91575577 \h </w:instrText>
        </w:r>
        <w:r w:rsidR="000E79F2">
          <w:rPr>
            <w:noProof/>
            <w:webHidden/>
          </w:rPr>
        </w:r>
        <w:r w:rsidR="000E79F2">
          <w:rPr>
            <w:noProof/>
            <w:webHidden/>
          </w:rPr>
          <w:fldChar w:fldCharType="separate"/>
        </w:r>
        <w:r w:rsidR="000655D3">
          <w:rPr>
            <w:noProof/>
            <w:webHidden/>
          </w:rPr>
          <w:t>46</w:t>
        </w:r>
        <w:r w:rsidR="000E79F2">
          <w:rPr>
            <w:noProof/>
            <w:webHidden/>
          </w:rPr>
          <w:fldChar w:fldCharType="end"/>
        </w:r>
      </w:hyperlink>
    </w:p>
    <w:p w14:paraId="1161E267" w14:textId="166DDCFB" w:rsidR="009B3BE6" w:rsidRPr="00C60499" w:rsidRDefault="005D744F" w:rsidP="006D1E47">
      <w:pPr>
        <w:rPr>
          <w:lang w:val="en-GB"/>
        </w:rPr>
      </w:pPr>
      <w:r>
        <w:rPr>
          <w:noProof/>
        </w:rPr>
        <w:fldChar w:fldCharType="end"/>
      </w:r>
    </w:p>
    <w:sectPr w:rsidR="009B3BE6" w:rsidRPr="00C60499" w:rsidSect="00FD04F7">
      <w:headerReference w:type="default" r:id="rId46"/>
      <w:footerReference w:type="default" r:id="rId47"/>
      <w:headerReference w:type="first" r:id="rId48"/>
      <w:footerReference w:type="first" r:id="rId49"/>
      <w:pgSz w:w="11907" w:h="16839" w:code="9"/>
      <w:pgMar w:top="1701" w:right="1701" w:bottom="1701" w:left="1701"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D343A" w14:textId="77777777" w:rsidR="00AD71EB" w:rsidRDefault="00AD71EB" w:rsidP="00D21C20">
      <w:pPr>
        <w:spacing w:before="0" w:after="0" w:line="240" w:lineRule="auto"/>
      </w:pPr>
      <w:r>
        <w:separator/>
      </w:r>
    </w:p>
  </w:endnote>
  <w:endnote w:type="continuationSeparator" w:id="0">
    <w:p w14:paraId="3ADDDCD9" w14:textId="77777777" w:rsidR="00AD71EB" w:rsidRDefault="00AD71EB" w:rsidP="00D21C2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00006FF" w:usb1="0000FCFF" w:usb2="00000001" w:usb3="00000000" w:csb0="0000019F" w:csb1="00000000"/>
  </w:font>
  <w:font w:name="Arial Nova">
    <w:altName w:val="Arial Nova"/>
    <w:charset w:val="00"/>
    <w:family w:val="swiss"/>
    <w:pitch w:val="variable"/>
    <w:sig w:usb0="0000028F" w:usb1="00000002" w:usb2="00000000" w:usb3="00000000" w:csb0="0000019F"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62DAD" w14:textId="77777777" w:rsidR="00691395" w:rsidRDefault="00DC774D" w:rsidP="00DC774D">
    <w:pPr>
      <w:jc w:val="center"/>
    </w:pPr>
    <w:r w:rsidRPr="00691395">
      <w:rPr>
        <w:sz w:val="20"/>
        <w:szCs w:val="20"/>
        <w:lang w:val="en-GB"/>
      </w:rPr>
      <w:t>[</w:t>
    </w:r>
    <w:r w:rsidR="00121AB0" w:rsidRPr="00691395">
      <w:rPr>
        <w:sz w:val="20"/>
        <w:szCs w:val="20"/>
        <w:lang w:val="en-GB"/>
      </w:rPr>
      <w:fldChar w:fldCharType="begin"/>
    </w:r>
    <w:r w:rsidRPr="00691395">
      <w:rPr>
        <w:sz w:val="20"/>
        <w:szCs w:val="20"/>
        <w:lang w:val="en-GB"/>
      </w:rPr>
      <w:instrText xml:space="preserve"> PAGE   \* MERGEFORMAT </w:instrText>
    </w:r>
    <w:r w:rsidR="00121AB0" w:rsidRPr="00691395">
      <w:rPr>
        <w:sz w:val="20"/>
        <w:szCs w:val="20"/>
        <w:lang w:val="en-GB"/>
      </w:rPr>
      <w:fldChar w:fldCharType="separate"/>
    </w:r>
    <w:r w:rsidR="000853EE">
      <w:rPr>
        <w:noProof/>
        <w:sz w:val="20"/>
        <w:szCs w:val="20"/>
        <w:lang w:val="en-GB"/>
      </w:rPr>
      <w:t>8</w:t>
    </w:r>
    <w:r w:rsidR="00121AB0" w:rsidRPr="00691395">
      <w:rPr>
        <w:sz w:val="20"/>
        <w:szCs w:val="20"/>
        <w:lang w:val="en-GB"/>
      </w:rPr>
      <w:fldChar w:fldCharType="end"/>
    </w:r>
    <w:r>
      <w:rPr>
        <w:sz w:val="20"/>
        <w:szCs w:val="20"/>
        <w:lang w:val="el-GR"/>
      </w:rPr>
      <w:t>|</w:t>
    </w:r>
    <w:r w:rsidR="00737F83">
      <w:rPr>
        <w:noProof/>
        <w:sz w:val="20"/>
        <w:szCs w:val="20"/>
        <w:lang w:val="en-GB"/>
      </w:rPr>
      <w:fldChar w:fldCharType="begin"/>
    </w:r>
    <w:r w:rsidR="00737F83">
      <w:rPr>
        <w:noProof/>
        <w:sz w:val="20"/>
        <w:szCs w:val="20"/>
        <w:lang w:val="en-GB"/>
      </w:rPr>
      <w:instrText xml:space="preserve"> NUMPAGES   \* MERGEFORMAT </w:instrText>
    </w:r>
    <w:r w:rsidR="00737F83">
      <w:rPr>
        <w:noProof/>
        <w:sz w:val="20"/>
        <w:szCs w:val="20"/>
        <w:lang w:val="en-GB"/>
      </w:rPr>
      <w:fldChar w:fldCharType="separate"/>
    </w:r>
    <w:r w:rsidR="000853EE">
      <w:rPr>
        <w:noProof/>
        <w:sz w:val="20"/>
        <w:szCs w:val="20"/>
        <w:lang w:val="en-GB"/>
      </w:rPr>
      <w:t>60</w:t>
    </w:r>
    <w:r w:rsidR="00737F83">
      <w:rPr>
        <w:noProof/>
        <w:sz w:val="20"/>
        <w:szCs w:val="20"/>
        <w:lang w:val="en-GB"/>
      </w:rPr>
      <w:fldChar w:fldCharType="end"/>
    </w:r>
    <w:r w:rsidRPr="00691395">
      <w:rPr>
        <w:sz w:val="20"/>
        <w:szCs w:val="20"/>
        <w:lang w:val="en-GB"/>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67882" w14:textId="0112B4A6" w:rsidR="009D4DC1" w:rsidRPr="00EA051F" w:rsidRDefault="009D4DC1" w:rsidP="009D4DC1">
    <w:pPr>
      <w:pStyle w:val="Footer"/>
      <w:pBdr>
        <w:top w:val="single" w:sz="4" w:space="1" w:color="auto"/>
      </w:pBdr>
      <w:jc w:val="center"/>
      <w:rPr>
        <w:sz w:val="20"/>
        <w:lang w:val="en-GB"/>
      </w:rPr>
    </w:pPr>
    <w:r>
      <w:rPr>
        <w:sz w:val="20"/>
        <w:lang w:val="en-GB"/>
      </w:rPr>
      <w:t xml:space="preserve">Deliverable </w:t>
    </w:r>
    <w:r w:rsidRPr="009D5ED8">
      <w:rPr>
        <w:sz w:val="20"/>
        <w:lang w:val="en-GB"/>
      </w:rPr>
      <w:t>D</w:t>
    </w:r>
    <w:r w:rsidR="009D5ED8">
      <w:rPr>
        <w:sz w:val="20"/>
        <w:lang w:val="en-GB"/>
      </w:rPr>
      <w:t>2.6</w:t>
    </w:r>
    <w:r w:rsidRPr="00157BBF">
      <w:rPr>
        <w:sz w:val="20"/>
        <w:lang w:val="en-GB"/>
      </w:rPr>
      <w:t xml:space="preserve"> reflects only the authors</w:t>
    </w:r>
    <w:r>
      <w:rPr>
        <w:sz w:val="20"/>
        <w:lang w:val="en-GB"/>
      </w:rPr>
      <w:t>’</w:t>
    </w:r>
    <w:r w:rsidRPr="00157BBF">
      <w:rPr>
        <w:sz w:val="20"/>
        <w:lang w:val="en-GB"/>
      </w:rPr>
      <w:t xml:space="preserve"> view</w:t>
    </w:r>
    <w:r>
      <w:rPr>
        <w:sz w:val="20"/>
        <w:lang w:val="en-GB"/>
      </w:rPr>
      <w:t>s,</w:t>
    </w:r>
    <w:r w:rsidRPr="00157BBF">
      <w:rPr>
        <w:sz w:val="20"/>
        <w:lang w:val="en-GB"/>
      </w:rPr>
      <w:t xml:space="preserve"> and the</w:t>
    </w:r>
    <w:r>
      <w:rPr>
        <w:sz w:val="20"/>
        <w:lang w:val="en-GB"/>
      </w:rPr>
      <w:t xml:space="preserve"> </w:t>
    </w:r>
    <w:r w:rsidRPr="00157BBF">
      <w:rPr>
        <w:sz w:val="20"/>
        <w:lang w:val="en-GB"/>
      </w:rPr>
      <w:t>Agency is not responsible for any use that may be made of the information it contains.</w:t>
    </w:r>
  </w:p>
  <w:p w14:paraId="6B684185" w14:textId="77777777" w:rsidR="00D21C20" w:rsidRPr="000909EF" w:rsidRDefault="00D21C20" w:rsidP="000909EF">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A6C01" w14:textId="77777777" w:rsidR="00AD71EB" w:rsidRDefault="00AD71EB" w:rsidP="00D21C20">
      <w:pPr>
        <w:spacing w:before="0" w:after="0" w:line="240" w:lineRule="auto"/>
      </w:pPr>
      <w:r>
        <w:separator/>
      </w:r>
    </w:p>
  </w:footnote>
  <w:footnote w:type="continuationSeparator" w:id="0">
    <w:p w14:paraId="3BC672CC" w14:textId="77777777" w:rsidR="00AD71EB" w:rsidRDefault="00AD71EB" w:rsidP="00D21C20">
      <w:pPr>
        <w:spacing w:before="0" w:after="0" w:line="240" w:lineRule="auto"/>
      </w:pPr>
      <w:r>
        <w:continuationSeparator/>
      </w:r>
    </w:p>
  </w:footnote>
  <w:footnote w:id="1">
    <w:p w14:paraId="144AE238" w14:textId="77777777" w:rsidR="000909EF" w:rsidRPr="00C60499" w:rsidRDefault="000909EF" w:rsidP="000909EF">
      <w:pPr>
        <w:spacing w:before="0" w:after="0" w:line="240" w:lineRule="auto"/>
      </w:pPr>
      <w:r>
        <w:rPr>
          <w:rStyle w:val="FootnoteReference"/>
        </w:rPr>
        <w:footnoteRef/>
      </w:r>
      <w:r>
        <w:t xml:space="preserve"> </w:t>
      </w:r>
      <w:r w:rsidRPr="00C60499">
        <w:rPr>
          <w:rStyle w:val="Strong"/>
          <w:sz w:val="20"/>
        </w:rPr>
        <w:t>R</w:t>
      </w:r>
      <w:r w:rsidRPr="00C60499">
        <w:rPr>
          <w:sz w:val="20"/>
        </w:rPr>
        <w:t xml:space="preserve"> = Report, </w:t>
      </w:r>
      <w:r w:rsidRPr="00C60499">
        <w:rPr>
          <w:rStyle w:val="Strong"/>
          <w:sz w:val="20"/>
        </w:rPr>
        <w:t>P</w:t>
      </w:r>
      <w:r w:rsidRPr="00C60499">
        <w:rPr>
          <w:sz w:val="20"/>
        </w:rPr>
        <w:t xml:space="preserve"> = Prototype, </w:t>
      </w:r>
      <w:r w:rsidRPr="00C60499">
        <w:rPr>
          <w:rStyle w:val="Strong"/>
          <w:sz w:val="20"/>
        </w:rPr>
        <w:t>D</w:t>
      </w:r>
      <w:r w:rsidRPr="00C60499">
        <w:rPr>
          <w:sz w:val="20"/>
        </w:rPr>
        <w:t xml:space="preserve"> = Demonstrator, </w:t>
      </w:r>
      <w:r w:rsidRPr="00C60499">
        <w:rPr>
          <w:rStyle w:val="Strong"/>
          <w:sz w:val="20"/>
        </w:rPr>
        <w:t>O</w:t>
      </w:r>
      <w:r w:rsidRPr="00C60499">
        <w:rPr>
          <w:sz w:val="20"/>
        </w:rPr>
        <w:t xml:space="preserve"> = Other</w:t>
      </w:r>
    </w:p>
  </w:footnote>
  <w:footnote w:id="2">
    <w:p w14:paraId="17D54980" w14:textId="77777777" w:rsidR="000909EF" w:rsidRPr="00C60499" w:rsidRDefault="000909EF" w:rsidP="000909EF">
      <w:pPr>
        <w:spacing w:before="0" w:after="0" w:line="240" w:lineRule="auto"/>
        <w:rPr>
          <w:sz w:val="20"/>
        </w:rPr>
      </w:pPr>
      <w:r>
        <w:rPr>
          <w:rStyle w:val="FootnoteReference"/>
        </w:rPr>
        <w:footnoteRef/>
      </w:r>
      <w:r>
        <w:t xml:space="preserve"> </w:t>
      </w:r>
      <w:r w:rsidRPr="00C60499">
        <w:rPr>
          <w:rStyle w:val="Strong"/>
          <w:sz w:val="20"/>
        </w:rPr>
        <w:t>PU</w:t>
      </w:r>
      <w:r w:rsidRPr="00C60499">
        <w:rPr>
          <w:sz w:val="20"/>
        </w:rPr>
        <w:t xml:space="preserve"> = Public, </w:t>
      </w:r>
      <w:r w:rsidRPr="00C60499">
        <w:rPr>
          <w:rStyle w:val="Strong"/>
          <w:sz w:val="20"/>
        </w:rPr>
        <w:t>PP</w:t>
      </w:r>
      <w:r w:rsidRPr="00C60499">
        <w:rPr>
          <w:sz w:val="20"/>
        </w:rPr>
        <w:t xml:space="preserve"> = Restricted to other programme participants (including the Commission Services), </w:t>
      </w:r>
      <w:r w:rsidRPr="00C60499">
        <w:rPr>
          <w:rStyle w:val="Strong"/>
          <w:sz w:val="20"/>
        </w:rPr>
        <w:t>RE</w:t>
      </w:r>
      <w:r w:rsidRPr="00C60499">
        <w:rPr>
          <w:sz w:val="20"/>
        </w:rPr>
        <w:t xml:space="preserve"> = Restricted to a group specified by the consortium (including the Commission Services), </w:t>
      </w:r>
      <w:r w:rsidRPr="00C60499">
        <w:rPr>
          <w:rStyle w:val="Strong"/>
          <w:sz w:val="20"/>
        </w:rPr>
        <w:t>CO</w:t>
      </w:r>
      <w:r w:rsidRPr="00C60499">
        <w:rPr>
          <w:sz w:val="20"/>
        </w:rPr>
        <w:t xml:space="preserve"> = Confidential, only for members of the consortium (including the Commission Services).</w:t>
      </w:r>
    </w:p>
  </w:footnote>
  <w:footnote w:id="3">
    <w:p w14:paraId="339D80EA" w14:textId="77777777" w:rsidR="00120F8F" w:rsidRPr="00CC3181" w:rsidRDefault="00120F8F" w:rsidP="00120F8F">
      <w:pPr>
        <w:pStyle w:val="FootnoteText"/>
        <w:rPr>
          <w:rFonts w:asciiTheme="majorHAnsi" w:hAnsiTheme="majorHAnsi"/>
        </w:rPr>
      </w:pPr>
      <w:r w:rsidRPr="00CC3181">
        <w:rPr>
          <w:rStyle w:val="FootnoteReference"/>
          <w:rFonts w:asciiTheme="majorHAnsi" w:hAnsiTheme="majorHAnsi"/>
        </w:rPr>
        <w:footnoteRef/>
      </w:r>
      <w:r w:rsidRPr="00CC3181">
        <w:rPr>
          <w:rFonts w:asciiTheme="majorHAnsi" w:hAnsiTheme="majorHAnsi"/>
        </w:rPr>
        <w:t xml:space="preserve"> https://scihub.copernicus.eu/</w:t>
      </w:r>
    </w:p>
  </w:footnote>
  <w:footnote w:id="4">
    <w:p w14:paraId="1BFF62A8" w14:textId="77777777" w:rsidR="00120F8F" w:rsidRPr="00A31C2D" w:rsidRDefault="00120F8F" w:rsidP="00120F8F">
      <w:pPr>
        <w:pStyle w:val="FootnoteText"/>
        <w:rPr>
          <w:lang w:val="it-IT"/>
        </w:rPr>
      </w:pPr>
      <w:r>
        <w:rPr>
          <w:rStyle w:val="FootnoteReference"/>
        </w:rPr>
        <w:footnoteRef/>
      </w:r>
      <w:r>
        <w:t xml:space="preserve"> https://scikit-learn.org/stable/index.html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8" w:type="dxa"/>
      <w:tblLook w:val="04A0" w:firstRow="1" w:lastRow="0" w:firstColumn="1" w:lastColumn="0" w:noHBand="0" w:noVBand="1"/>
    </w:tblPr>
    <w:tblGrid>
      <w:gridCol w:w="6980"/>
      <w:gridCol w:w="1417"/>
    </w:tblGrid>
    <w:tr w:rsidR="00FD04F7" w14:paraId="527DC974" w14:textId="77777777" w:rsidTr="000426FD">
      <w:tc>
        <w:tcPr>
          <w:tcW w:w="6980" w:type="dxa"/>
          <w:tcBorders>
            <w:top w:val="nil"/>
            <w:left w:val="nil"/>
            <w:right w:val="nil"/>
          </w:tcBorders>
          <w:vAlign w:val="center"/>
        </w:tcPr>
        <w:p w14:paraId="265CC2A2" w14:textId="6EBC78FE" w:rsidR="00FD04F7" w:rsidRDefault="000426FD" w:rsidP="00E14330">
          <w:pPr>
            <w:pStyle w:val="Header"/>
            <w:spacing w:after="60"/>
            <w:jc w:val="left"/>
            <w:rPr>
              <w:sz w:val="20"/>
              <w:lang w:val="en-GB"/>
            </w:rPr>
          </w:pPr>
          <w:r>
            <w:rPr>
              <w:lang w:val="en-GB"/>
            </w:rPr>
            <w:t>[</w:t>
          </w:r>
          <w:r w:rsidR="009D5ED8" w:rsidRPr="00030FEE">
            <w:rPr>
              <w:lang w:val="en-GB"/>
            </w:rPr>
            <w:t>D</w:t>
          </w:r>
          <w:r w:rsidR="009D5ED8">
            <w:rPr>
              <w:lang w:val="en-GB"/>
            </w:rPr>
            <w:t>2</w:t>
          </w:r>
          <w:r w:rsidR="009D5ED8" w:rsidRPr="00030FEE">
            <w:rPr>
              <w:lang w:val="en-GB"/>
            </w:rPr>
            <w:t>.</w:t>
          </w:r>
          <w:r w:rsidR="009D5ED8">
            <w:rPr>
              <w:lang w:val="en-GB"/>
            </w:rPr>
            <w:t>6</w:t>
          </w:r>
          <w:r>
            <w:rPr>
              <w:lang w:val="en-GB"/>
            </w:rPr>
            <w:t>]</w:t>
          </w:r>
          <w:r w:rsidR="009D5ED8">
            <w:rPr>
              <w:lang w:val="en-GB"/>
            </w:rPr>
            <w:t xml:space="preserve"> </w:t>
          </w:r>
          <w:r w:rsidR="009D5ED8" w:rsidRPr="009D5ED8">
            <w:rPr>
              <w:lang w:val="en-GB"/>
            </w:rPr>
            <w:t>MLs classification in Carbon sequestration capacity groups</w:t>
          </w:r>
        </w:p>
      </w:tc>
      <w:tc>
        <w:tcPr>
          <w:tcW w:w="1417" w:type="dxa"/>
          <w:tcBorders>
            <w:top w:val="nil"/>
            <w:left w:val="nil"/>
            <w:right w:val="nil"/>
          </w:tcBorders>
        </w:tcPr>
        <w:p w14:paraId="4FA39AFD" w14:textId="77777777" w:rsidR="00FD04F7" w:rsidRDefault="000909EF" w:rsidP="00E14330">
          <w:pPr>
            <w:pStyle w:val="Header"/>
            <w:spacing w:after="60"/>
            <w:jc w:val="right"/>
            <w:rPr>
              <w:sz w:val="20"/>
              <w:lang w:val="en-GB"/>
            </w:rPr>
          </w:pPr>
          <w:r>
            <w:rPr>
              <w:noProof/>
              <w:sz w:val="20"/>
              <w:lang w:val="es-ES" w:eastAsia="es-ES"/>
            </w:rPr>
            <w:drawing>
              <wp:inline distT="0" distB="0" distL="0" distR="0" wp14:anchorId="10A008AA" wp14:editId="66790CB1">
                <wp:extent cx="546883" cy="418204"/>
                <wp:effectExtent l="0" t="0" r="571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SON_LOGO_TRANSPARENT_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6883" cy="418204"/>
                        </a:xfrm>
                        <a:prstGeom prst="rect">
                          <a:avLst/>
                        </a:prstGeom>
                      </pic:spPr>
                    </pic:pic>
                  </a:graphicData>
                </a:graphic>
              </wp:inline>
            </w:drawing>
          </w:r>
        </w:p>
      </w:tc>
    </w:tr>
  </w:tbl>
  <w:p w14:paraId="3EA65669" w14:textId="77777777" w:rsidR="00FD04F7" w:rsidRPr="00C60499" w:rsidRDefault="00FD04F7" w:rsidP="00FD04F7">
    <w:pPr>
      <w:pStyle w:val="Header"/>
      <w:rPr>
        <w:sz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4A0" w:firstRow="1" w:lastRow="0" w:firstColumn="1" w:lastColumn="0" w:noHBand="0" w:noVBand="1"/>
    </w:tblPr>
    <w:tblGrid>
      <w:gridCol w:w="2818"/>
      <w:gridCol w:w="2534"/>
      <w:gridCol w:w="3153"/>
    </w:tblGrid>
    <w:tr w:rsidR="00C814CE" w:rsidRPr="00130DEE" w14:paraId="45EA90E5" w14:textId="77777777" w:rsidTr="00C814CE">
      <w:trPr>
        <w:trHeight w:val="1276"/>
      </w:trPr>
      <w:tc>
        <w:tcPr>
          <w:tcW w:w="2818" w:type="dxa"/>
          <w:vAlign w:val="center"/>
        </w:tcPr>
        <w:p w14:paraId="36C4F426" w14:textId="316F507A" w:rsidR="00C814CE" w:rsidRPr="00A822F2" w:rsidRDefault="009D4DC1" w:rsidP="009F4FAE">
          <w:pPr>
            <w:spacing w:before="0" w:after="0" w:line="240" w:lineRule="auto"/>
            <w:jc w:val="left"/>
            <w:rPr>
              <w:color w:val="00477F"/>
            </w:rPr>
          </w:pPr>
          <w:r w:rsidRPr="0039315A">
            <w:rPr>
              <w:noProof/>
              <w:color w:val="00477F"/>
              <w:lang w:val="es-ES" w:eastAsia="es-ES"/>
            </w:rPr>
            <w:drawing>
              <wp:inline distT="0" distB="0" distL="0" distR="0" wp14:anchorId="166F390E" wp14:editId="43EC94AB">
                <wp:extent cx="906780" cy="604776"/>
                <wp:effectExtent l="0" t="0" r="7620" b="508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0422" cy="607205"/>
                        </a:xfrm>
                        <a:prstGeom prst="rect">
                          <a:avLst/>
                        </a:prstGeom>
                        <a:noFill/>
                        <a:ln>
                          <a:noFill/>
                        </a:ln>
                      </pic:spPr>
                    </pic:pic>
                  </a:graphicData>
                </a:graphic>
              </wp:inline>
            </w:drawing>
          </w:r>
        </w:p>
      </w:tc>
      <w:tc>
        <w:tcPr>
          <w:tcW w:w="2534" w:type="dxa"/>
          <w:vAlign w:val="center"/>
        </w:tcPr>
        <w:p w14:paraId="3CD730B1" w14:textId="77777777" w:rsidR="00C814CE" w:rsidRPr="00A822F2" w:rsidRDefault="00C814CE" w:rsidP="00C814CE">
          <w:pPr>
            <w:spacing w:before="0" w:after="0" w:line="240" w:lineRule="auto"/>
            <w:jc w:val="center"/>
            <w:rPr>
              <w:noProof/>
              <w:lang w:val="el-GR" w:eastAsia="el-GR"/>
            </w:rPr>
          </w:pPr>
        </w:p>
      </w:tc>
      <w:tc>
        <w:tcPr>
          <w:tcW w:w="3153" w:type="dxa"/>
          <w:vAlign w:val="center"/>
        </w:tcPr>
        <w:p w14:paraId="2673DCCE" w14:textId="41B8271E" w:rsidR="00C814CE" w:rsidRPr="00130DEE" w:rsidRDefault="00C814CE" w:rsidP="009F4FAE">
          <w:pPr>
            <w:spacing w:before="0" w:after="0" w:line="240" w:lineRule="auto"/>
            <w:jc w:val="right"/>
          </w:pPr>
        </w:p>
      </w:tc>
    </w:tr>
  </w:tbl>
  <w:p w14:paraId="52C574A9" w14:textId="77777777" w:rsidR="00D21C20" w:rsidRDefault="00D21C20" w:rsidP="00FD04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33AC4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86DD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562B5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CE37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9BCD3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3059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B32A7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64465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5C8A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008E4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7D4E98"/>
    <w:multiLevelType w:val="hybridMultilevel"/>
    <w:tmpl w:val="CE9CF568"/>
    <w:lvl w:ilvl="0" w:tplc="2E0CF3A2">
      <w:start w:val="1"/>
      <w:numFmt w:val="decimal"/>
      <w:pStyle w:val="Bibliography"/>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16D80B17"/>
    <w:multiLevelType w:val="multilevel"/>
    <w:tmpl w:val="EFA2DAFC"/>
    <w:lvl w:ilvl="0">
      <w:start w:val="1"/>
      <w:numFmt w:val="decimal"/>
      <w:lvlText w:val="%1."/>
      <w:lvlJc w:val="left"/>
      <w:pPr>
        <w:ind w:left="360" w:hanging="360"/>
      </w:pPr>
      <w:rPr>
        <w:rFonts w:ascii="Times New Roman" w:hAnsi="Times New Roman" w:cs="Times New Roman" w:hint="default"/>
        <w:b/>
        <w:bCs/>
        <w:sz w:val="24"/>
        <w:szCs w:val="24"/>
      </w:rPr>
    </w:lvl>
    <w:lvl w:ilvl="1">
      <w:start w:val="1"/>
      <w:numFmt w:val="decimal"/>
      <w:lvlText w:val="%1.%2."/>
      <w:lvlJc w:val="left"/>
      <w:pPr>
        <w:ind w:left="792" w:hanging="432"/>
      </w:pPr>
      <w:rPr>
        <w:rFonts w:ascii="Times New Roman" w:hAnsi="Times New Roman" w:cs="Times New Roman" w:hint="default"/>
        <w:b w:val="0"/>
        <w:bCs w:val="0"/>
        <w:sz w:val="22"/>
      </w:rPr>
    </w:lvl>
    <w:lvl w:ilvl="2">
      <w:start w:val="1"/>
      <w:numFmt w:val="decimal"/>
      <w:lvlText w:val="%1.%2.%3."/>
      <w:lvlJc w:val="left"/>
      <w:pPr>
        <w:ind w:left="1224" w:hanging="504"/>
      </w:pPr>
      <w:rPr>
        <w:rFonts w:cs="Times New Roman"/>
        <w:color w:val="000000" w:themeColor="text1"/>
        <w:sz w:val="22"/>
        <w:szCs w:val="22"/>
      </w:rPr>
    </w:lvl>
    <w:lvl w:ilvl="3">
      <w:start w:val="1"/>
      <w:numFmt w:val="decimal"/>
      <w:lvlText w:val="%1.%2.%3.%4."/>
      <w:lvlJc w:val="left"/>
      <w:pPr>
        <w:ind w:left="1728" w:hanging="648"/>
      </w:pPr>
      <w:rPr>
        <w:rFonts w:cs="Times New Roman"/>
        <w:color w:val="auto"/>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23FC2949"/>
    <w:multiLevelType w:val="hybridMultilevel"/>
    <w:tmpl w:val="E0164D4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727C49"/>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D835D17"/>
    <w:multiLevelType w:val="multilevel"/>
    <w:tmpl w:val="2926F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0B16664"/>
    <w:multiLevelType w:val="multilevel"/>
    <w:tmpl w:val="DDBE75FA"/>
    <w:lvl w:ilvl="0">
      <w:start w:val="4"/>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55F9764F"/>
    <w:multiLevelType w:val="hybridMultilevel"/>
    <w:tmpl w:val="EFA63A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560A1710"/>
    <w:multiLevelType w:val="hybridMultilevel"/>
    <w:tmpl w:val="7C3A53A8"/>
    <w:lvl w:ilvl="0" w:tplc="B9D236D2">
      <w:start w:val="31"/>
      <w:numFmt w:val="bullet"/>
      <w:lvlText w:val="-"/>
      <w:lvlJc w:val="left"/>
      <w:pPr>
        <w:ind w:left="720" w:hanging="360"/>
      </w:pPr>
      <w:rPr>
        <w:rFonts w:ascii="Times New Roman" w:eastAsiaTheme="minorEastAsia"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9F10A6"/>
    <w:multiLevelType w:val="hybridMultilevel"/>
    <w:tmpl w:val="B0927B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7"/>
  </w:num>
  <w:num w:numId="4">
    <w:abstractNumId w:val="9"/>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11"/>
  </w:num>
  <w:num w:numId="15">
    <w:abstractNumId w:val="12"/>
  </w:num>
  <w:num w:numId="16">
    <w:abstractNumId w:val="13"/>
  </w:num>
  <w:num w:numId="17">
    <w:abstractNumId w:val="17"/>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1C20"/>
    <w:rsid w:val="0000343B"/>
    <w:rsid w:val="00012FDC"/>
    <w:rsid w:val="00013452"/>
    <w:rsid w:val="00014156"/>
    <w:rsid w:val="00023C26"/>
    <w:rsid w:val="00026090"/>
    <w:rsid w:val="000268A0"/>
    <w:rsid w:val="00027626"/>
    <w:rsid w:val="00030FEE"/>
    <w:rsid w:val="00033E37"/>
    <w:rsid w:val="00034936"/>
    <w:rsid w:val="000426FD"/>
    <w:rsid w:val="00042B5D"/>
    <w:rsid w:val="000469F2"/>
    <w:rsid w:val="00051A56"/>
    <w:rsid w:val="000566F4"/>
    <w:rsid w:val="000602A7"/>
    <w:rsid w:val="00063523"/>
    <w:rsid w:val="0006427E"/>
    <w:rsid w:val="0006559F"/>
    <w:rsid w:val="000655D3"/>
    <w:rsid w:val="0008427B"/>
    <w:rsid w:val="000853EE"/>
    <w:rsid w:val="000909EF"/>
    <w:rsid w:val="000923F4"/>
    <w:rsid w:val="000A08D4"/>
    <w:rsid w:val="000A7E6E"/>
    <w:rsid w:val="000B0373"/>
    <w:rsid w:val="000B0AD8"/>
    <w:rsid w:val="000D7860"/>
    <w:rsid w:val="000E0CB5"/>
    <w:rsid w:val="000E32AC"/>
    <w:rsid w:val="000E3BD5"/>
    <w:rsid w:val="000E79F2"/>
    <w:rsid w:val="000F15EE"/>
    <w:rsid w:val="00101C2A"/>
    <w:rsid w:val="00105BE2"/>
    <w:rsid w:val="00105CDD"/>
    <w:rsid w:val="001166CA"/>
    <w:rsid w:val="00120F8F"/>
    <w:rsid w:val="00121AB0"/>
    <w:rsid w:val="00126B1D"/>
    <w:rsid w:val="00126E87"/>
    <w:rsid w:val="001313AC"/>
    <w:rsid w:val="00132317"/>
    <w:rsid w:val="00136201"/>
    <w:rsid w:val="001424AA"/>
    <w:rsid w:val="00142BA2"/>
    <w:rsid w:val="00144C47"/>
    <w:rsid w:val="0015249F"/>
    <w:rsid w:val="001614CC"/>
    <w:rsid w:val="00161825"/>
    <w:rsid w:val="00172EB9"/>
    <w:rsid w:val="0017354B"/>
    <w:rsid w:val="00173E71"/>
    <w:rsid w:val="00175AA4"/>
    <w:rsid w:val="00176C54"/>
    <w:rsid w:val="001775DA"/>
    <w:rsid w:val="00181652"/>
    <w:rsid w:val="00190D06"/>
    <w:rsid w:val="0019378E"/>
    <w:rsid w:val="001964C3"/>
    <w:rsid w:val="00197FFA"/>
    <w:rsid w:val="001A1BD0"/>
    <w:rsid w:val="001A37AC"/>
    <w:rsid w:val="001A629D"/>
    <w:rsid w:val="001A6C56"/>
    <w:rsid w:val="001B2032"/>
    <w:rsid w:val="001B68CF"/>
    <w:rsid w:val="001B6954"/>
    <w:rsid w:val="001B6BA2"/>
    <w:rsid w:val="001B73D8"/>
    <w:rsid w:val="001C6C84"/>
    <w:rsid w:val="001D39C3"/>
    <w:rsid w:val="001D7B74"/>
    <w:rsid w:val="001E0F34"/>
    <w:rsid w:val="001F2FC6"/>
    <w:rsid w:val="001F355F"/>
    <w:rsid w:val="00201AE4"/>
    <w:rsid w:val="00203B8C"/>
    <w:rsid w:val="00204CE0"/>
    <w:rsid w:val="0020653E"/>
    <w:rsid w:val="002073AA"/>
    <w:rsid w:val="00225080"/>
    <w:rsid w:val="00233CE4"/>
    <w:rsid w:val="002359B7"/>
    <w:rsid w:val="00242824"/>
    <w:rsid w:val="00251A77"/>
    <w:rsid w:val="00257E50"/>
    <w:rsid w:val="00260015"/>
    <w:rsid w:val="002603F4"/>
    <w:rsid w:val="002636EC"/>
    <w:rsid w:val="00263DB2"/>
    <w:rsid w:val="00264298"/>
    <w:rsid w:val="00271135"/>
    <w:rsid w:val="0027508C"/>
    <w:rsid w:val="002852E8"/>
    <w:rsid w:val="0028598A"/>
    <w:rsid w:val="00287124"/>
    <w:rsid w:val="0029357B"/>
    <w:rsid w:val="00293752"/>
    <w:rsid w:val="002979D4"/>
    <w:rsid w:val="002A43B5"/>
    <w:rsid w:val="002A69E7"/>
    <w:rsid w:val="002A69E9"/>
    <w:rsid w:val="002B1340"/>
    <w:rsid w:val="002B15E0"/>
    <w:rsid w:val="002B302C"/>
    <w:rsid w:val="002B670B"/>
    <w:rsid w:val="002C2A5B"/>
    <w:rsid w:val="002D0216"/>
    <w:rsid w:val="002E06CF"/>
    <w:rsid w:val="002F06B5"/>
    <w:rsid w:val="002F65C6"/>
    <w:rsid w:val="00305680"/>
    <w:rsid w:val="0030715A"/>
    <w:rsid w:val="003113FF"/>
    <w:rsid w:val="003121D8"/>
    <w:rsid w:val="0031759F"/>
    <w:rsid w:val="00322983"/>
    <w:rsid w:val="003319FC"/>
    <w:rsid w:val="00335C78"/>
    <w:rsid w:val="00336768"/>
    <w:rsid w:val="003469B8"/>
    <w:rsid w:val="00350594"/>
    <w:rsid w:val="00351BA4"/>
    <w:rsid w:val="00353C47"/>
    <w:rsid w:val="0035582B"/>
    <w:rsid w:val="003574CA"/>
    <w:rsid w:val="003669CA"/>
    <w:rsid w:val="00372CCF"/>
    <w:rsid w:val="00374FCC"/>
    <w:rsid w:val="00383CF2"/>
    <w:rsid w:val="00390765"/>
    <w:rsid w:val="00390963"/>
    <w:rsid w:val="0039315A"/>
    <w:rsid w:val="00393C23"/>
    <w:rsid w:val="00395086"/>
    <w:rsid w:val="003A7264"/>
    <w:rsid w:val="003B5556"/>
    <w:rsid w:val="003B7066"/>
    <w:rsid w:val="003C5C96"/>
    <w:rsid w:val="003C5E2D"/>
    <w:rsid w:val="003C61A2"/>
    <w:rsid w:val="003D13D1"/>
    <w:rsid w:val="003D15C0"/>
    <w:rsid w:val="003D7BD7"/>
    <w:rsid w:val="003E072D"/>
    <w:rsid w:val="003E0A90"/>
    <w:rsid w:val="003E3342"/>
    <w:rsid w:val="003E62A4"/>
    <w:rsid w:val="003E6CD7"/>
    <w:rsid w:val="003F584D"/>
    <w:rsid w:val="00401DE7"/>
    <w:rsid w:val="004062AF"/>
    <w:rsid w:val="004133C3"/>
    <w:rsid w:val="004202CA"/>
    <w:rsid w:val="004231A8"/>
    <w:rsid w:val="00432DD0"/>
    <w:rsid w:val="00434D56"/>
    <w:rsid w:val="00435E51"/>
    <w:rsid w:val="0043745C"/>
    <w:rsid w:val="0045163A"/>
    <w:rsid w:val="00451B61"/>
    <w:rsid w:val="00452A4F"/>
    <w:rsid w:val="0046116C"/>
    <w:rsid w:val="00461ADF"/>
    <w:rsid w:val="00475E2C"/>
    <w:rsid w:val="00475E85"/>
    <w:rsid w:val="00477E14"/>
    <w:rsid w:val="0048406C"/>
    <w:rsid w:val="00486874"/>
    <w:rsid w:val="00492DB6"/>
    <w:rsid w:val="00494E52"/>
    <w:rsid w:val="00496C6C"/>
    <w:rsid w:val="004A0D56"/>
    <w:rsid w:val="004A3BFF"/>
    <w:rsid w:val="004A7125"/>
    <w:rsid w:val="004B03AC"/>
    <w:rsid w:val="004B201C"/>
    <w:rsid w:val="004C3C3A"/>
    <w:rsid w:val="004E0A53"/>
    <w:rsid w:val="004E0C64"/>
    <w:rsid w:val="004F22EF"/>
    <w:rsid w:val="004F2F42"/>
    <w:rsid w:val="004F5E6D"/>
    <w:rsid w:val="004F6FB8"/>
    <w:rsid w:val="00500410"/>
    <w:rsid w:val="00505DB0"/>
    <w:rsid w:val="00511BE5"/>
    <w:rsid w:val="00516EB1"/>
    <w:rsid w:val="005171E1"/>
    <w:rsid w:val="00520671"/>
    <w:rsid w:val="00520822"/>
    <w:rsid w:val="005227B7"/>
    <w:rsid w:val="00523EFA"/>
    <w:rsid w:val="00524DC3"/>
    <w:rsid w:val="00532106"/>
    <w:rsid w:val="00536ACB"/>
    <w:rsid w:val="0053723F"/>
    <w:rsid w:val="00542798"/>
    <w:rsid w:val="00547374"/>
    <w:rsid w:val="0056207B"/>
    <w:rsid w:val="00563018"/>
    <w:rsid w:val="00563F93"/>
    <w:rsid w:val="00565997"/>
    <w:rsid w:val="00565C5F"/>
    <w:rsid w:val="0056757E"/>
    <w:rsid w:val="00572461"/>
    <w:rsid w:val="00572939"/>
    <w:rsid w:val="00575215"/>
    <w:rsid w:val="0057636E"/>
    <w:rsid w:val="005779E8"/>
    <w:rsid w:val="00584A91"/>
    <w:rsid w:val="00586106"/>
    <w:rsid w:val="005960DC"/>
    <w:rsid w:val="00596797"/>
    <w:rsid w:val="005B44DC"/>
    <w:rsid w:val="005C2840"/>
    <w:rsid w:val="005C61BA"/>
    <w:rsid w:val="005C769A"/>
    <w:rsid w:val="005D3C70"/>
    <w:rsid w:val="005D744F"/>
    <w:rsid w:val="005E4580"/>
    <w:rsid w:val="005F61C5"/>
    <w:rsid w:val="0060410E"/>
    <w:rsid w:val="00610CA9"/>
    <w:rsid w:val="006167FB"/>
    <w:rsid w:val="00616AAF"/>
    <w:rsid w:val="006360B7"/>
    <w:rsid w:val="0064427B"/>
    <w:rsid w:val="00647B7E"/>
    <w:rsid w:val="00650505"/>
    <w:rsid w:val="00657BA9"/>
    <w:rsid w:val="006714AF"/>
    <w:rsid w:val="00677B7A"/>
    <w:rsid w:val="00677C8C"/>
    <w:rsid w:val="00677EF8"/>
    <w:rsid w:val="00691395"/>
    <w:rsid w:val="00697022"/>
    <w:rsid w:val="0069742D"/>
    <w:rsid w:val="00697628"/>
    <w:rsid w:val="006A6897"/>
    <w:rsid w:val="006B1562"/>
    <w:rsid w:val="006B6E86"/>
    <w:rsid w:val="006C6CCC"/>
    <w:rsid w:val="006D0D01"/>
    <w:rsid w:val="006D1ADC"/>
    <w:rsid w:val="006D1E47"/>
    <w:rsid w:val="006D43B6"/>
    <w:rsid w:val="006D65CD"/>
    <w:rsid w:val="006D6E4E"/>
    <w:rsid w:val="006E7ACB"/>
    <w:rsid w:val="006F36DE"/>
    <w:rsid w:val="00720BA2"/>
    <w:rsid w:val="00736CF0"/>
    <w:rsid w:val="00737F83"/>
    <w:rsid w:val="00740345"/>
    <w:rsid w:val="00741B93"/>
    <w:rsid w:val="00742BD2"/>
    <w:rsid w:val="0075317E"/>
    <w:rsid w:val="007626F9"/>
    <w:rsid w:val="00771251"/>
    <w:rsid w:val="00773000"/>
    <w:rsid w:val="00773555"/>
    <w:rsid w:val="00774E4A"/>
    <w:rsid w:val="00775903"/>
    <w:rsid w:val="0079014A"/>
    <w:rsid w:val="00791A93"/>
    <w:rsid w:val="007923E7"/>
    <w:rsid w:val="007A608C"/>
    <w:rsid w:val="007A6E6D"/>
    <w:rsid w:val="007A7E2B"/>
    <w:rsid w:val="007B313A"/>
    <w:rsid w:val="007B59F9"/>
    <w:rsid w:val="007B718A"/>
    <w:rsid w:val="007C274B"/>
    <w:rsid w:val="007D0CAE"/>
    <w:rsid w:val="007D2825"/>
    <w:rsid w:val="007D570F"/>
    <w:rsid w:val="007E4342"/>
    <w:rsid w:val="007F2981"/>
    <w:rsid w:val="007F6DD6"/>
    <w:rsid w:val="00801F0F"/>
    <w:rsid w:val="00805D84"/>
    <w:rsid w:val="0080691F"/>
    <w:rsid w:val="008076A8"/>
    <w:rsid w:val="00810C7E"/>
    <w:rsid w:val="00812724"/>
    <w:rsid w:val="00824725"/>
    <w:rsid w:val="00831696"/>
    <w:rsid w:val="00832665"/>
    <w:rsid w:val="008348FE"/>
    <w:rsid w:val="00840518"/>
    <w:rsid w:val="008443BE"/>
    <w:rsid w:val="00845E28"/>
    <w:rsid w:val="008476BC"/>
    <w:rsid w:val="008510A5"/>
    <w:rsid w:val="00851293"/>
    <w:rsid w:val="008514D9"/>
    <w:rsid w:val="0085375A"/>
    <w:rsid w:val="00857337"/>
    <w:rsid w:val="00857C72"/>
    <w:rsid w:val="00865769"/>
    <w:rsid w:val="00866200"/>
    <w:rsid w:val="00880AB3"/>
    <w:rsid w:val="00881567"/>
    <w:rsid w:val="008826F1"/>
    <w:rsid w:val="00885868"/>
    <w:rsid w:val="00885E9F"/>
    <w:rsid w:val="00890D9A"/>
    <w:rsid w:val="00891FDD"/>
    <w:rsid w:val="008922BB"/>
    <w:rsid w:val="00893A9E"/>
    <w:rsid w:val="008945CE"/>
    <w:rsid w:val="008A01CA"/>
    <w:rsid w:val="008A3DE8"/>
    <w:rsid w:val="008A4A2A"/>
    <w:rsid w:val="008A56BE"/>
    <w:rsid w:val="008B2D4F"/>
    <w:rsid w:val="008B63FE"/>
    <w:rsid w:val="008B67F7"/>
    <w:rsid w:val="008C0AF6"/>
    <w:rsid w:val="008C2463"/>
    <w:rsid w:val="008C404E"/>
    <w:rsid w:val="008D28E4"/>
    <w:rsid w:val="008D388D"/>
    <w:rsid w:val="008D5ACE"/>
    <w:rsid w:val="008E156A"/>
    <w:rsid w:val="008E3513"/>
    <w:rsid w:val="008E429A"/>
    <w:rsid w:val="008E453B"/>
    <w:rsid w:val="008E59AB"/>
    <w:rsid w:val="008F0567"/>
    <w:rsid w:val="008F4400"/>
    <w:rsid w:val="008F462B"/>
    <w:rsid w:val="008F571A"/>
    <w:rsid w:val="009037DD"/>
    <w:rsid w:val="00906081"/>
    <w:rsid w:val="00910572"/>
    <w:rsid w:val="00913CC0"/>
    <w:rsid w:val="0091437D"/>
    <w:rsid w:val="00917B5E"/>
    <w:rsid w:val="00920B9B"/>
    <w:rsid w:val="00921B52"/>
    <w:rsid w:val="009222BA"/>
    <w:rsid w:val="00924D27"/>
    <w:rsid w:val="00926EAB"/>
    <w:rsid w:val="009271BC"/>
    <w:rsid w:val="009302DE"/>
    <w:rsid w:val="00933962"/>
    <w:rsid w:val="00936C2C"/>
    <w:rsid w:val="00937381"/>
    <w:rsid w:val="0094700F"/>
    <w:rsid w:val="009619C8"/>
    <w:rsid w:val="00961EB9"/>
    <w:rsid w:val="009638A2"/>
    <w:rsid w:val="00966B64"/>
    <w:rsid w:val="00975A68"/>
    <w:rsid w:val="00976AF8"/>
    <w:rsid w:val="009800BC"/>
    <w:rsid w:val="0098171A"/>
    <w:rsid w:val="009820C7"/>
    <w:rsid w:val="009842BE"/>
    <w:rsid w:val="009854E7"/>
    <w:rsid w:val="009A3992"/>
    <w:rsid w:val="009A7434"/>
    <w:rsid w:val="009B32C7"/>
    <w:rsid w:val="009B36A2"/>
    <w:rsid w:val="009B3BE6"/>
    <w:rsid w:val="009B7B51"/>
    <w:rsid w:val="009C0356"/>
    <w:rsid w:val="009C1725"/>
    <w:rsid w:val="009C4358"/>
    <w:rsid w:val="009D0152"/>
    <w:rsid w:val="009D4DC1"/>
    <w:rsid w:val="009D5ED8"/>
    <w:rsid w:val="009D670E"/>
    <w:rsid w:val="009D6F3F"/>
    <w:rsid w:val="009E0F90"/>
    <w:rsid w:val="009E3247"/>
    <w:rsid w:val="009E79C2"/>
    <w:rsid w:val="009F1E2B"/>
    <w:rsid w:val="009F43AE"/>
    <w:rsid w:val="009F6558"/>
    <w:rsid w:val="009F7D75"/>
    <w:rsid w:val="00A0003E"/>
    <w:rsid w:val="00A05CB8"/>
    <w:rsid w:val="00A06792"/>
    <w:rsid w:val="00A1352B"/>
    <w:rsid w:val="00A14FAB"/>
    <w:rsid w:val="00A239E2"/>
    <w:rsid w:val="00A24B54"/>
    <w:rsid w:val="00A25EDC"/>
    <w:rsid w:val="00A3046C"/>
    <w:rsid w:val="00A35715"/>
    <w:rsid w:val="00A37525"/>
    <w:rsid w:val="00A459FE"/>
    <w:rsid w:val="00A45B6C"/>
    <w:rsid w:val="00A54EBF"/>
    <w:rsid w:val="00A60009"/>
    <w:rsid w:val="00A61E11"/>
    <w:rsid w:val="00A622F2"/>
    <w:rsid w:val="00A70975"/>
    <w:rsid w:val="00A71DB6"/>
    <w:rsid w:val="00A811D0"/>
    <w:rsid w:val="00A822F2"/>
    <w:rsid w:val="00A85DD4"/>
    <w:rsid w:val="00A9781E"/>
    <w:rsid w:val="00AA0C12"/>
    <w:rsid w:val="00AA410B"/>
    <w:rsid w:val="00AB0D54"/>
    <w:rsid w:val="00AC1AAF"/>
    <w:rsid w:val="00AC28AE"/>
    <w:rsid w:val="00AC41E2"/>
    <w:rsid w:val="00AD0FC7"/>
    <w:rsid w:val="00AD236E"/>
    <w:rsid w:val="00AD71EB"/>
    <w:rsid w:val="00AE0296"/>
    <w:rsid w:val="00AE0A31"/>
    <w:rsid w:val="00AE4052"/>
    <w:rsid w:val="00AE567A"/>
    <w:rsid w:val="00AE7AF6"/>
    <w:rsid w:val="00AF217D"/>
    <w:rsid w:val="00AF2B3F"/>
    <w:rsid w:val="00AF32A7"/>
    <w:rsid w:val="00AF57AB"/>
    <w:rsid w:val="00B01B2A"/>
    <w:rsid w:val="00B05917"/>
    <w:rsid w:val="00B07E2F"/>
    <w:rsid w:val="00B16236"/>
    <w:rsid w:val="00B21D43"/>
    <w:rsid w:val="00B247B8"/>
    <w:rsid w:val="00B253B1"/>
    <w:rsid w:val="00B273DC"/>
    <w:rsid w:val="00B27F23"/>
    <w:rsid w:val="00B30FD9"/>
    <w:rsid w:val="00B31EF1"/>
    <w:rsid w:val="00B32668"/>
    <w:rsid w:val="00B420DB"/>
    <w:rsid w:val="00B43806"/>
    <w:rsid w:val="00B45C53"/>
    <w:rsid w:val="00B57195"/>
    <w:rsid w:val="00B6280F"/>
    <w:rsid w:val="00B62943"/>
    <w:rsid w:val="00B643C3"/>
    <w:rsid w:val="00B70CB9"/>
    <w:rsid w:val="00B7128C"/>
    <w:rsid w:val="00B74BE5"/>
    <w:rsid w:val="00B75BA1"/>
    <w:rsid w:val="00B77BE6"/>
    <w:rsid w:val="00B8118D"/>
    <w:rsid w:val="00B8345C"/>
    <w:rsid w:val="00B9105D"/>
    <w:rsid w:val="00B94650"/>
    <w:rsid w:val="00B9515A"/>
    <w:rsid w:val="00B9598B"/>
    <w:rsid w:val="00B96825"/>
    <w:rsid w:val="00B96C44"/>
    <w:rsid w:val="00BA1A03"/>
    <w:rsid w:val="00BA77B0"/>
    <w:rsid w:val="00BB54CA"/>
    <w:rsid w:val="00BB7471"/>
    <w:rsid w:val="00BC4203"/>
    <w:rsid w:val="00BD4470"/>
    <w:rsid w:val="00BE0FF1"/>
    <w:rsid w:val="00BE1999"/>
    <w:rsid w:val="00BE5680"/>
    <w:rsid w:val="00BE7ACC"/>
    <w:rsid w:val="00BF13BC"/>
    <w:rsid w:val="00BF3310"/>
    <w:rsid w:val="00BF4ABA"/>
    <w:rsid w:val="00C0146F"/>
    <w:rsid w:val="00C123E1"/>
    <w:rsid w:val="00C25F91"/>
    <w:rsid w:val="00C35B2C"/>
    <w:rsid w:val="00C37742"/>
    <w:rsid w:val="00C4022C"/>
    <w:rsid w:val="00C53A97"/>
    <w:rsid w:val="00C550EE"/>
    <w:rsid w:val="00C60499"/>
    <w:rsid w:val="00C61199"/>
    <w:rsid w:val="00C6320B"/>
    <w:rsid w:val="00C63859"/>
    <w:rsid w:val="00C814CE"/>
    <w:rsid w:val="00CA4736"/>
    <w:rsid w:val="00CA51A7"/>
    <w:rsid w:val="00CA5D75"/>
    <w:rsid w:val="00CB6EEE"/>
    <w:rsid w:val="00CB70AF"/>
    <w:rsid w:val="00CB76DF"/>
    <w:rsid w:val="00CC168E"/>
    <w:rsid w:val="00CC3822"/>
    <w:rsid w:val="00CC3F98"/>
    <w:rsid w:val="00CC4989"/>
    <w:rsid w:val="00CD0025"/>
    <w:rsid w:val="00CD0BE5"/>
    <w:rsid w:val="00CD0F4C"/>
    <w:rsid w:val="00CD2651"/>
    <w:rsid w:val="00CE066B"/>
    <w:rsid w:val="00CE175A"/>
    <w:rsid w:val="00CE1825"/>
    <w:rsid w:val="00CE2E15"/>
    <w:rsid w:val="00CE6D69"/>
    <w:rsid w:val="00CF4C99"/>
    <w:rsid w:val="00CF5211"/>
    <w:rsid w:val="00D07006"/>
    <w:rsid w:val="00D126F5"/>
    <w:rsid w:val="00D16501"/>
    <w:rsid w:val="00D21C20"/>
    <w:rsid w:val="00D311E2"/>
    <w:rsid w:val="00D330C3"/>
    <w:rsid w:val="00D54424"/>
    <w:rsid w:val="00D55276"/>
    <w:rsid w:val="00D55C52"/>
    <w:rsid w:val="00D607DC"/>
    <w:rsid w:val="00D60B7E"/>
    <w:rsid w:val="00D6183B"/>
    <w:rsid w:val="00D61FB5"/>
    <w:rsid w:val="00D70DC4"/>
    <w:rsid w:val="00D74D6A"/>
    <w:rsid w:val="00D75FC4"/>
    <w:rsid w:val="00D76DF8"/>
    <w:rsid w:val="00D847A3"/>
    <w:rsid w:val="00D85139"/>
    <w:rsid w:val="00D87BF3"/>
    <w:rsid w:val="00D975AC"/>
    <w:rsid w:val="00DA022B"/>
    <w:rsid w:val="00DA16F2"/>
    <w:rsid w:val="00DA19D9"/>
    <w:rsid w:val="00DA660D"/>
    <w:rsid w:val="00DA68CE"/>
    <w:rsid w:val="00DB38D6"/>
    <w:rsid w:val="00DB5E4C"/>
    <w:rsid w:val="00DB65F8"/>
    <w:rsid w:val="00DC0177"/>
    <w:rsid w:val="00DC62A5"/>
    <w:rsid w:val="00DC774D"/>
    <w:rsid w:val="00DD450F"/>
    <w:rsid w:val="00DD698A"/>
    <w:rsid w:val="00DE286B"/>
    <w:rsid w:val="00DF0BA7"/>
    <w:rsid w:val="00DF0CF4"/>
    <w:rsid w:val="00DF11E2"/>
    <w:rsid w:val="00DF3A7A"/>
    <w:rsid w:val="00DF7D7A"/>
    <w:rsid w:val="00E0551B"/>
    <w:rsid w:val="00E0698C"/>
    <w:rsid w:val="00E14330"/>
    <w:rsid w:val="00E15022"/>
    <w:rsid w:val="00E15EF6"/>
    <w:rsid w:val="00E17A17"/>
    <w:rsid w:val="00E20146"/>
    <w:rsid w:val="00E20F42"/>
    <w:rsid w:val="00E21C0F"/>
    <w:rsid w:val="00E27D05"/>
    <w:rsid w:val="00E40EC0"/>
    <w:rsid w:val="00E51F8C"/>
    <w:rsid w:val="00E545F1"/>
    <w:rsid w:val="00E66F78"/>
    <w:rsid w:val="00E67E27"/>
    <w:rsid w:val="00E71D30"/>
    <w:rsid w:val="00E7455F"/>
    <w:rsid w:val="00E75D02"/>
    <w:rsid w:val="00E77B68"/>
    <w:rsid w:val="00E808AA"/>
    <w:rsid w:val="00E80E38"/>
    <w:rsid w:val="00E855F0"/>
    <w:rsid w:val="00E91276"/>
    <w:rsid w:val="00E951EC"/>
    <w:rsid w:val="00EA0D19"/>
    <w:rsid w:val="00EA2C16"/>
    <w:rsid w:val="00EB42C4"/>
    <w:rsid w:val="00EB4C4F"/>
    <w:rsid w:val="00EC1098"/>
    <w:rsid w:val="00EC1ECA"/>
    <w:rsid w:val="00EC2B68"/>
    <w:rsid w:val="00EC64B3"/>
    <w:rsid w:val="00ED295C"/>
    <w:rsid w:val="00EE27FB"/>
    <w:rsid w:val="00EE2CD0"/>
    <w:rsid w:val="00EE5D88"/>
    <w:rsid w:val="00EF1990"/>
    <w:rsid w:val="00EF2029"/>
    <w:rsid w:val="00EF2643"/>
    <w:rsid w:val="00EF7B46"/>
    <w:rsid w:val="00F011D2"/>
    <w:rsid w:val="00F14347"/>
    <w:rsid w:val="00F170C5"/>
    <w:rsid w:val="00F21042"/>
    <w:rsid w:val="00F24844"/>
    <w:rsid w:val="00F24CF7"/>
    <w:rsid w:val="00F27AD5"/>
    <w:rsid w:val="00F3022B"/>
    <w:rsid w:val="00F3204B"/>
    <w:rsid w:val="00F366E0"/>
    <w:rsid w:val="00F369EF"/>
    <w:rsid w:val="00F40270"/>
    <w:rsid w:val="00F406F7"/>
    <w:rsid w:val="00F44E58"/>
    <w:rsid w:val="00F4753F"/>
    <w:rsid w:val="00F501F2"/>
    <w:rsid w:val="00F5351F"/>
    <w:rsid w:val="00F55D14"/>
    <w:rsid w:val="00F645AD"/>
    <w:rsid w:val="00F651C2"/>
    <w:rsid w:val="00F67156"/>
    <w:rsid w:val="00F72C60"/>
    <w:rsid w:val="00F81BA6"/>
    <w:rsid w:val="00F835B8"/>
    <w:rsid w:val="00F911F9"/>
    <w:rsid w:val="00F94E64"/>
    <w:rsid w:val="00F95F7E"/>
    <w:rsid w:val="00F9702A"/>
    <w:rsid w:val="00F97776"/>
    <w:rsid w:val="00FA6A91"/>
    <w:rsid w:val="00FB09F2"/>
    <w:rsid w:val="00FC1B7D"/>
    <w:rsid w:val="00FC22F8"/>
    <w:rsid w:val="00FC4292"/>
    <w:rsid w:val="00FC62EB"/>
    <w:rsid w:val="00FD04F7"/>
    <w:rsid w:val="00FD56FC"/>
    <w:rsid w:val="00FD6588"/>
    <w:rsid w:val="00FE12A8"/>
    <w:rsid w:val="00FE19E8"/>
    <w:rsid w:val="00FE35CF"/>
    <w:rsid w:val="00FE3D8B"/>
    <w:rsid w:val="00FE6CF5"/>
    <w:rsid w:val="00FE74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C44DA"/>
  <w15:docId w15:val="{A80FF48A-242C-441D-A247-150109987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line="30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15A"/>
    <w:pPr>
      <w:spacing w:line="360" w:lineRule="auto"/>
      <w:jc w:val="both"/>
    </w:pPr>
    <w:rPr>
      <w:rFonts w:ascii="Arial" w:hAnsi="Arial"/>
    </w:rPr>
  </w:style>
  <w:style w:type="paragraph" w:styleId="Heading1">
    <w:name w:val="heading 1"/>
    <w:basedOn w:val="Normal"/>
    <w:next w:val="Normal"/>
    <w:link w:val="Heading1Char"/>
    <w:uiPriority w:val="9"/>
    <w:qFormat/>
    <w:rsid w:val="009A7434"/>
    <w:pPr>
      <w:keepNext/>
      <w:keepLines/>
      <w:numPr>
        <w:numId w:val="1"/>
      </w:numPr>
      <w:spacing w:before="360" w:after="360"/>
      <w:outlineLvl w:val="0"/>
    </w:pPr>
    <w:rPr>
      <w:rFonts w:eastAsiaTheme="majorEastAsia" w:cstheme="majorBidi"/>
      <w:b/>
      <w:bCs/>
      <w:smallCaps/>
      <w:color w:val="212745" w:themeColor="text2"/>
      <w:sz w:val="26"/>
      <w:szCs w:val="28"/>
    </w:rPr>
  </w:style>
  <w:style w:type="paragraph" w:styleId="Heading2">
    <w:name w:val="heading 2"/>
    <w:basedOn w:val="Normal"/>
    <w:next w:val="Normal"/>
    <w:link w:val="Heading2Char"/>
    <w:uiPriority w:val="9"/>
    <w:unhideWhenUsed/>
    <w:qFormat/>
    <w:rsid w:val="009B3BE6"/>
    <w:pPr>
      <w:keepNext/>
      <w:keepLines/>
      <w:numPr>
        <w:ilvl w:val="1"/>
        <w:numId w:val="1"/>
      </w:numPr>
      <w:spacing w:before="200" w:after="0"/>
      <w:outlineLvl w:val="1"/>
    </w:pPr>
    <w:rPr>
      <w:rFonts w:eastAsiaTheme="majorEastAsia" w:cstheme="majorBidi"/>
      <w:b/>
      <w:bCs/>
      <w:color w:val="212745" w:themeColor="text2"/>
      <w:sz w:val="24"/>
      <w:szCs w:val="26"/>
    </w:rPr>
  </w:style>
  <w:style w:type="paragraph" w:styleId="Heading3">
    <w:name w:val="heading 3"/>
    <w:basedOn w:val="Normal"/>
    <w:next w:val="Normal"/>
    <w:link w:val="Heading3Char"/>
    <w:uiPriority w:val="9"/>
    <w:unhideWhenUsed/>
    <w:qFormat/>
    <w:rsid w:val="00C25F91"/>
    <w:pPr>
      <w:keepNext/>
      <w:keepLines/>
      <w:numPr>
        <w:ilvl w:val="2"/>
        <w:numId w:val="1"/>
      </w:numPr>
      <w:spacing w:before="200" w:after="0"/>
      <w:outlineLvl w:val="2"/>
    </w:pPr>
    <w:rPr>
      <w:rFonts w:eastAsiaTheme="majorEastAsia" w:cstheme="majorBidi"/>
      <w:b/>
      <w:bCs/>
      <w:color w:val="212745" w:themeColor="text2"/>
    </w:rPr>
  </w:style>
  <w:style w:type="paragraph" w:styleId="Heading4">
    <w:name w:val="heading 4"/>
    <w:basedOn w:val="Normal"/>
    <w:next w:val="Normal"/>
    <w:link w:val="Heading4Char"/>
    <w:uiPriority w:val="9"/>
    <w:unhideWhenUsed/>
    <w:qFormat/>
    <w:rsid w:val="00C25F91"/>
    <w:pPr>
      <w:keepNext/>
      <w:keepLines/>
      <w:numPr>
        <w:ilvl w:val="3"/>
        <w:numId w:val="1"/>
      </w:numPr>
      <w:spacing w:before="200" w:after="0"/>
      <w:outlineLvl w:val="3"/>
    </w:pPr>
    <w:rPr>
      <w:rFonts w:eastAsiaTheme="majorEastAsia" w:cstheme="majorBidi"/>
      <w:bCs/>
      <w:i/>
      <w:iCs/>
      <w:color w:val="212745" w:themeColor="text2"/>
    </w:rPr>
  </w:style>
  <w:style w:type="paragraph" w:styleId="Heading5">
    <w:name w:val="heading 5"/>
    <w:basedOn w:val="Normal"/>
    <w:next w:val="Normal"/>
    <w:link w:val="Heading5Char"/>
    <w:uiPriority w:val="9"/>
    <w:unhideWhenUsed/>
    <w:qFormat/>
    <w:rsid w:val="009B3BE6"/>
    <w:pPr>
      <w:keepNext/>
      <w:keepLines/>
      <w:numPr>
        <w:ilvl w:val="4"/>
        <w:numId w:val="1"/>
      </w:numPr>
      <w:spacing w:before="200" w:after="0"/>
      <w:outlineLvl w:val="4"/>
    </w:pPr>
    <w:rPr>
      <w:rFonts w:asciiTheme="majorHAnsi" w:eastAsiaTheme="majorEastAsia" w:hAnsiTheme="majorHAnsi" w:cstheme="majorBidi"/>
      <w:color w:val="202F69" w:themeColor="accent1" w:themeShade="7F"/>
    </w:rPr>
  </w:style>
  <w:style w:type="paragraph" w:styleId="Heading6">
    <w:name w:val="heading 6"/>
    <w:basedOn w:val="Normal"/>
    <w:next w:val="Normal"/>
    <w:link w:val="Heading6Char"/>
    <w:uiPriority w:val="9"/>
    <w:unhideWhenUsed/>
    <w:qFormat/>
    <w:rsid w:val="009B3BE6"/>
    <w:pPr>
      <w:keepNext/>
      <w:keepLines/>
      <w:numPr>
        <w:ilvl w:val="5"/>
        <w:numId w:val="1"/>
      </w:numPr>
      <w:spacing w:before="200" w:after="0"/>
      <w:outlineLvl w:val="5"/>
    </w:pPr>
    <w:rPr>
      <w:rFonts w:asciiTheme="majorHAnsi" w:eastAsiaTheme="majorEastAsia" w:hAnsiTheme="majorHAnsi" w:cstheme="majorBidi"/>
      <w:i/>
      <w:iCs/>
      <w:color w:val="202F69" w:themeColor="accent1" w:themeShade="7F"/>
    </w:rPr>
  </w:style>
  <w:style w:type="paragraph" w:styleId="Heading7">
    <w:name w:val="heading 7"/>
    <w:basedOn w:val="Normal"/>
    <w:next w:val="Normal"/>
    <w:link w:val="Heading7Char"/>
    <w:uiPriority w:val="9"/>
    <w:unhideWhenUsed/>
    <w:qFormat/>
    <w:rsid w:val="009B3BE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B3BE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B3BE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C20"/>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D21C20"/>
  </w:style>
  <w:style w:type="paragraph" w:styleId="Footer">
    <w:name w:val="footer"/>
    <w:basedOn w:val="Normal"/>
    <w:link w:val="FooterChar"/>
    <w:uiPriority w:val="99"/>
    <w:unhideWhenUsed/>
    <w:rsid w:val="00D21C20"/>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D21C20"/>
  </w:style>
  <w:style w:type="paragraph" w:styleId="BalloonText">
    <w:name w:val="Balloon Text"/>
    <w:basedOn w:val="Normal"/>
    <w:link w:val="BalloonTextChar"/>
    <w:uiPriority w:val="99"/>
    <w:semiHidden/>
    <w:unhideWhenUsed/>
    <w:rsid w:val="00D21C20"/>
    <w:pPr>
      <w:spacing w:before="0"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D21C20"/>
    <w:rPr>
      <w:rFonts w:ascii="Tahoma" w:hAnsi="Tahoma" w:cs="Tahoma"/>
      <w:sz w:val="16"/>
      <w:szCs w:val="16"/>
    </w:rPr>
  </w:style>
  <w:style w:type="table" w:styleId="TableGrid">
    <w:name w:val="Table Grid"/>
    <w:basedOn w:val="TableNormal"/>
    <w:uiPriority w:val="39"/>
    <w:rsid w:val="00D21C20"/>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9A7434"/>
    <w:rPr>
      <w:rFonts w:ascii="Tahoma" w:eastAsiaTheme="majorEastAsia" w:hAnsi="Tahoma" w:cstheme="majorBidi"/>
      <w:b/>
      <w:bCs/>
      <w:smallCaps/>
      <w:color w:val="212745" w:themeColor="text2"/>
      <w:sz w:val="26"/>
      <w:szCs w:val="28"/>
    </w:rPr>
  </w:style>
  <w:style w:type="character" w:customStyle="1" w:styleId="Heading2Char">
    <w:name w:val="Heading 2 Char"/>
    <w:basedOn w:val="DefaultParagraphFont"/>
    <w:link w:val="Heading2"/>
    <w:uiPriority w:val="9"/>
    <w:semiHidden/>
    <w:rsid w:val="009B3BE6"/>
    <w:rPr>
      <w:rFonts w:ascii="Tahoma" w:eastAsiaTheme="majorEastAsia" w:hAnsi="Tahoma" w:cstheme="majorBidi"/>
      <w:b/>
      <w:bCs/>
      <w:color w:val="212745" w:themeColor="text2"/>
      <w:sz w:val="24"/>
      <w:szCs w:val="26"/>
    </w:rPr>
  </w:style>
  <w:style w:type="paragraph" w:styleId="Title">
    <w:name w:val="Title"/>
    <w:basedOn w:val="Normal"/>
    <w:next w:val="Normal"/>
    <w:link w:val="TitleChar"/>
    <w:uiPriority w:val="10"/>
    <w:qFormat/>
    <w:rsid w:val="00A822F2"/>
    <w:pPr>
      <w:spacing w:before="0" w:after="300" w:line="240" w:lineRule="auto"/>
      <w:contextualSpacing/>
      <w:jc w:val="left"/>
    </w:pPr>
    <w:rPr>
      <w:rFonts w:eastAsiaTheme="majorEastAsia" w:cstheme="majorBidi"/>
      <w:color w:val="212745" w:themeColor="text2"/>
      <w:spacing w:val="5"/>
      <w:kern w:val="28"/>
      <w:sz w:val="40"/>
      <w:szCs w:val="52"/>
    </w:rPr>
  </w:style>
  <w:style w:type="character" w:customStyle="1" w:styleId="TitleChar">
    <w:name w:val="Title Char"/>
    <w:basedOn w:val="DefaultParagraphFont"/>
    <w:link w:val="Title"/>
    <w:uiPriority w:val="10"/>
    <w:rsid w:val="00A822F2"/>
    <w:rPr>
      <w:rFonts w:ascii="Tahoma" w:eastAsiaTheme="majorEastAsia" w:hAnsi="Tahoma" w:cstheme="majorBidi"/>
      <w:color w:val="212745" w:themeColor="text2"/>
      <w:spacing w:val="5"/>
      <w:kern w:val="28"/>
      <w:sz w:val="40"/>
      <w:szCs w:val="52"/>
    </w:rPr>
  </w:style>
  <w:style w:type="paragraph" w:styleId="Subtitle">
    <w:name w:val="Subtitle"/>
    <w:basedOn w:val="Normal"/>
    <w:next w:val="Normal"/>
    <w:link w:val="SubtitleChar"/>
    <w:uiPriority w:val="11"/>
    <w:qFormat/>
    <w:rsid w:val="00A61E11"/>
    <w:pPr>
      <w:numPr>
        <w:ilvl w:val="1"/>
      </w:numPr>
      <w:jc w:val="left"/>
    </w:pPr>
    <w:rPr>
      <w:rFonts w:eastAsiaTheme="majorEastAsia" w:cstheme="majorBidi"/>
      <w:i/>
      <w:iCs/>
      <w:color w:val="212745" w:themeColor="text2"/>
      <w:spacing w:val="15"/>
      <w:sz w:val="28"/>
      <w:szCs w:val="24"/>
    </w:rPr>
  </w:style>
  <w:style w:type="character" w:customStyle="1" w:styleId="SubtitleChar">
    <w:name w:val="Subtitle Char"/>
    <w:basedOn w:val="DefaultParagraphFont"/>
    <w:link w:val="Subtitle"/>
    <w:uiPriority w:val="11"/>
    <w:rsid w:val="00A61E11"/>
    <w:rPr>
      <w:rFonts w:ascii="Tahoma" w:eastAsiaTheme="majorEastAsia" w:hAnsi="Tahoma" w:cstheme="majorBidi"/>
      <w:i/>
      <w:iCs/>
      <w:color w:val="212745" w:themeColor="text2"/>
      <w:spacing w:val="15"/>
      <w:sz w:val="28"/>
      <w:szCs w:val="24"/>
    </w:rPr>
  </w:style>
  <w:style w:type="character" w:customStyle="1" w:styleId="Heading3Char">
    <w:name w:val="Heading 3 Char"/>
    <w:basedOn w:val="DefaultParagraphFont"/>
    <w:link w:val="Heading3"/>
    <w:uiPriority w:val="9"/>
    <w:rsid w:val="00C25F91"/>
    <w:rPr>
      <w:rFonts w:ascii="Tahoma" w:eastAsiaTheme="majorEastAsia" w:hAnsi="Tahoma" w:cstheme="majorBidi"/>
      <w:b/>
      <w:bCs/>
      <w:color w:val="212745" w:themeColor="text2"/>
    </w:rPr>
  </w:style>
  <w:style w:type="character" w:customStyle="1" w:styleId="Heading4Char">
    <w:name w:val="Heading 4 Char"/>
    <w:basedOn w:val="DefaultParagraphFont"/>
    <w:link w:val="Heading4"/>
    <w:uiPriority w:val="9"/>
    <w:rsid w:val="00C25F91"/>
    <w:rPr>
      <w:rFonts w:ascii="Tahoma" w:eastAsiaTheme="majorEastAsia" w:hAnsi="Tahoma" w:cstheme="majorBidi"/>
      <w:bCs/>
      <w:i/>
      <w:iCs/>
      <w:color w:val="212745" w:themeColor="text2"/>
    </w:rPr>
  </w:style>
  <w:style w:type="character" w:customStyle="1" w:styleId="Heading5Char">
    <w:name w:val="Heading 5 Char"/>
    <w:basedOn w:val="DefaultParagraphFont"/>
    <w:link w:val="Heading5"/>
    <w:uiPriority w:val="9"/>
    <w:semiHidden/>
    <w:rsid w:val="009B3BE6"/>
    <w:rPr>
      <w:rFonts w:asciiTheme="majorHAnsi" w:eastAsiaTheme="majorEastAsia" w:hAnsiTheme="majorHAnsi" w:cstheme="majorBidi"/>
      <w:color w:val="202F69" w:themeColor="accent1" w:themeShade="7F"/>
    </w:rPr>
  </w:style>
  <w:style w:type="character" w:customStyle="1" w:styleId="Heading6Char">
    <w:name w:val="Heading 6 Char"/>
    <w:basedOn w:val="DefaultParagraphFont"/>
    <w:link w:val="Heading6"/>
    <w:uiPriority w:val="9"/>
    <w:semiHidden/>
    <w:rsid w:val="009B3BE6"/>
    <w:rPr>
      <w:rFonts w:asciiTheme="majorHAnsi" w:eastAsiaTheme="majorEastAsia" w:hAnsiTheme="majorHAnsi" w:cstheme="majorBidi"/>
      <w:i/>
      <w:iCs/>
      <w:color w:val="202F69" w:themeColor="accent1" w:themeShade="7F"/>
    </w:rPr>
  </w:style>
  <w:style w:type="character" w:customStyle="1" w:styleId="Heading7Char">
    <w:name w:val="Heading 7 Char"/>
    <w:basedOn w:val="DefaultParagraphFont"/>
    <w:link w:val="Heading7"/>
    <w:uiPriority w:val="9"/>
    <w:semiHidden/>
    <w:rsid w:val="009B3B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B3B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B3BE6"/>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qFormat/>
    <w:rsid w:val="00E75D02"/>
    <w:rPr>
      <w:rFonts w:ascii="Arial" w:hAnsi="Arial"/>
      <w:b/>
      <w:bCs/>
      <w:sz w:val="22"/>
    </w:rPr>
  </w:style>
  <w:style w:type="paragraph" w:styleId="ListBullet2">
    <w:name w:val="List Bullet 2"/>
    <w:basedOn w:val="Normal"/>
    <w:uiPriority w:val="99"/>
    <w:unhideWhenUsed/>
    <w:rsid w:val="009B3BE6"/>
    <w:pPr>
      <w:numPr>
        <w:numId w:val="3"/>
      </w:numPr>
      <w:spacing w:before="240" w:after="240"/>
      <w:contextualSpacing/>
    </w:pPr>
    <w:rPr>
      <w:rFonts w:eastAsia="Calibri" w:cs="Times New Roman"/>
      <w:lang w:val="en-GB"/>
    </w:rPr>
  </w:style>
  <w:style w:type="character" w:styleId="Emphasis">
    <w:name w:val="Emphasis"/>
    <w:basedOn w:val="DefaultParagraphFont"/>
    <w:uiPriority w:val="20"/>
    <w:qFormat/>
    <w:rsid w:val="009B3BE6"/>
    <w:rPr>
      <w:i/>
      <w:iCs/>
    </w:rPr>
  </w:style>
  <w:style w:type="character" w:styleId="Hyperlink">
    <w:name w:val="Hyperlink"/>
    <w:basedOn w:val="DefaultParagraphFont"/>
    <w:uiPriority w:val="99"/>
    <w:unhideWhenUsed/>
    <w:rsid w:val="009B3BE6"/>
    <w:rPr>
      <w:color w:val="0000FF"/>
      <w:u w:val="single"/>
    </w:rPr>
  </w:style>
  <w:style w:type="paragraph" w:styleId="Bibliography">
    <w:name w:val="Bibliography"/>
    <w:basedOn w:val="Normal"/>
    <w:next w:val="Normal"/>
    <w:uiPriority w:val="37"/>
    <w:unhideWhenUsed/>
    <w:rsid w:val="00EF1990"/>
    <w:pPr>
      <w:numPr>
        <w:numId w:val="13"/>
      </w:numPr>
      <w:ind w:left="0" w:firstLine="0"/>
    </w:pPr>
    <w:rPr>
      <w:rFonts w:eastAsia="Calibri" w:cs="Times New Roman"/>
      <w:lang w:val="en-GB"/>
    </w:rPr>
  </w:style>
  <w:style w:type="paragraph" w:styleId="Caption">
    <w:name w:val="caption"/>
    <w:basedOn w:val="Normal"/>
    <w:next w:val="Normal"/>
    <w:uiPriority w:val="35"/>
    <w:qFormat/>
    <w:rsid w:val="009B3BE6"/>
    <w:pPr>
      <w:spacing w:before="240" w:after="240"/>
      <w:jc w:val="center"/>
    </w:pPr>
    <w:rPr>
      <w:rFonts w:eastAsia="Calibri" w:cs="Times New Roman"/>
      <w:b/>
      <w:bCs/>
      <w:color w:val="212745" w:themeColor="text2"/>
      <w:sz w:val="20"/>
      <w:szCs w:val="20"/>
      <w:lang w:val="en-GB"/>
    </w:rPr>
  </w:style>
  <w:style w:type="paragraph" w:styleId="TableofFigures">
    <w:name w:val="table of figures"/>
    <w:basedOn w:val="Normal"/>
    <w:next w:val="Normal"/>
    <w:uiPriority w:val="99"/>
    <w:unhideWhenUsed/>
    <w:rsid w:val="00C25F91"/>
    <w:pPr>
      <w:spacing w:before="240" w:after="240"/>
    </w:pPr>
    <w:rPr>
      <w:rFonts w:eastAsia="Calibri" w:cs="Times New Roman"/>
      <w:lang w:val="en-GB"/>
    </w:rPr>
  </w:style>
  <w:style w:type="paragraph" w:styleId="FootnoteText">
    <w:name w:val="footnote text"/>
    <w:basedOn w:val="Normal"/>
    <w:link w:val="FootnoteTextChar"/>
    <w:uiPriority w:val="99"/>
    <w:semiHidden/>
    <w:unhideWhenUsed/>
    <w:rsid w:val="00C60499"/>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60499"/>
    <w:rPr>
      <w:rFonts w:ascii="Tahoma" w:hAnsi="Tahoma"/>
      <w:sz w:val="20"/>
      <w:szCs w:val="20"/>
    </w:rPr>
  </w:style>
  <w:style w:type="character" w:styleId="FootnoteReference">
    <w:name w:val="footnote reference"/>
    <w:aliases w:val="Footnote symbol,Footnote"/>
    <w:basedOn w:val="DefaultParagraphFont"/>
    <w:uiPriority w:val="99"/>
    <w:semiHidden/>
    <w:unhideWhenUsed/>
    <w:rsid w:val="00C60499"/>
    <w:rPr>
      <w:vertAlign w:val="superscript"/>
    </w:rPr>
  </w:style>
  <w:style w:type="paragraph" w:styleId="TOCHeading">
    <w:name w:val="TOC Heading"/>
    <w:basedOn w:val="Heading1"/>
    <w:next w:val="Normal"/>
    <w:uiPriority w:val="39"/>
    <w:semiHidden/>
    <w:unhideWhenUsed/>
    <w:qFormat/>
    <w:rsid w:val="00976AF8"/>
    <w:pPr>
      <w:numPr>
        <w:numId w:val="0"/>
      </w:numPr>
      <w:spacing w:before="480" w:after="0" w:line="276" w:lineRule="auto"/>
      <w:jc w:val="left"/>
      <w:outlineLvl w:val="9"/>
    </w:pPr>
    <w:rPr>
      <w:rFonts w:asciiTheme="majorHAnsi" w:hAnsiTheme="majorHAnsi"/>
      <w:smallCaps w:val="0"/>
      <w:color w:val="31479E" w:themeColor="accent1" w:themeShade="BF"/>
      <w:sz w:val="28"/>
    </w:rPr>
  </w:style>
  <w:style w:type="paragraph" w:styleId="TOC1">
    <w:name w:val="toc 1"/>
    <w:basedOn w:val="Normal"/>
    <w:next w:val="Normal"/>
    <w:autoRedefine/>
    <w:uiPriority w:val="39"/>
    <w:unhideWhenUsed/>
    <w:rsid w:val="001424AA"/>
    <w:pPr>
      <w:tabs>
        <w:tab w:val="left" w:pos="284"/>
        <w:tab w:val="right" w:leader="dot" w:pos="8495"/>
      </w:tabs>
      <w:spacing w:before="0" w:after="0"/>
    </w:pPr>
  </w:style>
  <w:style w:type="paragraph" w:styleId="TOC2">
    <w:name w:val="toc 2"/>
    <w:basedOn w:val="Normal"/>
    <w:next w:val="Normal"/>
    <w:autoRedefine/>
    <w:uiPriority w:val="39"/>
    <w:unhideWhenUsed/>
    <w:rsid w:val="001424AA"/>
    <w:pPr>
      <w:tabs>
        <w:tab w:val="left" w:pos="709"/>
        <w:tab w:val="right" w:leader="dot" w:pos="8495"/>
      </w:tabs>
      <w:spacing w:before="0" w:after="0"/>
      <w:ind w:left="284"/>
    </w:pPr>
  </w:style>
  <w:style w:type="paragraph" w:styleId="TOC3">
    <w:name w:val="toc 3"/>
    <w:basedOn w:val="Normal"/>
    <w:next w:val="Normal"/>
    <w:autoRedefine/>
    <w:uiPriority w:val="39"/>
    <w:unhideWhenUsed/>
    <w:rsid w:val="001424AA"/>
    <w:pPr>
      <w:tabs>
        <w:tab w:val="left" w:pos="1134"/>
        <w:tab w:val="right" w:leader="dot" w:pos="8495"/>
      </w:tabs>
      <w:spacing w:before="0" w:after="0"/>
      <w:ind w:left="567"/>
    </w:pPr>
  </w:style>
  <w:style w:type="paragraph" w:styleId="ListNumber2">
    <w:name w:val="List Number 2"/>
    <w:basedOn w:val="Normal"/>
    <w:uiPriority w:val="99"/>
    <w:unhideWhenUsed/>
    <w:rsid w:val="00B07E2F"/>
    <w:pPr>
      <w:numPr>
        <w:numId w:val="9"/>
      </w:numPr>
      <w:contextualSpacing/>
    </w:pPr>
  </w:style>
  <w:style w:type="character" w:styleId="IntenseEmphasis">
    <w:name w:val="Intense Emphasis"/>
    <w:basedOn w:val="DefaultParagraphFont"/>
    <w:uiPriority w:val="21"/>
    <w:qFormat/>
    <w:rsid w:val="00E75D02"/>
    <w:rPr>
      <w:rFonts w:ascii="Arial" w:hAnsi="Arial" w:hint="default"/>
      <w:b/>
      <w:bCs/>
      <w:i/>
      <w:iCs/>
      <w:color w:val="31479E" w:themeColor="accent1" w:themeShade="BF"/>
      <w:sz w:val="22"/>
    </w:rPr>
  </w:style>
  <w:style w:type="paragraph" w:styleId="NormalWeb">
    <w:name w:val="Normal (Web)"/>
    <w:basedOn w:val="Normal"/>
    <w:uiPriority w:val="99"/>
    <w:unhideWhenUsed/>
    <w:qFormat/>
    <w:rsid w:val="00120F8F"/>
    <w:pPr>
      <w:spacing w:beforeAutospacing="1" w:afterAutospacing="1" w:line="240" w:lineRule="auto"/>
      <w:jc w:val="left"/>
    </w:pPr>
    <w:rPr>
      <w:rFonts w:ascii="Times New Roman" w:eastAsiaTheme="minorEastAsia" w:hAnsi="Times New Roman" w:cs="Times New Roman"/>
      <w:color w:val="00000A"/>
      <w:sz w:val="24"/>
      <w:szCs w:val="24"/>
    </w:rPr>
  </w:style>
  <w:style w:type="paragraph" w:styleId="ListParagraph">
    <w:name w:val="List Paragraph"/>
    <w:basedOn w:val="Normal"/>
    <w:uiPriority w:val="34"/>
    <w:qFormat/>
    <w:rsid w:val="00AE0A31"/>
    <w:pPr>
      <w:ind w:left="720"/>
      <w:contextualSpacing/>
    </w:pPr>
  </w:style>
  <w:style w:type="paragraph" w:customStyle="1" w:styleId="Table">
    <w:name w:val="Table"/>
    <w:basedOn w:val="Normal"/>
    <w:qFormat/>
    <w:rsid w:val="00CA5D75"/>
    <w:pPr>
      <w:spacing w:line="240" w:lineRule="auto"/>
      <w:jc w:val="left"/>
    </w:pPr>
    <w:rPr>
      <w:rFonts w:eastAsiaTheme="minorEastAsia"/>
      <w:sz w:val="20"/>
    </w:rPr>
  </w:style>
  <w:style w:type="character" w:styleId="CommentReference">
    <w:name w:val="annotation reference"/>
    <w:basedOn w:val="DefaultParagraphFont"/>
    <w:uiPriority w:val="99"/>
    <w:semiHidden/>
    <w:unhideWhenUsed/>
    <w:rsid w:val="001964C3"/>
    <w:rPr>
      <w:sz w:val="16"/>
      <w:szCs w:val="16"/>
    </w:rPr>
  </w:style>
  <w:style w:type="paragraph" w:styleId="CommentText">
    <w:name w:val="annotation text"/>
    <w:basedOn w:val="Normal"/>
    <w:link w:val="CommentTextChar"/>
    <w:uiPriority w:val="99"/>
    <w:semiHidden/>
    <w:unhideWhenUsed/>
    <w:rsid w:val="001964C3"/>
    <w:pPr>
      <w:spacing w:line="240" w:lineRule="auto"/>
    </w:pPr>
    <w:rPr>
      <w:sz w:val="20"/>
      <w:szCs w:val="20"/>
    </w:rPr>
  </w:style>
  <w:style w:type="character" w:customStyle="1" w:styleId="CommentTextChar">
    <w:name w:val="Comment Text Char"/>
    <w:basedOn w:val="DefaultParagraphFont"/>
    <w:link w:val="CommentText"/>
    <w:uiPriority w:val="99"/>
    <w:semiHidden/>
    <w:rsid w:val="001964C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964C3"/>
    <w:rPr>
      <w:b/>
      <w:bCs/>
    </w:rPr>
  </w:style>
  <w:style w:type="character" w:customStyle="1" w:styleId="CommentSubjectChar">
    <w:name w:val="Comment Subject Char"/>
    <w:basedOn w:val="CommentTextChar"/>
    <w:link w:val="CommentSubject"/>
    <w:uiPriority w:val="99"/>
    <w:semiHidden/>
    <w:rsid w:val="001964C3"/>
    <w:rPr>
      <w:rFonts w:ascii="Arial" w:hAnsi="Arial"/>
      <w:b/>
      <w:bCs/>
      <w:sz w:val="20"/>
      <w:szCs w:val="20"/>
    </w:rPr>
  </w:style>
  <w:style w:type="character" w:customStyle="1" w:styleId="UnresolvedMention1">
    <w:name w:val="Unresolved Mention1"/>
    <w:basedOn w:val="DefaultParagraphFont"/>
    <w:uiPriority w:val="99"/>
    <w:semiHidden/>
    <w:unhideWhenUsed/>
    <w:rsid w:val="000842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752">
      <w:bodyDiv w:val="1"/>
      <w:marLeft w:val="0"/>
      <w:marRight w:val="0"/>
      <w:marTop w:val="0"/>
      <w:marBottom w:val="0"/>
      <w:divBdr>
        <w:top w:val="none" w:sz="0" w:space="0" w:color="auto"/>
        <w:left w:val="none" w:sz="0" w:space="0" w:color="auto"/>
        <w:bottom w:val="none" w:sz="0" w:space="0" w:color="auto"/>
        <w:right w:val="none" w:sz="0" w:space="0" w:color="auto"/>
      </w:divBdr>
    </w:div>
    <w:div w:id="7607340">
      <w:bodyDiv w:val="1"/>
      <w:marLeft w:val="0"/>
      <w:marRight w:val="0"/>
      <w:marTop w:val="0"/>
      <w:marBottom w:val="0"/>
      <w:divBdr>
        <w:top w:val="none" w:sz="0" w:space="0" w:color="auto"/>
        <w:left w:val="none" w:sz="0" w:space="0" w:color="auto"/>
        <w:bottom w:val="none" w:sz="0" w:space="0" w:color="auto"/>
        <w:right w:val="none" w:sz="0" w:space="0" w:color="auto"/>
      </w:divBdr>
    </w:div>
    <w:div w:id="11076092">
      <w:bodyDiv w:val="1"/>
      <w:marLeft w:val="0"/>
      <w:marRight w:val="0"/>
      <w:marTop w:val="0"/>
      <w:marBottom w:val="0"/>
      <w:divBdr>
        <w:top w:val="none" w:sz="0" w:space="0" w:color="auto"/>
        <w:left w:val="none" w:sz="0" w:space="0" w:color="auto"/>
        <w:bottom w:val="none" w:sz="0" w:space="0" w:color="auto"/>
        <w:right w:val="none" w:sz="0" w:space="0" w:color="auto"/>
      </w:divBdr>
    </w:div>
    <w:div w:id="20516852">
      <w:bodyDiv w:val="1"/>
      <w:marLeft w:val="0"/>
      <w:marRight w:val="0"/>
      <w:marTop w:val="0"/>
      <w:marBottom w:val="0"/>
      <w:divBdr>
        <w:top w:val="none" w:sz="0" w:space="0" w:color="auto"/>
        <w:left w:val="none" w:sz="0" w:space="0" w:color="auto"/>
        <w:bottom w:val="none" w:sz="0" w:space="0" w:color="auto"/>
        <w:right w:val="none" w:sz="0" w:space="0" w:color="auto"/>
      </w:divBdr>
    </w:div>
    <w:div w:id="22483032">
      <w:bodyDiv w:val="1"/>
      <w:marLeft w:val="0"/>
      <w:marRight w:val="0"/>
      <w:marTop w:val="0"/>
      <w:marBottom w:val="0"/>
      <w:divBdr>
        <w:top w:val="none" w:sz="0" w:space="0" w:color="auto"/>
        <w:left w:val="none" w:sz="0" w:space="0" w:color="auto"/>
        <w:bottom w:val="none" w:sz="0" w:space="0" w:color="auto"/>
        <w:right w:val="none" w:sz="0" w:space="0" w:color="auto"/>
      </w:divBdr>
    </w:div>
    <w:div w:id="25563326">
      <w:bodyDiv w:val="1"/>
      <w:marLeft w:val="0"/>
      <w:marRight w:val="0"/>
      <w:marTop w:val="0"/>
      <w:marBottom w:val="0"/>
      <w:divBdr>
        <w:top w:val="none" w:sz="0" w:space="0" w:color="auto"/>
        <w:left w:val="none" w:sz="0" w:space="0" w:color="auto"/>
        <w:bottom w:val="none" w:sz="0" w:space="0" w:color="auto"/>
        <w:right w:val="none" w:sz="0" w:space="0" w:color="auto"/>
      </w:divBdr>
    </w:div>
    <w:div w:id="26638239">
      <w:bodyDiv w:val="1"/>
      <w:marLeft w:val="0"/>
      <w:marRight w:val="0"/>
      <w:marTop w:val="0"/>
      <w:marBottom w:val="0"/>
      <w:divBdr>
        <w:top w:val="none" w:sz="0" w:space="0" w:color="auto"/>
        <w:left w:val="none" w:sz="0" w:space="0" w:color="auto"/>
        <w:bottom w:val="none" w:sz="0" w:space="0" w:color="auto"/>
        <w:right w:val="none" w:sz="0" w:space="0" w:color="auto"/>
      </w:divBdr>
    </w:div>
    <w:div w:id="27219169">
      <w:bodyDiv w:val="1"/>
      <w:marLeft w:val="0"/>
      <w:marRight w:val="0"/>
      <w:marTop w:val="0"/>
      <w:marBottom w:val="0"/>
      <w:divBdr>
        <w:top w:val="none" w:sz="0" w:space="0" w:color="auto"/>
        <w:left w:val="none" w:sz="0" w:space="0" w:color="auto"/>
        <w:bottom w:val="none" w:sz="0" w:space="0" w:color="auto"/>
        <w:right w:val="none" w:sz="0" w:space="0" w:color="auto"/>
      </w:divBdr>
    </w:div>
    <w:div w:id="28454516">
      <w:bodyDiv w:val="1"/>
      <w:marLeft w:val="0"/>
      <w:marRight w:val="0"/>
      <w:marTop w:val="0"/>
      <w:marBottom w:val="0"/>
      <w:divBdr>
        <w:top w:val="none" w:sz="0" w:space="0" w:color="auto"/>
        <w:left w:val="none" w:sz="0" w:space="0" w:color="auto"/>
        <w:bottom w:val="none" w:sz="0" w:space="0" w:color="auto"/>
        <w:right w:val="none" w:sz="0" w:space="0" w:color="auto"/>
      </w:divBdr>
    </w:div>
    <w:div w:id="31541762">
      <w:bodyDiv w:val="1"/>
      <w:marLeft w:val="0"/>
      <w:marRight w:val="0"/>
      <w:marTop w:val="0"/>
      <w:marBottom w:val="0"/>
      <w:divBdr>
        <w:top w:val="none" w:sz="0" w:space="0" w:color="auto"/>
        <w:left w:val="none" w:sz="0" w:space="0" w:color="auto"/>
        <w:bottom w:val="none" w:sz="0" w:space="0" w:color="auto"/>
        <w:right w:val="none" w:sz="0" w:space="0" w:color="auto"/>
      </w:divBdr>
    </w:div>
    <w:div w:id="38744096">
      <w:bodyDiv w:val="1"/>
      <w:marLeft w:val="0"/>
      <w:marRight w:val="0"/>
      <w:marTop w:val="0"/>
      <w:marBottom w:val="0"/>
      <w:divBdr>
        <w:top w:val="none" w:sz="0" w:space="0" w:color="auto"/>
        <w:left w:val="none" w:sz="0" w:space="0" w:color="auto"/>
        <w:bottom w:val="none" w:sz="0" w:space="0" w:color="auto"/>
        <w:right w:val="none" w:sz="0" w:space="0" w:color="auto"/>
      </w:divBdr>
    </w:div>
    <w:div w:id="40247372">
      <w:bodyDiv w:val="1"/>
      <w:marLeft w:val="0"/>
      <w:marRight w:val="0"/>
      <w:marTop w:val="0"/>
      <w:marBottom w:val="0"/>
      <w:divBdr>
        <w:top w:val="none" w:sz="0" w:space="0" w:color="auto"/>
        <w:left w:val="none" w:sz="0" w:space="0" w:color="auto"/>
        <w:bottom w:val="none" w:sz="0" w:space="0" w:color="auto"/>
        <w:right w:val="none" w:sz="0" w:space="0" w:color="auto"/>
      </w:divBdr>
    </w:div>
    <w:div w:id="42680615">
      <w:bodyDiv w:val="1"/>
      <w:marLeft w:val="0"/>
      <w:marRight w:val="0"/>
      <w:marTop w:val="0"/>
      <w:marBottom w:val="0"/>
      <w:divBdr>
        <w:top w:val="none" w:sz="0" w:space="0" w:color="auto"/>
        <w:left w:val="none" w:sz="0" w:space="0" w:color="auto"/>
        <w:bottom w:val="none" w:sz="0" w:space="0" w:color="auto"/>
        <w:right w:val="none" w:sz="0" w:space="0" w:color="auto"/>
      </w:divBdr>
    </w:div>
    <w:div w:id="42827007">
      <w:bodyDiv w:val="1"/>
      <w:marLeft w:val="0"/>
      <w:marRight w:val="0"/>
      <w:marTop w:val="0"/>
      <w:marBottom w:val="0"/>
      <w:divBdr>
        <w:top w:val="none" w:sz="0" w:space="0" w:color="auto"/>
        <w:left w:val="none" w:sz="0" w:space="0" w:color="auto"/>
        <w:bottom w:val="none" w:sz="0" w:space="0" w:color="auto"/>
        <w:right w:val="none" w:sz="0" w:space="0" w:color="auto"/>
      </w:divBdr>
    </w:div>
    <w:div w:id="43066003">
      <w:bodyDiv w:val="1"/>
      <w:marLeft w:val="0"/>
      <w:marRight w:val="0"/>
      <w:marTop w:val="0"/>
      <w:marBottom w:val="0"/>
      <w:divBdr>
        <w:top w:val="none" w:sz="0" w:space="0" w:color="auto"/>
        <w:left w:val="none" w:sz="0" w:space="0" w:color="auto"/>
        <w:bottom w:val="none" w:sz="0" w:space="0" w:color="auto"/>
        <w:right w:val="none" w:sz="0" w:space="0" w:color="auto"/>
      </w:divBdr>
    </w:div>
    <w:div w:id="47463945">
      <w:bodyDiv w:val="1"/>
      <w:marLeft w:val="0"/>
      <w:marRight w:val="0"/>
      <w:marTop w:val="0"/>
      <w:marBottom w:val="0"/>
      <w:divBdr>
        <w:top w:val="none" w:sz="0" w:space="0" w:color="auto"/>
        <w:left w:val="none" w:sz="0" w:space="0" w:color="auto"/>
        <w:bottom w:val="none" w:sz="0" w:space="0" w:color="auto"/>
        <w:right w:val="none" w:sz="0" w:space="0" w:color="auto"/>
      </w:divBdr>
    </w:div>
    <w:div w:id="48234854">
      <w:bodyDiv w:val="1"/>
      <w:marLeft w:val="0"/>
      <w:marRight w:val="0"/>
      <w:marTop w:val="0"/>
      <w:marBottom w:val="0"/>
      <w:divBdr>
        <w:top w:val="none" w:sz="0" w:space="0" w:color="auto"/>
        <w:left w:val="none" w:sz="0" w:space="0" w:color="auto"/>
        <w:bottom w:val="none" w:sz="0" w:space="0" w:color="auto"/>
        <w:right w:val="none" w:sz="0" w:space="0" w:color="auto"/>
      </w:divBdr>
    </w:div>
    <w:div w:id="49349548">
      <w:bodyDiv w:val="1"/>
      <w:marLeft w:val="0"/>
      <w:marRight w:val="0"/>
      <w:marTop w:val="0"/>
      <w:marBottom w:val="0"/>
      <w:divBdr>
        <w:top w:val="none" w:sz="0" w:space="0" w:color="auto"/>
        <w:left w:val="none" w:sz="0" w:space="0" w:color="auto"/>
        <w:bottom w:val="none" w:sz="0" w:space="0" w:color="auto"/>
        <w:right w:val="none" w:sz="0" w:space="0" w:color="auto"/>
      </w:divBdr>
    </w:div>
    <w:div w:id="50731706">
      <w:bodyDiv w:val="1"/>
      <w:marLeft w:val="0"/>
      <w:marRight w:val="0"/>
      <w:marTop w:val="0"/>
      <w:marBottom w:val="0"/>
      <w:divBdr>
        <w:top w:val="none" w:sz="0" w:space="0" w:color="auto"/>
        <w:left w:val="none" w:sz="0" w:space="0" w:color="auto"/>
        <w:bottom w:val="none" w:sz="0" w:space="0" w:color="auto"/>
        <w:right w:val="none" w:sz="0" w:space="0" w:color="auto"/>
      </w:divBdr>
    </w:div>
    <w:div w:id="52774287">
      <w:bodyDiv w:val="1"/>
      <w:marLeft w:val="0"/>
      <w:marRight w:val="0"/>
      <w:marTop w:val="0"/>
      <w:marBottom w:val="0"/>
      <w:divBdr>
        <w:top w:val="none" w:sz="0" w:space="0" w:color="auto"/>
        <w:left w:val="none" w:sz="0" w:space="0" w:color="auto"/>
        <w:bottom w:val="none" w:sz="0" w:space="0" w:color="auto"/>
        <w:right w:val="none" w:sz="0" w:space="0" w:color="auto"/>
      </w:divBdr>
    </w:div>
    <w:div w:id="54788385">
      <w:bodyDiv w:val="1"/>
      <w:marLeft w:val="0"/>
      <w:marRight w:val="0"/>
      <w:marTop w:val="0"/>
      <w:marBottom w:val="0"/>
      <w:divBdr>
        <w:top w:val="none" w:sz="0" w:space="0" w:color="auto"/>
        <w:left w:val="none" w:sz="0" w:space="0" w:color="auto"/>
        <w:bottom w:val="none" w:sz="0" w:space="0" w:color="auto"/>
        <w:right w:val="none" w:sz="0" w:space="0" w:color="auto"/>
      </w:divBdr>
    </w:div>
    <w:div w:id="65762500">
      <w:bodyDiv w:val="1"/>
      <w:marLeft w:val="0"/>
      <w:marRight w:val="0"/>
      <w:marTop w:val="0"/>
      <w:marBottom w:val="0"/>
      <w:divBdr>
        <w:top w:val="none" w:sz="0" w:space="0" w:color="auto"/>
        <w:left w:val="none" w:sz="0" w:space="0" w:color="auto"/>
        <w:bottom w:val="none" w:sz="0" w:space="0" w:color="auto"/>
        <w:right w:val="none" w:sz="0" w:space="0" w:color="auto"/>
      </w:divBdr>
    </w:div>
    <w:div w:id="66223318">
      <w:bodyDiv w:val="1"/>
      <w:marLeft w:val="0"/>
      <w:marRight w:val="0"/>
      <w:marTop w:val="0"/>
      <w:marBottom w:val="0"/>
      <w:divBdr>
        <w:top w:val="none" w:sz="0" w:space="0" w:color="auto"/>
        <w:left w:val="none" w:sz="0" w:space="0" w:color="auto"/>
        <w:bottom w:val="none" w:sz="0" w:space="0" w:color="auto"/>
        <w:right w:val="none" w:sz="0" w:space="0" w:color="auto"/>
      </w:divBdr>
    </w:div>
    <w:div w:id="75591100">
      <w:bodyDiv w:val="1"/>
      <w:marLeft w:val="0"/>
      <w:marRight w:val="0"/>
      <w:marTop w:val="0"/>
      <w:marBottom w:val="0"/>
      <w:divBdr>
        <w:top w:val="none" w:sz="0" w:space="0" w:color="auto"/>
        <w:left w:val="none" w:sz="0" w:space="0" w:color="auto"/>
        <w:bottom w:val="none" w:sz="0" w:space="0" w:color="auto"/>
        <w:right w:val="none" w:sz="0" w:space="0" w:color="auto"/>
      </w:divBdr>
    </w:div>
    <w:div w:id="77798576">
      <w:bodyDiv w:val="1"/>
      <w:marLeft w:val="0"/>
      <w:marRight w:val="0"/>
      <w:marTop w:val="0"/>
      <w:marBottom w:val="0"/>
      <w:divBdr>
        <w:top w:val="none" w:sz="0" w:space="0" w:color="auto"/>
        <w:left w:val="none" w:sz="0" w:space="0" w:color="auto"/>
        <w:bottom w:val="none" w:sz="0" w:space="0" w:color="auto"/>
        <w:right w:val="none" w:sz="0" w:space="0" w:color="auto"/>
      </w:divBdr>
    </w:div>
    <w:div w:id="83039025">
      <w:bodyDiv w:val="1"/>
      <w:marLeft w:val="0"/>
      <w:marRight w:val="0"/>
      <w:marTop w:val="0"/>
      <w:marBottom w:val="0"/>
      <w:divBdr>
        <w:top w:val="none" w:sz="0" w:space="0" w:color="auto"/>
        <w:left w:val="none" w:sz="0" w:space="0" w:color="auto"/>
        <w:bottom w:val="none" w:sz="0" w:space="0" w:color="auto"/>
        <w:right w:val="none" w:sz="0" w:space="0" w:color="auto"/>
      </w:divBdr>
    </w:div>
    <w:div w:id="88354990">
      <w:bodyDiv w:val="1"/>
      <w:marLeft w:val="0"/>
      <w:marRight w:val="0"/>
      <w:marTop w:val="0"/>
      <w:marBottom w:val="0"/>
      <w:divBdr>
        <w:top w:val="none" w:sz="0" w:space="0" w:color="auto"/>
        <w:left w:val="none" w:sz="0" w:space="0" w:color="auto"/>
        <w:bottom w:val="none" w:sz="0" w:space="0" w:color="auto"/>
        <w:right w:val="none" w:sz="0" w:space="0" w:color="auto"/>
      </w:divBdr>
    </w:div>
    <w:div w:id="101262858">
      <w:bodyDiv w:val="1"/>
      <w:marLeft w:val="0"/>
      <w:marRight w:val="0"/>
      <w:marTop w:val="0"/>
      <w:marBottom w:val="0"/>
      <w:divBdr>
        <w:top w:val="none" w:sz="0" w:space="0" w:color="auto"/>
        <w:left w:val="none" w:sz="0" w:space="0" w:color="auto"/>
        <w:bottom w:val="none" w:sz="0" w:space="0" w:color="auto"/>
        <w:right w:val="none" w:sz="0" w:space="0" w:color="auto"/>
      </w:divBdr>
    </w:div>
    <w:div w:id="101612720">
      <w:bodyDiv w:val="1"/>
      <w:marLeft w:val="0"/>
      <w:marRight w:val="0"/>
      <w:marTop w:val="0"/>
      <w:marBottom w:val="0"/>
      <w:divBdr>
        <w:top w:val="none" w:sz="0" w:space="0" w:color="auto"/>
        <w:left w:val="none" w:sz="0" w:space="0" w:color="auto"/>
        <w:bottom w:val="none" w:sz="0" w:space="0" w:color="auto"/>
        <w:right w:val="none" w:sz="0" w:space="0" w:color="auto"/>
      </w:divBdr>
    </w:div>
    <w:div w:id="102305690">
      <w:bodyDiv w:val="1"/>
      <w:marLeft w:val="0"/>
      <w:marRight w:val="0"/>
      <w:marTop w:val="0"/>
      <w:marBottom w:val="0"/>
      <w:divBdr>
        <w:top w:val="none" w:sz="0" w:space="0" w:color="auto"/>
        <w:left w:val="none" w:sz="0" w:space="0" w:color="auto"/>
        <w:bottom w:val="none" w:sz="0" w:space="0" w:color="auto"/>
        <w:right w:val="none" w:sz="0" w:space="0" w:color="auto"/>
      </w:divBdr>
    </w:div>
    <w:div w:id="108135667">
      <w:bodyDiv w:val="1"/>
      <w:marLeft w:val="0"/>
      <w:marRight w:val="0"/>
      <w:marTop w:val="0"/>
      <w:marBottom w:val="0"/>
      <w:divBdr>
        <w:top w:val="none" w:sz="0" w:space="0" w:color="auto"/>
        <w:left w:val="none" w:sz="0" w:space="0" w:color="auto"/>
        <w:bottom w:val="none" w:sz="0" w:space="0" w:color="auto"/>
        <w:right w:val="none" w:sz="0" w:space="0" w:color="auto"/>
      </w:divBdr>
    </w:div>
    <w:div w:id="109132590">
      <w:bodyDiv w:val="1"/>
      <w:marLeft w:val="0"/>
      <w:marRight w:val="0"/>
      <w:marTop w:val="0"/>
      <w:marBottom w:val="0"/>
      <w:divBdr>
        <w:top w:val="none" w:sz="0" w:space="0" w:color="auto"/>
        <w:left w:val="none" w:sz="0" w:space="0" w:color="auto"/>
        <w:bottom w:val="none" w:sz="0" w:space="0" w:color="auto"/>
        <w:right w:val="none" w:sz="0" w:space="0" w:color="auto"/>
      </w:divBdr>
    </w:div>
    <w:div w:id="111436784">
      <w:bodyDiv w:val="1"/>
      <w:marLeft w:val="0"/>
      <w:marRight w:val="0"/>
      <w:marTop w:val="0"/>
      <w:marBottom w:val="0"/>
      <w:divBdr>
        <w:top w:val="none" w:sz="0" w:space="0" w:color="auto"/>
        <w:left w:val="none" w:sz="0" w:space="0" w:color="auto"/>
        <w:bottom w:val="none" w:sz="0" w:space="0" w:color="auto"/>
        <w:right w:val="none" w:sz="0" w:space="0" w:color="auto"/>
      </w:divBdr>
    </w:div>
    <w:div w:id="112598334">
      <w:bodyDiv w:val="1"/>
      <w:marLeft w:val="0"/>
      <w:marRight w:val="0"/>
      <w:marTop w:val="0"/>
      <w:marBottom w:val="0"/>
      <w:divBdr>
        <w:top w:val="none" w:sz="0" w:space="0" w:color="auto"/>
        <w:left w:val="none" w:sz="0" w:space="0" w:color="auto"/>
        <w:bottom w:val="none" w:sz="0" w:space="0" w:color="auto"/>
        <w:right w:val="none" w:sz="0" w:space="0" w:color="auto"/>
      </w:divBdr>
    </w:div>
    <w:div w:id="113721564">
      <w:bodyDiv w:val="1"/>
      <w:marLeft w:val="0"/>
      <w:marRight w:val="0"/>
      <w:marTop w:val="0"/>
      <w:marBottom w:val="0"/>
      <w:divBdr>
        <w:top w:val="none" w:sz="0" w:space="0" w:color="auto"/>
        <w:left w:val="none" w:sz="0" w:space="0" w:color="auto"/>
        <w:bottom w:val="none" w:sz="0" w:space="0" w:color="auto"/>
        <w:right w:val="none" w:sz="0" w:space="0" w:color="auto"/>
      </w:divBdr>
    </w:div>
    <w:div w:id="119302358">
      <w:bodyDiv w:val="1"/>
      <w:marLeft w:val="0"/>
      <w:marRight w:val="0"/>
      <w:marTop w:val="0"/>
      <w:marBottom w:val="0"/>
      <w:divBdr>
        <w:top w:val="none" w:sz="0" w:space="0" w:color="auto"/>
        <w:left w:val="none" w:sz="0" w:space="0" w:color="auto"/>
        <w:bottom w:val="none" w:sz="0" w:space="0" w:color="auto"/>
        <w:right w:val="none" w:sz="0" w:space="0" w:color="auto"/>
      </w:divBdr>
    </w:div>
    <w:div w:id="119692246">
      <w:bodyDiv w:val="1"/>
      <w:marLeft w:val="0"/>
      <w:marRight w:val="0"/>
      <w:marTop w:val="0"/>
      <w:marBottom w:val="0"/>
      <w:divBdr>
        <w:top w:val="none" w:sz="0" w:space="0" w:color="auto"/>
        <w:left w:val="none" w:sz="0" w:space="0" w:color="auto"/>
        <w:bottom w:val="none" w:sz="0" w:space="0" w:color="auto"/>
        <w:right w:val="none" w:sz="0" w:space="0" w:color="auto"/>
      </w:divBdr>
    </w:div>
    <w:div w:id="122502378">
      <w:bodyDiv w:val="1"/>
      <w:marLeft w:val="0"/>
      <w:marRight w:val="0"/>
      <w:marTop w:val="0"/>
      <w:marBottom w:val="0"/>
      <w:divBdr>
        <w:top w:val="none" w:sz="0" w:space="0" w:color="auto"/>
        <w:left w:val="none" w:sz="0" w:space="0" w:color="auto"/>
        <w:bottom w:val="none" w:sz="0" w:space="0" w:color="auto"/>
        <w:right w:val="none" w:sz="0" w:space="0" w:color="auto"/>
      </w:divBdr>
    </w:div>
    <w:div w:id="130752470">
      <w:bodyDiv w:val="1"/>
      <w:marLeft w:val="0"/>
      <w:marRight w:val="0"/>
      <w:marTop w:val="0"/>
      <w:marBottom w:val="0"/>
      <w:divBdr>
        <w:top w:val="none" w:sz="0" w:space="0" w:color="auto"/>
        <w:left w:val="none" w:sz="0" w:space="0" w:color="auto"/>
        <w:bottom w:val="none" w:sz="0" w:space="0" w:color="auto"/>
        <w:right w:val="none" w:sz="0" w:space="0" w:color="auto"/>
      </w:divBdr>
    </w:div>
    <w:div w:id="139007163">
      <w:bodyDiv w:val="1"/>
      <w:marLeft w:val="0"/>
      <w:marRight w:val="0"/>
      <w:marTop w:val="0"/>
      <w:marBottom w:val="0"/>
      <w:divBdr>
        <w:top w:val="none" w:sz="0" w:space="0" w:color="auto"/>
        <w:left w:val="none" w:sz="0" w:space="0" w:color="auto"/>
        <w:bottom w:val="none" w:sz="0" w:space="0" w:color="auto"/>
        <w:right w:val="none" w:sz="0" w:space="0" w:color="auto"/>
      </w:divBdr>
    </w:div>
    <w:div w:id="142894284">
      <w:bodyDiv w:val="1"/>
      <w:marLeft w:val="0"/>
      <w:marRight w:val="0"/>
      <w:marTop w:val="0"/>
      <w:marBottom w:val="0"/>
      <w:divBdr>
        <w:top w:val="none" w:sz="0" w:space="0" w:color="auto"/>
        <w:left w:val="none" w:sz="0" w:space="0" w:color="auto"/>
        <w:bottom w:val="none" w:sz="0" w:space="0" w:color="auto"/>
        <w:right w:val="none" w:sz="0" w:space="0" w:color="auto"/>
      </w:divBdr>
    </w:div>
    <w:div w:id="144707182">
      <w:bodyDiv w:val="1"/>
      <w:marLeft w:val="0"/>
      <w:marRight w:val="0"/>
      <w:marTop w:val="0"/>
      <w:marBottom w:val="0"/>
      <w:divBdr>
        <w:top w:val="none" w:sz="0" w:space="0" w:color="auto"/>
        <w:left w:val="none" w:sz="0" w:space="0" w:color="auto"/>
        <w:bottom w:val="none" w:sz="0" w:space="0" w:color="auto"/>
        <w:right w:val="none" w:sz="0" w:space="0" w:color="auto"/>
      </w:divBdr>
    </w:div>
    <w:div w:id="146173809">
      <w:bodyDiv w:val="1"/>
      <w:marLeft w:val="0"/>
      <w:marRight w:val="0"/>
      <w:marTop w:val="0"/>
      <w:marBottom w:val="0"/>
      <w:divBdr>
        <w:top w:val="none" w:sz="0" w:space="0" w:color="auto"/>
        <w:left w:val="none" w:sz="0" w:space="0" w:color="auto"/>
        <w:bottom w:val="none" w:sz="0" w:space="0" w:color="auto"/>
        <w:right w:val="none" w:sz="0" w:space="0" w:color="auto"/>
      </w:divBdr>
    </w:div>
    <w:div w:id="148593691">
      <w:bodyDiv w:val="1"/>
      <w:marLeft w:val="0"/>
      <w:marRight w:val="0"/>
      <w:marTop w:val="0"/>
      <w:marBottom w:val="0"/>
      <w:divBdr>
        <w:top w:val="none" w:sz="0" w:space="0" w:color="auto"/>
        <w:left w:val="none" w:sz="0" w:space="0" w:color="auto"/>
        <w:bottom w:val="none" w:sz="0" w:space="0" w:color="auto"/>
        <w:right w:val="none" w:sz="0" w:space="0" w:color="auto"/>
      </w:divBdr>
    </w:div>
    <w:div w:id="148861419">
      <w:bodyDiv w:val="1"/>
      <w:marLeft w:val="0"/>
      <w:marRight w:val="0"/>
      <w:marTop w:val="0"/>
      <w:marBottom w:val="0"/>
      <w:divBdr>
        <w:top w:val="none" w:sz="0" w:space="0" w:color="auto"/>
        <w:left w:val="none" w:sz="0" w:space="0" w:color="auto"/>
        <w:bottom w:val="none" w:sz="0" w:space="0" w:color="auto"/>
        <w:right w:val="none" w:sz="0" w:space="0" w:color="auto"/>
      </w:divBdr>
    </w:div>
    <w:div w:id="151020413">
      <w:bodyDiv w:val="1"/>
      <w:marLeft w:val="0"/>
      <w:marRight w:val="0"/>
      <w:marTop w:val="0"/>
      <w:marBottom w:val="0"/>
      <w:divBdr>
        <w:top w:val="none" w:sz="0" w:space="0" w:color="auto"/>
        <w:left w:val="none" w:sz="0" w:space="0" w:color="auto"/>
        <w:bottom w:val="none" w:sz="0" w:space="0" w:color="auto"/>
        <w:right w:val="none" w:sz="0" w:space="0" w:color="auto"/>
      </w:divBdr>
    </w:div>
    <w:div w:id="152570789">
      <w:bodyDiv w:val="1"/>
      <w:marLeft w:val="0"/>
      <w:marRight w:val="0"/>
      <w:marTop w:val="0"/>
      <w:marBottom w:val="0"/>
      <w:divBdr>
        <w:top w:val="none" w:sz="0" w:space="0" w:color="auto"/>
        <w:left w:val="none" w:sz="0" w:space="0" w:color="auto"/>
        <w:bottom w:val="none" w:sz="0" w:space="0" w:color="auto"/>
        <w:right w:val="none" w:sz="0" w:space="0" w:color="auto"/>
      </w:divBdr>
    </w:div>
    <w:div w:id="153107903">
      <w:bodyDiv w:val="1"/>
      <w:marLeft w:val="0"/>
      <w:marRight w:val="0"/>
      <w:marTop w:val="0"/>
      <w:marBottom w:val="0"/>
      <w:divBdr>
        <w:top w:val="none" w:sz="0" w:space="0" w:color="auto"/>
        <w:left w:val="none" w:sz="0" w:space="0" w:color="auto"/>
        <w:bottom w:val="none" w:sz="0" w:space="0" w:color="auto"/>
        <w:right w:val="none" w:sz="0" w:space="0" w:color="auto"/>
      </w:divBdr>
    </w:div>
    <w:div w:id="155151450">
      <w:bodyDiv w:val="1"/>
      <w:marLeft w:val="0"/>
      <w:marRight w:val="0"/>
      <w:marTop w:val="0"/>
      <w:marBottom w:val="0"/>
      <w:divBdr>
        <w:top w:val="none" w:sz="0" w:space="0" w:color="auto"/>
        <w:left w:val="none" w:sz="0" w:space="0" w:color="auto"/>
        <w:bottom w:val="none" w:sz="0" w:space="0" w:color="auto"/>
        <w:right w:val="none" w:sz="0" w:space="0" w:color="auto"/>
      </w:divBdr>
    </w:div>
    <w:div w:id="164632510">
      <w:bodyDiv w:val="1"/>
      <w:marLeft w:val="0"/>
      <w:marRight w:val="0"/>
      <w:marTop w:val="0"/>
      <w:marBottom w:val="0"/>
      <w:divBdr>
        <w:top w:val="none" w:sz="0" w:space="0" w:color="auto"/>
        <w:left w:val="none" w:sz="0" w:space="0" w:color="auto"/>
        <w:bottom w:val="none" w:sz="0" w:space="0" w:color="auto"/>
        <w:right w:val="none" w:sz="0" w:space="0" w:color="auto"/>
      </w:divBdr>
    </w:div>
    <w:div w:id="168065176">
      <w:bodyDiv w:val="1"/>
      <w:marLeft w:val="0"/>
      <w:marRight w:val="0"/>
      <w:marTop w:val="0"/>
      <w:marBottom w:val="0"/>
      <w:divBdr>
        <w:top w:val="none" w:sz="0" w:space="0" w:color="auto"/>
        <w:left w:val="none" w:sz="0" w:space="0" w:color="auto"/>
        <w:bottom w:val="none" w:sz="0" w:space="0" w:color="auto"/>
        <w:right w:val="none" w:sz="0" w:space="0" w:color="auto"/>
      </w:divBdr>
    </w:div>
    <w:div w:id="170336505">
      <w:bodyDiv w:val="1"/>
      <w:marLeft w:val="0"/>
      <w:marRight w:val="0"/>
      <w:marTop w:val="0"/>
      <w:marBottom w:val="0"/>
      <w:divBdr>
        <w:top w:val="none" w:sz="0" w:space="0" w:color="auto"/>
        <w:left w:val="none" w:sz="0" w:space="0" w:color="auto"/>
        <w:bottom w:val="none" w:sz="0" w:space="0" w:color="auto"/>
        <w:right w:val="none" w:sz="0" w:space="0" w:color="auto"/>
      </w:divBdr>
    </w:div>
    <w:div w:id="174610861">
      <w:bodyDiv w:val="1"/>
      <w:marLeft w:val="0"/>
      <w:marRight w:val="0"/>
      <w:marTop w:val="0"/>
      <w:marBottom w:val="0"/>
      <w:divBdr>
        <w:top w:val="none" w:sz="0" w:space="0" w:color="auto"/>
        <w:left w:val="none" w:sz="0" w:space="0" w:color="auto"/>
        <w:bottom w:val="none" w:sz="0" w:space="0" w:color="auto"/>
        <w:right w:val="none" w:sz="0" w:space="0" w:color="auto"/>
      </w:divBdr>
    </w:div>
    <w:div w:id="175193865">
      <w:bodyDiv w:val="1"/>
      <w:marLeft w:val="0"/>
      <w:marRight w:val="0"/>
      <w:marTop w:val="0"/>
      <w:marBottom w:val="0"/>
      <w:divBdr>
        <w:top w:val="none" w:sz="0" w:space="0" w:color="auto"/>
        <w:left w:val="none" w:sz="0" w:space="0" w:color="auto"/>
        <w:bottom w:val="none" w:sz="0" w:space="0" w:color="auto"/>
        <w:right w:val="none" w:sz="0" w:space="0" w:color="auto"/>
      </w:divBdr>
    </w:div>
    <w:div w:id="180626224">
      <w:bodyDiv w:val="1"/>
      <w:marLeft w:val="0"/>
      <w:marRight w:val="0"/>
      <w:marTop w:val="0"/>
      <w:marBottom w:val="0"/>
      <w:divBdr>
        <w:top w:val="none" w:sz="0" w:space="0" w:color="auto"/>
        <w:left w:val="none" w:sz="0" w:space="0" w:color="auto"/>
        <w:bottom w:val="none" w:sz="0" w:space="0" w:color="auto"/>
        <w:right w:val="none" w:sz="0" w:space="0" w:color="auto"/>
      </w:divBdr>
    </w:div>
    <w:div w:id="180977269">
      <w:bodyDiv w:val="1"/>
      <w:marLeft w:val="0"/>
      <w:marRight w:val="0"/>
      <w:marTop w:val="0"/>
      <w:marBottom w:val="0"/>
      <w:divBdr>
        <w:top w:val="none" w:sz="0" w:space="0" w:color="auto"/>
        <w:left w:val="none" w:sz="0" w:space="0" w:color="auto"/>
        <w:bottom w:val="none" w:sz="0" w:space="0" w:color="auto"/>
        <w:right w:val="none" w:sz="0" w:space="0" w:color="auto"/>
      </w:divBdr>
    </w:div>
    <w:div w:id="183445505">
      <w:bodyDiv w:val="1"/>
      <w:marLeft w:val="0"/>
      <w:marRight w:val="0"/>
      <w:marTop w:val="0"/>
      <w:marBottom w:val="0"/>
      <w:divBdr>
        <w:top w:val="none" w:sz="0" w:space="0" w:color="auto"/>
        <w:left w:val="none" w:sz="0" w:space="0" w:color="auto"/>
        <w:bottom w:val="none" w:sz="0" w:space="0" w:color="auto"/>
        <w:right w:val="none" w:sz="0" w:space="0" w:color="auto"/>
      </w:divBdr>
    </w:div>
    <w:div w:id="192306363">
      <w:bodyDiv w:val="1"/>
      <w:marLeft w:val="0"/>
      <w:marRight w:val="0"/>
      <w:marTop w:val="0"/>
      <w:marBottom w:val="0"/>
      <w:divBdr>
        <w:top w:val="none" w:sz="0" w:space="0" w:color="auto"/>
        <w:left w:val="none" w:sz="0" w:space="0" w:color="auto"/>
        <w:bottom w:val="none" w:sz="0" w:space="0" w:color="auto"/>
        <w:right w:val="none" w:sz="0" w:space="0" w:color="auto"/>
      </w:divBdr>
    </w:div>
    <w:div w:id="192420733">
      <w:bodyDiv w:val="1"/>
      <w:marLeft w:val="0"/>
      <w:marRight w:val="0"/>
      <w:marTop w:val="0"/>
      <w:marBottom w:val="0"/>
      <w:divBdr>
        <w:top w:val="none" w:sz="0" w:space="0" w:color="auto"/>
        <w:left w:val="none" w:sz="0" w:space="0" w:color="auto"/>
        <w:bottom w:val="none" w:sz="0" w:space="0" w:color="auto"/>
        <w:right w:val="none" w:sz="0" w:space="0" w:color="auto"/>
      </w:divBdr>
    </w:div>
    <w:div w:id="193545027">
      <w:bodyDiv w:val="1"/>
      <w:marLeft w:val="0"/>
      <w:marRight w:val="0"/>
      <w:marTop w:val="0"/>
      <w:marBottom w:val="0"/>
      <w:divBdr>
        <w:top w:val="none" w:sz="0" w:space="0" w:color="auto"/>
        <w:left w:val="none" w:sz="0" w:space="0" w:color="auto"/>
        <w:bottom w:val="none" w:sz="0" w:space="0" w:color="auto"/>
        <w:right w:val="none" w:sz="0" w:space="0" w:color="auto"/>
      </w:divBdr>
    </w:div>
    <w:div w:id="194388480">
      <w:bodyDiv w:val="1"/>
      <w:marLeft w:val="0"/>
      <w:marRight w:val="0"/>
      <w:marTop w:val="0"/>
      <w:marBottom w:val="0"/>
      <w:divBdr>
        <w:top w:val="none" w:sz="0" w:space="0" w:color="auto"/>
        <w:left w:val="none" w:sz="0" w:space="0" w:color="auto"/>
        <w:bottom w:val="none" w:sz="0" w:space="0" w:color="auto"/>
        <w:right w:val="none" w:sz="0" w:space="0" w:color="auto"/>
      </w:divBdr>
    </w:div>
    <w:div w:id="202520614">
      <w:bodyDiv w:val="1"/>
      <w:marLeft w:val="0"/>
      <w:marRight w:val="0"/>
      <w:marTop w:val="0"/>
      <w:marBottom w:val="0"/>
      <w:divBdr>
        <w:top w:val="none" w:sz="0" w:space="0" w:color="auto"/>
        <w:left w:val="none" w:sz="0" w:space="0" w:color="auto"/>
        <w:bottom w:val="none" w:sz="0" w:space="0" w:color="auto"/>
        <w:right w:val="none" w:sz="0" w:space="0" w:color="auto"/>
      </w:divBdr>
    </w:div>
    <w:div w:id="203561489">
      <w:bodyDiv w:val="1"/>
      <w:marLeft w:val="0"/>
      <w:marRight w:val="0"/>
      <w:marTop w:val="0"/>
      <w:marBottom w:val="0"/>
      <w:divBdr>
        <w:top w:val="none" w:sz="0" w:space="0" w:color="auto"/>
        <w:left w:val="none" w:sz="0" w:space="0" w:color="auto"/>
        <w:bottom w:val="none" w:sz="0" w:space="0" w:color="auto"/>
        <w:right w:val="none" w:sz="0" w:space="0" w:color="auto"/>
      </w:divBdr>
    </w:div>
    <w:div w:id="204489041">
      <w:bodyDiv w:val="1"/>
      <w:marLeft w:val="0"/>
      <w:marRight w:val="0"/>
      <w:marTop w:val="0"/>
      <w:marBottom w:val="0"/>
      <w:divBdr>
        <w:top w:val="none" w:sz="0" w:space="0" w:color="auto"/>
        <w:left w:val="none" w:sz="0" w:space="0" w:color="auto"/>
        <w:bottom w:val="none" w:sz="0" w:space="0" w:color="auto"/>
        <w:right w:val="none" w:sz="0" w:space="0" w:color="auto"/>
      </w:divBdr>
    </w:div>
    <w:div w:id="211041913">
      <w:bodyDiv w:val="1"/>
      <w:marLeft w:val="0"/>
      <w:marRight w:val="0"/>
      <w:marTop w:val="0"/>
      <w:marBottom w:val="0"/>
      <w:divBdr>
        <w:top w:val="none" w:sz="0" w:space="0" w:color="auto"/>
        <w:left w:val="none" w:sz="0" w:space="0" w:color="auto"/>
        <w:bottom w:val="none" w:sz="0" w:space="0" w:color="auto"/>
        <w:right w:val="none" w:sz="0" w:space="0" w:color="auto"/>
      </w:divBdr>
    </w:div>
    <w:div w:id="212739846">
      <w:bodyDiv w:val="1"/>
      <w:marLeft w:val="0"/>
      <w:marRight w:val="0"/>
      <w:marTop w:val="0"/>
      <w:marBottom w:val="0"/>
      <w:divBdr>
        <w:top w:val="none" w:sz="0" w:space="0" w:color="auto"/>
        <w:left w:val="none" w:sz="0" w:space="0" w:color="auto"/>
        <w:bottom w:val="none" w:sz="0" w:space="0" w:color="auto"/>
        <w:right w:val="none" w:sz="0" w:space="0" w:color="auto"/>
      </w:divBdr>
    </w:div>
    <w:div w:id="213976190">
      <w:bodyDiv w:val="1"/>
      <w:marLeft w:val="0"/>
      <w:marRight w:val="0"/>
      <w:marTop w:val="0"/>
      <w:marBottom w:val="0"/>
      <w:divBdr>
        <w:top w:val="none" w:sz="0" w:space="0" w:color="auto"/>
        <w:left w:val="none" w:sz="0" w:space="0" w:color="auto"/>
        <w:bottom w:val="none" w:sz="0" w:space="0" w:color="auto"/>
        <w:right w:val="none" w:sz="0" w:space="0" w:color="auto"/>
      </w:divBdr>
    </w:div>
    <w:div w:id="216400136">
      <w:bodyDiv w:val="1"/>
      <w:marLeft w:val="0"/>
      <w:marRight w:val="0"/>
      <w:marTop w:val="0"/>
      <w:marBottom w:val="0"/>
      <w:divBdr>
        <w:top w:val="none" w:sz="0" w:space="0" w:color="auto"/>
        <w:left w:val="none" w:sz="0" w:space="0" w:color="auto"/>
        <w:bottom w:val="none" w:sz="0" w:space="0" w:color="auto"/>
        <w:right w:val="none" w:sz="0" w:space="0" w:color="auto"/>
      </w:divBdr>
    </w:div>
    <w:div w:id="219752666">
      <w:bodyDiv w:val="1"/>
      <w:marLeft w:val="0"/>
      <w:marRight w:val="0"/>
      <w:marTop w:val="0"/>
      <w:marBottom w:val="0"/>
      <w:divBdr>
        <w:top w:val="none" w:sz="0" w:space="0" w:color="auto"/>
        <w:left w:val="none" w:sz="0" w:space="0" w:color="auto"/>
        <w:bottom w:val="none" w:sz="0" w:space="0" w:color="auto"/>
        <w:right w:val="none" w:sz="0" w:space="0" w:color="auto"/>
      </w:divBdr>
    </w:div>
    <w:div w:id="220752418">
      <w:bodyDiv w:val="1"/>
      <w:marLeft w:val="0"/>
      <w:marRight w:val="0"/>
      <w:marTop w:val="0"/>
      <w:marBottom w:val="0"/>
      <w:divBdr>
        <w:top w:val="none" w:sz="0" w:space="0" w:color="auto"/>
        <w:left w:val="none" w:sz="0" w:space="0" w:color="auto"/>
        <w:bottom w:val="none" w:sz="0" w:space="0" w:color="auto"/>
        <w:right w:val="none" w:sz="0" w:space="0" w:color="auto"/>
      </w:divBdr>
    </w:div>
    <w:div w:id="223415868">
      <w:bodyDiv w:val="1"/>
      <w:marLeft w:val="0"/>
      <w:marRight w:val="0"/>
      <w:marTop w:val="0"/>
      <w:marBottom w:val="0"/>
      <w:divBdr>
        <w:top w:val="none" w:sz="0" w:space="0" w:color="auto"/>
        <w:left w:val="none" w:sz="0" w:space="0" w:color="auto"/>
        <w:bottom w:val="none" w:sz="0" w:space="0" w:color="auto"/>
        <w:right w:val="none" w:sz="0" w:space="0" w:color="auto"/>
      </w:divBdr>
    </w:div>
    <w:div w:id="224072731">
      <w:bodyDiv w:val="1"/>
      <w:marLeft w:val="0"/>
      <w:marRight w:val="0"/>
      <w:marTop w:val="0"/>
      <w:marBottom w:val="0"/>
      <w:divBdr>
        <w:top w:val="none" w:sz="0" w:space="0" w:color="auto"/>
        <w:left w:val="none" w:sz="0" w:space="0" w:color="auto"/>
        <w:bottom w:val="none" w:sz="0" w:space="0" w:color="auto"/>
        <w:right w:val="none" w:sz="0" w:space="0" w:color="auto"/>
      </w:divBdr>
    </w:div>
    <w:div w:id="225800105">
      <w:bodyDiv w:val="1"/>
      <w:marLeft w:val="0"/>
      <w:marRight w:val="0"/>
      <w:marTop w:val="0"/>
      <w:marBottom w:val="0"/>
      <w:divBdr>
        <w:top w:val="none" w:sz="0" w:space="0" w:color="auto"/>
        <w:left w:val="none" w:sz="0" w:space="0" w:color="auto"/>
        <w:bottom w:val="none" w:sz="0" w:space="0" w:color="auto"/>
        <w:right w:val="none" w:sz="0" w:space="0" w:color="auto"/>
      </w:divBdr>
    </w:div>
    <w:div w:id="226501976">
      <w:bodyDiv w:val="1"/>
      <w:marLeft w:val="0"/>
      <w:marRight w:val="0"/>
      <w:marTop w:val="0"/>
      <w:marBottom w:val="0"/>
      <w:divBdr>
        <w:top w:val="none" w:sz="0" w:space="0" w:color="auto"/>
        <w:left w:val="none" w:sz="0" w:space="0" w:color="auto"/>
        <w:bottom w:val="none" w:sz="0" w:space="0" w:color="auto"/>
        <w:right w:val="none" w:sz="0" w:space="0" w:color="auto"/>
      </w:divBdr>
    </w:div>
    <w:div w:id="230698018">
      <w:bodyDiv w:val="1"/>
      <w:marLeft w:val="0"/>
      <w:marRight w:val="0"/>
      <w:marTop w:val="0"/>
      <w:marBottom w:val="0"/>
      <w:divBdr>
        <w:top w:val="none" w:sz="0" w:space="0" w:color="auto"/>
        <w:left w:val="none" w:sz="0" w:space="0" w:color="auto"/>
        <w:bottom w:val="none" w:sz="0" w:space="0" w:color="auto"/>
        <w:right w:val="none" w:sz="0" w:space="0" w:color="auto"/>
      </w:divBdr>
    </w:div>
    <w:div w:id="234823359">
      <w:bodyDiv w:val="1"/>
      <w:marLeft w:val="0"/>
      <w:marRight w:val="0"/>
      <w:marTop w:val="0"/>
      <w:marBottom w:val="0"/>
      <w:divBdr>
        <w:top w:val="none" w:sz="0" w:space="0" w:color="auto"/>
        <w:left w:val="none" w:sz="0" w:space="0" w:color="auto"/>
        <w:bottom w:val="none" w:sz="0" w:space="0" w:color="auto"/>
        <w:right w:val="none" w:sz="0" w:space="0" w:color="auto"/>
      </w:divBdr>
    </w:div>
    <w:div w:id="236941907">
      <w:bodyDiv w:val="1"/>
      <w:marLeft w:val="0"/>
      <w:marRight w:val="0"/>
      <w:marTop w:val="0"/>
      <w:marBottom w:val="0"/>
      <w:divBdr>
        <w:top w:val="none" w:sz="0" w:space="0" w:color="auto"/>
        <w:left w:val="none" w:sz="0" w:space="0" w:color="auto"/>
        <w:bottom w:val="none" w:sz="0" w:space="0" w:color="auto"/>
        <w:right w:val="none" w:sz="0" w:space="0" w:color="auto"/>
      </w:divBdr>
    </w:div>
    <w:div w:id="237784668">
      <w:bodyDiv w:val="1"/>
      <w:marLeft w:val="0"/>
      <w:marRight w:val="0"/>
      <w:marTop w:val="0"/>
      <w:marBottom w:val="0"/>
      <w:divBdr>
        <w:top w:val="none" w:sz="0" w:space="0" w:color="auto"/>
        <w:left w:val="none" w:sz="0" w:space="0" w:color="auto"/>
        <w:bottom w:val="none" w:sz="0" w:space="0" w:color="auto"/>
        <w:right w:val="none" w:sz="0" w:space="0" w:color="auto"/>
      </w:divBdr>
    </w:div>
    <w:div w:id="250553662">
      <w:bodyDiv w:val="1"/>
      <w:marLeft w:val="0"/>
      <w:marRight w:val="0"/>
      <w:marTop w:val="0"/>
      <w:marBottom w:val="0"/>
      <w:divBdr>
        <w:top w:val="none" w:sz="0" w:space="0" w:color="auto"/>
        <w:left w:val="none" w:sz="0" w:space="0" w:color="auto"/>
        <w:bottom w:val="none" w:sz="0" w:space="0" w:color="auto"/>
        <w:right w:val="none" w:sz="0" w:space="0" w:color="auto"/>
      </w:divBdr>
    </w:div>
    <w:div w:id="251089899">
      <w:bodyDiv w:val="1"/>
      <w:marLeft w:val="0"/>
      <w:marRight w:val="0"/>
      <w:marTop w:val="0"/>
      <w:marBottom w:val="0"/>
      <w:divBdr>
        <w:top w:val="none" w:sz="0" w:space="0" w:color="auto"/>
        <w:left w:val="none" w:sz="0" w:space="0" w:color="auto"/>
        <w:bottom w:val="none" w:sz="0" w:space="0" w:color="auto"/>
        <w:right w:val="none" w:sz="0" w:space="0" w:color="auto"/>
      </w:divBdr>
    </w:div>
    <w:div w:id="255868195">
      <w:bodyDiv w:val="1"/>
      <w:marLeft w:val="0"/>
      <w:marRight w:val="0"/>
      <w:marTop w:val="0"/>
      <w:marBottom w:val="0"/>
      <w:divBdr>
        <w:top w:val="none" w:sz="0" w:space="0" w:color="auto"/>
        <w:left w:val="none" w:sz="0" w:space="0" w:color="auto"/>
        <w:bottom w:val="none" w:sz="0" w:space="0" w:color="auto"/>
        <w:right w:val="none" w:sz="0" w:space="0" w:color="auto"/>
      </w:divBdr>
    </w:div>
    <w:div w:id="259023613">
      <w:bodyDiv w:val="1"/>
      <w:marLeft w:val="0"/>
      <w:marRight w:val="0"/>
      <w:marTop w:val="0"/>
      <w:marBottom w:val="0"/>
      <w:divBdr>
        <w:top w:val="none" w:sz="0" w:space="0" w:color="auto"/>
        <w:left w:val="none" w:sz="0" w:space="0" w:color="auto"/>
        <w:bottom w:val="none" w:sz="0" w:space="0" w:color="auto"/>
        <w:right w:val="none" w:sz="0" w:space="0" w:color="auto"/>
      </w:divBdr>
    </w:div>
    <w:div w:id="259069878">
      <w:bodyDiv w:val="1"/>
      <w:marLeft w:val="0"/>
      <w:marRight w:val="0"/>
      <w:marTop w:val="0"/>
      <w:marBottom w:val="0"/>
      <w:divBdr>
        <w:top w:val="none" w:sz="0" w:space="0" w:color="auto"/>
        <w:left w:val="none" w:sz="0" w:space="0" w:color="auto"/>
        <w:bottom w:val="none" w:sz="0" w:space="0" w:color="auto"/>
        <w:right w:val="none" w:sz="0" w:space="0" w:color="auto"/>
      </w:divBdr>
    </w:div>
    <w:div w:id="259147141">
      <w:bodyDiv w:val="1"/>
      <w:marLeft w:val="0"/>
      <w:marRight w:val="0"/>
      <w:marTop w:val="0"/>
      <w:marBottom w:val="0"/>
      <w:divBdr>
        <w:top w:val="none" w:sz="0" w:space="0" w:color="auto"/>
        <w:left w:val="none" w:sz="0" w:space="0" w:color="auto"/>
        <w:bottom w:val="none" w:sz="0" w:space="0" w:color="auto"/>
        <w:right w:val="none" w:sz="0" w:space="0" w:color="auto"/>
      </w:divBdr>
    </w:div>
    <w:div w:id="265581848">
      <w:bodyDiv w:val="1"/>
      <w:marLeft w:val="0"/>
      <w:marRight w:val="0"/>
      <w:marTop w:val="0"/>
      <w:marBottom w:val="0"/>
      <w:divBdr>
        <w:top w:val="none" w:sz="0" w:space="0" w:color="auto"/>
        <w:left w:val="none" w:sz="0" w:space="0" w:color="auto"/>
        <w:bottom w:val="none" w:sz="0" w:space="0" w:color="auto"/>
        <w:right w:val="none" w:sz="0" w:space="0" w:color="auto"/>
      </w:divBdr>
    </w:div>
    <w:div w:id="270014399">
      <w:bodyDiv w:val="1"/>
      <w:marLeft w:val="0"/>
      <w:marRight w:val="0"/>
      <w:marTop w:val="0"/>
      <w:marBottom w:val="0"/>
      <w:divBdr>
        <w:top w:val="none" w:sz="0" w:space="0" w:color="auto"/>
        <w:left w:val="none" w:sz="0" w:space="0" w:color="auto"/>
        <w:bottom w:val="none" w:sz="0" w:space="0" w:color="auto"/>
        <w:right w:val="none" w:sz="0" w:space="0" w:color="auto"/>
      </w:divBdr>
    </w:div>
    <w:div w:id="270094514">
      <w:bodyDiv w:val="1"/>
      <w:marLeft w:val="0"/>
      <w:marRight w:val="0"/>
      <w:marTop w:val="0"/>
      <w:marBottom w:val="0"/>
      <w:divBdr>
        <w:top w:val="none" w:sz="0" w:space="0" w:color="auto"/>
        <w:left w:val="none" w:sz="0" w:space="0" w:color="auto"/>
        <w:bottom w:val="none" w:sz="0" w:space="0" w:color="auto"/>
        <w:right w:val="none" w:sz="0" w:space="0" w:color="auto"/>
      </w:divBdr>
    </w:div>
    <w:div w:id="271061873">
      <w:bodyDiv w:val="1"/>
      <w:marLeft w:val="0"/>
      <w:marRight w:val="0"/>
      <w:marTop w:val="0"/>
      <w:marBottom w:val="0"/>
      <w:divBdr>
        <w:top w:val="none" w:sz="0" w:space="0" w:color="auto"/>
        <w:left w:val="none" w:sz="0" w:space="0" w:color="auto"/>
        <w:bottom w:val="none" w:sz="0" w:space="0" w:color="auto"/>
        <w:right w:val="none" w:sz="0" w:space="0" w:color="auto"/>
      </w:divBdr>
    </w:div>
    <w:div w:id="273444594">
      <w:bodyDiv w:val="1"/>
      <w:marLeft w:val="0"/>
      <w:marRight w:val="0"/>
      <w:marTop w:val="0"/>
      <w:marBottom w:val="0"/>
      <w:divBdr>
        <w:top w:val="none" w:sz="0" w:space="0" w:color="auto"/>
        <w:left w:val="none" w:sz="0" w:space="0" w:color="auto"/>
        <w:bottom w:val="none" w:sz="0" w:space="0" w:color="auto"/>
        <w:right w:val="none" w:sz="0" w:space="0" w:color="auto"/>
      </w:divBdr>
    </w:div>
    <w:div w:id="273748970">
      <w:bodyDiv w:val="1"/>
      <w:marLeft w:val="0"/>
      <w:marRight w:val="0"/>
      <w:marTop w:val="0"/>
      <w:marBottom w:val="0"/>
      <w:divBdr>
        <w:top w:val="none" w:sz="0" w:space="0" w:color="auto"/>
        <w:left w:val="none" w:sz="0" w:space="0" w:color="auto"/>
        <w:bottom w:val="none" w:sz="0" w:space="0" w:color="auto"/>
        <w:right w:val="none" w:sz="0" w:space="0" w:color="auto"/>
      </w:divBdr>
    </w:div>
    <w:div w:id="273832558">
      <w:bodyDiv w:val="1"/>
      <w:marLeft w:val="0"/>
      <w:marRight w:val="0"/>
      <w:marTop w:val="0"/>
      <w:marBottom w:val="0"/>
      <w:divBdr>
        <w:top w:val="none" w:sz="0" w:space="0" w:color="auto"/>
        <w:left w:val="none" w:sz="0" w:space="0" w:color="auto"/>
        <w:bottom w:val="none" w:sz="0" w:space="0" w:color="auto"/>
        <w:right w:val="none" w:sz="0" w:space="0" w:color="auto"/>
      </w:divBdr>
    </w:div>
    <w:div w:id="276256352">
      <w:bodyDiv w:val="1"/>
      <w:marLeft w:val="0"/>
      <w:marRight w:val="0"/>
      <w:marTop w:val="0"/>
      <w:marBottom w:val="0"/>
      <w:divBdr>
        <w:top w:val="none" w:sz="0" w:space="0" w:color="auto"/>
        <w:left w:val="none" w:sz="0" w:space="0" w:color="auto"/>
        <w:bottom w:val="none" w:sz="0" w:space="0" w:color="auto"/>
        <w:right w:val="none" w:sz="0" w:space="0" w:color="auto"/>
      </w:divBdr>
    </w:div>
    <w:div w:id="278680118">
      <w:bodyDiv w:val="1"/>
      <w:marLeft w:val="0"/>
      <w:marRight w:val="0"/>
      <w:marTop w:val="0"/>
      <w:marBottom w:val="0"/>
      <w:divBdr>
        <w:top w:val="none" w:sz="0" w:space="0" w:color="auto"/>
        <w:left w:val="none" w:sz="0" w:space="0" w:color="auto"/>
        <w:bottom w:val="none" w:sz="0" w:space="0" w:color="auto"/>
        <w:right w:val="none" w:sz="0" w:space="0" w:color="auto"/>
      </w:divBdr>
    </w:div>
    <w:div w:id="279606966">
      <w:bodyDiv w:val="1"/>
      <w:marLeft w:val="0"/>
      <w:marRight w:val="0"/>
      <w:marTop w:val="0"/>
      <w:marBottom w:val="0"/>
      <w:divBdr>
        <w:top w:val="none" w:sz="0" w:space="0" w:color="auto"/>
        <w:left w:val="none" w:sz="0" w:space="0" w:color="auto"/>
        <w:bottom w:val="none" w:sz="0" w:space="0" w:color="auto"/>
        <w:right w:val="none" w:sz="0" w:space="0" w:color="auto"/>
      </w:divBdr>
    </w:div>
    <w:div w:id="287665809">
      <w:bodyDiv w:val="1"/>
      <w:marLeft w:val="0"/>
      <w:marRight w:val="0"/>
      <w:marTop w:val="0"/>
      <w:marBottom w:val="0"/>
      <w:divBdr>
        <w:top w:val="none" w:sz="0" w:space="0" w:color="auto"/>
        <w:left w:val="none" w:sz="0" w:space="0" w:color="auto"/>
        <w:bottom w:val="none" w:sz="0" w:space="0" w:color="auto"/>
        <w:right w:val="none" w:sz="0" w:space="0" w:color="auto"/>
      </w:divBdr>
    </w:div>
    <w:div w:id="290748755">
      <w:bodyDiv w:val="1"/>
      <w:marLeft w:val="0"/>
      <w:marRight w:val="0"/>
      <w:marTop w:val="0"/>
      <w:marBottom w:val="0"/>
      <w:divBdr>
        <w:top w:val="none" w:sz="0" w:space="0" w:color="auto"/>
        <w:left w:val="none" w:sz="0" w:space="0" w:color="auto"/>
        <w:bottom w:val="none" w:sz="0" w:space="0" w:color="auto"/>
        <w:right w:val="none" w:sz="0" w:space="0" w:color="auto"/>
      </w:divBdr>
    </w:div>
    <w:div w:id="294916197">
      <w:bodyDiv w:val="1"/>
      <w:marLeft w:val="0"/>
      <w:marRight w:val="0"/>
      <w:marTop w:val="0"/>
      <w:marBottom w:val="0"/>
      <w:divBdr>
        <w:top w:val="none" w:sz="0" w:space="0" w:color="auto"/>
        <w:left w:val="none" w:sz="0" w:space="0" w:color="auto"/>
        <w:bottom w:val="none" w:sz="0" w:space="0" w:color="auto"/>
        <w:right w:val="none" w:sz="0" w:space="0" w:color="auto"/>
      </w:divBdr>
    </w:div>
    <w:div w:id="295987384">
      <w:bodyDiv w:val="1"/>
      <w:marLeft w:val="0"/>
      <w:marRight w:val="0"/>
      <w:marTop w:val="0"/>
      <w:marBottom w:val="0"/>
      <w:divBdr>
        <w:top w:val="none" w:sz="0" w:space="0" w:color="auto"/>
        <w:left w:val="none" w:sz="0" w:space="0" w:color="auto"/>
        <w:bottom w:val="none" w:sz="0" w:space="0" w:color="auto"/>
        <w:right w:val="none" w:sz="0" w:space="0" w:color="auto"/>
      </w:divBdr>
    </w:div>
    <w:div w:id="303854125">
      <w:bodyDiv w:val="1"/>
      <w:marLeft w:val="0"/>
      <w:marRight w:val="0"/>
      <w:marTop w:val="0"/>
      <w:marBottom w:val="0"/>
      <w:divBdr>
        <w:top w:val="none" w:sz="0" w:space="0" w:color="auto"/>
        <w:left w:val="none" w:sz="0" w:space="0" w:color="auto"/>
        <w:bottom w:val="none" w:sz="0" w:space="0" w:color="auto"/>
        <w:right w:val="none" w:sz="0" w:space="0" w:color="auto"/>
      </w:divBdr>
    </w:div>
    <w:div w:id="309095979">
      <w:bodyDiv w:val="1"/>
      <w:marLeft w:val="0"/>
      <w:marRight w:val="0"/>
      <w:marTop w:val="0"/>
      <w:marBottom w:val="0"/>
      <w:divBdr>
        <w:top w:val="none" w:sz="0" w:space="0" w:color="auto"/>
        <w:left w:val="none" w:sz="0" w:space="0" w:color="auto"/>
        <w:bottom w:val="none" w:sz="0" w:space="0" w:color="auto"/>
        <w:right w:val="none" w:sz="0" w:space="0" w:color="auto"/>
      </w:divBdr>
    </w:div>
    <w:div w:id="311327196">
      <w:bodyDiv w:val="1"/>
      <w:marLeft w:val="0"/>
      <w:marRight w:val="0"/>
      <w:marTop w:val="0"/>
      <w:marBottom w:val="0"/>
      <w:divBdr>
        <w:top w:val="none" w:sz="0" w:space="0" w:color="auto"/>
        <w:left w:val="none" w:sz="0" w:space="0" w:color="auto"/>
        <w:bottom w:val="none" w:sz="0" w:space="0" w:color="auto"/>
        <w:right w:val="none" w:sz="0" w:space="0" w:color="auto"/>
      </w:divBdr>
    </w:div>
    <w:div w:id="312410871">
      <w:bodyDiv w:val="1"/>
      <w:marLeft w:val="0"/>
      <w:marRight w:val="0"/>
      <w:marTop w:val="0"/>
      <w:marBottom w:val="0"/>
      <w:divBdr>
        <w:top w:val="none" w:sz="0" w:space="0" w:color="auto"/>
        <w:left w:val="none" w:sz="0" w:space="0" w:color="auto"/>
        <w:bottom w:val="none" w:sz="0" w:space="0" w:color="auto"/>
        <w:right w:val="none" w:sz="0" w:space="0" w:color="auto"/>
      </w:divBdr>
    </w:div>
    <w:div w:id="312411806">
      <w:bodyDiv w:val="1"/>
      <w:marLeft w:val="0"/>
      <w:marRight w:val="0"/>
      <w:marTop w:val="0"/>
      <w:marBottom w:val="0"/>
      <w:divBdr>
        <w:top w:val="none" w:sz="0" w:space="0" w:color="auto"/>
        <w:left w:val="none" w:sz="0" w:space="0" w:color="auto"/>
        <w:bottom w:val="none" w:sz="0" w:space="0" w:color="auto"/>
        <w:right w:val="none" w:sz="0" w:space="0" w:color="auto"/>
      </w:divBdr>
    </w:div>
    <w:div w:id="315960275">
      <w:bodyDiv w:val="1"/>
      <w:marLeft w:val="0"/>
      <w:marRight w:val="0"/>
      <w:marTop w:val="0"/>
      <w:marBottom w:val="0"/>
      <w:divBdr>
        <w:top w:val="none" w:sz="0" w:space="0" w:color="auto"/>
        <w:left w:val="none" w:sz="0" w:space="0" w:color="auto"/>
        <w:bottom w:val="none" w:sz="0" w:space="0" w:color="auto"/>
        <w:right w:val="none" w:sz="0" w:space="0" w:color="auto"/>
      </w:divBdr>
    </w:div>
    <w:div w:id="316306843">
      <w:bodyDiv w:val="1"/>
      <w:marLeft w:val="0"/>
      <w:marRight w:val="0"/>
      <w:marTop w:val="0"/>
      <w:marBottom w:val="0"/>
      <w:divBdr>
        <w:top w:val="none" w:sz="0" w:space="0" w:color="auto"/>
        <w:left w:val="none" w:sz="0" w:space="0" w:color="auto"/>
        <w:bottom w:val="none" w:sz="0" w:space="0" w:color="auto"/>
        <w:right w:val="none" w:sz="0" w:space="0" w:color="auto"/>
      </w:divBdr>
    </w:div>
    <w:div w:id="318078896">
      <w:bodyDiv w:val="1"/>
      <w:marLeft w:val="0"/>
      <w:marRight w:val="0"/>
      <w:marTop w:val="0"/>
      <w:marBottom w:val="0"/>
      <w:divBdr>
        <w:top w:val="none" w:sz="0" w:space="0" w:color="auto"/>
        <w:left w:val="none" w:sz="0" w:space="0" w:color="auto"/>
        <w:bottom w:val="none" w:sz="0" w:space="0" w:color="auto"/>
        <w:right w:val="none" w:sz="0" w:space="0" w:color="auto"/>
      </w:divBdr>
    </w:div>
    <w:div w:id="318536526">
      <w:bodyDiv w:val="1"/>
      <w:marLeft w:val="0"/>
      <w:marRight w:val="0"/>
      <w:marTop w:val="0"/>
      <w:marBottom w:val="0"/>
      <w:divBdr>
        <w:top w:val="none" w:sz="0" w:space="0" w:color="auto"/>
        <w:left w:val="none" w:sz="0" w:space="0" w:color="auto"/>
        <w:bottom w:val="none" w:sz="0" w:space="0" w:color="auto"/>
        <w:right w:val="none" w:sz="0" w:space="0" w:color="auto"/>
      </w:divBdr>
    </w:div>
    <w:div w:id="320894412">
      <w:bodyDiv w:val="1"/>
      <w:marLeft w:val="0"/>
      <w:marRight w:val="0"/>
      <w:marTop w:val="0"/>
      <w:marBottom w:val="0"/>
      <w:divBdr>
        <w:top w:val="none" w:sz="0" w:space="0" w:color="auto"/>
        <w:left w:val="none" w:sz="0" w:space="0" w:color="auto"/>
        <w:bottom w:val="none" w:sz="0" w:space="0" w:color="auto"/>
        <w:right w:val="none" w:sz="0" w:space="0" w:color="auto"/>
      </w:divBdr>
    </w:div>
    <w:div w:id="321085224">
      <w:bodyDiv w:val="1"/>
      <w:marLeft w:val="0"/>
      <w:marRight w:val="0"/>
      <w:marTop w:val="0"/>
      <w:marBottom w:val="0"/>
      <w:divBdr>
        <w:top w:val="none" w:sz="0" w:space="0" w:color="auto"/>
        <w:left w:val="none" w:sz="0" w:space="0" w:color="auto"/>
        <w:bottom w:val="none" w:sz="0" w:space="0" w:color="auto"/>
        <w:right w:val="none" w:sz="0" w:space="0" w:color="auto"/>
      </w:divBdr>
    </w:div>
    <w:div w:id="326590153">
      <w:bodyDiv w:val="1"/>
      <w:marLeft w:val="0"/>
      <w:marRight w:val="0"/>
      <w:marTop w:val="0"/>
      <w:marBottom w:val="0"/>
      <w:divBdr>
        <w:top w:val="none" w:sz="0" w:space="0" w:color="auto"/>
        <w:left w:val="none" w:sz="0" w:space="0" w:color="auto"/>
        <w:bottom w:val="none" w:sz="0" w:space="0" w:color="auto"/>
        <w:right w:val="none" w:sz="0" w:space="0" w:color="auto"/>
      </w:divBdr>
    </w:div>
    <w:div w:id="327444162">
      <w:bodyDiv w:val="1"/>
      <w:marLeft w:val="0"/>
      <w:marRight w:val="0"/>
      <w:marTop w:val="0"/>
      <w:marBottom w:val="0"/>
      <w:divBdr>
        <w:top w:val="none" w:sz="0" w:space="0" w:color="auto"/>
        <w:left w:val="none" w:sz="0" w:space="0" w:color="auto"/>
        <w:bottom w:val="none" w:sz="0" w:space="0" w:color="auto"/>
        <w:right w:val="none" w:sz="0" w:space="0" w:color="auto"/>
      </w:divBdr>
    </w:div>
    <w:div w:id="333261147">
      <w:bodyDiv w:val="1"/>
      <w:marLeft w:val="0"/>
      <w:marRight w:val="0"/>
      <w:marTop w:val="0"/>
      <w:marBottom w:val="0"/>
      <w:divBdr>
        <w:top w:val="none" w:sz="0" w:space="0" w:color="auto"/>
        <w:left w:val="none" w:sz="0" w:space="0" w:color="auto"/>
        <w:bottom w:val="none" w:sz="0" w:space="0" w:color="auto"/>
        <w:right w:val="none" w:sz="0" w:space="0" w:color="auto"/>
      </w:divBdr>
    </w:div>
    <w:div w:id="334695039">
      <w:bodyDiv w:val="1"/>
      <w:marLeft w:val="0"/>
      <w:marRight w:val="0"/>
      <w:marTop w:val="0"/>
      <w:marBottom w:val="0"/>
      <w:divBdr>
        <w:top w:val="none" w:sz="0" w:space="0" w:color="auto"/>
        <w:left w:val="none" w:sz="0" w:space="0" w:color="auto"/>
        <w:bottom w:val="none" w:sz="0" w:space="0" w:color="auto"/>
        <w:right w:val="none" w:sz="0" w:space="0" w:color="auto"/>
      </w:divBdr>
    </w:div>
    <w:div w:id="337853046">
      <w:bodyDiv w:val="1"/>
      <w:marLeft w:val="0"/>
      <w:marRight w:val="0"/>
      <w:marTop w:val="0"/>
      <w:marBottom w:val="0"/>
      <w:divBdr>
        <w:top w:val="none" w:sz="0" w:space="0" w:color="auto"/>
        <w:left w:val="none" w:sz="0" w:space="0" w:color="auto"/>
        <w:bottom w:val="none" w:sz="0" w:space="0" w:color="auto"/>
        <w:right w:val="none" w:sz="0" w:space="0" w:color="auto"/>
      </w:divBdr>
    </w:div>
    <w:div w:id="349339200">
      <w:bodyDiv w:val="1"/>
      <w:marLeft w:val="0"/>
      <w:marRight w:val="0"/>
      <w:marTop w:val="0"/>
      <w:marBottom w:val="0"/>
      <w:divBdr>
        <w:top w:val="none" w:sz="0" w:space="0" w:color="auto"/>
        <w:left w:val="none" w:sz="0" w:space="0" w:color="auto"/>
        <w:bottom w:val="none" w:sz="0" w:space="0" w:color="auto"/>
        <w:right w:val="none" w:sz="0" w:space="0" w:color="auto"/>
      </w:divBdr>
    </w:div>
    <w:div w:id="351610682">
      <w:bodyDiv w:val="1"/>
      <w:marLeft w:val="0"/>
      <w:marRight w:val="0"/>
      <w:marTop w:val="0"/>
      <w:marBottom w:val="0"/>
      <w:divBdr>
        <w:top w:val="none" w:sz="0" w:space="0" w:color="auto"/>
        <w:left w:val="none" w:sz="0" w:space="0" w:color="auto"/>
        <w:bottom w:val="none" w:sz="0" w:space="0" w:color="auto"/>
        <w:right w:val="none" w:sz="0" w:space="0" w:color="auto"/>
      </w:divBdr>
    </w:div>
    <w:div w:id="356011140">
      <w:bodyDiv w:val="1"/>
      <w:marLeft w:val="0"/>
      <w:marRight w:val="0"/>
      <w:marTop w:val="0"/>
      <w:marBottom w:val="0"/>
      <w:divBdr>
        <w:top w:val="none" w:sz="0" w:space="0" w:color="auto"/>
        <w:left w:val="none" w:sz="0" w:space="0" w:color="auto"/>
        <w:bottom w:val="none" w:sz="0" w:space="0" w:color="auto"/>
        <w:right w:val="none" w:sz="0" w:space="0" w:color="auto"/>
      </w:divBdr>
    </w:div>
    <w:div w:id="357124228">
      <w:bodyDiv w:val="1"/>
      <w:marLeft w:val="0"/>
      <w:marRight w:val="0"/>
      <w:marTop w:val="0"/>
      <w:marBottom w:val="0"/>
      <w:divBdr>
        <w:top w:val="none" w:sz="0" w:space="0" w:color="auto"/>
        <w:left w:val="none" w:sz="0" w:space="0" w:color="auto"/>
        <w:bottom w:val="none" w:sz="0" w:space="0" w:color="auto"/>
        <w:right w:val="none" w:sz="0" w:space="0" w:color="auto"/>
      </w:divBdr>
    </w:div>
    <w:div w:id="358088751">
      <w:bodyDiv w:val="1"/>
      <w:marLeft w:val="0"/>
      <w:marRight w:val="0"/>
      <w:marTop w:val="0"/>
      <w:marBottom w:val="0"/>
      <w:divBdr>
        <w:top w:val="none" w:sz="0" w:space="0" w:color="auto"/>
        <w:left w:val="none" w:sz="0" w:space="0" w:color="auto"/>
        <w:bottom w:val="none" w:sz="0" w:space="0" w:color="auto"/>
        <w:right w:val="none" w:sz="0" w:space="0" w:color="auto"/>
      </w:divBdr>
    </w:div>
    <w:div w:id="359164087">
      <w:bodyDiv w:val="1"/>
      <w:marLeft w:val="0"/>
      <w:marRight w:val="0"/>
      <w:marTop w:val="0"/>
      <w:marBottom w:val="0"/>
      <w:divBdr>
        <w:top w:val="none" w:sz="0" w:space="0" w:color="auto"/>
        <w:left w:val="none" w:sz="0" w:space="0" w:color="auto"/>
        <w:bottom w:val="none" w:sz="0" w:space="0" w:color="auto"/>
        <w:right w:val="none" w:sz="0" w:space="0" w:color="auto"/>
      </w:divBdr>
    </w:div>
    <w:div w:id="366879354">
      <w:bodyDiv w:val="1"/>
      <w:marLeft w:val="0"/>
      <w:marRight w:val="0"/>
      <w:marTop w:val="0"/>
      <w:marBottom w:val="0"/>
      <w:divBdr>
        <w:top w:val="none" w:sz="0" w:space="0" w:color="auto"/>
        <w:left w:val="none" w:sz="0" w:space="0" w:color="auto"/>
        <w:bottom w:val="none" w:sz="0" w:space="0" w:color="auto"/>
        <w:right w:val="none" w:sz="0" w:space="0" w:color="auto"/>
      </w:divBdr>
    </w:div>
    <w:div w:id="369652437">
      <w:bodyDiv w:val="1"/>
      <w:marLeft w:val="0"/>
      <w:marRight w:val="0"/>
      <w:marTop w:val="0"/>
      <w:marBottom w:val="0"/>
      <w:divBdr>
        <w:top w:val="none" w:sz="0" w:space="0" w:color="auto"/>
        <w:left w:val="none" w:sz="0" w:space="0" w:color="auto"/>
        <w:bottom w:val="none" w:sz="0" w:space="0" w:color="auto"/>
        <w:right w:val="none" w:sz="0" w:space="0" w:color="auto"/>
      </w:divBdr>
    </w:div>
    <w:div w:id="373316088">
      <w:bodyDiv w:val="1"/>
      <w:marLeft w:val="0"/>
      <w:marRight w:val="0"/>
      <w:marTop w:val="0"/>
      <w:marBottom w:val="0"/>
      <w:divBdr>
        <w:top w:val="none" w:sz="0" w:space="0" w:color="auto"/>
        <w:left w:val="none" w:sz="0" w:space="0" w:color="auto"/>
        <w:bottom w:val="none" w:sz="0" w:space="0" w:color="auto"/>
        <w:right w:val="none" w:sz="0" w:space="0" w:color="auto"/>
      </w:divBdr>
    </w:div>
    <w:div w:id="374742037">
      <w:bodyDiv w:val="1"/>
      <w:marLeft w:val="0"/>
      <w:marRight w:val="0"/>
      <w:marTop w:val="0"/>
      <w:marBottom w:val="0"/>
      <w:divBdr>
        <w:top w:val="none" w:sz="0" w:space="0" w:color="auto"/>
        <w:left w:val="none" w:sz="0" w:space="0" w:color="auto"/>
        <w:bottom w:val="none" w:sz="0" w:space="0" w:color="auto"/>
        <w:right w:val="none" w:sz="0" w:space="0" w:color="auto"/>
      </w:divBdr>
    </w:div>
    <w:div w:id="377097404">
      <w:bodyDiv w:val="1"/>
      <w:marLeft w:val="0"/>
      <w:marRight w:val="0"/>
      <w:marTop w:val="0"/>
      <w:marBottom w:val="0"/>
      <w:divBdr>
        <w:top w:val="none" w:sz="0" w:space="0" w:color="auto"/>
        <w:left w:val="none" w:sz="0" w:space="0" w:color="auto"/>
        <w:bottom w:val="none" w:sz="0" w:space="0" w:color="auto"/>
        <w:right w:val="none" w:sz="0" w:space="0" w:color="auto"/>
      </w:divBdr>
    </w:div>
    <w:div w:id="378087315">
      <w:bodyDiv w:val="1"/>
      <w:marLeft w:val="0"/>
      <w:marRight w:val="0"/>
      <w:marTop w:val="0"/>
      <w:marBottom w:val="0"/>
      <w:divBdr>
        <w:top w:val="none" w:sz="0" w:space="0" w:color="auto"/>
        <w:left w:val="none" w:sz="0" w:space="0" w:color="auto"/>
        <w:bottom w:val="none" w:sz="0" w:space="0" w:color="auto"/>
        <w:right w:val="none" w:sz="0" w:space="0" w:color="auto"/>
      </w:divBdr>
    </w:div>
    <w:div w:id="382363267">
      <w:bodyDiv w:val="1"/>
      <w:marLeft w:val="0"/>
      <w:marRight w:val="0"/>
      <w:marTop w:val="0"/>
      <w:marBottom w:val="0"/>
      <w:divBdr>
        <w:top w:val="none" w:sz="0" w:space="0" w:color="auto"/>
        <w:left w:val="none" w:sz="0" w:space="0" w:color="auto"/>
        <w:bottom w:val="none" w:sz="0" w:space="0" w:color="auto"/>
        <w:right w:val="none" w:sz="0" w:space="0" w:color="auto"/>
      </w:divBdr>
    </w:div>
    <w:div w:id="387580837">
      <w:bodyDiv w:val="1"/>
      <w:marLeft w:val="0"/>
      <w:marRight w:val="0"/>
      <w:marTop w:val="0"/>
      <w:marBottom w:val="0"/>
      <w:divBdr>
        <w:top w:val="none" w:sz="0" w:space="0" w:color="auto"/>
        <w:left w:val="none" w:sz="0" w:space="0" w:color="auto"/>
        <w:bottom w:val="none" w:sz="0" w:space="0" w:color="auto"/>
        <w:right w:val="none" w:sz="0" w:space="0" w:color="auto"/>
      </w:divBdr>
    </w:div>
    <w:div w:id="390033088">
      <w:bodyDiv w:val="1"/>
      <w:marLeft w:val="0"/>
      <w:marRight w:val="0"/>
      <w:marTop w:val="0"/>
      <w:marBottom w:val="0"/>
      <w:divBdr>
        <w:top w:val="none" w:sz="0" w:space="0" w:color="auto"/>
        <w:left w:val="none" w:sz="0" w:space="0" w:color="auto"/>
        <w:bottom w:val="none" w:sz="0" w:space="0" w:color="auto"/>
        <w:right w:val="none" w:sz="0" w:space="0" w:color="auto"/>
      </w:divBdr>
    </w:div>
    <w:div w:id="396325492">
      <w:bodyDiv w:val="1"/>
      <w:marLeft w:val="0"/>
      <w:marRight w:val="0"/>
      <w:marTop w:val="0"/>
      <w:marBottom w:val="0"/>
      <w:divBdr>
        <w:top w:val="none" w:sz="0" w:space="0" w:color="auto"/>
        <w:left w:val="none" w:sz="0" w:space="0" w:color="auto"/>
        <w:bottom w:val="none" w:sz="0" w:space="0" w:color="auto"/>
        <w:right w:val="none" w:sz="0" w:space="0" w:color="auto"/>
      </w:divBdr>
    </w:div>
    <w:div w:id="400181751">
      <w:bodyDiv w:val="1"/>
      <w:marLeft w:val="0"/>
      <w:marRight w:val="0"/>
      <w:marTop w:val="0"/>
      <w:marBottom w:val="0"/>
      <w:divBdr>
        <w:top w:val="none" w:sz="0" w:space="0" w:color="auto"/>
        <w:left w:val="none" w:sz="0" w:space="0" w:color="auto"/>
        <w:bottom w:val="none" w:sz="0" w:space="0" w:color="auto"/>
        <w:right w:val="none" w:sz="0" w:space="0" w:color="auto"/>
      </w:divBdr>
    </w:div>
    <w:div w:id="400252214">
      <w:bodyDiv w:val="1"/>
      <w:marLeft w:val="0"/>
      <w:marRight w:val="0"/>
      <w:marTop w:val="0"/>
      <w:marBottom w:val="0"/>
      <w:divBdr>
        <w:top w:val="none" w:sz="0" w:space="0" w:color="auto"/>
        <w:left w:val="none" w:sz="0" w:space="0" w:color="auto"/>
        <w:bottom w:val="none" w:sz="0" w:space="0" w:color="auto"/>
        <w:right w:val="none" w:sz="0" w:space="0" w:color="auto"/>
      </w:divBdr>
    </w:div>
    <w:div w:id="401145899">
      <w:bodyDiv w:val="1"/>
      <w:marLeft w:val="0"/>
      <w:marRight w:val="0"/>
      <w:marTop w:val="0"/>
      <w:marBottom w:val="0"/>
      <w:divBdr>
        <w:top w:val="none" w:sz="0" w:space="0" w:color="auto"/>
        <w:left w:val="none" w:sz="0" w:space="0" w:color="auto"/>
        <w:bottom w:val="none" w:sz="0" w:space="0" w:color="auto"/>
        <w:right w:val="none" w:sz="0" w:space="0" w:color="auto"/>
      </w:divBdr>
    </w:div>
    <w:div w:id="403646047">
      <w:bodyDiv w:val="1"/>
      <w:marLeft w:val="0"/>
      <w:marRight w:val="0"/>
      <w:marTop w:val="0"/>
      <w:marBottom w:val="0"/>
      <w:divBdr>
        <w:top w:val="none" w:sz="0" w:space="0" w:color="auto"/>
        <w:left w:val="none" w:sz="0" w:space="0" w:color="auto"/>
        <w:bottom w:val="none" w:sz="0" w:space="0" w:color="auto"/>
        <w:right w:val="none" w:sz="0" w:space="0" w:color="auto"/>
      </w:divBdr>
    </w:div>
    <w:div w:id="408576884">
      <w:bodyDiv w:val="1"/>
      <w:marLeft w:val="0"/>
      <w:marRight w:val="0"/>
      <w:marTop w:val="0"/>
      <w:marBottom w:val="0"/>
      <w:divBdr>
        <w:top w:val="none" w:sz="0" w:space="0" w:color="auto"/>
        <w:left w:val="none" w:sz="0" w:space="0" w:color="auto"/>
        <w:bottom w:val="none" w:sz="0" w:space="0" w:color="auto"/>
        <w:right w:val="none" w:sz="0" w:space="0" w:color="auto"/>
      </w:divBdr>
    </w:div>
    <w:div w:id="409353501">
      <w:bodyDiv w:val="1"/>
      <w:marLeft w:val="0"/>
      <w:marRight w:val="0"/>
      <w:marTop w:val="0"/>
      <w:marBottom w:val="0"/>
      <w:divBdr>
        <w:top w:val="none" w:sz="0" w:space="0" w:color="auto"/>
        <w:left w:val="none" w:sz="0" w:space="0" w:color="auto"/>
        <w:bottom w:val="none" w:sz="0" w:space="0" w:color="auto"/>
        <w:right w:val="none" w:sz="0" w:space="0" w:color="auto"/>
      </w:divBdr>
    </w:div>
    <w:div w:id="423646788">
      <w:bodyDiv w:val="1"/>
      <w:marLeft w:val="0"/>
      <w:marRight w:val="0"/>
      <w:marTop w:val="0"/>
      <w:marBottom w:val="0"/>
      <w:divBdr>
        <w:top w:val="none" w:sz="0" w:space="0" w:color="auto"/>
        <w:left w:val="none" w:sz="0" w:space="0" w:color="auto"/>
        <w:bottom w:val="none" w:sz="0" w:space="0" w:color="auto"/>
        <w:right w:val="none" w:sz="0" w:space="0" w:color="auto"/>
      </w:divBdr>
    </w:div>
    <w:div w:id="429395673">
      <w:bodyDiv w:val="1"/>
      <w:marLeft w:val="0"/>
      <w:marRight w:val="0"/>
      <w:marTop w:val="0"/>
      <w:marBottom w:val="0"/>
      <w:divBdr>
        <w:top w:val="none" w:sz="0" w:space="0" w:color="auto"/>
        <w:left w:val="none" w:sz="0" w:space="0" w:color="auto"/>
        <w:bottom w:val="none" w:sz="0" w:space="0" w:color="auto"/>
        <w:right w:val="none" w:sz="0" w:space="0" w:color="auto"/>
      </w:divBdr>
    </w:div>
    <w:div w:id="432361922">
      <w:bodyDiv w:val="1"/>
      <w:marLeft w:val="0"/>
      <w:marRight w:val="0"/>
      <w:marTop w:val="0"/>
      <w:marBottom w:val="0"/>
      <w:divBdr>
        <w:top w:val="none" w:sz="0" w:space="0" w:color="auto"/>
        <w:left w:val="none" w:sz="0" w:space="0" w:color="auto"/>
        <w:bottom w:val="none" w:sz="0" w:space="0" w:color="auto"/>
        <w:right w:val="none" w:sz="0" w:space="0" w:color="auto"/>
      </w:divBdr>
    </w:div>
    <w:div w:id="435096728">
      <w:bodyDiv w:val="1"/>
      <w:marLeft w:val="0"/>
      <w:marRight w:val="0"/>
      <w:marTop w:val="0"/>
      <w:marBottom w:val="0"/>
      <w:divBdr>
        <w:top w:val="none" w:sz="0" w:space="0" w:color="auto"/>
        <w:left w:val="none" w:sz="0" w:space="0" w:color="auto"/>
        <w:bottom w:val="none" w:sz="0" w:space="0" w:color="auto"/>
        <w:right w:val="none" w:sz="0" w:space="0" w:color="auto"/>
      </w:divBdr>
    </w:div>
    <w:div w:id="437603031">
      <w:bodyDiv w:val="1"/>
      <w:marLeft w:val="0"/>
      <w:marRight w:val="0"/>
      <w:marTop w:val="0"/>
      <w:marBottom w:val="0"/>
      <w:divBdr>
        <w:top w:val="none" w:sz="0" w:space="0" w:color="auto"/>
        <w:left w:val="none" w:sz="0" w:space="0" w:color="auto"/>
        <w:bottom w:val="none" w:sz="0" w:space="0" w:color="auto"/>
        <w:right w:val="none" w:sz="0" w:space="0" w:color="auto"/>
      </w:divBdr>
    </w:div>
    <w:div w:id="438525843">
      <w:bodyDiv w:val="1"/>
      <w:marLeft w:val="0"/>
      <w:marRight w:val="0"/>
      <w:marTop w:val="0"/>
      <w:marBottom w:val="0"/>
      <w:divBdr>
        <w:top w:val="none" w:sz="0" w:space="0" w:color="auto"/>
        <w:left w:val="none" w:sz="0" w:space="0" w:color="auto"/>
        <w:bottom w:val="none" w:sz="0" w:space="0" w:color="auto"/>
        <w:right w:val="none" w:sz="0" w:space="0" w:color="auto"/>
      </w:divBdr>
    </w:div>
    <w:div w:id="439617048">
      <w:bodyDiv w:val="1"/>
      <w:marLeft w:val="0"/>
      <w:marRight w:val="0"/>
      <w:marTop w:val="0"/>
      <w:marBottom w:val="0"/>
      <w:divBdr>
        <w:top w:val="none" w:sz="0" w:space="0" w:color="auto"/>
        <w:left w:val="none" w:sz="0" w:space="0" w:color="auto"/>
        <w:bottom w:val="none" w:sz="0" w:space="0" w:color="auto"/>
        <w:right w:val="none" w:sz="0" w:space="0" w:color="auto"/>
      </w:divBdr>
    </w:div>
    <w:div w:id="446504323">
      <w:bodyDiv w:val="1"/>
      <w:marLeft w:val="0"/>
      <w:marRight w:val="0"/>
      <w:marTop w:val="0"/>
      <w:marBottom w:val="0"/>
      <w:divBdr>
        <w:top w:val="none" w:sz="0" w:space="0" w:color="auto"/>
        <w:left w:val="none" w:sz="0" w:space="0" w:color="auto"/>
        <w:bottom w:val="none" w:sz="0" w:space="0" w:color="auto"/>
        <w:right w:val="none" w:sz="0" w:space="0" w:color="auto"/>
      </w:divBdr>
    </w:div>
    <w:div w:id="450709115">
      <w:bodyDiv w:val="1"/>
      <w:marLeft w:val="0"/>
      <w:marRight w:val="0"/>
      <w:marTop w:val="0"/>
      <w:marBottom w:val="0"/>
      <w:divBdr>
        <w:top w:val="none" w:sz="0" w:space="0" w:color="auto"/>
        <w:left w:val="none" w:sz="0" w:space="0" w:color="auto"/>
        <w:bottom w:val="none" w:sz="0" w:space="0" w:color="auto"/>
        <w:right w:val="none" w:sz="0" w:space="0" w:color="auto"/>
      </w:divBdr>
    </w:div>
    <w:div w:id="452870752">
      <w:bodyDiv w:val="1"/>
      <w:marLeft w:val="0"/>
      <w:marRight w:val="0"/>
      <w:marTop w:val="0"/>
      <w:marBottom w:val="0"/>
      <w:divBdr>
        <w:top w:val="none" w:sz="0" w:space="0" w:color="auto"/>
        <w:left w:val="none" w:sz="0" w:space="0" w:color="auto"/>
        <w:bottom w:val="none" w:sz="0" w:space="0" w:color="auto"/>
        <w:right w:val="none" w:sz="0" w:space="0" w:color="auto"/>
      </w:divBdr>
    </w:div>
    <w:div w:id="453135316">
      <w:bodyDiv w:val="1"/>
      <w:marLeft w:val="0"/>
      <w:marRight w:val="0"/>
      <w:marTop w:val="0"/>
      <w:marBottom w:val="0"/>
      <w:divBdr>
        <w:top w:val="none" w:sz="0" w:space="0" w:color="auto"/>
        <w:left w:val="none" w:sz="0" w:space="0" w:color="auto"/>
        <w:bottom w:val="none" w:sz="0" w:space="0" w:color="auto"/>
        <w:right w:val="none" w:sz="0" w:space="0" w:color="auto"/>
      </w:divBdr>
    </w:div>
    <w:div w:id="455609452">
      <w:bodyDiv w:val="1"/>
      <w:marLeft w:val="0"/>
      <w:marRight w:val="0"/>
      <w:marTop w:val="0"/>
      <w:marBottom w:val="0"/>
      <w:divBdr>
        <w:top w:val="none" w:sz="0" w:space="0" w:color="auto"/>
        <w:left w:val="none" w:sz="0" w:space="0" w:color="auto"/>
        <w:bottom w:val="none" w:sz="0" w:space="0" w:color="auto"/>
        <w:right w:val="none" w:sz="0" w:space="0" w:color="auto"/>
      </w:divBdr>
    </w:div>
    <w:div w:id="457917324">
      <w:bodyDiv w:val="1"/>
      <w:marLeft w:val="0"/>
      <w:marRight w:val="0"/>
      <w:marTop w:val="0"/>
      <w:marBottom w:val="0"/>
      <w:divBdr>
        <w:top w:val="none" w:sz="0" w:space="0" w:color="auto"/>
        <w:left w:val="none" w:sz="0" w:space="0" w:color="auto"/>
        <w:bottom w:val="none" w:sz="0" w:space="0" w:color="auto"/>
        <w:right w:val="none" w:sz="0" w:space="0" w:color="auto"/>
      </w:divBdr>
    </w:div>
    <w:div w:id="461925052">
      <w:bodyDiv w:val="1"/>
      <w:marLeft w:val="0"/>
      <w:marRight w:val="0"/>
      <w:marTop w:val="0"/>
      <w:marBottom w:val="0"/>
      <w:divBdr>
        <w:top w:val="none" w:sz="0" w:space="0" w:color="auto"/>
        <w:left w:val="none" w:sz="0" w:space="0" w:color="auto"/>
        <w:bottom w:val="none" w:sz="0" w:space="0" w:color="auto"/>
        <w:right w:val="none" w:sz="0" w:space="0" w:color="auto"/>
      </w:divBdr>
    </w:div>
    <w:div w:id="463544345">
      <w:bodyDiv w:val="1"/>
      <w:marLeft w:val="0"/>
      <w:marRight w:val="0"/>
      <w:marTop w:val="0"/>
      <w:marBottom w:val="0"/>
      <w:divBdr>
        <w:top w:val="none" w:sz="0" w:space="0" w:color="auto"/>
        <w:left w:val="none" w:sz="0" w:space="0" w:color="auto"/>
        <w:bottom w:val="none" w:sz="0" w:space="0" w:color="auto"/>
        <w:right w:val="none" w:sz="0" w:space="0" w:color="auto"/>
      </w:divBdr>
    </w:div>
    <w:div w:id="464199031">
      <w:bodyDiv w:val="1"/>
      <w:marLeft w:val="0"/>
      <w:marRight w:val="0"/>
      <w:marTop w:val="0"/>
      <w:marBottom w:val="0"/>
      <w:divBdr>
        <w:top w:val="none" w:sz="0" w:space="0" w:color="auto"/>
        <w:left w:val="none" w:sz="0" w:space="0" w:color="auto"/>
        <w:bottom w:val="none" w:sz="0" w:space="0" w:color="auto"/>
        <w:right w:val="none" w:sz="0" w:space="0" w:color="auto"/>
      </w:divBdr>
    </w:div>
    <w:div w:id="465050699">
      <w:bodyDiv w:val="1"/>
      <w:marLeft w:val="0"/>
      <w:marRight w:val="0"/>
      <w:marTop w:val="0"/>
      <w:marBottom w:val="0"/>
      <w:divBdr>
        <w:top w:val="none" w:sz="0" w:space="0" w:color="auto"/>
        <w:left w:val="none" w:sz="0" w:space="0" w:color="auto"/>
        <w:bottom w:val="none" w:sz="0" w:space="0" w:color="auto"/>
        <w:right w:val="none" w:sz="0" w:space="0" w:color="auto"/>
      </w:divBdr>
    </w:div>
    <w:div w:id="466164712">
      <w:bodyDiv w:val="1"/>
      <w:marLeft w:val="0"/>
      <w:marRight w:val="0"/>
      <w:marTop w:val="0"/>
      <w:marBottom w:val="0"/>
      <w:divBdr>
        <w:top w:val="none" w:sz="0" w:space="0" w:color="auto"/>
        <w:left w:val="none" w:sz="0" w:space="0" w:color="auto"/>
        <w:bottom w:val="none" w:sz="0" w:space="0" w:color="auto"/>
        <w:right w:val="none" w:sz="0" w:space="0" w:color="auto"/>
      </w:divBdr>
    </w:div>
    <w:div w:id="467600293">
      <w:bodyDiv w:val="1"/>
      <w:marLeft w:val="0"/>
      <w:marRight w:val="0"/>
      <w:marTop w:val="0"/>
      <w:marBottom w:val="0"/>
      <w:divBdr>
        <w:top w:val="none" w:sz="0" w:space="0" w:color="auto"/>
        <w:left w:val="none" w:sz="0" w:space="0" w:color="auto"/>
        <w:bottom w:val="none" w:sz="0" w:space="0" w:color="auto"/>
        <w:right w:val="none" w:sz="0" w:space="0" w:color="auto"/>
      </w:divBdr>
    </w:div>
    <w:div w:id="468477057">
      <w:bodyDiv w:val="1"/>
      <w:marLeft w:val="0"/>
      <w:marRight w:val="0"/>
      <w:marTop w:val="0"/>
      <w:marBottom w:val="0"/>
      <w:divBdr>
        <w:top w:val="none" w:sz="0" w:space="0" w:color="auto"/>
        <w:left w:val="none" w:sz="0" w:space="0" w:color="auto"/>
        <w:bottom w:val="none" w:sz="0" w:space="0" w:color="auto"/>
        <w:right w:val="none" w:sz="0" w:space="0" w:color="auto"/>
      </w:divBdr>
    </w:div>
    <w:div w:id="475952343">
      <w:bodyDiv w:val="1"/>
      <w:marLeft w:val="0"/>
      <w:marRight w:val="0"/>
      <w:marTop w:val="0"/>
      <w:marBottom w:val="0"/>
      <w:divBdr>
        <w:top w:val="none" w:sz="0" w:space="0" w:color="auto"/>
        <w:left w:val="none" w:sz="0" w:space="0" w:color="auto"/>
        <w:bottom w:val="none" w:sz="0" w:space="0" w:color="auto"/>
        <w:right w:val="none" w:sz="0" w:space="0" w:color="auto"/>
      </w:divBdr>
    </w:div>
    <w:div w:id="477918214">
      <w:bodyDiv w:val="1"/>
      <w:marLeft w:val="0"/>
      <w:marRight w:val="0"/>
      <w:marTop w:val="0"/>
      <w:marBottom w:val="0"/>
      <w:divBdr>
        <w:top w:val="none" w:sz="0" w:space="0" w:color="auto"/>
        <w:left w:val="none" w:sz="0" w:space="0" w:color="auto"/>
        <w:bottom w:val="none" w:sz="0" w:space="0" w:color="auto"/>
        <w:right w:val="none" w:sz="0" w:space="0" w:color="auto"/>
      </w:divBdr>
    </w:div>
    <w:div w:id="482158329">
      <w:bodyDiv w:val="1"/>
      <w:marLeft w:val="0"/>
      <w:marRight w:val="0"/>
      <w:marTop w:val="0"/>
      <w:marBottom w:val="0"/>
      <w:divBdr>
        <w:top w:val="none" w:sz="0" w:space="0" w:color="auto"/>
        <w:left w:val="none" w:sz="0" w:space="0" w:color="auto"/>
        <w:bottom w:val="none" w:sz="0" w:space="0" w:color="auto"/>
        <w:right w:val="none" w:sz="0" w:space="0" w:color="auto"/>
      </w:divBdr>
    </w:div>
    <w:div w:id="483594720">
      <w:bodyDiv w:val="1"/>
      <w:marLeft w:val="0"/>
      <w:marRight w:val="0"/>
      <w:marTop w:val="0"/>
      <w:marBottom w:val="0"/>
      <w:divBdr>
        <w:top w:val="none" w:sz="0" w:space="0" w:color="auto"/>
        <w:left w:val="none" w:sz="0" w:space="0" w:color="auto"/>
        <w:bottom w:val="none" w:sz="0" w:space="0" w:color="auto"/>
        <w:right w:val="none" w:sz="0" w:space="0" w:color="auto"/>
      </w:divBdr>
    </w:div>
    <w:div w:id="484514834">
      <w:bodyDiv w:val="1"/>
      <w:marLeft w:val="0"/>
      <w:marRight w:val="0"/>
      <w:marTop w:val="0"/>
      <w:marBottom w:val="0"/>
      <w:divBdr>
        <w:top w:val="none" w:sz="0" w:space="0" w:color="auto"/>
        <w:left w:val="none" w:sz="0" w:space="0" w:color="auto"/>
        <w:bottom w:val="none" w:sz="0" w:space="0" w:color="auto"/>
        <w:right w:val="none" w:sz="0" w:space="0" w:color="auto"/>
      </w:divBdr>
    </w:div>
    <w:div w:id="488986667">
      <w:bodyDiv w:val="1"/>
      <w:marLeft w:val="0"/>
      <w:marRight w:val="0"/>
      <w:marTop w:val="0"/>
      <w:marBottom w:val="0"/>
      <w:divBdr>
        <w:top w:val="none" w:sz="0" w:space="0" w:color="auto"/>
        <w:left w:val="none" w:sz="0" w:space="0" w:color="auto"/>
        <w:bottom w:val="none" w:sz="0" w:space="0" w:color="auto"/>
        <w:right w:val="none" w:sz="0" w:space="0" w:color="auto"/>
      </w:divBdr>
    </w:div>
    <w:div w:id="496457461">
      <w:bodyDiv w:val="1"/>
      <w:marLeft w:val="0"/>
      <w:marRight w:val="0"/>
      <w:marTop w:val="0"/>
      <w:marBottom w:val="0"/>
      <w:divBdr>
        <w:top w:val="none" w:sz="0" w:space="0" w:color="auto"/>
        <w:left w:val="none" w:sz="0" w:space="0" w:color="auto"/>
        <w:bottom w:val="none" w:sz="0" w:space="0" w:color="auto"/>
        <w:right w:val="none" w:sz="0" w:space="0" w:color="auto"/>
      </w:divBdr>
    </w:div>
    <w:div w:id="496844724">
      <w:bodyDiv w:val="1"/>
      <w:marLeft w:val="0"/>
      <w:marRight w:val="0"/>
      <w:marTop w:val="0"/>
      <w:marBottom w:val="0"/>
      <w:divBdr>
        <w:top w:val="none" w:sz="0" w:space="0" w:color="auto"/>
        <w:left w:val="none" w:sz="0" w:space="0" w:color="auto"/>
        <w:bottom w:val="none" w:sz="0" w:space="0" w:color="auto"/>
        <w:right w:val="none" w:sz="0" w:space="0" w:color="auto"/>
      </w:divBdr>
    </w:div>
    <w:div w:id="498230815">
      <w:bodyDiv w:val="1"/>
      <w:marLeft w:val="0"/>
      <w:marRight w:val="0"/>
      <w:marTop w:val="0"/>
      <w:marBottom w:val="0"/>
      <w:divBdr>
        <w:top w:val="none" w:sz="0" w:space="0" w:color="auto"/>
        <w:left w:val="none" w:sz="0" w:space="0" w:color="auto"/>
        <w:bottom w:val="none" w:sz="0" w:space="0" w:color="auto"/>
        <w:right w:val="none" w:sz="0" w:space="0" w:color="auto"/>
      </w:divBdr>
    </w:div>
    <w:div w:id="503397365">
      <w:bodyDiv w:val="1"/>
      <w:marLeft w:val="0"/>
      <w:marRight w:val="0"/>
      <w:marTop w:val="0"/>
      <w:marBottom w:val="0"/>
      <w:divBdr>
        <w:top w:val="none" w:sz="0" w:space="0" w:color="auto"/>
        <w:left w:val="none" w:sz="0" w:space="0" w:color="auto"/>
        <w:bottom w:val="none" w:sz="0" w:space="0" w:color="auto"/>
        <w:right w:val="none" w:sz="0" w:space="0" w:color="auto"/>
      </w:divBdr>
    </w:div>
    <w:div w:id="505437731">
      <w:bodyDiv w:val="1"/>
      <w:marLeft w:val="0"/>
      <w:marRight w:val="0"/>
      <w:marTop w:val="0"/>
      <w:marBottom w:val="0"/>
      <w:divBdr>
        <w:top w:val="none" w:sz="0" w:space="0" w:color="auto"/>
        <w:left w:val="none" w:sz="0" w:space="0" w:color="auto"/>
        <w:bottom w:val="none" w:sz="0" w:space="0" w:color="auto"/>
        <w:right w:val="none" w:sz="0" w:space="0" w:color="auto"/>
      </w:divBdr>
    </w:div>
    <w:div w:id="507254176">
      <w:bodyDiv w:val="1"/>
      <w:marLeft w:val="0"/>
      <w:marRight w:val="0"/>
      <w:marTop w:val="0"/>
      <w:marBottom w:val="0"/>
      <w:divBdr>
        <w:top w:val="none" w:sz="0" w:space="0" w:color="auto"/>
        <w:left w:val="none" w:sz="0" w:space="0" w:color="auto"/>
        <w:bottom w:val="none" w:sz="0" w:space="0" w:color="auto"/>
        <w:right w:val="none" w:sz="0" w:space="0" w:color="auto"/>
      </w:divBdr>
    </w:div>
    <w:div w:id="513887389">
      <w:bodyDiv w:val="1"/>
      <w:marLeft w:val="0"/>
      <w:marRight w:val="0"/>
      <w:marTop w:val="0"/>
      <w:marBottom w:val="0"/>
      <w:divBdr>
        <w:top w:val="none" w:sz="0" w:space="0" w:color="auto"/>
        <w:left w:val="none" w:sz="0" w:space="0" w:color="auto"/>
        <w:bottom w:val="none" w:sz="0" w:space="0" w:color="auto"/>
        <w:right w:val="none" w:sz="0" w:space="0" w:color="auto"/>
      </w:divBdr>
    </w:div>
    <w:div w:id="515192804">
      <w:bodyDiv w:val="1"/>
      <w:marLeft w:val="0"/>
      <w:marRight w:val="0"/>
      <w:marTop w:val="0"/>
      <w:marBottom w:val="0"/>
      <w:divBdr>
        <w:top w:val="none" w:sz="0" w:space="0" w:color="auto"/>
        <w:left w:val="none" w:sz="0" w:space="0" w:color="auto"/>
        <w:bottom w:val="none" w:sz="0" w:space="0" w:color="auto"/>
        <w:right w:val="none" w:sz="0" w:space="0" w:color="auto"/>
      </w:divBdr>
    </w:div>
    <w:div w:id="523250199">
      <w:bodyDiv w:val="1"/>
      <w:marLeft w:val="0"/>
      <w:marRight w:val="0"/>
      <w:marTop w:val="0"/>
      <w:marBottom w:val="0"/>
      <w:divBdr>
        <w:top w:val="none" w:sz="0" w:space="0" w:color="auto"/>
        <w:left w:val="none" w:sz="0" w:space="0" w:color="auto"/>
        <w:bottom w:val="none" w:sz="0" w:space="0" w:color="auto"/>
        <w:right w:val="none" w:sz="0" w:space="0" w:color="auto"/>
      </w:divBdr>
    </w:div>
    <w:div w:id="523398297">
      <w:bodyDiv w:val="1"/>
      <w:marLeft w:val="0"/>
      <w:marRight w:val="0"/>
      <w:marTop w:val="0"/>
      <w:marBottom w:val="0"/>
      <w:divBdr>
        <w:top w:val="none" w:sz="0" w:space="0" w:color="auto"/>
        <w:left w:val="none" w:sz="0" w:space="0" w:color="auto"/>
        <w:bottom w:val="none" w:sz="0" w:space="0" w:color="auto"/>
        <w:right w:val="none" w:sz="0" w:space="0" w:color="auto"/>
      </w:divBdr>
    </w:div>
    <w:div w:id="523711793">
      <w:bodyDiv w:val="1"/>
      <w:marLeft w:val="0"/>
      <w:marRight w:val="0"/>
      <w:marTop w:val="0"/>
      <w:marBottom w:val="0"/>
      <w:divBdr>
        <w:top w:val="none" w:sz="0" w:space="0" w:color="auto"/>
        <w:left w:val="none" w:sz="0" w:space="0" w:color="auto"/>
        <w:bottom w:val="none" w:sz="0" w:space="0" w:color="auto"/>
        <w:right w:val="none" w:sz="0" w:space="0" w:color="auto"/>
      </w:divBdr>
    </w:div>
    <w:div w:id="526411937">
      <w:bodyDiv w:val="1"/>
      <w:marLeft w:val="0"/>
      <w:marRight w:val="0"/>
      <w:marTop w:val="0"/>
      <w:marBottom w:val="0"/>
      <w:divBdr>
        <w:top w:val="none" w:sz="0" w:space="0" w:color="auto"/>
        <w:left w:val="none" w:sz="0" w:space="0" w:color="auto"/>
        <w:bottom w:val="none" w:sz="0" w:space="0" w:color="auto"/>
        <w:right w:val="none" w:sz="0" w:space="0" w:color="auto"/>
      </w:divBdr>
    </w:div>
    <w:div w:id="528638846">
      <w:bodyDiv w:val="1"/>
      <w:marLeft w:val="0"/>
      <w:marRight w:val="0"/>
      <w:marTop w:val="0"/>
      <w:marBottom w:val="0"/>
      <w:divBdr>
        <w:top w:val="none" w:sz="0" w:space="0" w:color="auto"/>
        <w:left w:val="none" w:sz="0" w:space="0" w:color="auto"/>
        <w:bottom w:val="none" w:sz="0" w:space="0" w:color="auto"/>
        <w:right w:val="none" w:sz="0" w:space="0" w:color="auto"/>
      </w:divBdr>
    </w:div>
    <w:div w:id="532499925">
      <w:bodyDiv w:val="1"/>
      <w:marLeft w:val="0"/>
      <w:marRight w:val="0"/>
      <w:marTop w:val="0"/>
      <w:marBottom w:val="0"/>
      <w:divBdr>
        <w:top w:val="none" w:sz="0" w:space="0" w:color="auto"/>
        <w:left w:val="none" w:sz="0" w:space="0" w:color="auto"/>
        <w:bottom w:val="none" w:sz="0" w:space="0" w:color="auto"/>
        <w:right w:val="none" w:sz="0" w:space="0" w:color="auto"/>
      </w:divBdr>
    </w:div>
    <w:div w:id="534269059">
      <w:bodyDiv w:val="1"/>
      <w:marLeft w:val="0"/>
      <w:marRight w:val="0"/>
      <w:marTop w:val="0"/>
      <w:marBottom w:val="0"/>
      <w:divBdr>
        <w:top w:val="none" w:sz="0" w:space="0" w:color="auto"/>
        <w:left w:val="none" w:sz="0" w:space="0" w:color="auto"/>
        <w:bottom w:val="none" w:sz="0" w:space="0" w:color="auto"/>
        <w:right w:val="none" w:sz="0" w:space="0" w:color="auto"/>
      </w:divBdr>
    </w:div>
    <w:div w:id="534467834">
      <w:bodyDiv w:val="1"/>
      <w:marLeft w:val="0"/>
      <w:marRight w:val="0"/>
      <w:marTop w:val="0"/>
      <w:marBottom w:val="0"/>
      <w:divBdr>
        <w:top w:val="none" w:sz="0" w:space="0" w:color="auto"/>
        <w:left w:val="none" w:sz="0" w:space="0" w:color="auto"/>
        <w:bottom w:val="none" w:sz="0" w:space="0" w:color="auto"/>
        <w:right w:val="none" w:sz="0" w:space="0" w:color="auto"/>
      </w:divBdr>
    </w:div>
    <w:div w:id="535199710">
      <w:bodyDiv w:val="1"/>
      <w:marLeft w:val="0"/>
      <w:marRight w:val="0"/>
      <w:marTop w:val="0"/>
      <w:marBottom w:val="0"/>
      <w:divBdr>
        <w:top w:val="none" w:sz="0" w:space="0" w:color="auto"/>
        <w:left w:val="none" w:sz="0" w:space="0" w:color="auto"/>
        <w:bottom w:val="none" w:sz="0" w:space="0" w:color="auto"/>
        <w:right w:val="none" w:sz="0" w:space="0" w:color="auto"/>
      </w:divBdr>
    </w:div>
    <w:div w:id="540091975">
      <w:bodyDiv w:val="1"/>
      <w:marLeft w:val="0"/>
      <w:marRight w:val="0"/>
      <w:marTop w:val="0"/>
      <w:marBottom w:val="0"/>
      <w:divBdr>
        <w:top w:val="none" w:sz="0" w:space="0" w:color="auto"/>
        <w:left w:val="none" w:sz="0" w:space="0" w:color="auto"/>
        <w:bottom w:val="none" w:sz="0" w:space="0" w:color="auto"/>
        <w:right w:val="none" w:sz="0" w:space="0" w:color="auto"/>
      </w:divBdr>
    </w:div>
    <w:div w:id="541945387">
      <w:bodyDiv w:val="1"/>
      <w:marLeft w:val="0"/>
      <w:marRight w:val="0"/>
      <w:marTop w:val="0"/>
      <w:marBottom w:val="0"/>
      <w:divBdr>
        <w:top w:val="none" w:sz="0" w:space="0" w:color="auto"/>
        <w:left w:val="none" w:sz="0" w:space="0" w:color="auto"/>
        <w:bottom w:val="none" w:sz="0" w:space="0" w:color="auto"/>
        <w:right w:val="none" w:sz="0" w:space="0" w:color="auto"/>
      </w:divBdr>
    </w:div>
    <w:div w:id="542982510">
      <w:bodyDiv w:val="1"/>
      <w:marLeft w:val="0"/>
      <w:marRight w:val="0"/>
      <w:marTop w:val="0"/>
      <w:marBottom w:val="0"/>
      <w:divBdr>
        <w:top w:val="none" w:sz="0" w:space="0" w:color="auto"/>
        <w:left w:val="none" w:sz="0" w:space="0" w:color="auto"/>
        <w:bottom w:val="none" w:sz="0" w:space="0" w:color="auto"/>
        <w:right w:val="none" w:sz="0" w:space="0" w:color="auto"/>
      </w:divBdr>
    </w:div>
    <w:div w:id="547494698">
      <w:bodyDiv w:val="1"/>
      <w:marLeft w:val="0"/>
      <w:marRight w:val="0"/>
      <w:marTop w:val="0"/>
      <w:marBottom w:val="0"/>
      <w:divBdr>
        <w:top w:val="none" w:sz="0" w:space="0" w:color="auto"/>
        <w:left w:val="none" w:sz="0" w:space="0" w:color="auto"/>
        <w:bottom w:val="none" w:sz="0" w:space="0" w:color="auto"/>
        <w:right w:val="none" w:sz="0" w:space="0" w:color="auto"/>
      </w:divBdr>
    </w:div>
    <w:div w:id="549267344">
      <w:bodyDiv w:val="1"/>
      <w:marLeft w:val="0"/>
      <w:marRight w:val="0"/>
      <w:marTop w:val="0"/>
      <w:marBottom w:val="0"/>
      <w:divBdr>
        <w:top w:val="none" w:sz="0" w:space="0" w:color="auto"/>
        <w:left w:val="none" w:sz="0" w:space="0" w:color="auto"/>
        <w:bottom w:val="none" w:sz="0" w:space="0" w:color="auto"/>
        <w:right w:val="none" w:sz="0" w:space="0" w:color="auto"/>
      </w:divBdr>
    </w:div>
    <w:div w:id="564951358">
      <w:bodyDiv w:val="1"/>
      <w:marLeft w:val="0"/>
      <w:marRight w:val="0"/>
      <w:marTop w:val="0"/>
      <w:marBottom w:val="0"/>
      <w:divBdr>
        <w:top w:val="none" w:sz="0" w:space="0" w:color="auto"/>
        <w:left w:val="none" w:sz="0" w:space="0" w:color="auto"/>
        <w:bottom w:val="none" w:sz="0" w:space="0" w:color="auto"/>
        <w:right w:val="none" w:sz="0" w:space="0" w:color="auto"/>
      </w:divBdr>
    </w:div>
    <w:div w:id="568003333">
      <w:bodyDiv w:val="1"/>
      <w:marLeft w:val="0"/>
      <w:marRight w:val="0"/>
      <w:marTop w:val="0"/>
      <w:marBottom w:val="0"/>
      <w:divBdr>
        <w:top w:val="none" w:sz="0" w:space="0" w:color="auto"/>
        <w:left w:val="none" w:sz="0" w:space="0" w:color="auto"/>
        <w:bottom w:val="none" w:sz="0" w:space="0" w:color="auto"/>
        <w:right w:val="none" w:sz="0" w:space="0" w:color="auto"/>
      </w:divBdr>
    </w:div>
    <w:div w:id="568928122">
      <w:bodyDiv w:val="1"/>
      <w:marLeft w:val="0"/>
      <w:marRight w:val="0"/>
      <w:marTop w:val="0"/>
      <w:marBottom w:val="0"/>
      <w:divBdr>
        <w:top w:val="none" w:sz="0" w:space="0" w:color="auto"/>
        <w:left w:val="none" w:sz="0" w:space="0" w:color="auto"/>
        <w:bottom w:val="none" w:sz="0" w:space="0" w:color="auto"/>
        <w:right w:val="none" w:sz="0" w:space="0" w:color="auto"/>
      </w:divBdr>
    </w:div>
    <w:div w:id="572013139">
      <w:bodyDiv w:val="1"/>
      <w:marLeft w:val="0"/>
      <w:marRight w:val="0"/>
      <w:marTop w:val="0"/>
      <w:marBottom w:val="0"/>
      <w:divBdr>
        <w:top w:val="none" w:sz="0" w:space="0" w:color="auto"/>
        <w:left w:val="none" w:sz="0" w:space="0" w:color="auto"/>
        <w:bottom w:val="none" w:sz="0" w:space="0" w:color="auto"/>
        <w:right w:val="none" w:sz="0" w:space="0" w:color="auto"/>
      </w:divBdr>
    </w:div>
    <w:div w:id="574509748">
      <w:bodyDiv w:val="1"/>
      <w:marLeft w:val="0"/>
      <w:marRight w:val="0"/>
      <w:marTop w:val="0"/>
      <w:marBottom w:val="0"/>
      <w:divBdr>
        <w:top w:val="none" w:sz="0" w:space="0" w:color="auto"/>
        <w:left w:val="none" w:sz="0" w:space="0" w:color="auto"/>
        <w:bottom w:val="none" w:sz="0" w:space="0" w:color="auto"/>
        <w:right w:val="none" w:sz="0" w:space="0" w:color="auto"/>
      </w:divBdr>
    </w:div>
    <w:div w:id="574704841">
      <w:bodyDiv w:val="1"/>
      <w:marLeft w:val="0"/>
      <w:marRight w:val="0"/>
      <w:marTop w:val="0"/>
      <w:marBottom w:val="0"/>
      <w:divBdr>
        <w:top w:val="none" w:sz="0" w:space="0" w:color="auto"/>
        <w:left w:val="none" w:sz="0" w:space="0" w:color="auto"/>
        <w:bottom w:val="none" w:sz="0" w:space="0" w:color="auto"/>
        <w:right w:val="none" w:sz="0" w:space="0" w:color="auto"/>
      </w:divBdr>
    </w:div>
    <w:div w:id="575938433">
      <w:bodyDiv w:val="1"/>
      <w:marLeft w:val="0"/>
      <w:marRight w:val="0"/>
      <w:marTop w:val="0"/>
      <w:marBottom w:val="0"/>
      <w:divBdr>
        <w:top w:val="none" w:sz="0" w:space="0" w:color="auto"/>
        <w:left w:val="none" w:sz="0" w:space="0" w:color="auto"/>
        <w:bottom w:val="none" w:sz="0" w:space="0" w:color="auto"/>
        <w:right w:val="none" w:sz="0" w:space="0" w:color="auto"/>
      </w:divBdr>
    </w:div>
    <w:div w:id="593826247">
      <w:bodyDiv w:val="1"/>
      <w:marLeft w:val="0"/>
      <w:marRight w:val="0"/>
      <w:marTop w:val="0"/>
      <w:marBottom w:val="0"/>
      <w:divBdr>
        <w:top w:val="none" w:sz="0" w:space="0" w:color="auto"/>
        <w:left w:val="none" w:sz="0" w:space="0" w:color="auto"/>
        <w:bottom w:val="none" w:sz="0" w:space="0" w:color="auto"/>
        <w:right w:val="none" w:sz="0" w:space="0" w:color="auto"/>
      </w:divBdr>
    </w:div>
    <w:div w:id="601493171">
      <w:bodyDiv w:val="1"/>
      <w:marLeft w:val="0"/>
      <w:marRight w:val="0"/>
      <w:marTop w:val="0"/>
      <w:marBottom w:val="0"/>
      <w:divBdr>
        <w:top w:val="none" w:sz="0" w:space="0" w:color="auto"/>
        <w:left w:val="none" w:sz="0" w:space="0" w:color="auto"/>
        <w:bottom w:val="none" w:sz="0" w:space="0" w:color="auto"/>
        <w:right w:val="none" w:sz="0" w:space="0" w:color="auto"/>
      </w:divBdr>
    </w:div>
    <w:div w:id="605692954">
      <w:bodyDiv w:val="1"/>
      <w:marLeft w:val="0"/>
      <w:marRight w:val="0"/>
      <w:marTop w:val="0"/>
      <w:marBottom w:val="0"/>
      <w:divBdr>
        <w:top w:val="none" w:sz="0" w:space="0" w:color="auto"/>
        <w:left w:val="none" w:sz="0" w:space="0" w:color="auto"/>
        <w:bottom w:val="none" w:sz="0" w:space="0" w:color="auto"/>
        <w:right w:val="none" w:sz="0" w:space="0" w:color="auto"/>
      </w:divBdr>
    </w:div>
    <w:div w:id="605965455">
      <w:bodyDiv w:val="1"/>
      <w:marLeft w:val="0"/>
      <w:marRight w:val="0"/>
      <w:marTop w:val="0"/>
      <w:marBottom w:val="0"/>
      <w:divBdr>
        <w:top w:val="none" w:sz="0" w:space="0" w:color="auto"/>
        <w:left w:val="none" w:sz="0" w:space="0" w:color="auto"/>
        <w:bottom w:val="none" w:sz="0" w:space="0" w:color="auto"/>
        <w:right w:val="none" w:sz="0" w:space="0" w:color="auto"/>
      </w:divBdr>
    </w:div>
    <w:div w:id="605969698">
      <w:bodyDiv w:val="1"/>
      <w:marLeft w:val="0"/>
      <w:marRight w:val="0"/>
      <w:marTop w:val="0"/>
      <w:marBottom w:val="0"/>
      <w:divBdr>
        <w:top w:val="none" w:sz="0" w:space="0" w:color="auto"/>
        <w:left w:val="none" w:sz="0" w:space="0" w:color="auto"/>
        <w:bottom w:val="none" w:sz="0" w:space="0" w:color="auto"/>
        <w:right w:val="none" w:sz="0" w:space="0" w:color="auto"/>
      </w:divBdr>
    </w:div>
    <w:div w:id="606934635">
      <w:bodyDiv w:val="1"/>
      <w:marLeft w:val="0"/>
      <w:marRight w:val="0"/>
      <w:marTop w:val="0"/>
      <w:marBottom w:val="0"/>
      <w:divBdr>
        <w:top w:val="none" w:sz="0" w:space="0" w:color="auto"/>
        <w:left w:val="none" w:sz="0" w:space="0" w:color="auto"/>
        <w:bottom w:val="none" w:sz="0" w:space="0" w:color="auto"/>
        <w:right w:val="none" w:sz="0" w:space="0" w:color="auto"/>
      </w:divBdr>
    </w:div>
    <w:div w:id="610363348">
      <w:bodyDiv w:val="1"/>
      <w:marLeft w:val="0"/>
      <w:marRight w:val="0"/>
      <w:marTop w:val="0"/>
      <w:marBottom w:val="0"/>
      <w:divBdr>
        <w:top w:val="none" w:sz="0" w:space="0" w:color="auto"/>
        <w:left w:val="none" w:sz="0" w:space="0" w:color="auto"/>
        <w:bottom w:val="none" w:sz="0" w:space="0" w:color="auto"/>
        <w:right w:val="none" w:sz="0" w:space="0" w:color="auto"/>
      </w:divBdr>
    </w:div>
    <w:div w:id="611013593">
      <w:bodyDiv w:val="1"/>
      <w:marLeft w:val="0"/>
      <w:marRight w:val="0"/>
      <w:marTop w:val="0"/>
      <w:marBottom w:val="0"/>
      <w:divBdr>
        <w:top w:val="none" w:sz="0" w:space="0" w:color="auto"/>
        <w:left w:val="none" w:sz="0" w:space="0" w:color="auto"/>
        <w:bottom w:val="none" w:sz="0" w:space="0" w:color="auto"/>
        <w:right w:val="none" w:sz="0" w:space="0" w:color="auto"/>
      </w:divBdr>
    </w:div>
    <w:div w:id="616523179">
      <w:bodyDiv w:val="1"/>
      <w:marLeft w:val="0"/>
      <w:marRight w:val="0"/>
      <w:marTop w:val="0"/>
      <w:marBottom w:val="0"/>
      <w:divBdr>
        <w:top w:val="none" w:sz="0" w:space="0" w:color="auto"/>
        <w:left w:val="none" w:sz="0" w:space="0" w:color="auto"/>
        <w:bottom w:val="none" w:sz="0" w:space="0" w:color="auto"/>
        <w:right w:val="none" w:sz="0" w:space="0" w:color="auto"/>
      </w:divBdr>
    </w:div>
    <w:div w:id="618798348">
      <w:bodyDiv w:val="1"/>
      <w:marLeft w:val="0"/>
      <w:marRight w:val="0"/>
      <w:marTop w:val="0"/>
      <w:marBottom w:val="0"/>
      <w:divBdr>
        <w:top w:val="none" w:sz="0" w:space="0" w:color="auto"/>
        <w:left w:val="none" w:sz="0" w:space="0" w:color="auto"/>
        <w:bottom w:val="none" w:sz="0" w:space="0" w:color="auto"/>
        <w:right w:val="none" w:sz="0" w:space="0" w:color="auto"/>
      </w:divBdr>
    </w:div>
    <w:div w:id="619454602">
      <w:bodyDiv w:val="1"/>
      <w:marLeft w:val="0"/>
      <w:marRight w:val="0"/>
      <w:marTop w:val="0"/>
      <w:marBottom w:val="0"/>
      <w:divBdr>
        <w:top w:val="none" w:sz="0" w:space="0" w:color="auto"/>
        <w:left w:val="none" w:sz="0" w:space="0" w:color="auto"/>
        <w:bottom w:val="none" w:sz="0" w:space="0" w:color="auto"/>
        <w:right w:val="none" w:sz="0" w:space="0" w:color="auto"/>
      </w:divBdr>
    </w:div>
    <w:div w:id="626543631">
      <w:bodyDiv w:val="1"/>
      <w:marLeft w:val="0"/>
      <w:marRight w:val="0"/>
      <w:marTop w:val="0"/>
      <w:marBottom w:val="0"/>
      <w:divBdr>
        <w:top w:val="none" w:sz="0" w:space="0" w:color="auto"/>
        <w:left w:val="none" w:sz="0" w:space="0" w:color="auto"/>
        <w:bottom w:val="none" w:sz="0" w:space="0" w:color="auto"/>
        <w:right w:val="none" w:sz="0" w:space="0" w:color="auto"/>
      </w:divBdr>
    </w:div>
    <w:div w:id="626743250">
      <w:bodyDiv w:val="1"/>
      <w:marLeft w:val="0"/>
      <w:marRight w:val="0"/>
      <w:marTop w:val="0"/>
      <w:marBottom w:val="0"/>
      <w:divBdr>
        <w:top w:val="none" w:sz="0" w:space="0" w:color="auto"/>
        <w:left w:val="none" w:sz="0" w:space="0" w:color="auto"/>
        <w:bottom w:val="none" w:sz="0" w:space="0" w:color="auto"/>
        <w:right w:val="none" w:sz="0" w:space="0" w:color="auto"/>
      </w:divBdr>
    </w:div>
    <w:div w:id="627593473">
      <w:bodyDiv w:val="1"/>
      <w:marLeft w:val="0"/>
      <w:marRight w:val="0"/>
      <w:marTop w:val="0"/>
      <w:marBottom w:val="0"/>
      <w:divBdr>
        <w:top w:val="none" w:sz="0" w:space="0" w:color="auto"/>
        <w:left w:val="none" w:sz="0" w:space="0" w:color="auto"/>
        <w:bottom w:val="none" w:sz="0" w:space="0" w:color="auto"/>
        <w:right w:val="none" w:sz="0" w:space="0" w:color="auto"/>
      </w:divBdr>
    </w:div>
    <w:div w:id="628824646">
      <w:bodyDiv w:val="1"/>
      <w:marLeft w:val="0"/>
      <w:marRight w:val="0"/>
      <w:marTop w:val="0"/>
      <w:marBottom w:val="0"/>
      <w:divBdr>
        <w:top w:val="none" w:sz="0" w:space="0" w:color="auto"/>
        <w:left w:val="none" w:sz="0" w:space="0" w:color="auto"/>
        <w:bottom w:val="none" w:sz="0" w:space="0" w:color="auto"/>
        <w:right w:val="none" w:sz="0" w:space="0" w:color="auto"/>
      </w:divBdr>
    </w:div>
    <w:div w:id="630135020">
      <w:bodyDiv w:val="1"/>
      <w:marLeft w:val="0"/>
      <w:marRight w:val="0"/>
      <w:marTop w:val="0"/>
      <w:marBottom w:val="0"/>
      <w:divBdr>
        <w:top w:val="none" w:sz="0" w:space="0" w:color="auto"/>
        <w:left w:val="none" w:sz="0" w:space="0" w:color="auto"/>
        <w:bottom w:val="none" w:sz="0" w:space="0" w:color="auto"/>
        <w:right w:val="none" w:sz="0" w:space="0" w:color="auto"/>
      </w:divBdr>
    </w:div>
    <w:div w:id="638530743">
      <w:bodyDiv w:val="1"/>
      <w:marLeft w:val="0"/>
      <w:marRight w:val="0"/>
      <w:marTop w:val="0"/>
      <w:marBottom w:val="0"/>
      <w:divBdr>
        <w:top w:val="none" w:sz="0" w:space="0" w:color="auto"/>
        <w:left w:val="none" w:sz="0" w:space="0" w:color="auto"/>
        <w:bottom w:val="none" w:sz="0" w:space="0" w:color="auto"/>
        <w:right w:val="none" w:sz="0" w:space="0" w:color="auto"/>
      </w:divBdr>
    </w:div>
    <w:div w:id="639577487">
      <w:bodyDiv w:val="1"/>
      <w:marLeft w:val="0"/>
      <w:marRight w:val="0"/>
      <w:marTop w:val="0"/>
      <w:marBottom w:val="0"/>
      <w:divBdr>
        <w:top w:val="none" w:sz="0" w:space="0" w:color="auto"/>
        <w:left w:val="none" w:sz="0" w:space="0" w:color="auto"/>
        <w:bottom w:val="none" w:sz="0" w:space="0" w:color="auto"/>
        <w:right w:val="none" w:sz="0" w:space="0" w:color="auto"/>
      </w:divBdr>
    </w:div>
    <w:div w:id="646015985">
      <w:bodyDiv w:val="1"/>
      <w:marLeft w:val="0"/>
      <w:marRight w:val="0"/>
      <w:marTop w:val="0"/>
      <w:marBottom w:val="0"/>
      <w:divBdr>
        <w:top w:val="none" w:sz="0" w:space="0" w:color="auto"/>
        <w:left w:val="none" w:sz="0" w:space="0" w:color="auto"/>
        <w:bottom w:val="none" w:sz="0" w:space="0" w:color="auto"/>
        <w:right w:val="none" w:sz="0" w:space="0" w:color="auto"/>
      </w:divBdr>
    </w:div>
    <w:div w:id="646780556">
      <w:bodyDiv w:val="1"/>
      <w:marLeft w:val="0"/>
      <w:marRight w:val="0"/>
      <w:marTop w:val="0"/>
      <w:marBottom w:val="0"/>
      <w:divBdr>
        <w:top w:val="none" w:sz="0" w:space="0" w:color="auto"/>
        <w:left w:val="none" w:sz="0" w:space="0" w:color="auto"/>
        <w:bottom w:val="none" w:sz="0" w:space="0" w:color="auto"/>
        <w:right w:val="none" w:sz="0" w:space="0" w:color="auto"/>
      </w:divBdr>
    </w:div>
    <w:div w:id="647126516">
      <w:bodyDiv w:val="1"/>
      <w:marLeft w:val="0"/>
      <w:marRight w:val="0"/>
      <w:marTop w:val="0"/>
      <w:marBottom w:val="0"/>
      <w:divBdr>
        <w:top w:val="none" w:sz="0" w:space="0" w:color="auto"/>
        <w:left w:val="none" w:sz="0" w:space="0" w:color="auto"/>
        <w:bottom w:val="none" w:sz="0" w:space="0" w:color="auto"/>
        <w:right w:val="none" w:sz="0" w:space="0" w:color="auto"/>
      </w:divBdr>
    </w:div>
    <w:div w:id="650600108">
      <w:bodyDiv w:val="1"/>
      <w:marLeft w:val="0"/>
      <w:marRight w:val="0"/>
      <w:marTop w:val="0"/>
      <w:marBottom w:val="0"/>
      <w:divBdr>
        <w:top w:val="none" w:sz="0" w:space="0" w:color="auto"/>
        <w:left w:val="none" w:sz="0" w:space="0" w:color="auto"/>
        <w:bottom w:val="none" w:sz="0" w:space="0" w:color="auto"/>
        <w:right w:val="none" w:sz="0" w:space="0" w:color="auto"/>
      </w:divBdr>
    </w:div>
    <w:div w:id="655769004">
      <w:bodyDiv w:val="1"/>
      <w:marLeft w:val="0"/>
      <w:marRight w:val="0"/>
      <w:marTop w:val="0"/>
      <w:marBottom w:val="0"/>
      <w:divBdr>
        <w:top w:val="none" w:sz="0" w:space="0" w:color="auto"/>
        <w:left w:val="none" w:sz="0" w:space="0" w:color="auto"/>
        <w:bottom w:val="none" w:sz="0" w:space="0" w:color="auto"/>
        <w:right w:val="none" w:sz="0" w:space="0" w:color="auto"/>
      </w:divBdr>
    </w:div>
    <w:div w:id="656346965">
      <w:bodyDiv w:val="1"/>
      <w:marLeft w:val="0"/>
      <w:marRight w:val="0"/>
      <w:marTop w:val="0"/>
      <w:marBottom w:val="0"/>
      <w:divBdr>
        <w:top w:val="none" w:sz="0" w:space="0" w:color="auto"/>
        <w:left w:val="none" w:sz="0" w:space="0" w:color="auto"/>
        <w:bottom w:val="none" w:sz="0" w:space="0" w:color="auto"/>
        <w:right w:val="none" w:sz="0" w:space="0" w:color="auto"/>
      </w:divBdr>
    </w:div>
    <w:div w:id="656962342">
      <w:bodyDiv w:val="1"/>
      <w:marLeft w:val="0"/>
      <w:marRight w:val="0"/>
      <w:marTop w:val="0"/>
      <w:marBottom w:val="0"/>
      <w:divBdr>
        <w:top w:val="none" w:sz="0" w:space="0" w:color="auto"/>
        <w:left w:val="none" w:sz="0" w:space="0" w:color="auto"/>
        <w:bottom w:val="none" w:sz="0" w:space="0" w:color="auto"/>
        <w:right w:val="none" w:sz="0" w:space="0" w:color="auto"/>
      </w:divBdr>
    </w:div>
    <w:div w:id="658772024">
      <w:bodyDiv w:val="1"/>
      <w:marLeft w:val="0"/>
      <w:marRight w:val="0"/>
      <w:marTop w:val="0"/>
      <w:marBottom w:val="0"/>
      <w:divBdr>
        <w:top w:val="none" w:sz="0" w:space="0" w:color="auto"/>
        <w:left w:val="none" w:sz="0" w:space="0" w:color="auto"/>
        <w:bottom w:val="none" w:sz="0" w:space="0" w:color="auto"/>
        <w:right w:val="none" w:sz="0" w:space="0" w:color="auto"/>
      </w:divBdr>
    </w:div>
    <w:div w:id="662928291">
      <w:bodyDiv w:val="1"/>
      <w:marLeft w:val="0"/>
      <w:marRight w:val="0"/>
      <w:marTop w:val="0"/>
      <w:marBottom w:val="0"/>
      <w:divBdr>
        <w:top w:val="none" w:sz="0" w:space="0" w:color="auto"/>
        <w:left w:val="none" w:sz="0" w:space="0" w:color="auto"/>
        <w:bottom w:val="none" w:sz="0" w:space="0" w:color="auto"/>
        <w:right w:val="none" w:sz="0" w:space="0" w:color="auto"/>
      </w:divBdr>
    </w:div>
    <w:div w:id="668796627">
      <w:bodyDiv w:val="1"/>
      <w:marLeft w:val="0"/>
      <w:marRight w:val="0"/>
      <w:marTop w:val="0"/>
      <w:marBottom w:val="0"/>
      <w:divBdr>
        <w:top w:val="none" w:sz="0" w:space="0" w:color="auto"/>
        <w:left w:val="none" w:sz="0" w:space="0" w:color="auto"/>
        <w:bottom w:val="none" w:sz="0" w:space="0" w:color="auto"/>
        <w:right w:val="none" w:sz="0" w:space="0" w:color="auto"/>
      </w:divBdr>
    </w:div>
    <w:div w:id="669522543">
      <w:bodyDiv w:val="1"/>
      <w:marLeft w:val="0"/>
      <w:marRight w:val="0"/>
      <w:marTop w:val="0"/>
      <w:marBottom w:val="0"/>
      <w:divBdr>
        <w:top w:val="none" w:sz="0" w:space="0" w:color="auto"/>
        <w:left w:val="none" w:sz="0" w:space="0" w:color="auto"/>
        <w:bottom w:val="none" w:sz="0" w:space="0" w:color="auto"/>
        <w:right w:val="none" w:sz="0" w:space="0" w:color="auto"/>
      </w:divBdr>
    </w:div>
    <w:div w:id="681247394">
      <w:bodyDiv w:val="1"/>
      <w:marLeft w:val="0"/>
      <w:marRight w:val="0"/>
      <w:marTop w:val="0"/>
      <w:marBottom w:val="0"/>
      <w:divBdr>
        <w:top w:val="none" w:sz="0" w:space="0" w:color="auto"/>
        <w:left w:val="none" w:sz="0" w:space="0" w:color="auto"/>
        <w:bottom w:val="none" w:sz="0" w:space="0" w:color="auto"/>
        <w:right w:val="none" w:sz="0" w:space="0" w:color="auto"/>
      </w:divBdr>
    </w:div>
    <w:div w:id="684020106">
      <w:bodyDiv w:val="1"/>
      <w:marLeft w:val="0"/>
      <w:marRight w:val="0"/>
      <w:marTop w:val="0"/>
      <w:marBottom w:val="0"/>
      <w:divBdr>
        <w:top w:val="none" w:sz="0" w:space="0" w:color="auto"/>
        <w:left w:val="none" w:sz="0" w:space="0" w:color="auto"/>
        <w:bottom w:val="none" w:sz="0" w:space="0" w:color="auto"/>
        <w:right w:val="none" w:sz="0" w:space="0" w:color="auto"/>
      </w:divBdr>
    </w:div>
    <w:div w:id="684938240">
      <w:bodyDiv w:val="1"/>
      <w:marLeft w:val="0"/>
      <w:marRight w:val="0"/>
      <w:marTop w:val="0"/>
      <w:marBottom w:val="0"/>
      <w:divBdr>
        <w:top w:val="none" w:sz="0" w:space="0" w:color="auto"/>
        <w:left w:val="none" w:sz="0" w:space="0" w:color="auto"/>
        <w:bottom w:val="none" w:sz="0" w:space="0" w:color="auto"/>
        <w:right w:val="none" w:sz="0" w:space="0" w:color="auto"/>
      </w:divBdr>
    </w:div>
    <w:div w:id="689061903">
      <w:bodyDiv w:val="1"/>
      <w:marLeft w:val="0"/>
      <w:marRight w:val="0"/>
      <w:marTop w:val="0"/>
      <w:marBottom w:val="0"/>
      <w:divBdr>
        <w:top w:val="none" w:sz="0" w:space="0" w:color="auto"/>
        <w:left w:val="none" w:sz="0" w:space="0" w:color="auto"/>
        <w:bottom w:val="none" w:sz="0" w:space="0" w:color="auto"/>
        <w:right w:val="none" w:sz="0" w:space="0" w:color="auto"/>
      </w:divBdr>
    </w:div>
    <w:div w:id="691152106">
      <w:bodyDiv w:val="1"/>
      <w:marLeft w:val="0"/>
      <w:marRight w:val="0"/>
      <w:marTop w:val="0"/>
      <w:marBottom w:val="0"/>
      <w:divBdr>
        <w:top w:val="none" w:sz="0" w:space="0" w:color="auto"/>
        <w:left w:val="none" w:sz="0" w:space="0" w:color="auto"/>
        <w:bottom w:val="none" w:sz="0" w:space="0" w:color="auto"/>
        <w:right w:val="none" w:sz="0" w:space="0" w:color="auto"/>
      </w:divBdr>
    </w:div>
    <w:div w:id="691687733">
      <w:bodyDiv w:val="1"/>
      <w:marLeft w:val="0"/>
      <w:marRight w:val="0"/>
      <w:marTop w:val="0"/>
      <w:marBottom w:val="0"/>
      <w:divBdr>
        <w:top w:val="none" w:sz="0" w:space="0" w:color="auto"/>
        <w:left w:val="none" w:sz="0" w:space="0" w:color="auto"/>
        <w:bottom w:val="none" w:sz="0" w:space="0" w:color="auto"/>
        <w:right w:val="none" w:sz="0" w:space="0" w:color="auto"/>
      </w:divBdr>
    </w:div>
    <w:div w:id="693462390">
      <w:bodyDiv w:val="1"/>
      <w:marLeft w:val="0"/>
      <w:marRight w:val="0"/>
      <w:marTop w:val="0"/>
      <w:marBottom w:val="0"/>
      <w:divBdr>
        <w:top w:val="none" w:sz="0" w:space="0" w:color="auto"/>
        <w:left w:val="none" w:sz="0" w:space="0" w:color="auto"/>
        <w:bottom w:val="none" w:sz="0" w:space="0" w:color="auto"/>
        <w:right w:val="none" w:sz="0" w:space="0" w:color="auto"/>
      </w:divBdr>
    </w:div>
    <w:div w:id="700277045">
      <w:bodyDiv w:val="1"/>
      <w:marLeft w:val="0"/>
      <w:marRight w:val="0"/>
      <w:marTop w:val="0"/>
      <w:marBottom w:val="0"/>
      <w:divBdr>
        <w:top w:val="none" w:sz="0" w:space="0" w:color="auto"/>
        <w:left w:val="none" w:sz="0" w:space="0" w:color="auto"/>
        <w:bottom w:val="none" w:sz="0" w:space="0" w:color="auto"/>
        <w:right w:val="none" w:sz="0" w:space="0" w:color="auto"/>
      </w:divBdr>
    </w:div>
    <w:div w:id="700933017">
      <w:bodyDiv w:val="1"/>
      <w:marLeft w:val="0"/>
      <w:marRight w:val="0"/>
      <w:marTop w:val="0"/>
      <w:marBottom w:val="0"/>
      <w:divBdr>
        <w:top w:val="none" w:sz="0" w:space="0" w:color="auto"/>
        <w:left w:val="none" w:sz="0" w:space="0" w:color="auto"/>
        <w:bottom w:val="none" w:sz="0" w:space="0" w:color="auto"/>
        <w:right w:val="none" w:sz="0" w:space="0" w:color="auto"/>
      </w:divBdr>
    </w:div>
    <w:div w:id="702899534">
      <w:bodyDiv w:val="1"/>
      <w:marLeft w:val="0"/>
      <w:marRight w:val="0"/>
      <w:marTop w:val="0"/>
      <w:marBottom w:val="0"/>
      <w:divBdr>
        <w:top w:val="none" w:sz="0" w:space="0" w:color="auto"/>
        <w:left w:val="none" w:sz="0" w:space="0" w:color="auto"/>
        <w:bottom w:val="none" w:sz="0" w:space="0" w:color="auto"/>
        <w:right w:val="none" w:sz="0" w:space="0" w:color="auto"/>
      </w:divBdr>
    </w:div>
    <w:div w:id="703096170">
      <w:bodyDiv w:val="1"/>
      <w:marLeft w:val="0"/>
      <w:marRight w:val="0"/>
      <w:marTop w:val="0"/>
      <w:marBottom w:val="0"/>
      <w:divBdr>
        <w:top w:val="none" w:sz="0" w:space="0" w:color="auto"/>
        <w:left w:val="none" w:sz="0" w:space="0" w:color="auto"/>
        <w:bottom w:val="none" w:sz="0" w:space="0" w:color="auto"/>
        <w:right w:val="none" w:sz="0" w:space="0" w:color="auto"/>
      </w:divBdr>
    </w:div>
    <w:div w:id="703948575">
      <w:bodyDiv w:val="1"/>
      <w:marLeft w:val="0"/>
      <w:marRight w:val="0"/>
      <w:marTop w:val="0"/>
      <w:marBottom w:val="0"/>
      <w:divBdr>
        <w:top w:val="none" w:sz="0" w:space="0" w:color="auto"/>
        <w:left w:val="none" w:sz="0" w:space="0" w:color="auto"/>
        <w:bottom w:val="none" w:sz="0" w:space="0" w:color="auto"/>
        <w:right w:val="none" w:sz="0" w:space="0" w:color="auto"/>
      </w:divBdr>
    </w:div>
    <w:div w:id="704596672">
      <w:bodyDiv w:val="1"/>
      <w:marLeft w:val="0"/>
      <w:marRight w:val="0"/>
      <w:marTop w:val="0"/>
      <w:marBottom w:val="0"/>
      <w:divBdr>
        <w:top w:val="none" w:sz="0" w:space="0" w:color="auto"/>
        <w:left w:val="none" w:sz="0" w:space="0" w:color="auto"/>
        <w:bottom w:val="none" w:sz="0" w:space="0" w:color="auto"/>
        <w:right w:val="none" w:sz="0" w:space="0" w:color="auto"/>
      </w:divBdr>
    </w:div>
    <w:div w:id="711030539">
      <w:bodyDiv w:val="1"/>
      <w:marLeft w:val="0"/>
      <w:marRight w:val="0"/>
      <w:marTop w:val="0"/>
      <w:marBottom w:val="0"/>
      <w:divBdr>
        <w:top w:val="none" w:sz="0" w:space="0" w:color="auto"/>
        <w:left w:val="none" w:sz="0" w:space="0" w:color="auto"/>
        <w:bottom w:val="none" w:sz="0" w:space="0" w:color="auto"/>
        <w:right w:val="none" w:sz="0" w:space="0" w:color="auto"/>
      </w:divBdr>
    </w:div>
    <w:div w:id="717826168">
      <w:bodyDiv w:val="1"/>
      <w:marLeft w:val="0"/>
      <w:marRight w:val="0"/>
      <w:marTop w:val="0"/>
      <w:marBottom w:val="0"/>
      <w:divBdr>
        <w:top w:val="none" w:sz="0" w:space="0" w:color="auto"/>
        <w:left w:val="none" w:sz="0" w:space="0" w:color="auto"/>
        <w:bottom w:val="none" w:sz="0" w:space="0" w:color="auto"/>
        <w:right w:val="none" w:sz="0" w:space="0" w:color="auto"/>
      </w:divBdr>
    </w:div>
    <w:div w:id="720713084">
      <w:bodyDiv w:val="1"/>
      <w:marLeft w:val="0"/>
      <w:marRight w:val="0"/>
      <w:marTop w:val="0"/>
      <w:marBottom w:val="0"/>
      <w:divBdr>
        <w:top w:val="none" w:sz="0" w:space="0" w:color="auto"/>
        <w:left w:val="none" w:sz="0" w:space="0" w:color="auto"/>
        <w:bottom w:val="none" w:sz="0" w:space="0" w:color="auto"/>
        <w:right w:val="none" w:sz="0" w:space="0" w:color="auto"/>
      </w:divBdr>
    </w:div>
    <w:div w:id="723869053">
      <w:bodyDiv w:val="1"/>
      <w:marLeft w:val="0"/>
      <w:marRight w:val="0"/>
      <w:marTop w:val="0"/>
      <w:marBottom w:val="0"/>
      <w:divBdr>
        <w:top w:val="none" w:sz="0" w:space="0" w:color="auto"/>
        <w:left w:val="none" w:sz="0" w:space="0" w:color="auto"/>
        <w:bottom w:val="none" w:sz="0" w:space="0" w:color="auto"/>
        <w:right w:val="none" w:sz="0" w:space="0" w:color="auto"/>
      </w:divBdr>
    </w:div>
    <w:div w:id="724765287">
      <w:bodyDiv w:val="1"/>
      <w:marLeft w:val="0"/>
      <w:marRight w:val="0"/>
      <w:marTop w:val="0"/>
      <w:marBottom w:val="0"/>
      <w:divBdr>
        <w:top w:val="none" w:sz="0" w:space="0" w:color="auto"/>
        <w:left w:val="none" w:sz="0" w:space="0" w:color="auto"/>
        <w:bottom w:val="none" w:sz="0" w:space="0" w:color="auto"/>
        <w:right w:val="none" w:sz="0" w:space="0" w:color="auto"/>
      </w:divBdr>
    </w:div>
    <w:div w:id="725564634">
      <w:bodyDiv w:val="1"/>
      <w:marLeft w:val="0"/>
      <w:marRight w:val="0"/>
      <w:marTop w:val="0"/>
      <w:marBottom w:val="0"/>
      <w:divBdr>
        <w:top w:val="none" w:sz="0" w:space="0" w:color="auto"/>
        <w:left w:val="none" w:sz="0" w:space="0" w:color="auto"/>
        <w:bottom w:val="none" w:sz="0" w:space="0" w:color="auto"/>
        <w:right w:val="none" w:sz="0" w:space="0" w:color="auto"/>
      </w:divBdr>
    </w:div>
    <w:div w:id="731853503">
      <w:bodyDiv w:val="1"/>
      <w:marLeft w:val="0"/>
      <w:marRight w:val="0"/>
      <w:marTop w:val="0"/>
      <w:marBottom w:val="0"/>
      <w:divBdr>
        <w:top w:val="none" w:sz="0" w:space="0" w:color="auto"/>
        <w:left w:val="none" w:sz="0" w:space="0" w:color="auto"/>
        <w:bottom w:val="none" w:sz="0" w:space="0" w:color="auto"/>
        <w:right w:val="none" w:sz="0" w:space="0" w:color="auto"/>
      </w:divBdr>
    </w:div>
    <w:div w:id="736050285">
      <w:bodyDiv w:val="1"/>
      <w:marLeft w:val="0"/>
      <w:marRight w:val="0"/>
      <w:marTop w:val="0"/>
      <w:marBottom w:val="0"/>
      <w:divBdr>
        <w:top w:val="none" w:sz="0" w:space="0" w:color="auto"/>
        <w:left w:val="none" w:sz="0" w:space="0" w:color="auto"/>
        <w:bottom w:val="none" w:sz="0" w:space="0" w:color="auto"/>
        <w:right w:val="none" w:sz="0" w:space="0" w:color="auto"/>
      </w:divBdr>
    </w:div>
    <w:div w:id="741870932">
      <w:bodyDiv w:val="1"/>
      <w:marLeft w:val="0"/>
      <w:marRight w:val="0"/>
      <w:marTop w:val="0"/>
      <w:marBottom w:val="0"/>
      <w:divBdr>
        <w:top w:val="none" w:sz="0" w:space="0" w:color="auto"/>
        <w:left w:val="none" w:sz="0" w:space="0" w:color="auto"/>
        <w:bottom w:val="none" w:sz="0" w:space="0" w:color="auto"/>
        <w:right w:val="none" w:sz="0" w:space="0" w:color="auto"/>
      </w:divBdr>
    </w:div>
    <w:div w:id="742945949">
      <w:bodyDiv w:val="1"/>
      <w:marLeft w:val="0"/>
      <w:marRight w:val="0"/>
      <w:marTop w:val="0"/>
      <w:marBottom w:val="0"/>
      <w:divBdr>
        <w:top w:val="none" w:sz="0" w:space="0" w:color="auto"/>
        <w:left w:val="none" w:sz="0" w:space="0" w:color="auto"/>
        <w:bottom w:val="none" w:sz="0" w:space="0" w:color="auto"/>
        <w:right w:val="none" w:sz="0" w:space="0" w:color="auto"/>
      </w:divBdr>
    </w:div>
    <w:div w:id="752358932">
      <w:bodyDiv w:val="1"/>
      <w:marLeft w:val="0"/>
      <w:marRight w:val="0"/>
      <w:marTop w:val="0"/>
      <w:marBottom w:val="0"/>
      <w:divBdr>
        <w:top w:val="none" w:sz="0" w:space="0" w:color="auto"/>
        <w:left w:val="none" w:sz="0" w:space="0" w:color="auto"/>
        <w:bottom w:val="none" w:sz="0" w:space="0" w:color="auto"/>
        <w:right w:val="none" w:sz="0" w:space="0" w:color="auto"/>
      </w:divBdr>
    </w:div>
    <w:div w:id="755127076">
      <w:bodyDiv w:val="1"/>
      <w:marLeft w:val="0"/>
      <w:marRight w:val="0"/>
      <w:marTop w:val="0"/>
      <w:marBottom w:val="0"/>
      <w:divBdr>
        <w:top w:val="none" w:sz="0" w:space="0" w:color="auto"/>
        <w:left w:val="none" w:sz="0" w:space="0" w:color="auto"/>
        <w:bottom w:val="none" w:sz="0" w:space="0" w:color="auto"/>
        <w:right w:val="none" w:sz="0" w:space="0" w:color="auto"/>
      </w:divBdr>
    </w:div>
    <w:div w:id="757671957">
      <w:bodyDiv w:val="1"/>
      <w:marLeft w:val="0"/>
      <w:marRight w:val="0"/>
      <w:marTop w:val="0"/>
      <w:marBottom w:val="0"/>
      <w:divBdr>
        <w:top w:val="none" w:sz="0" w:space="0" w:color="auto"/>
        <w:left w:val="none" w:sz="0" w:space="0" w:color="auto"/>
        <w:bottom w:val="none" w:sz="0" w:space="0" w:color="auto"/>
        <w:right w:val="none" w:sz="0" w:space="0" w:color="auto"/>
      </w:divBdr>
    </w:div>
    <w:div w:id="757949654">
      <w:bodyDiv w:val="1"/>
      <w:marLeft w:val="0"/>
      <w:marRight w:val="0"/>
      <w:marTop w:val="0"/>
      <w:marBottom w:val="0"/>
      <w:divBdr>
        <w:top w:val="none" w:sz="0" w:space="0" w:color="auto"/>
        <w:left w:val="none" w:sz="0" w:space="0" w:color="auto"/>
        <w:bottom w:val="none" w:sz="0" w:space="0" w:color="auto"/>
        <w:right w:val="none" w:sz="0" w:space="0" w:color="auto"/>
      </w:divBdr>
    </w:div>
    <w:div w:id="758521516">
      <w:bodyDiv w:val="1"/>
      <w:marLeft w:val="0"/>
      <w:marRight w:val="0"/>
      <w:marTop w:val="0"/>
      <w:marBottom w:val="0"/>
      <w:divBdr>
        <w:top w:val="none" w:sz="0" w:space="0" w:color="auto"/>
        <w:left w:val="none" w:sz="0" w:space="0" w:color="auto"/>
        <w:bottom w:val="none" w:sz="0" w:space="0" w:color="auto"/>
        <w:right w:val="none" w:sz="0" w:space="0" w:color="auto"/>
      </w:divBdr>
    </w:div>
    <w:div w:id="765074157">
      <w:bodyDiv w:val="1"/>
      <w:marLeft w:val="0"/>
      <w:marRight w:val="0"/>
      <w:marTop w:val="0"/>
      <w:marBottom w:val="0"/>
      <w:divBdr>
        <w:top w:val="none" w:sz="0" w:space="0" w:color="auto"/>
        <w:left w:val="none" w:sz="0" w:space="0" w:color="auto"/>
        <w:bottom w:val="none" w:sz="0" w:space="0" w:color="auto"/>
        <w:right w:val="none" w:sz="0" w:space="0" w:color="auto"/>
      </w:divBdr>
    </w:div>
    <w:div w:id="765685769">
      <w:bodyDiv w:val="1"/>
      <w:marLeft w:val="0"/>
      <w:marRight w:val="0"/>
      <w:marTop w:val="0"/>
      <w:marBottom w:val="0"/>
      <w:divBdr>
        <w:top w:val="none" w:sz="0" w:space="0" w:color="auto"/>
        <w:left w:val="none" w:sz="0" w:space="0" w:color="auto"/>
        <w:bottom w:val="none" w:sz="0" w:space="0" w:color="auto"/>
        <w:right w:val="none" w:sz="0" w:space="0" w:color="auto"/>
      </w:divBdr>
    </w:div>
    <w:div w:id="766538377">
      <w:bodyDiv w:val="1"/>
      <w:marLeft w:val="0"/>
      <w:marRight w:val="0"/>
      <w:marTop w:val="0"/>
      <w:marBottom w:val="0"/>
      <w:divBdr>
        <w:top w:val="none" w:sz="0" w:space="0" w:color="auto"/>
        <w:left w:val="none" w:sz="0" w:space="0" w:color="auto"/>
        <w:bottom w:val="none" w:sz="0" w:space="0" w:color="auto"/>
        <w:right w:val="none" w:sz="0" w:space="0" w:color="auto"/>
      </w:divBdr>
    </w:div>
    <w:div w:id="769356500">
      <w:bodyDiv w:val="1"/>
      <w:marLeft w:val="0"/>
      <w:marRight w:val="0"/>
      <w:marTop w:val="0"/>
      <w:marBottom w:val="0"/>
      <w:divBdr>
        <w:top w:val="none" w:sz="0" w:space="0" w:color="auto"/>
        <w:left w:val="none" w:sz="0" w:space="0" w:color="auto"/>
        <w:bottom w:val="none" w:sz="0" w:space="0" w:color="auto"/>
        <w:right w:val="none" w:sz="0" w:space="0" w:color="auto"/>
      </w:divBdr>
    </w:div>
    <w:div w:id="773746527">
      <w:bodyDiv w:val="1"/>
      <w:marLeft w:val="0"/>
      <w:marRight w:val="0"/>
      <w:marTop w:val="0"/>
      <w:marBottom w:val="0"/>
      <w:divBdr>
        <w:top w:val="none" w:sz="0" w:space="0" w:color="auto"/>
        <w:left w:val="none" w:sz="0" w:space="0" w:color="auto"/>
        <w:bottom w:val="none" w:sz="0" w:space="0" w:color="auto"/>
        <w:right w:val="none" w:sz="0" w:space="0" w:color="auto"/>
      </w:divBdr>
    </w:div>
    <w:div w:id="774131667">
      <w:bodyDiv w:val="1"/>
      <w:marLeft w:val="0"/>
      <w:marRight w:val="0"/>
      <w:marTop w:val="0"/>
      <w:marBottom w:val="0"/>
      <w:divBdr>
        <w:top w:val="none" w:sz="0" w:space="0" w:color="auto"/>
        <w:left w:val="none" w:sz="0" w:space="0" w:color="auto"/>
        <w:bottom w:val="none" w:sz="0" w:space="0" w:color="auto"/>
        <w:right w:val="none" w:sz="0" w:space="0" w:color="auto"/>
      </w:divBdr>
    </w:div>
    <w:div w:id="778917454">
      <w:bodyDiv w:val="1"/>
      <w:marLeft w:val="0"/>
      <w:marRight w:val="0"/>
      <w:marTop w:val="0"/>
      <w:marBottom w:val="0"/>
      <w:divBdr>
        <w:top w:val="none" w:sz="0" w:space="0" w:color="auto"/>
        <w:left w:val="none" w:sz="0" w:space="0" w:color="auto"/>
        <w:bottom w:val="none" w:sz="0" w:space="0" w:color="auto"/>
        <w:right w:val="none" w:sz="0" w:space="0" w:color="auto"/>
      </w:divBdr>
    </w:div>
    <w:div w:id="780219817">
      <w:bodyDiv w:val="1"/>
      <w:marLeft w:val="0"/>
      <w:marRight w:val="0"/>
      <w:marTop w:val="0"/>
      <w:marBottom w:val="0"/>
      <w:divBdr>
        <w:top w:val="none" w:sz="0" w:space="0" w:color="auto"/>
        <w:left w:val="none" w:sz="0" w:space="0" w:color="auto"/>
        <w:bottom w:val="none" w:sz="0" w:space="0" w:color="auto"/>
        <w:right w:val="none" w:sz="0" w:space="0" w:color="auto"/>
      </w:divBdr>
    </w:div>
    <w:div w:id="785078228">
      <w:bodyDiv w:val="1"/>
      <w:marLeft w:val="0"/>
      <w:marRight w:val="0"/>
      <w:marTop w:val="0"/>
      <w:marBottom w:val="0"/>
      <w:divBdr>
        <w:top w:val="none" w:sz="0" w:space="0" w:color="auto"/>
        <w:left w:val="none" w:sz="0" w:space="0" w:color="auto"/>
        <w:bottom w:val="none" w:sz="0" w:space="0" w:color="auto"/>
        <w:right w:val="none" w:sz="0" w:space="0" w:color="auto"/>
      </w:divBdr>
    </w:div>
    <w:div w:id="787243619">
      <w:bodyDiv w:val="1"/>
      <w:marLeft w:val="0"/>
      <w:marRight w:val="0"/>
      <w:marTop w:val="0"/>
      <w:marBottom w:val="0"/>
      <w:divBdr>
        <w:top w:val="none" w:sz="0" w:space="0" w:color="auto"/>
        <w:left w:val="none" w:sz="0" w:space="0" w:color="auto"/>
        <w:bottom w:val="none" w:sz="0" w:space="0" w:color="auto"/>
        <w:right w:val="none" w:sz="0" w:space="0" w:color="auto"/>
      </w:divBdr>
    </w:div>
    <w:div w:id="787431582">
      <w:bodyDiv w:val="1"/>
      <w:marLeft w:val="0"/>
      <w:marRight w:val="0"/>
      <w:marTop w:val="0"/>
      <w:marBottom w:val="0"/>
      <w:divBdr>
        <w:top w:val="none" w:sz="0" w:space="0" w:color="auto"/>
        <w:left w:val="none" w:sz="0" w:space="0" w:color="auto"/>
        <w:bottom w:val="none" w:sz="0" w:space="0" w:color="auto"/>
        <w:right w:val="none" w:sz="0" w:space="0" w:color="auto"/>
      </w:divBdr>
    </w:div>
    <w:div w:id="790169093">
      <w:bodyDiv w:val="1"/>
      <w:marLeft w:val="0"/>
      <w:marRight w:val="0"/>
      <w:marTop w:val="0"/>
      <w:marBottom w:val="0"/>
      <w:divBdr>
        <w:top w:val="none" w:sz="0" w:space="0" w:color="auto"/>
        <w:left w:val="none" w:sz="0" w:space="0" w:color="auto"/>
        <w:bottom w:val="none" w:sz="0" w:space="0" w:color="auto"/>
        <w:right w:val="none" w:sz="0" w:space="0" w:color="auto"/>
      </w:divBdr>
    </w:div>
    <w:div w:id="791897669">
      <w:bodyDiv w:val="1"/>
      <w:marLeft w:val="0"/>
      <w:marRight w:val="0"/>
      <w:marTop w:val="0"/>
      <w:marBottom w:val="0"/>
      <w:divBdr>
        <w:top w:val="none" w:sz="0" w:space="0" w:color="auto"/>
        <w:left w:val="none" w:sz="0" w:space="0" w:color="auto"/>
        <w:bottom w:val="none" w:sz="0" w:space="0" w:color="auto"/>
        <w:right w:val="none" w:sz="0" w:space="0" w:color="auto"/>
      </w:divBdr>
    </w:div>
    <w:div w:id="792594278">
      <w:bodyDiv w:val="1"/>
      <w:marLeft w:val="0"/>
      <w:marRight w:val="0"/>
      <w:marTop w:val="0"/>
      <w:marBottom w:val="0"/>
      <w:divBdr>
        <w:top w:val="none" w:sz="0" w:space="0" w:color="auto"/>
        <w:left w:val="none" w:sz="0" w:space="0" w:color="auto"/>
        <w:bottom w:val="none" w:sz="0" w:space="0" w:color="auto"/>
        <w:right w:val="none" w:sz="0" w:space="0" w:color="auto"/>
      </w:divBdr>
    </w:div>
    <w:div w:id="793642337">
      <w:bodyDiv w:val="1"/>
      <w:marLeft w:val="0"/>
      <w:marRight w:val="0"/>
      <w:marTop w:val="0"/>
      <w:marBottom w:val="0"/>
      <w:divBdr>
        <w:top w:val="none" w:sz="0" w:space="0" w:color="auto"/>
        <w:left w:val="none" w:sz="0" w:space="0" w:color="auto"/>
        <w:bottom w:val="none" w:sz="0" w:space="0" w:color="auto"/>
        <w:right w:val="none" w:sz="0" w:space="0" w:color="auto"/>
      </w:divBdr>
    </w:div>
    <w:div w:id="796341308">
      <w:bodyDiv w:val="1"/>
      <w:marLeft w:val="0"/>
      <w:marRight w:val="0"/>
      <w:marTop w:val="0"/>
      <w:marBottom w:val="0"/>
      <w:divBdr>
        <w:top w:val="none" w:sz="0" w:space="0" w:color="auto"/>
        <w:left w:val="none" w:sz="0" w:space="0" w:color="auto"/>
        <w:bottom w:val="none" w:sz="0" w:space="0" w:color="auto"/>
        <w:right w:val="none" w:sz="0" w:space="0" w:color="auto"/>
      </w:divBdr>
    </w:div>
    <w:div w:id="796876442">
      <w:bodyDiv w:val="1"/>
      <w:marLeft w:val="0"/>
      <w:marRight w:val="0"/>
      <w:marTop w:val="0"/>
      <w:marBottom w:val="0"/>
      <w:divBdr>
        <w:top w:val="none" w:sz="0" w:space="0" w:color="auto"/>
        <w:left w:val="none" w:sz="0" w:space="0" w:color="auto"/>
        <w:bottom w:val="none" w:sz="0" w:space="0" w:color="auto"/>
        <w:right w:val="none" w:sz="0" w:space="0" w:color="auto"/>
      </w:divBdr>
    </w:div>
    <w:div w:id="799347757">
      <w:bodyDiv w:val="1"/>
      <w:marLeft w:val="0"/>
      <w:marRight w:val="0"/>
      <w:marTop w:val="0"/>
      <w:marBottom w:val="0"/>
      <w:divBdr>
        <w:top w:val="none" w:sz="0" w:space="0" w:color="auto"/>
        <w:left w:val="none" w:sz="0" w:space="0" w:color="auto"/>
        <w:bottom w:val="none" w:sz="0" w:space="0" w:color="auto"/>
        <w:right w:val="none" w:sz="0" w:space="0" w:color="auto"/>
      </w:divBdr>
    </w:div>
    <w:div w:id="805196445">
      <w:bodyDiv w:val="1"/>
      <w:marLeft w:val="0"/>
      <w:marRight w:val="0"/>
      <w:marTop w:val="0"/>
      <w:marBottom w:val="0"/>
      <w:divBdr>
        <w:top w:val="none" w:sz="0" w:space="0" w:color="auto"/>
        <w:left w:val="none" w:sz="0" w:space="0" w:color="auto"/>
        <w:bottom w:val="none" w:sz="0" w:space="0" w:color="auto"/>
        <w:right w:val="none" w:sz="0" w:space="0" w:color="auto"/>
      </w:divBdr>
    </w:div>
    <w:div w:id="808205917">
      <w:bodyDiv w:val="1"/>
      <w:marLeft w:val="0"/>
      <w:marRight w:val="0"/>
      <w:marTop w:val="0"/>
      <w:marBottom w:val="0"/>
      <w:divBdr>
        <w:top w:val="none" w:sz="0" w:space="0" w:color="auto"/>
        <w:left w:val="none" w:sz="0" w:space="0" w:color="auto"/>
        <w:bottom w:val="none" w:sz="0" w:space="0" w:color="auto"/>
        <w:right w:val="none" w:sz="0" w:space="0" w:color="auto"/>
      </w:divBdr>
    </w:div>
    <w:div w:id="809984416">
      <w:bodyDiv w:val="1"/>
      <w:marLeft w:val="0"/>
      <w:marRight w:val="0"/>
      <w:marTop w:val="0"/>
      <w:marBottom w:val="0"/>
      <w:divBdr>
        <w:top w:val="none" w:sz="0" w:space="0" w:color="auto"/>
        <w:left w:val="none" w:sz="0" w:space="0" w:color="auto"/>
        <w:bottom w:val="none" w:sz="0" w:space="0" w:color="auto"/>
        <w:right w:val="none" w:sz="0" w:space="0" w:color="auto"/>
      </w:divBdr>
    </w:div>
    <w:div w:id="811484334">
      <w:bodyDiv w:val="1"/>
      <w:marLeft w:val="0"/>
      <w:marRight w:val="0"/>
      <w:marTop w:val="0"/>
      <w:marBottom w:val="0"/>
      <w:divBdr>
        <w:top w:val="none" w:sz="0" w:space="0" w:color="auto"/>
        <w:left w:val="none" w:sz="0" w:space="0" w:color="auto"/>
        <w:bottom w:val="none" w:sz="0" w:space="0" w:color="auto"/>
        <w:right w:val="none" w:sz="0" w:space="0" w:color="auto"/>
      </w:divBdr>
    </w:div>
    <w:div w:id="816999210">
      <w:bodyDiv w:val="1"/>
      <w:marLeft w:val="0"/>
      <w:marRight w:val="0"/>
      <w:marTop w:val="0"/>
      <w:marBottom w:val="0"/>
      <w:divBdr>
        <w:top w:val="none" w:sz="0" w:space="0" w:color="auto"/>
        <w:left w:val="none" w:sz="0" w:space="0" w:color="auto"/>
        <w:bottom w:val="none" w:sz="0" w:space="0" w:color="auto"/>
        <w:right w:val="none" w:sz="0" w:space="0" w:color="auto"/>
      </w:divBdr>
    </w:div>
    <w:div w:id="817694851">
      <w:bodyDiv w:val="1"/>
      <w:marLeft w:val="0"/>
      <w:marRight w:val="0"/>
      <w:marTop w:val="0"/>
      <w:marBottom w:val="0"/>
      <w:divBdr>
        <w:top w:val="none" w:sz="0" w:space="0" w:color="auto"/>
        <w:left w:val="none" w:sz="0" w:space="0" w:color="auto"/>
        <w:bottom w:val="none" w:sz="0" w:space="0" w:color="auto"/>
        <w:right w:val="none" w:sz="0" w:space="0" w:color="auto"/>
      </w:divBdr>
    </w:div>
    <w:div w:id="818573155">
      <w:bodyDiv w:val="1"/>
      <w:marLeft w:val="0"/>
      <w:marRight w:val="0"/>
      <w:marTop w:val="0"/>
      <w:marBottom w:val="0"/>
      <w:divBdr>
        <w:top w:val="none" w:sz="0" w:space="0" w:color="auto"/>
        <w:left w:val="none" w:sz="0" w:space="0" w:color="auto"/>
        <w:bottom w:val="none" w:sz="0" w:space="0" w:color="auto"/>
        <w:right w:val="none" w:sz="0" w:space="0" w:color="auto"/>
      </w:divBdr>
    </w:div>
    <w:div w:id="821433208">
      <w:bodyDiv w:val="1"/>
      <w:marLeft w:val="0"/>
      <w:marRight w:val="0"/>
      <w:marTop w:val="0"/>
      <w:marBottom w:val="0"/>
      <w:divBdr>
        <w:top w:val="none" w:sz="0" w:space="0" w:color="auto"/>
        <w:left w:val="none" w:sz="0" w:space="0" w:color="auto"/>
        <w:bottom w:val="none" w:sz="0" w:space="0" w:color="auto"/>
        <w:right w:val="none" w:sz="0" w:space="0" w:color="auto"/>
      </w:divBdr>
    </w:div>
    <w:div w:id="821505155">
      <w:bodyDiv w:val="1"/>
      <w:marLeft w:val="0"/>
      <w:marRight w:val="0"/>
      <w:marTop w:val="0"/>
      <w:marBottom w:val="0"/>
      <w:divBdr>
        <w:top w:val="none" w:sz="0" w:space="0" w:color="auto"/>
        <w:left w:val="none" w:sz="0" w:space="0" w:color="auto"/>
        <w:bottom w:val="none" w:sz="0" w:space="0" w:color="auto"/>
        <w:right w:val="none" w:sz="0" w:space="0" w:color="auto"/>
      </w:divBdr>
    </w:div>
    <w:div w:id="828791032">
      <w:bodyDiv w:val="1"/>
      <w:marLeft w:val="0"/>
      <w:marRight w:val="0"/>
      <w:marTop w:val="0"/>
      <w:marBottom w:val="0"/>
      <w:divBdr>
        <w:top w:val="none" w:sz="0" w:space="0" w:color="auto"/>
        <w:left w:val="none" w:sz="0" w:space="0" w:color="auto"/>
        <w:bottom w:val="none" w:sz="0" w:space="0" w:color="auto"/>
        <w:right w:val="none" w:sz="0" w:space="0" w:color="auto"/>
      </w:divBdr>
    </w:div>
    <w:div w:id="835464185">
      <w:bodyDiv w:val="1"/>
      <w:marLeft w:val="0"/>
      <w:marRight w:val="0"/>
      <w:marTop w:val="0"/>
      <w:marBottom w:val="0"/>
      <w:divBdr>
        <w:top w:val="none" w:sz="0" w:space="0" w:color="auto"/>
        <w:left w:val="none" w:sz="0" w:space="0" w:color="auto"/>
        <w:bottom w:val="none" w:sz="0" w:space="0" w:color="auto"/>
        <w:right w:val="none" w:sz="0" w:space="0" w:color="auto"/>
      </w:divBdr>
    </w:div>
    <w:div w:id="837382079">
      <w:bodyDiv w:val="1"/>
      <w:marLeft w:val="0"/>
      <w:marRight w:val="0"/>
      <w:marTop w:val="0"/>
      <w:marBottom w:val="0"/>
      <w:divBdr>
        <w:top w:val="none" w:sz="0" w:space="0" w:color="auto"/>
        <w:left w:val="none" w:sz="0" w:space="0" w:color="auto"/>
        <w:bottom w:val="none" w:sz="0" w:space="0" w:color="auto"/>
        <w:right w:val="none" w:sz="0" w:space="0" w:color="auto"/>
      </w:divBdr>
    </w:div>
    <w:div w:id="839126882">
      <w:bodyDiv w:val="1"/>
      <w:marLeft w:val="0"/>
      <w:marRight w:val="0"/>
      <w:marTop w:val="0"/>
      <w:marBottom w:val="0"/>
      <w:divBdr>
        <w:top w:val="none" w:sz="0" w:space="0" w:color="auto"/>
        <w:left w:val="none" w:sz="0" w:space="0" w:color="auto"/>
        <w:bottom w:val="none" w:sz="0" w:space="0" w:color="auto"/>
        <w:right w:val="none" w:sz="0" w:space="0" w:color="auto"/>
      </w:divBdr>
    </w:div>
    <w:div w:id="840242451">
      <w:bodyDiv w:val="1"/>
      <w:marLeft w:val="0"/>
      <w:marRight w:val="0"/>
      <w:marTop w:val="0"/>
      <w:marBottom w:val="0"/>
      <w:divBdr>
        <w:top w:val="none" w:sz="0" w:space="0" w:color="auto"/>
        <w:left w:val="none" w:sz="0" w:space="0" w:color="auto"/>
        <w:bottom w:val="none" w:sz="0" w:space="0" w:color="auto"/>
        <w:right w:val="none" w:sz="0" w:space="0" w:color="auto"/>
      </w:divBdr>
    </w:div>
    <w:div w:id="840587900">
      <w:bodyDiv w:val="1"/>
      <w:marLeft w:val="0"/>
      <w:marRight w:val="0"/>
      <w:marTop w:val="0"/>
      <w:marBottom w:val="0"/>
      <w:divBdr>
        <w:top w:val="none" w:sz="0" w:space="0" w:color="auto"/>
        <w:left w:val="none" w:sz="0" w:space="0" w:color="auto"/>
        <w:bottom w:val="none" w:sz="0" w:space="0" w:color="auto"/>
        <w:right w:val="none" w:sz="0" w:space="0" w:color="auto"/>
      </w:divBdr>
    </w:div>
    <w:div w:id="843668095">
      <w:bodyDiv w:val="1"/>
      <w:marLeft w:val="0"/>
      <w:marRight w:val="0"/>
      <w:marTop w:val="0"/>
      <w:marBottom w:val="0"/>
      <w:divBdr>
        <w:top w:val="none" w:sz="0" w:space="0" w:color="auto"/>
        <w:left w:val="none" w:sz="0" w:space="0" w:color="auto"/>
        <w:bottom w:val="none" w:sz="0" w:space="0" w:color="auto"/>
        <w:right w:val="none" w:sz="0" w:space="0" w:color="auto"/>
      </w:divBdr>
    </w:div>
    <w:div w:id="844174268">
      <w:bodyDiv w:val="1"/>
      <w:marLeft w:val="0"/>
      <w:marRight w:val="0"/>
      <w:marTop w:val="0"/>
      <w:marBottom w:val="0"/>
      <w:divBdr>
        <w:top w:val="none" w:sz="0" w:space="0" w:color="auto"/>
        <w:left w:val="none" w:sz="0" w:space="0" w:color="auto"/>
        <w:bottom w:val="none" w:sz="0" w:space="0" w:color="auto"/>
        <w:right w:val="none" w:sz="0" w:space="0" w:color="auto"/>
      </w:divBdr>
    </w:div>
    <w:div w:id="844321932">
      <w:bodyDiv w:val="1"/>
      <w:marLeft w:val="0"/>
      <w:marRight w:val="0"/>
      <w:marTop w:val="0"/>
      <w:marBottom w:val="0"/>
      <w:divBdr>
        <w:top w:val="none" w:sz="0" w:space="0" w:color="auto"/>
        <w:left w:val="none" w:sz="0" w:space="0" w:color="auto"/>
        <w:bottom w:val="none" w:sz="0" w:space="0" w:color="auto"/>
        <w:right w:val="none" w:sz="0" w:space="0" w:color="auto"/>
      </w:divBdr>
    </w:div>
    <w:div w:id="844635543">
      <w:bodyDiv w:val="1"/>
      <w:marLeft w:val="0"/>
      <w:marRight w:val="0"/>
      <w:marTop w:val="0"/>
      <w:marBottom w:val="0"/>
      <w:divBdr>
        <w:top w:val="none" w:sz="0" w:space="0" w:color="auto"/>
        <w:left w:val="none" w:sz="0" w:space="0" w:color="auto"/>
        <w:bottom w:val="none" w:sz="0" w:space="0" w:color="auto"/>
        <w:right w:val="none" w:sz="0" w:space="0" w:color="auto"/>
      </w:divBdr>
    </w:div>
    <w:div w:id="846212529">
      <w:bodyDiv w:val="1"/>
      <w:marLeft w:val="0"/>
      <w:marRight w:val="0"/>
      <w:marTop w:val="0"/>
      <w:marBottom w:val="0"/>
      <w:divBdr>
        <w:top w:val="none" w:sz="0" w:space="0" w:color="auto"/>
        <w:left w:val="none" w:sz="0" w:space="0" w:color="auto"/>
        <w:bottom w:val="none" w:sz="0" w:space="0" w:color="auto"/>
        <w:right w:val="none" w:sz="0" w:space="0" w:color="auto"/>
      </w:divBdr>
    </w:div>
    <w:div w:id="846747994">
      <w:bodyDiv w:val="1"/>
      <w:marLeft w:val="0"/>
      <w:marRight w:val="0"/>
      <w:marTop w:val="0"/>
      <w:marBottom w:val="0"/>
      <w:divBdr>
        <w:top w:val="none" w:sz="0" w:space="0" w:color="auto"/>
        <w:left w:val="none" w:sz="0" w:space="0" w:color="auto"/>
        <w:bottom w:val="none" w:sz="0" w:space="0" w:color="auto"/>
        <w:right w:val="none" w:sz="0" w:space="0" w:color="auto"/>
      </w:divBdr>
    </w:div>
    <w:div w:id="847984706">
      <w:bodyDiv w:val="1"/>
      <w:marLeft w:val="0"/>
      <w:marRight w:val="0"/>
      <w:marTop w:val="0"/>
      <w:marBottom w:val="0"/>
      <w:divBdr>
        <w:top w:val="none" w:sz="0" w:space="0" w:color="auto"/>
        <w:left w:val="none" w:sz="0" w:space="0" w:color="auto"/>
        <w:bottom w:val="none" w:sz="0" w:space="0" w:color="auto"/>
        <w:right w:val="none" w:sz="0" w:space="0" w:color="auto"/>
      </w:divBdr>
    </w:div>
    <w:div w:id="849216271">
      <w:bodyDiv w:val="1"/>
      <w:marLeft w:val="0"/>
      <w:marRight w:val="0"/>
      <w:marTop w:val="0"/>
      <w:marBottom w:val="0"/>
      <w:divBdr>
        <w:top w:val="none" w:sz="0" w:space="0" w:color="auto"/>
        <w:left w:val="none" w:sz="0" w:space="0" w:color="auto"/>
        <w:bottom w:val="none" w:sz="0" w:space="0" w:color="auto"/>
        <w:right w:val="none" w:sz="0" w:space="0" w:color="auto"/>
      </w:divBdr>
    </w:div>
    <w:div w:id="851336512">
      <w:bodyDiv w:val="1"/>
      <w:marLeft w:val="0"/>
      <w:marRight w:val="0"/>
      <w:marTop w:val="0"/>
      <w:marBottom w:val="0"/>
      <w:divBdr>
        <w:top w:val="none" w:sz="0" w:space="0" w:color="auto"/>
        <w:left w:val="none" w:sz="0" w:space="0" w:color="auto"/>
        <w:bottom w:val="none" w:sz="0" w:space="0" w:color="auto"/>
        <w:right w:val="none" w:sz="0" w:space="0" w:color="auto"/>
      </w:divBdr>
    </w:div>
    <w:div w:id="860318503">
      <w:bodyDiv w:val="1"/>
      <w:marLeft w:val="0"/>
      <w:marRight w:val="0"/>
      <w:marTop w:val="0"/>
      <w:marBottom w:val="0"/>
      <w:divBdr>
        <w:top w:val="none" w:sz="0" w:space="0" w:color="auto"/>
        <w:left w:val="none" w:sz="0" w:space="0" w:color="auto"/>
        <w:bottom w:val="none" w:sz="0" w:space="0" w:color="auto"/>
        <w:right w:val="none" w:sz="0" w:space="0" w:color="auto"/>
      </w:divBdr>
    </w:div>
    <w:div w:id="861019748">
      <w:bodyDiv w:val="1"/>
      <w:marLeft w:val="0"/>
      <w:marRight w:val="0"/>
      <w:marTop w:val="0"/>
      <w:marBottom w:val="0"/>
      <w:divBdr>
        <w:top w:val="none" w:sz="0" w:space="0" w:color="auto"/>
        <w:left w:val="none" w:sz="0" w:space="0" w:color="auto"/>
        <w:bottom w:val="none" w:sz="0" w:space="0" w:color="auto"/>
        <w:right w:val="none" w:sz="0" w:space="0" w:color="auto"/>
      </w:divBdr>
    </w:div>
    <w:div w:id="862667080">
      <w:bodyDiv w:val="1"/>
      <w:marLeft w:val="0"/>
      <w:marRight w:val="0"/>
      <w:marTop w:val="0"/>
      <w:marBottom w:val="0"/>
      <w:divBdr>
        <w:top w:val="none" w:sz="0" w:space="0" w:color="auto"/>
        <w:left w:val="none" w:sz="0" w:space="0" w:color="auto"/>
        <w:bottom w:val="none" w:sz="0" w:space="0" w:color="auto"/>
        <w:right w:val="none" w:sz="0" w:space="0" w:color="auto"/>
      </w:divBdr>
    </w:div>
    <w:div w:id="863592700">
      <w:bodyDiv w:val="1"/>
      <w:marLeft w:val="0"/>
      <w:marRight w:val="0"/>
      <w:marTop w:val="0"/>
      <w:marBottom w:val="0"/>
      <w:divBdr>
        <w:top w:val="none" w:sz="0" w:space="0" w:color="auto"/>
        <w:left w:val="none" w:sz="0" w:space="0" w:color="auto"/>
        <w:bottom w:val="none" w:sz="0" w:space="0" w:color="auto"/>
        <w:right w:val="none" w:sz="0" w:space="0" w:color="auto"/>
      </w:divBdr>
    </w:div>
    <w:div w:id="866916921">
      <w:bodyDiv w:val="1"/>
      <w:marLeft w:val="0"/>
      <w:marRight w:val="0"/>
      <w:marTop w:val="0"/>
      <w:marBottom w:val="0"/>
      <w:divBdr>
        <w:top w:val="none" w:sz="0" w:space="0" w:color="auto"/>
        <w:left w:val="none" w:sz="0" w:space="0" w:color="auto"/>
        <w:bottom w:val="none" w:sz="0" w:space="0" w:color="auto"/>
        <w:right w:val="none" w:sz="0" w:space="0" w:color="auto"/>
      </w:divBdr>
    </w:div>
    <w:div w:id="867567021">
      <w:bodyDiv w:val="1"/>
      <w:marLeft w:val="0"/>
      <w:marRight w:val="0"/>
      <w:marTop w:val="0"/>
      <w:marBottom w:val="0"/>
      <w:divBdr>
        <w:top w:val="none" w:sz="0" w:space="0" w:color="auto"/>
        <w:left w:val="none" w:sz="0" w:space="0" w:color="auto"/>
        <w:bottom w:val="none" w:sz="0" w:space="0" w:color="auto"/>
        <w:right w:val="none" w:sz="0" w:space="0" w:color="auto"/>
      </w:divBdr>
    </w:div>
    <w:div w:id="872114363">
      <w:bodyDiv w:val="1"/>
      <w:marLeft w:val="0"/>
      <w:marRight w:val="0"/>
      <w:marTop w:val="0"/>
      <w:marBottom w:val="0"/>
      <w:divBdr>
        <w:top w:val="none" w:sz="0" w:space="0" w:color="auto"/>
        <w:left w:val="none" w:sz="0" w:space="0" w:color="auto"/>
        <w:bottom w:val="none" w:sz="0" w:space="0" w:color="auto"/>
        <w:right w:val="none" w:sz="0" w:space="0" w:color="auto"/>
      </w:divBdr>
    </w:div>
    <w:div w:id="876358934">
      <w:bodyDiv w:val="1"/>
      <w:marLeft w:val="0"/>
      <w:marRight w:val="0"/>
      <w:marTop w:val="0"/>
      <w:marBottom w:val="0"/>
      <w:divBdr>
        <w:top w:val="none" w:sz="0" w:space="0" w:color="auto"/>
        <w:left w:val="none" w:sz="0" w:space="0" w:color="auto"/>
        <w:bottom w:val="none" w:sz="0" w:space="0" w:color="auto"/>
        <w:right w:val="none" w:sz="0" w:space="0" w:color="auto"/>
      </w:divBdr>
    </w:div>
    <w:div w:id="878279103">
      <w:bodyDiv w:val="1"/>
      <w:marLeft w:val="0"/>
      <w:marRight w:val="0"/>
      <w:marTop w:val="0"/>
      <w:marBottom w:val="0"/>
      <w:divBdr>
        <w:top w:val="none" w:sz="0" w:space="0" w:color="auto"/>
        <w:left w:val="none" w:sz="0" w:space="0" w:color="auto"/>
        <w:bottom w:val="none" w:sz="0" w:space="0" w:color="auto"/>
        <w:right w:val="none" w:sz="0" w:space="0" w:color="auto"/>
      </w:divBdr>
    </w:div>
    <w:div w:id="880559372">
      <w:bodyDiv w:val="1"/>
      <w:marLeft w:val="0"/>
      <w:marRight w:val="0"/>
      <w:marTop w:val="0"/>
      <w:marBottom w:val="0"/>
      <w:divBdr>
        <w:top w:val="none" w:sz="0" w:space="0" w:color="auto"/>
        <w:left w:val="none" w:sz="0" w:space="0" w:color="auto"/>
        <w:bottom w:val="none" w:sz="0" w:space="0" w:color="auto"/>
        <w:right w:val="none" w:sz="0" w:space="0" w:color="auto"/>
      </w:divBdr>
    </w:div>
    <w:div w:id="883250938">
      <w:bodyDiv w:val="1"/>
      <w:marLeft w:val="0"/>
      <w:marRight w:val="0"/>
      <w:marTop w:val="0"/>
      <w:marBottom w:val="0"/>
      <w:divBdr>
        <w:top w:val="none" w:sz="0" w:space="0" w:color="auto"/>
        <w:left w:val="none" w:sz="0" w:space="0" w:color="auto"/>
        <w:bottom w:val="none" w:sz="0" w:space="0" w:color="auto"/>
        <w:right w:val="none" w:sz="0" w:space="0" w:color="auto"/>
      </w:divBdr>
    </w:div>
    <w:div w:id="887761277">
      <w:bodyDiv w:val="1"/>
      <w:marLeft w:val="0"/>
      <w:marRight w:val="0"/>
      <w:marTop w:val="0"/>
      <w:marBottom w:val="0"/>
      <w:divBdr>
        <w:top w:val="none" w:sz="0" w:space="0" w:color="auto"/>
        <w:left w:val="none" w:sz="0" w:space="0" w:color="auto"/>
        <w:bottom w:val="none" w:sz="0" w:space="0" w:color="auto"/>
        <w:right w:val="none" w:sz="0" w:space="0" w:color="auto"/>
      </w:divBdr>
    </w:div>
    <w:div w:id="889999654">
      <w:bodyDiv w:val="1"/>
      <w:marLeft w:val="0"/>
      <w:marRight w:val="0"/>
      <w:marTop w:val="0"/>
      <w:marBottom w:val="0"/>
      <w:divBdr>
        <w:top w:val="none" w:sz="0" w:space="0" w:color="auto"/>
        <w:left w:val="none" w:sz="0" w:space="0" w:color="auto"/>
        <w:bottom w:val="none" w:sz="0" w:space="0" w:color="auto"/>
        <w:right w:val="none" w:sz="0" w:space="0" w:color="auto"/>
      </w:divBdr>
    </w:div>
    <w:div w:id="893081792">
      <w:bodyDiv w:val="1"/>
      <w:marLeft w:val="0"/>
      <w:marRight w:val="0"/>
      <w:marTop w:val="0"/>
      <w:marBottom w:val="0"/>
      <w:divBdr>
        <w:top w:val="none" w:sz="0" w:space="0" w:color="auto"/>
        <w:left w:val="none" w:sz="0" w:space="0" w:color="auto"/>
        <w:bottom w:val="none" w:sz="0" w:space="0" w:color="auto"/>
        <w:right w:val="none" w:sz="0" w:space="0" w:color="auto"/>
      </w:divBdr>
    </w:div>
    <w:div w:id="902252839">
      <w:bodyDiv w:val="1"/>
      <w:marLeft w:val="0"/>
      <w:marRight w:val="0"/>
      <w:marTop w:val="0"/>
      <w:marBottom w:val="0"/>
      <w:divBdr>
        <w:top w:val="none" w:sz="0" w:space="0" w:color="auto"/>
        <w:left w:val="none" w:sz="0" w:space="0" w:color="auto"/>
        <w:bottom w:val="none" w:sz="0" w:space="0" w:color="auto"/>
        <w:right w:val="none" w:sz="0" w:space="0" w:color="auto"/>
      </w:divBdr>
    </w:div>
    <w:div w:id="904952462">
      <w:bodyDiv w:val="1"/>
      <w:marLeft w:val="0"/>
      <w:marRight w:val="0"/>
      <w:marTop w:val="0"/>
      <w:marBottom w:val="0"/>
      <w:divBdr>
        <w:top w:val="none" w:sz="0" w:space="0" w:color="auto"/>
        <w:left w:val="none" w:sz="0" w:space="0" w:color="auto"/>
        <w:bottom w:val="none" w:sz="0" w:space="0" w:color="auto"/>
        <w:right w:val="none" w:sz="0" w:space="0" w:color="auto"/>
      </w:divBdr>
    </w:div>
    <w:div w:id="908618115">
      <w:bodyDiv w:val="1"/>
      <w:marLeft w:val="0"/>
      <w:marRight w:val="0"/>
      <w:marTop w:val="0"/>
      <w:marBottom w:val="0"/>
      <w:divBdr>
        <w:top w:val="none" w:sz="0" w:space="0" w:color="auto"/>
        <w:left w:val="none" w:sz="0" w:space="0" w:color="auto"/>
        <w:bottom w:val="none" w:sz="0" w:space="0" w:color="auto"/>
        <w:right w:val="none" w:sz="0" w:space="0" w:color="auto"/>
      </w:divBdr>
    </w:div>
    <w:div w:id="909467646">
      <w:bodyDiv w:val="1"/>
      <w:marLeft w:val="0"/>
      <w:marRight w:val="0"/>
      <w:marTop w:val="0"/>
      <w:marBottom w:val="0"/>
      <w:divBdr>
        <w:top w:val="none" w:sz="0" w:space="0" w:color="auto"/>
        <w:left w:val="none" w:sz="0" w:space="0" w:color="auto"/>
        <w:bottom w:val="none" w:sz="0" w:space="0" w:color="auto"/>
        <w:right w:val="none" w:sz="0" w:space="0" w:color="auto"/>
      </w:divBdr>
    </w:div>
    <w:div w:id="910770445">
      <w:bodyDiv w:val="1"/>
      <w:marLeft w:val="0"/>
      <w:marRight w:val="0"/>
      <w:marTop w:val="0"/>
      <w:marBottom w:val="0"/>
      <w:divBdr>
        <w:top w:val="none" w:sz="0" w:space="0" w:color="auto"/>
        <w:left w:val="none" w:sz="0" w:space="0" w:color="auto"/>
        <w:bottom w:val="none" w:sz="0" w:space="0" w:color="auto"/>
        <w:right w:val="none" w:sz="0" w:space="0" w:color="auto"/>
      </w:divBdr>
    </w:div>
    <w:div w:id="917130673">
      <w:bodyDiv w:val="1"/>
      <w:marLeft w:val="0"/>
      <w:marRight w:val="0"/>
      <w:marTop w:val="0"/>
      <w:marBottom w:val="0"/>
      <w:divBdr>
        <w:top w:val="none" w:sz="0" w:space="0" w:color="auto"/>
        <w:left w:val="none" w:sz="0" w:space="0" w:color="auto"/>
        <w:bottom w:val="none" w:sz="0" w:space="0" w:color="auto"/>
        <w:right w:val="none" w:sz="0" w:space="0" w:color="auto"/>
      </w:divBdr>
    </w:div>
    <w:div w:id="917515415">
      <w:bodyDiv w:val="1"/>
      <w:marLeft w:val="0"/>
      <w:marRight w:val="0"/>
      <w:marTop w:val="0"/>
      <w:marBottom w:val="0"/>
      <w:divBdr>
        <w:top w:val="none" w:sz="0" w:space="0" w:color="auto"/>
        <w:left w:val="none" w:sz="0" w:space="0" w:color="auto"/>
        <w:bottom w:val="none" w:sz="0" w:space="0" w:color="auto"/>
        <w:right w:val="none" w:sz="0" w:space="0" w:color="auto"/>
      </w:divBdr>
    </w:div>
    <w:div w:id="917521700">
      <w:bodyDiv w:val="1"/>
      <w:marLeft w:val="0"/>
      <w:marRight w:val="0"/>
      <w:marTop w:val="0"/>
      <w:marBottom w:val="0"/>
      <w:divBdr>
        <w:top w:val="none" w:sz="0" w:space="0" w:color="auto"/>
        <w:left w:val="none" w:sz="0" w:space="0" w:color="auto"/>
        <w:bottom w:val="none" w:sz="0" w:space="0" w:color="auto"/>
        <w:right w:val="none" w:sz="0" w:space="0" w:color="auto"/>
      </w:divBdr>
    </w:div>
    <w:div w:id="919023984">
      <w:bodyDiv w:val="1"/>
      <w:marLeft w:val="0"/>
      <w:marRight w:val="0"/>
      <w:marTop w:val="0"/>
      <w:marBottom w:val="0"/>
      <w:divBdr>
        <w:top w:val="none" w:sz="0" w:space="0" w:color="auto"/>
        <w:left w:val="none" w:sz="0" w:space="0" w:color="auto"/>
        <w:bottom w:val="none" w:sz="0" w:space="0" w:color="auto"/>
        <w:right w:val="none" w:sz="0" w:space="0" w:color="auto"/>
      </w:divBdr>
    </w:div>
    <w:div w:id="920216015">
      <w:bodyDiv w:val="1"/>
      <w:marLeft w:val="0"/>
      <w:marRight w:val="0"/>
      <w:marTop w:val="0"/>
      <w:marBottom w:val="0"/>
      <w:divBdr>
        <w:top w:val="none" w:sz="0" w:space="0" w:color="auto"/>
        <w:left w:val="none" w:sz="0" w:space="0" w:color="auto"/>
        <w:bottom w:val="none" w:sz="0" w:space="0" w:color="auto"/>
        <w:right w:val="none" w:sz="0" w:space="0" w:color="auto"/>
      </w:divBdr>
    </w:div>
    <w:div w:id="920874722">
      <w:bodyDiv w:val="1"/>
      <w:marLeft w:val="0"/>
      <w:marRight w:val="0"/>
      <w:marTop w:val="0"/>
      <w:marBottom w:val="0"/>
      <w:divBdr>
        <w:top w:val="none" w:sz="0" w:space="0" w:color="auto"/>
        <w:left w:val="none" w:sz="0" w:space="0" w:color="auto"/>
        <w:bottom w:val="none" w:sz="0" w:space="0" w:color="auto"/>
        <w:right w:val="none" w:sz="0" w:space="0" w:color="auto"/>
      </w:divBdr>
    </w:div>
    <w:div w:id="921796513">
      <w:bodyDiv w:val="1"/>
      <w:marLeft w:val="0"/>
      <w:marRight w:val="0"/>
      <w:marTop w:val="0"/>
      <w:marBottom w:val="0"/>
      <w:divBdr>
        <w:top w:val="none" w:sz="0" w:space="0" w:color="auto"/>
        <w:left w:val="none" w:sz="0" w:space="0" w:color="auto"/>
        <w:bottom w:val="none" w:sz="0" w:space="0" w:color="auto"/>
        <w:right w:val="none" w:sz="0" w:space="0" w:color="auto"/>
      </w:divBdr>
    </w:div>
    <w:div w:id="925574587">
      <w:bodyDiv w:val="1"/>
      <w:marLeft w:val="0"/>
      <w:marRight w:val="0"/>
      <w:marTop w:val="0"/>
      <w:marBottom w:val="0"/>
      <w:divBdr>
        <w:top w:val="none" w:sz="0" w:space="0" w:color="auto"/>
        <w:left w:val="none" w:sz="0" w:space="0" w:color="auto"/>
        <w:bottom w:val="none" w:sz="0" w:space="0" w:color="auto"/>
        <w:right w:val="none" w:sz="0" w:space="0" w:color="auto"/>
      </w:divBdr>
    </w:div>
    <w:div w:id="928152587">
      <w:bodyDiv w:val="1"/>
      <w:marLeft w:val="0"/>
      <w:marRight w:val="0"/>
      <w:marTop w:val="0"/>
      <w:marBottom w:val="0"/>
      <w:divBdr>
        <w:top w:val="none" w:sz="0" w:space="0" w:color="auto"/>
        <w:left w:val="none" w:sz="0" w:space="0" w:color="auto"/>
        <w:bottom w:val="none" w:sz="0" w:space="0" w:color="auto"/>
        <w:right w:val="none" w:sz="0" w:space="0" w:color="auto"/>
      </w:divBdr>
    </w:div>
    <w:div w:id="929584465">
      <w:bodyDiv w:val="1"/>
      <w:marLeft w:val="0"/>
      <w:marRight w:val="0"/>
      <w:marTop w:val="0"/>
      <w:marBottom w:val="0"/>
      <w:divBdr>
        <w:top w:val="none" w:sz="0" w:space="0" w:color="auto"/>
        <w:left w:val="none" w:sz="0" w:space="0" w:color="auto"/>
        <w:bottom w:val="none" w:sz="0" w:space="0" w:color="auto"/>
        <w:right w:val="none" w:sz="0" w:space="0" w:color="auto"/>
      </w:divBdr>
    </w:div>
    <w:div w:id="937250291">
      <w:bodyDiv w:val="1"/>
      <w:marLeft w:val="0"/>
      <w:marRight w:val="0"/>
      <w:marTop w:val="0"/>
      <w:marBottom w:val="0"/>
      <w:divBdr>
        <w:top w:val="none" w:sz="0" w:space="0" w:color="auto"/>
        <w:left w:val="none" w:sz="0" w:space="0" w:color="auto"/>
        <w:bottom w:val="none" w:sz="0" w:space="0" w:color="auto"/>
        <w:right w:val="none" w:sz="0" w:space="0" w:color="auto"/>
      </w:divBdr>
    </w:div>
    <w:div w:id="941956307">
      <w:bodyDiv w:val="1"/>
      <w:marLeft w:val="0"/>
      <w:marRight w:val="0"/>
      <w:marTop w:val="0"/>
      <w:marBottom w:val="0"/>
      <w:divBdr>
        <w:top w:val="none" w:sz="0" w:space="0" w:color="auto"/>
        <w:left w:val="none" w:sz="0" w:space="0" w:color="auto"/>
        <w:bottom w:val="none" w:sz="0" w:space="0" w:color="auto"/>
        <w:right w:val="none" w:sz="0" w:space="0" w:color="auto"/>
      </w:divBdr>
    </w:div>
    <w:div w:id="943538758">
      <w:bodyDiv w:val="1"/>
      <w:marLeft w:val="0"/>
      <w:marRight w:val="0"/>
      <w:marTop w:val="0"/>
      <w:marBottom w:val="0"/>
      <w:divBdr>
        <w:top w:val="none" w:sz="0" w:space="0" w:color="auto"/>
        <w:left w:val="none" w:sz="0" w:space="0" w:color="auto"/>
        <w:bottom w:val="none" w:sz="0" w:space="0" w:color="auto"/>
        <w:right w:val="none" w:sz="0" w:space="0" w:color="auto"/>
      </w:divBdr>
    </w:div>
    <w:div w:id="944003480">
      <w:bodyDiv w:val="1"/>
      <w:marLeft w:val="0"/>
      <w:marRight w:val="0"/>
      <w:marTop w:val="0"/>
      <w:marBottom w:val="0"/>
      <w:divBdr>
        <w:top w:val="none" w:sz="0" w:space="0" w:color="auto"/>
        <w:left w:val="none" w:sz="0" w:space="0" w:color="auto"/>
        <w:bottom w:val="none" w:sz="0" w:space="0" w:color="auto"/>
        <w:right w:val="none" w:sz="0" w:space="0" w:color="auto"/>
      </w:divBdr>
    </w:div>
    <w:div w:id="945043997">
      <w:bodyDiv w:val="1"/>
      <w:marLeft w:val="0"/>
      <w:marRight w:val="0"/>
      <w:marTop w:val="0"/>
      <w:marBottom w:val="0"/>
      <w:divBdr>
        <w:top w:val="none" w:sz="0" w:space="0" w:color="auto"/>
        <w:left w:val="none" w:sz="0" w:space="0" w:color="auto"/>
        <w:bottom w:val="none" w:sz="0" w:space="0" w:color="auto"/>
        <w:right w:val="none" w:sz="0" w:space="0" w:color="auto"/>
      </w:divBdr>
    </w:div>
    <w:div w:id="946473108">
      <w:bodyDiv w:val="1"/>
      <w:marLeft w:val="0"/>
      <w:marRight w:val="0"/>
      <w:marTop w:val="0"/>
      <w:marBottom w:val="0"/>
      <w:divBdr>
        <w:top w:val="none" w:sz="0" w:space="0" w:color="auto"/>
        <w:left w:val="none" w:sz="0" w:space="0" w:color="auto"/>
        <w:bottom w:val="none" w:sz="0" w:space="0" w:color="auto"/>
        <w:right w:val="none" w:sz="0" w:space="0" w:color="auto"/>
      </w:divBdr>
    </w:div>
    <w:div w:id="951592384">
      <w:bodyDiv w:val="1"/>
      <w:marLeft w:val="0"/>
      <w:marRight w:val="0"/>
      <w:marTop w:val="0"/>
      <w:marBottom w:val="0"/>
      <w:divBdr>
        <w:top w:val="none" w:sz="0" w:space="0" w:color="auto"/>
        <w:left w:val="none" w:sz="0" w:space="0" w:color="auto"/>
        <w:bottom w:val="none" w:sz="0" w:space="0" w:color="auto"/>
        <w:right w:val="none" w:sz="0" w:space="0" w:color="auto"/>
      </w:divBdr>
    </w:div>
    <w:div w:id="953828676">
      <w:bodyDiv w:val="1"/>
      <w:marLeft w:val="0"/>
      <w:marRight w:val="0"/>
      <w:marTop w:val="0"/>
      <w:marBottom w:val="0"/>
      <w:divBdr>
        <w:top w:val="none" w:sz="0" w:space="0" w:color="auto"/>
        <w:left w:val="none" w:sz="0" w:space="0" w:color="auto"/>
        <w:bottom w:val="none" w:sz="0" w:space="0" w:color="auto"/>
        <w:right w:val="none" w:sz="0" w:space="0" w:color="auto"/>
      </w:divBdr>
    </w:div>
    <w:div w:id="955717304">
      <w:bodyDiv w:val="1"/>
      <w:marLeft w:val="0"/>
      <w:marRight w:val="0"/>
      <w:marTop w:val="0"/>
      <w:marBottom w:val="0"/>
      <w:divBdr>
        <w:top w:val="none" w:sz="0" w:space="0" w:color="auto"/>
        <w:left w:val="none" w:sz="0" w:space="0" w:color="auto"/>
        <w:bottom w:val="none" w:sz="0" w:space="0" w:color="auto"/>
        <w:right w:val="none" w:sz="0" w:space="0" w:color="auto"/>
      </w:divBdr>
    </w:div>
    <w:div w:id="959385102">
      <w:bodyDiv w:val="1"/>
      <w:marLeft w:val="0"/>
      <w:marRight w:val="0"/>
      <w:marTop w:val="0"/>
      <w:marBottom w:val="0"/>
      <w:divBdr>
        <w:top w:val="none" w:sz="0" w:space="0" w:color="auto"/>
        <w:left w:val="none" w:sz="0" w:space="0" w:color="auto"/>
        <w:bottom w:val="none" w:sz="0" w:space="0" w:color="auto"/>
        <w:right w:val="none" w:sz="0" w:space="0" w:color="auto"/>
      </w:divBdr>
    </w:div>
    <w:div w:id="960066668">
      <w:bodyDiv w:val="1"/>
      <w:marLeft w:val="0"/>
      <w:marRight w:val="0"/>
      <w:marTop w:val="0"/>
      <w:marBottom w:val="0"/>
      <w:divBdr>
        <w:top w:val="none" w:sz="0" w:space="0" w:color="auto"/>
        <w:left w:val="none" w:sz="0" w:space="0" w:color="auto"/>
        <w:bottom w:val="none" w:sz="0" w:space="0" w:color="auto"/>
        <w:right w:val="none" w:sz="0" w:space="0" w:color="auto"/>
      </w:divBdr>
    </w:div>
    <w:div w:id="960722640">
      <w:bodyDiv w:val="1"/>
      <w:marLeft w:val="0"/>
      <w:marRight w:val="0"/>
      <w:marTop w:val="0"/>
      <w:marBottom w:val="0"/>
      <w:divBdr>
        <w:top w:val="none" w:sz="0" w:space="0" w:color="auto"/>
        <w:left w:val="none" w:sz="0" w:space="0" w:color="auto"/>
        <w:bottom w:val="none" w:sz="0" w:space="0" w:color="auto"/>
        <w:right w:val="none" w:sz="0" w:space="0" w:color="auto"/>
      </w:divBdr>
    </w:div>
    <w:div w:id="962736699">
      <w:bodyDiv w:val="1"/>
      <w:marLeft w:val="0"/>
      <w:marRight w:val="0"/>
      <w:marTop w:val="0"/>
      <w:marBottom w:val="0"/>
      <w:divBdr>
        <w:top w:val="none" w:sz="0" w:space="0" w:color="auto"/>
        <w:left w:val="none" w:sz="0" w:space="0" w:color="auto"/>
        <w:bottom w:val="none" w:sz="0" w:space="0" w:color="auto"/>
        <w:right w:val="none" w:sz="0" w:space="0" w:color="auto"/>
      </w:divBdr>
    </w:div>
    <w:div w:id="972834575">
      <w:bodyDiv w:val="1"/>
      <w:marLeft w:val="0"/>
      <w:marRight w:val="0"/>
      <w:marTop w:val="0"/>
      <w:marBottom w:val="0"/>
      <w:divBdr>
        <w:top w:val="none" w:sz="0" w:space="0" w:color="auto"/>
        <w:left w:val="none" w:sz="0" w:space="0" w:color="auto"/>
        <w:bottom w:val="none" w:sz="0" w:space="0" w:color="auto"/>
        <w:right w:val="none" w:sz="0" w:space="0" w:color="auto"/>
      </w:divBdr>
    </w:div>
    <w:div w:id="977731767">
      <w:bodyDiv w:val="1"/>
      <w:marLeft w:val="0"/>
      <w:marRight w:val="0"/>
      <w:marTop w:val="0"/>
      <w:marBottom w:val="0"/>
      <w:divBdr>
        <w:top w:val="none" w:sz="0" w:space="0" w:color="auto"/>
        <w:left w:val="none" w:sz="0" w:space="0" w:color="auto"/>
        <w:bottom w:val="none" w:sz="0" w:space="0" w:color="auto"/>
        <w:right w:val="none" w:sz="0" w:space="0" w:color="auto"/>
      </w:divBdr>
    </w:div>
    <w:div w:id="981731317">
      <w:bodyDiv w:val="1"/>
      <w:marLeft w:val="0"/>
      <w:marRight w:val="0"/>
      <w:marTop w:val="0"/>
      <w:marBottom w:val="0"/>
      <w:divBdr>
        <w:top w:val="none" w:sz="0" w:space="0" w:color="auto"/>
        <w:left w:val="none" w:sz="0" w:space="0" w:color="auto"/>
        <w:bottom w:val="none" w:sz="0" w:space="0" w:color="auto"/>
        <w:right w:val="none" w:sz="0" w:space="0" w:color="auto"/>
      </w:divBdr>
    </w:div>
    <w:div w:id="982389790">
      <w:bodyDiv w:val="1"/>
      <w:marLeft w:val="0"/>
      <w:marRight w:val="0"/>
      <w:marTop w:val="0"/>
      <w:marBottom w:val="0"/>
      <w:divBdr>
        <w:top w:val="none" w:sz="0" w:space="0" w:color="auto"/>
        <w:left w:val="none" w:sz="0" w:space="0" w:color="auto"/>
        <w:bottom w:val="none" w:sz="0" w:space="0" w:color="auto"/>
        <w:right w:val="none" w:sz="0" w:space="0" w:color="auto"/>
      </w:divBdr>
    </w:div>
    <w:div w:id="983389542">
      <w:bodyDiv w:val="1"/>
      <w:marLeft w:val="0"/>
      <w:marRight w:val="0"/>
      <w:marTop w:val="0"/>
      <w:marBottom w:val="0"/>
      <w:divBdr>
        <w:top w:val="none" w:sz="0" w:space="0" w:color="auto"/>
        <w:left w:val="none" w:sz="0" w:space="0" w:color="auto"/>
        <w:bottom w:val="none" w:sz="0" w:space="0" w:color="auto"/>
        <w:right w:val="none" w:sz="0" w:space="0" w:color="auto"/>
      </w:divBdr>
    </w:div>
    <w:div w:id="988363473">
      <w:bodyDiv w:val="1"/>
      <w:marLeft w:val="0"/>
      <w:marRight w:val="0"/>
      <w:marTop w:val="0"/>
      <w:marBottom w:val="0"/>
      <w:divBdr>
        <w:top w:val="none" w:sz="0" w:space="0" w:color="auto"/>
        <w:left w:val="none" w:sz="0" w:space="0" w:color="auto"/>
        <w:bottom w:val="none" w:sz="0" w:space="0" w:color="auto"/>
        <w:right w:val="none" w:sz="0" w:space="0" w:color="auto"/>
      </w:divBdr>
    </w:div>
    <w:div w:id="988635697">
      <w:bodyDiv w:val="1"/>
      <w:marLeft w:val="0"/>
      <w:marRight w:val="0"/>
      <w:marTop w:val="0"/>
      <w:marBottom w:val="0"/>
      <w:divBdr>
        <w:top w:val="none" w:sz="0" w:space="0" w:color="auto"/>
        <w:left w:val="none" w:sz="0" w:space="0" w:color="auto"/>
        <w:bottom w:val="none" w:sz="0" w:space="0" w:color="auto"/>
        <w:right w:val="none" w:sz="0" w:space="0" w:color="auto"/>
      </w:divBdr>
    </w:div>
    <w:div w:id="993336079">
      <w:bodyDiv w:val="1"/>
      <w:marLeft w:val="0"/>
      <w:marRight w:val="0"/>
      <w:marTop w:val="0"/>
      <w:marBottom w:val="0"/>
      <w:divBdr>
        <w:top w:val="none" w:sz="0" w:space="0" w:color="auto"/>
        <w:left w:val="none" w:sz="0" w:space="0" w:color="auto"/>
        <w:bottom w:val="none" w:sz="0" w:space="0" w:color="auto"/>
        <w:right w:val="none" w:sz="0" w:space="0" w:color="auto"/>
      </w:divBdr>
    </w:div>
    <w:div w:id="1000472904">
      <w:bodyDiv w:val="1"/>
      <w:marLeft w:val="0"/>
      <w:marRight w:val="0"/>
      <w:marTop w:val="0"/>
      <w:marBottom w:val="0"/>
      <w:divBdr>
        <w:top w:val="none" w:sz="0" w:space="0" w:color="auto"/>
        <w:left w:val="none" w:sz="0" w:space="0" w:color="auto"/>
        <w:bottom w:val="none" w:sz="0" w:space="0" w:color="auto"/>
        <w:right w:val="none" w:sz="0" w:space="0" w:color="auto"/>
      </w:divBdr>
    </w:div>
    <w:div w:id="1002315972">
      <w:bodyDiv w:val="1"/>
      <w:marLeft w:val="0"/>
      <w:marRight w:val="0"/>
      <w:marTop w:val="0"/>
      <w:marBottom w:val="0"/>
      <w:divBdr>
        <w:top w:val="none" w:sz="0" w:space="0" w:color="auto"/>
        <w:left w:val="none" w:sz="0" w:space="0" w:color="auto"/>
        <w:bottom w:val="none" w:sz="0" w:space="0" w:color="auto"/>
        <w:right w:val="none" w:sz="0" w:space="0" w:color="auto"/>
      </w:divBdr>
    </w:div>
    <w:div w:id="1002664321">
      <w:bodyDiv w:val="1"/>
      <w:marLeft w:val="0"/>
      <w:marRight w:val="0"/>
      <w:marTop w:val="0"/>
      <w:marBottom w:val="0"/>
      <w:divBdr>
        <w:top w:val="none" w:sz="0" w:space="0" w:color="auto"/>
        <w:left w:val="none" w:sz="0" w:space="0" w:color="auto"/>
        <w:bottom w:val="none" w:sz="0" w:space="0" w:color="auto"/>
        <w:right w:val="none" w:sz="0" w:space="0" w:color="auto"/>
      </w:divBdr>
    </w:div>
    <w:div w:id="1003513002">
      <w:bodyDiv w:val="1"/>
      <w:marLeft w:val="0"/>
      <w:marRight w:val="0"/>
      <w:marTop w:val="0"/>
      <w:marBottom w:val="0"/>
      <w:divBdr>
        <w:top w:val="none" w:sz="0" w:space="0" w:color="auto"/>
        <w:left w:val="none" w:sz="0" w:space="0" w:color="auto"/>
        <w:bottom w:val="none" w:sz="0" w:space="0" w:color="auto"/>
        <w:right w:val="none" w:sz="0" w:space="0" w:color="auto"/>
      </w:divBdr>
    </w:div>
    <w:div w:id="1003779952">
      <w:bodyDiv w:val="1"/>
      <w:marLeft w:val="0"/>
      <w:marRight w:val="0"/>
      <w:marTop w:val="0"/>
      <w:marBottom w:val="0"/>
      <w:divBdr>
        <w:top w:val="none" w:sz="0" w:space="0" w:color="auto"/>
        <w:left w:val="none" w:sz="0" w:space="0" w:color="auto"/>
        <w:bottom w:val="none" w:sz="0" w:space="0" w:color="auto"/>
        <w:right w:val="none" w:sz="0" w:space="0" w:color="auto"/>
      </w:divBdr>
    </w:div>
    <w:div w:id="1009914601">
      <w:bodyDiv w:val="1"/>
      <w:marLeft w:val="0"/>
      <w:marRight w:val="0"/>
      <w:marTop w:val="0"/>
      <w:marBottom w:val="0"/>
      <w:divBdr>
        <w:top w:val="none" w:sz="0" w:space="0" w:color="auto"/>
        <w:left w:val="none" w:sz="0" w:space="0" w:color="auto"/>
        <w:bottom w:val="none" w:sz="0" w:space="0" w:color="auto"/>
        <w:right w:val="none" w:sz="0" w:space="0" w:color="auto"/>
      </w:divBdr>
    </w:div>
    <w:div w:id="1012417353">
      <w:bodyDiv w:val="1"/>
      <w:marLeft w:val="0"/>
      <w:marRight w:val="0"/>
      <w:marTop w:val="0"/>
      <w:marBottom w:val="0"/>
      <w:divBdr>
        <w:top w:val="none" w:sz="0" w:space="0" w:color="auto"/>
        <w:left w:val="none" w:sz="0" w:space="0" w:color="auto"/>
        <w:bottom w:val="none" w:sz="0" w:space="0" w:color="auto"/>
        <w:right w:val="none" w:sz="0" w:space="0" w:color="auto"/>
      </w:divBdr>
    </w:div>
    <w:div w:id="1013338270">
      <w:bodyDiv w:val="1"/>
      <w:marLeft w:val="0"/>
      <w:marRight w:val="0"/>
      <w:marTop w:val="0"/>
      <w:marBottom w:val="0"/>
      <w:divBdr>
        <w:top w:val="none" w:sz="0" w:space="0" w:color="auto"/>
        <w:left w:val="none" w:sz="0" w:space="0" w:color="auto"/>
        <w:bottom w:val="none" w:sz="0" w:space="0" w:color="auto"/>
        <w:right w:val="none" w:sz="0" w:space="0" w:color="auto"/>
      </w:divBdr>
    </w:div>
    <w:div w:id="1014117081">
      <w:bodyDiv w:val="1"/>
      <w:marLeft w:val="0"/>
      <w:marRight w:val="0"/>
      <w:marTop w:val="0"/>
      <w:marBottom w:val="0"/>
      <w:divBdr>
        <w:top w:val="none" w:sz="0" w:space="0" w:color="auto"/>
        <w:left w:val="none" w:sz="0" w:space="0" w:color="auto"/>
        <w:bottom w:val="none" w:sz="0" w:space="0" w:color="auto"/>
        <w:right w:val="none" w:sz="0" w:space="0" w:color="auto"/>
      </w:divBdr>
    </w:div>
    <w:div w:id="1021007508">
      <w:bodyDiv w:val="1"/>
      <w:marLeft w:val="0"/>
      <w:marRight w:val="0"/>
      <w:marTop w:val="0"/>
      <w:marBottom w:val="0"/>
      <w:divBdr>
        <w:top w:val="none" w:sz="0" w:space="0" w:color="auto"/>
        <w:left w:val="none" w:sz="0" w:space="0" w:color="auto"/>
        <w:bottom w:val="none" w:sz="0" w:space="0" w:color="auto"/>
        <w:right w:val="none" w:sz="0" w:space="0" w:color="auto"/>
      </w:divBdr>
    </w:div>
    <w:div w:id="1025402510">
      <w:bodyDiv w:val="1"/>
      <w:marLeft w:val="0"/>
      <w:marRight w:val="0"/>
      <w:marTop w:val="0"/>
      <w:marBottom w:val="0"/>
      <w:divBdr>
        <w:top w:val="none" w:sz="0" w:space="0" w:color="auto"/>
        <w:left w:val="none" w:sz="0" w:space="0" w:color="auto"/>
        <w:bottom w:val="none" w:sz="0" w:space="0" w:color="auto"/>
        <w:right w:val="none" w:sz="0" w:space="0" w:color="auto"/>
      </w:divBdr>
    </w:div>
    <w:div w:id="1036347924">
      <w:bodyDiv w:val="1"/>
      <w:marLeft w:val="0"/>
      <w:marRight w:val="0"/>
      <w:marTop w:val="0"/>
      <w:marBottom w:val="0"/>
      <w:divBdr>
        <w:top w:val="none" w:sz="0" w:space="0" w:color="auto"/>
        <w:left w:val="none" w:sz="0" w:space="0" w:color="auto"/>
        <w:bottom w:val="none" w:sz="0" w:space="0" w:color="auto"/>
        <w:right w:val="none" w:sz="0" w:space="0" w:color="auto"/>
      </w:divBdr>
    </w:div>
    <w:div w:id="1039554493">
      <w:bodyDiv w:val="1"/>
      <w:marLeft w:val="0"/>
      <w:marRight w:val="0"/>
      <w:marTop w:val="0"/>
      <w:marBottom w:val="0"/>
      <w:divBdr>
        <w:top w:val="none" w:sz="0" w:space="0" w:color="auto"/>
        <w:left w:val="none" w:sz="0" w:space="0" w:color="auto"/>
        <w:bottom w:val="none" w:sz="0" w:space="0" w:color="auto"/>
        <w:right w:val="none" w:sz="0" w:space="0" w:color="auto"/>
      </w:divBdr>
    </w:div>
    <w:div w:id="1056592032">
      <w:bodyDiv w:val="1"/>
      <w:marLeft w:val="0"/>
      <w:marRight w:val="0"/>
      <w:marTop w:val="0"/>
      <w:marBottom w:val="0"/>
      <w:divBdr>
        <w:top w:val="none" w:sz="0" w:space="0" w:color="auto"/>
        <w:left w:val="none" w:sz="0" w:space="0" w:color="auto"/>
        <w:bottom w:val="none" w:sz="0" w:space="0" w:color="auto"/>
        <w:right w:val="none" w:sz="0" w:space="0" w:color="auto"/>
      </w:divBdr>
    </w:div>
    <w:div w:id="1062750064">
      <w:bodyDiv w:val="1"/>
      <w:marLeft w:val="0"/>
      <w:marRight w:val="0"/>
      <w:marTop w:val="0"/>
      <w:marBottom w:val="0"/>
      <w:divBdr>
        <w:top w:val="none" w:sz="0" w:space="0" w:color="auto"/>
        <w:left w:val="none" w:sz="0" w:space="0" w:color="auto"/>
        <w:bottom w:val="none" w:sz="0" w:space="0" w:color="auto"/>
        <w:right w:val="none" w:sz="0" w:space="0" w:color="auto"/>
      </w:divBdr>
    </w:div>
    <w:div w:id="1066881796">
      <w:bodyDiv w:val="1"/>
      <w:marLeft w:val="0"/>
      <w:marRight w:val="0"/>
      <w:marTop w:val="0"/>
      <w:marBottom w:val="0"/>
      <w:divBdr>
        <w:top w:val="none" w:sz="0" w:space="0" w:color="auto"/>
        <w:left w:val="none" w:sz="0" w:space="0" w:color="auto"/>
        <w:bottom w:val="none" w:sz="0" w:space="0" w:color="auto"/>
        <w:right w:val="none" w:sz="0" w:space="0" w:color="auto"/>
      </w:divBdr>
    </w:div>
    <w:div w:id="1067263850">
      <w:bodyDiv w:val="1"/>
      <w:marLeft w:val="0"/>
      <w:marRight w:val="0"/>
      <w:marTop w:val="0"/>
      <w:marBottom w:val="0"/>
      <w:divBdr>
        <w:top w:val="none" w:sz="0" w:space="0" w:color="auto"/>
        <w:left w:val="none" w:sz="0" w:space="0" w:color="auto"/>
        <w:bottom w:val="none" w:sz="0" w:space="0" w:color="auto"/>
        <w:right w:val="none" w:sz="0" w:space="0" w:color="auto"/>
      </w:divBdr>
    </w:div>
    <w:div w:id="1071193092">
      <w:bodyDiv w:val="1"/>
      <w:marLeft w:val="0"/>
      <w:marRight w:val="0"/>
      <w:marTop w:val="0"/>
      <w:marBottom w:val="0"/>
      <w:divBdr>
        <w:top w:val="none" w:sz="0" w:space="0" w:color="auto"/>
        <w:left w:val="none" w:sz="0" w:space="0" w:color="auto"/>
        <w:bottom w:val="none" w:sz="0" w:space="0" w:color="auto"/>
        <w:right w:val="none" w:sz="0" w:space="0" w:color="auto"/>
      </w:divBdr>
    </w:div>
    <w:div w:id="1073284607">
      <w:bodyDiv w:val="1"/>
      <w:marLeft w:val="0"/>
      <w:marRight w:val="0"/>
      <w:marTop w:val="0"/>
      <w:marBottom w:val="0"/>
      <w:divBdr>
        <w:top w:val="none" w:sz="0" w:space="0" w:color="auto"/>
        <w:left w:val="none" w:sz="0" w:space="0" w:color="auto"/>
        <w:bottom w:val="none" w:sz="0" w:space="0" w:color="auto"/>
        <w:right w:val="none" w:sz="0" w:space="0" w:color="auto"/>
      </w:divBdr>
    </w:div>
    <w:div w:id="1074931309">
      <w:bodyDiv w:val="1"/>
      <w:marLeft w:val="0"/>
      <w:marRight w:val="0"/>
      <w:marTop w:val="0"/>
      <w:marBottom w:val="0"/>
      <w:divBdr>
        <w:top w:val="none" w:sz="0" w:space="0" w:color="auto"/>
        <w:left w:val="none" w:sz="0" w:space="0" w:color="auto"/>
        <w:bottom w:val="none" w:sz="0" w:space="0" w:color="auto"/>
        <w:right w:val="none" w:sz="0" w:space="0" w:color="auto"/>
      </w:divBdr>
    </w:div>
    <w:div w:id="1075936617">
      <w:bodyDiv w:val="1"/>
      <w:marLeft w:val="0"/>
      <w:marRight w:val="0"/>
      <w:marTop w:val="0"/>
      <w:marBottom w:val="0"/>
      <w:divBdr>
        <w:top w:val="none" w:sz="0" w:space="0" w:color="auto"/>
        <w:left w:val="none" w:sz="0" w:space="0" w:color="auto"/>
        <w:bottom w:val="none" w:sz="0" w:space="0" w:color="auto"/>
        <w:right w:val="none" w:sz="0" w:space="0" w:color="auto"/>
      </w:divBdr>
    </w:div>
    <w:div w:id="1077897136">
      <w:bodyDiv w:val="1"/>
      <w:marLeft w:val="0"/>
      <w:marRight w:val="0"/>
      <w:marTop w:val="0"/>
      <w:marBottom w:val="0"/>
      <w:divBdr>
        <w:top w:val="none" w:sz="0" w:space="0" w:color="auto"/>
        <w:left w:val="none" w:sz="0" w:space="0" w:color="auto"/>
        <w:bottom w:val="none" w:sz="0" w:space="0" w:color="auto"/>
        <w:right w:val="none" w:sz="0" w:space="0" w:color="auto"/>
      </w:divBdr>
    </w:div>
    <w:div w:id="1081945660">
      <w:bodyDiv w:val="1"/>
      <w:marLeft w:val="0"/>
      <w:marRight w:val="0"/>
      <w:marTop w:val="0"/>
      <w:marBottom w:val="0"/>
      <w:divBdr>
        <w:top w:val="none" w:sz="0" w:space="0" w:color="auto"/>
        <w:left w:val="none" w:sz="0" w:space="0" w:color="auto"/>
        <w:bottom w:val="none" w:sz="0" w:space="0" w:color="auto"/>
        <w:right w:val="none" w:sz="0" w:space="0" w:color="auto"/>
      </w:divBdr>
    </w:div>
    <w:div w:id="1084185661">
      <w:bodyDiv w:val="1"/>
      <w:marLeft w:val="0"/>
      <w:marRight w:val="0"/>
      <w:marTop w:val="0"/>
      <w:marBottom w:val="0"/>
      <w:divBdr>
        <w:top w:val="none" w:sz="0" w:space="0" w:color="auto"/>
        <w:left w:val="none" w:sz="0" w:space="0" w:color="auto"/>
        <w:bottom w:val="none" w:sz="0" w:space="0" w:color="auto"/>
        <w:right w:val="none" w:sz="0" w:space="0" w:color="auto"/>
      </w:divBdr>
    </w:div>
    <w:div w:id="1085223996">
      <w:bodyDiv w:val="1"/>
      <w:marLeft w:val="0"/>
      <w:marRight w:val="0"/>
      <w:marTop w:val="0"/>
      <w:marBottom w:val="0"/>
      <w:divBdr>
        <w:top w:val="none" w:sz="0" w:space="0" w:color="auto"/>
        <w:left w:val="none" w:sz="0" w:space="0" w:color="auto"/>
        <w:bottom w:val="none" w:sz="0" w:space="0" w:color="auto"/>
        <w:right w:val="none" w:sz="0" w:space="0" w:color="auto"/>
      </w:divBdr>
    </w:div>
    <w:div w:id="1085494412">
      <w:bodyDiv w:val="1"/>
      <w:marLeft w:val="0"/>
      <w:marRight w:val="0"/>
      <w:marTop w:val="0"/>
      <w:marBottom w:val="0"/>
      <w:divBdr>
        <w:top w:val="none" w:sz="0" w:space="0" w:color="auto"/>
        <w:left w:val="none" w:sz="0" w:space="0" w:color="auto"/>
        <w:bottom w:val="none" w:sz="0" w:space="0" w:color="auto"/>
        <w:right w:val="none" w:sz="0" w:space="0" w:color="auto"/>
      </w:divBdr>
    </w:div>
    <w:div w:id="1085684677">
      <w:bodyDiv w:val="1"/>
      <w:marLeft w:val="0"/>
      <w:marRight w:val="0"/>
      <w:marTop w:val="0"/>
      <w:marBottom w:val="0"/>
      <w:divBdr>
        <w:top w:val="none" w:sz="0" w:space="0" w:color="auto"/>
        <w:left w:val="none" w:sz="0" w:space="0" w:color="auto"/>
        <w:bottom w:val="none" w:sz="0" w:space="0" w:color="auto"/>
        <w:right w:val="none" w:sz="0" w:space="0" w:color="auto"/>
      </w:divBdr>
    </w:div>
    <w:div w:id="1088111465">
      <w:bodyDiv w:val="1"/>
      <w:marLeft w:val="0"/>
      <w:marRight w:val="0"/>
      <w:marTop w:val="0"/>
      <w:marBottom w:val="0"/>
      <w:divBdr>
        <w:top w:val="none" w:sz="0" w:space="0" w:color="auto"/>
        <w:left w:val="none" w:sz="0" w:space="0" w:color="auto"/>
        <w:bottom w:val="none" w:sz="0" w:space="0" w:color="auto"/>
        <w:right w:val="none" w:sz="0" w:space="0" w:color="auto"/>
      </w:divBdr>
    </w:div>
    <w:div w:id="1092093939">
      <w:bodyDiv w:val="1"/>
      <w:marLeft w:val="0"/>
      <w:marRight w:val="0"/>
      <w:marTop w:val="0"/>
      <w:marBottom w:val="0"/>
      <w:divBdr>
        <w:top w:val="none" w:sz="0" w:space="0" w:color="auto"/>
        <w:left w:val="none" w:sz="0" w:space="0" w:color="auto"/>
        <w:bottom w:val="none" w:sz="0" w:space="0" w:color="auto"/>
        <w:right w:val="none" w:sz="0" w:space="0" w:color="auto"/>
      </w:divBdr>
    </w:div>
    <w:div w:id="1097870041">
      <w:bodyDiv w:val="1"/>
      <w:marLeft w:val="0"/>
      <w:marRight w:val="0"/>
      <w:marTop w:val="0"/>
      <w:marBottom w:val="0"/>
      <w:divBdr>
        <w:top w:val="none" w:sz="0" w:space="0" w:color="auto"/>
        <w:left w:val="none" w:sz="0" w:space="0" w:color="auto"/>
        <w:bottom w:val="none" w:sz="0" w:space="0" w:color="auto"/>
        <w:right w:val="none" w:sz="0" w:space="0" w:color="auto"/>
      </w:divBdr>
    </w:div>
    <w:div w:id="1099444470">
      <w:bodyDiv w:val="1"/>
      <w:marLeft w:val="0"/>
      <w:marRight w:val="0"/>
      <w:marTop w:val="0"/>
      <w:marBottom w:val="0"/>
      <w:divBdr>
        <w:top w:val="none" w:sz="0" w:space="0" w:color="auto"/>
        <w:left w:val="none" w:sz="0" w:space="0" w:color="auto"/>
        <w:bottom w:val="none" w:sz="0" w:space="0" w:color="auto"/>
        <w:right w:val="none" w:sz="0" w:space="0" w:color="auto"/>
      </w:divBdr>
    </w:div>
    <w:div w:id="1104153895">
      <w:bodyDiv w:val="1"/>
      <w:marLeft w:val="0"/>
      <w:marRight w:val="0"/>
      <w:marTop w:val="0"/>
      <w:marBottom w:val="0"/>
      <w:divBdr>
        <w:top w:val="none" w:sz="0" w:space="0" w:color="auto"/>
        <w:left w:val="none" w:sz="0" w:space="0" w:color="auto"/>
        <w:bottom w:val="none" w:sz="0" w:space="0" w:color="auto"/>
        <w:right w:val="none" w:sz="0" w:space="0" w:color="auto"/>
      </w:divBdr>
    </w:div>
    <w:div w:id="1104494269">
      <w:bodyDiv w:val="1"/>
      <w:marLeft w:val="0"/>
      <w:marRight w:val="0"/>
      <w:marTop w:val="0"/>
      <w:marBottom w:val="0"/>
      <w:divBdr>
        <w:top w:val="none" w:sz="0" w:space="0" w:color="auto"/>
        <w:left w:val="none" w:sz="0" w:space="0" w:color="auto"/>
        <w:bottom w:val="none" w:sz="0" w:space="0" w:color="auto"/>
        <w:right w:val="none" w:sz="0" w:space="0" w:color="auto"/>
      </w:divBdr>
    </w:div>
    <w:div w:id="1106651845">
      <w:bodyDiv w:val="1"/>
      <w:marLeft w:val="0"/>
      <w:marRight w:val="0"/>
      <w:marTop w:val="0"/>
      <w:marBottom w:val="0"/>
      <w:divBdr>
        <w:top w:val="none" w:sz="0" w:space="0" w:color="auto"/>
        <w:left w:val="none" w:sz="0" w:space="0" w:color="auto"/>
        <w:bottom w:val="none" w:sz="0" w:space="0" w:color="auto"/>
        <w:right w:val="none" w:sz="0" w:space="0" w:color="auto"/>
      </w:divBdr>
    </w:div>
    <w:div w:id="1111977399">
      <w:bodyDiv w:val="1"/>
      <w:marLeft w:val="0"/>
      <w:marRight w:val="0"/>
      <w:marTop w:val="0"/>
      <w:marBottom w:val="0"/>
      <w:divBdr>
        <w:top w:val="none" w:sz="0" w:space="0" w:color="auto"/>
        <w:left w:val="none" w:sz="0" w:space="0" w:color="auto"/>
        <w:bottom w:val="none" w:sz="0" w:space="0" w:color="auto"/>
        <w:right w:val="none" w:sz="0" w:space="0" w:color="auto"/>
      </w:divBdr>
    </w:div>
    <w:div w:id="1114860029">
      <w:bodyDiv w:val="1"/>
      <w:marLeft w:val="0"/>
      <w:marRight w:val="0"/>
      <w:marTop w:val="0"/>
      <w:marBottom w:val="0"/>
      <w:divBdr>
        <w:top w:val="none" w:sz="0" w:space="0" w:color="auto"/>
        <w:left w:val="none" w:sz="0" w:space="0" w:color="auto"/>
        <w:bottom w:val="none" w:sz="0" w:space="0" w:color="auto"/>
        <w:right w:val="none" w:sz="0" w:space="0" w:color="auto"/>
      </w:divBdr>
    </w:div>
    <w:div w:id="1115516423">
      <w:bodyDiv w:val="1"/>
      <w:marLeft w:val="0"/>
      <w:marRight w:val="0"/>
      <w:marTop w:val="0"/>
      <w:marBottom w:val="0"/>
      <w:divBdr>
        <w:top w:val="none" w:sz="0" w:space="0" w:color="auto"/>
        <w:left w:val="none" w:sz="0" w:space="0" w:color="auto"/>
        <w:bottom w:val="none" w:sz="0" w:space="0" w:color="auto"/>
        <w:right w:val="none" w:sz="0" w:space="0" w:color="auto"/>
      </w:divBdr>
    </w:div>
    <w:div w:id="1119295057">
      <w:bodyDiv w:val="1"/>
      <w:marLeft w:val="0"/>
      <w:marRight w:val="0"/>
      <w:marTop w:val="0"/>
      <w:marBottom w:val="0"/>
      <w:divBdr>
        <w:top w:val="none" w:sz="0" w:space="0" w:color="auto"/>
        <w:left w:val="none" w:sz="0" w:space="0" w:color="auto"/>
        <w:bottom w:val="none" w:sz="0" w:space="0" w:color="auto"/>
        <w:right w:val="none" w:sz="0" w:space="0" w:color="auto"/>
      </w:divBdr>
    </w:div>
    <w:div w:id="1126312584">
      <w:bodyDiv w:val="1"/>
      <w:marLeft w:val="0"/>
      <w:marRight w:val="0"/>
      <w:marTop w:val="0"/>
      <w:marBottom w:val="0"/>
      <w:divBdr>
        <w:top w:val="none" w:sz="0" w:space="0" w:color="auto"/>
        <w:left w:val="none" w:sz="0" w:space="0" w:color="auto"/>
        <w:bottom w:val="none" w:sz="0" w:space="0" w:color="auto"/>
        <w:right w:val="none" w:sz="0" w:space="0" w:color="auto"/>
      </w:divBdr>
    </w:div>
    <w:div w:id="1127091363">
      <w:bodyDiv w:val="1"/>
      <w:marLeft w:val="0"/>
      <w:marRight w:val="0"/>
      <w:marTop w:val="0"/>
      <w:marBottom w:val="0"/>
      <w:divBdr>
        <w:top w:val="none" w:sz="0" w:space="0" w:color="auto"/>
        <w:left w:val="none" w:sz="0" w:space="0" w:color="auto"/>
        <w:bottom w:val="none" w:sz="0" w:space="0" w:color="auto"/>
        <w:right w:val="none" w:sz="0" w:space="0" w:color="auto"/>
      </w:divBdr>
    </w:div>
    <w:div w:id="1127311231">
      <w:bodyDiv w:val="1"/>
      <w:marLeft w:val="0"/>
      <w:marRight w:val="0"/>
      <w:marTop w:val="0"/>
      <w:marBottom w:val="0"/>
      <w:divBdr>
        <w:top w:val="none" w:sz="0" w:space="0" w:color="auto"/>
        <w:left w:val="none" w:sz="0" w:space="0" w:color="auto"/>
        <w:bottom w:val="none" w:sz="0" w:space="0" w:color="auto"/>
        <w:right w:val="none" w:sz="0" w:space="0" w:color="auto"/>
      </w:divBdr>
    </w:div>
    <w:div w:id="1131636248">
      <w:bodyDiv w:val="1"/>
      <w:marLeft w:val="0"/>
      <w:marRight w:val="0"/>
      <w:marTop w:val="0"/>
      <w:marBottom w:val="0"/>
      <w:divBdr>
        <w:top w:val="none" w:sz="0" w:space="0" w:color="auto"/>
        <w:left w:val="none" w:sz="0" w:space="0" w:color="auto"/>
        <w:bottom w:val="none" w:sz="0" w:space="0" w:color="auto"/>
        <w:right w:val="none" w:sz="0" w:space="0" w:color="auto"/>
      </w:divBdr>
    </w:div>
    <w:div w:id="1132291837">
      <w:bodyDiv w:val="1"/>
      <w:marLeft w:val="0"/>
      <w:marRight w:val="0"/>
      <w:marTop w:val="0"/>
      <w:marBottom w:val="0"/>
      <w:divBdr>
        <w:top w:val="none" w:sz="0" w:space="0" w:color="auto"/>
        <w:left w:val="none" w:sz="0" w:space="0" w:color="auto"/>
        <w:bottom w:val="none" w:sz="0" w:space="0" w:color="auto"/>
        <w:right w:val="none" w:sz="0" w:space="0" w:color="auto"/>
      </w:divBdr>
    </w:div>
    <w:div w:id="1133521527">
      <w:bodyDiv w:val="1"/>
      <w:marLeft w:val="0"/>
      <w:marRight w:val="0"/>
      <w:marTop w:val="0"/>
      <w:marBottom w:val="0"/>
      <w:divBdr>
        <w:top w:val="none" w:sz="0" w:space="0" w:color="auto"/>
        <w:left w:val="none" w:sz="0" w:space="0" w:color="auto"/>
        <w:bottom w:val="none" w:sz="0" w:space="0" w:color="auto"/>
        <w:right w:val="none" w:sz="0" w:space="0" w:color="auto"/>
      </w:divBdr>
    </w:div>
    <w:div w:id="1138300704">
      <w:bodyDiv w:val="1"/>
      <w:marLeft w:val="0"/>
      <w:marRight w:val="0"/>
      <w:marTop w:val="0"/>
      <w:marBottom w:val="0"/>
      <w:divBdr>
        <w:top w:val="none" w:sz="0" w:space="0" w:color="auto"/>
        <w:left w:val="none" w:sz="0" w:space="0" w:color="auto"/>
        <w:bottom w:val="none" w:sz="0" w:space="0" w:color="auto"/>
        <w:right w:val="none" w:sz="0" w:space="0" w:color="auto"/>
      </w:divBdr>
    </w:div>
    <w:div w:id="1138455749">
      <w:bodyDiv w:val="1"/>
      <w:marLeft w:val="0"/>
      <w:marRight w:val="0"/>
      <w:marTop w:val="0"/>
      <w:marBottom w:val="0"/>
      <w:divBdr>
        <w:top w:val="none" w:sz="0" w:space="0" w:color="auto"/>
        <w:left w:val="none" w:sz="0" w:space="0" w:color="auto"/>
        <w:bottom w:val="none" w:sz="0" w:space="0" w:color="auto"/>
        <w:right w:val="none" w:sz="0" w:space="0" w:color="auto"/>
      </w:divBdr>
    </w:div>
    <w:div w:id="1145665508">
      <w:bodyDiv w:val="1"/>
      <w:marLeft w:val="0"/>
      <w:marRight w:val="0"/>
      <w:marTop w:val="0"/>
      <w:marBottom w:val="0"/>
      <w:divBdr>
        <w:top w:val="none" w:sz="0" w:space="0" w:color="auto"/>
        <w:left w:val="none" w:sz="0" w:space="0" w:color="auto"/>
        <w:bottom w:val="none" w:sz="0" w:space="0" w:color="auto"/>
        <w:right w:val="none" w:sz="0" w:space="0" w:color="auto"/>
      </w:divBdr>
    </w:div>
    <w:div w:id="1146975786">
      <w:bodyDiv w:val="1"/>
      <w:marLeft w:val="0"/>
      <w:marRight w:val="0"/>
      <w:marTop w:val="0"/>
      <w:marBottom w:val="0"/>
      <w:divBdr>
        <w:top w:val="none" w:sz="0" w:space="0" w:color="auto"/>
        <w:left w:val="none" w:sz="0" w:space="0" w:color="auto"/>
        <w:bottom w:val="none" w:sz="0" w:space="0" w:color="auto"/>
        <w:right w:val="none" w:sz="0" w:space="0" w:color="auto"/>
      </w:divBdr>
    </w:div>
    <w:div w:id="1147355129">
      <w:bodyDiv w:val="1"/>
      <w:marLeft w:val="0"/>
      <w:marRight w:val="0"/>
      <w:marTop w:val="0"/>
      <w:marBottom w:val="0"/>
      <w:divBdr>
        <w:top w:val="none" w:sz="0" w:space="0" w:color="auto"/>
        <w:left w:val="none" w:sz="0" w:space="0" w:color="auto"/>
        <w:bottom w:val="none" w:sz="0" w:space="0" w:color="auto"/>
        <w:right w:val="none" w:sz="0" w:space="0" w:color="auto"/>
      </w:divBdr>
    </w:div>
    <w:div w:id="1149976494">
      <w:bodyDiv w:val="1"/>
      <w:marLeft w:val="0"/>
      <w:marRight w:val="0"/>
      <w:marTop w:val="0"/>
      <w:marBottom w:val="0"/>
      <w:divBdr>
        <w:top w:val="none" w:sz="0" w:space="0" w:color="auto"/>
        <w:left w:val="none" w:sz="0" w:space="0" w:color="auto"/>
        <w:bottom w:val="none" w:sz="0" w:space="0" w:color="auto"/>
        <w:right w:val="none" w:sz="0" w:space="0" w:color="auto"/>
      </w:divBdr>
    </w:div>
    <w:div w:id="1157762528">
      <w:bodyDiv w:val="1"/>
      <w:marLeft w:val="0"/>
      <w:marRight w:val="0"/>
      <w:marTop w:val="0"/>
      <w:marBottom w:val="0"/>
      <w:divBdr>
        <w:top w:val="none" w:sz="0" w:space="0" w:color="auto"/>
        <w:left w:val="none" w:sz="0" w:space="0" w:color="auto"/>
        <w:bottom w:val="none" w:sz="0" w:space="0" w:color="auto"/>
        <w:right w:val="none" w:sz="0" w:space="0" w:color="auto"/>
      </w:divBdr>
    </w:div>
    <w:div w:id="1160392139">
      <w:bodyDiv w:val="1"/>
      <w:marLeft w:val="0"/>
      <w:marRight w:val="0"/>
      <w:marTop w:val="0"/>
      <w:marBottom w:val="0"/>
      <w:divBdr>
        <w:top w:val="none" w:sz="0" w:space="0" w:color="auto"/>
        <w:left w:val="none" w:sz="0" w:space="0" w:color="auto"/>
        <w:bottom w:val="none" w:sz="0" w:space="0" w:color="auto"/>
        <w:right w:val="none" w:sz="0" w:space="0" w:color="auto"/>
      </w:divBdr>
    </w:div>
    <w:div w:id="1161774030">
      <w:bodyDiv w:val="1"/>
      <w:marLeft w:val="0"/>
      <w:marRight w:val="0"/>
      <w:marTop w:val="0"/>
      <w:marBottom w:val="0"/>
      <w:divBdr>
        <w:top w:val="none" w:sz="0" w:space="0" w:color="auto"/>
        <w:left w:val="none" w:sz="0" w:space="0" w:color="auto"/>
        <w:bottom w:val="none" w:sz="0" w:space="0" w:color="auto"/>
        <w:right w:val="none" w:sz="0" w:space="0" w:color="auto"/>
      </w:divBdr>
    </w:div>
    <w:div w:id="1168249326">
      <w:bodyDiv w:val="1"/>
      <w:marLeft w:val="0"/>
      <w:marRight w:val="0"/>
      <w:marTop w:val="0"/>
      <w:marBottom w:val="0"/>
      <w:divBdr>
        <w:top w:val="none" w:sz="0" w:space="0" w:color="auto"/>
        <w:left w:val="none" w:sz="0" w:space="0" w:color="auto"/>
        <w:bottom w:val="none" w:sz="0" w:space="0" w:color="auto"/>
        <w:right w:val="none" w:sz="0" w:space="0" w:color="auto"/>
      </w:divBdr>
    </w:div>
    <w:div w:id="1169784404">
      <w:bodyDiv w:val="1"/>
      <w:marLeft w:val="0"/>
      <w:marRight w:val="0"/>
      <w:marTop w:val="0"/>
      <w:marBottom w:val="0"/>
      <w:divBdr>
        <w:top w:val="none" w:sz="0" w:space="0" w:color="auto"/>
        <w:left w:val="none" w:sz="0" w:space="0" w:color="auto"/>
        <w:bottom w:val="none" w:sz="0" w:space="0" w:color="auto"/>
        <w:right w:val="none" w:sz="0" w:space="0" w:color="auto"/>
      </w:divBdr>
    </w:div>
    <w:div w:id="1175076073">
      <w:bodyDiv w:val="1"/>
      <w:marLeft w:val="0"/>
      <w:marRight w:val="0"/>
      <w:marTop w:val="0"/>
      <w:marBottom w:val="0"/>
      <w:divBdr>
        <w:top w:val="none" w:sz="0" w:space="0" w:color="auto"/>
        <w:left w:val="none" w:sz="0" w:space="0" w:color="auto"/>
        <w:bottom w:val="none" w:sz="0" w:space="0" w:color="auto"/>
        <w:right w:val="none" w:sz="0" w:space="0" w:color="auto"/>
      </w:divBdr>
    </w:div>
    <w:div w:id="1175413671">
      <w:bodyDiv w:val="1"/>
      <w:marLeft w:val="0"/>
      <w:marRight w:val="0"/>
      <w:marTop w:val="0"/>
      <w:marBottom w:val="0"/>
      <w:divBdr>
        <w:top w:val="none" w:sz="0" w:space="0" w:color="auto"/>
        <w:left w:val="none" w:sz="0" w:space="0" w:color="auto"/>
        <w:bottom w:val="none" w:sz="0" w:space="0" w:color="auto"/>
        <w:right w:val="none" w:sz="0" w:space="0" w:color="auto"/>
      </w:divBdr>
    </w:div>
    <w:div w:id="1181550263">
      <w:bodyDiv w:val="1"/>
      <w:marLeft w:val="0"/>
      <w:marRight w:val="0"/>
      <w:marTop w:val="0"/>
      <w:marBottom w:val="0"/>
      <w:divBdr>
        <w:top w:val="none" w:sz="0" w:space="0" w:color="auto"/>
        <w:left w:val="none" w:sz="0" w:space="0" w:color="auto"/>
        <w:bottom w:val="none" w:sz="0" w:space="0" w:color="auto"/>
        <w:right w:val="none" w:sz="0" w:space="0" w:color="auto"/>
      </w:divBdr>
    </w:div>
    <w:div w:id="1183741625">
      <w:bodyDiv w:val="1"/>
      <w:marLeft w:val="0"/>
      <w:marRight w:val="0"/>
      <w:marTop w:val="0"/>
      <w:marBottom w:val="0"/>
      <w:divBdr>
        <w:top w:val="none" w:sz="0" w:space="0" w:color="auto"/>
        <w:left w:val="none" w:sz="0" w:space="0" w:color="auto"/>
        <w:bottom w:val="none" w:sz="0" w:space="0" w:color="auto"/>
        <w:right w:val="none" w:sz="0" w:space="0" w:color="auto"/>
      </w:divBdr>
    </w:div>
    <w:div w:id="1183932115">
      <w:bodyDiv w:val="1"/>
      <w:marLeft w:val="0"/>
      <w:marRight w:val="0"/>
      <w:marTop w:val="0"/>
      <w:marBottom w:val="0"/>
      <w:divBdr>
        <w:top w:val="none" w:sz="0" w:space="0" w:color="auto"/>
        <w:left w:val="none" w:sz="0" w:space="0" w:color="auto"/>
        <w:bottom w:val="none" w:sz="0" w:space="0" w:color="auto"/>
        <w:right w:val="none" w:sz="0" w:space="0" w:color="auto"/>
      </w:divBdr>
    </w:div>
    <w:div w:id="1186286541">
      <w:bodyDiv w:val="1"/>
      <w:marLeft w:val="0"/>
      <w:marRight w:val="0"/>
      <w:marTop w:val="0"/>
      <w:marBottom w:val="0"/>
      <w:divBdr>
        <w:top w:val="none" w:sz="0" w:space="0" w:color="auto"/>
        <w:left w:val="none" w:sz="0" w:space="0" w:color="auto"/>
        <w:bottom w:val="none" w:sz="0" w:space="0" w:color="auto"/>
        <w:right w:val="none" w:sz="0" w:space="0" w:color="auto"/>
      </w:divBdr>
    </w:div>
    <w:div w:id="1186941115">
      <w:bodyDiv w:val="1"/>
      <w:marLeft w:val="0"/>
      <w:marRight w:val="0"/>
      <w:marTop w:val="0"/>
      <w:marBottom w:val="0"/>
      <w:divBdr>
        <w:top w:val="none" w:sz="0" w:space="0" w:color="auto"/>
        <w:left w:val="none" w:sz="0" w:space="0" w:color="auto"/>
        <w:bottom w:val="none" w:sz="0" w:space="0" w:color="auto"/>
        <w:right w:val="none" w:sz="0" w:space="0" w:color="auto"/>
      </w:divBdr>
    </w:div>
    <w:div w:id="1188375595">
      <w:bodyDiv w:val="1"/>
      <w:marLeft w:val="0"/>
      <w:marRight w:val="0"/>
      <w:marTop w:val="0"/>
      <w:marBottom w:val="0"/>
      <w:divBdr>
        <w:top w:val="none" w:sz="0" w:space="0" w:color="auto"/>
        <w:left w:val="none" w:sz="0" w:space="0" w:color="auto"/>
        <w:bottom w:val="none" w:sz="0" w:space="0" w:color="auto"/>
        <w:right w:val="none" w:sz="0" w:space="0" w:color="auto"/>
      </w:divBdr>
    </w:div>
    <w:div w:id="1190535180">
      <w:bodyDiv w:val="1"/>
      <w:marLeft w:val="0"/>
      <w:marRight w:val="0"/>
      <w:marTop w:val="0"/>
      <w:marBottom w:val="0"/>
      <w:divBdr>
        <w:top w:val="none" w:sz="0" w:space="0" w:color="auto"/>
        <w:left w:val="none" w:sz="0" w:space="0" w:color="auto"/>
        <w:bottom w:val="none" w:sz="0" w:space="0" w:color="auto"/>
        <w:right w:val="none" w:sz="0" w:space="0" w:color="auto"/>
      </w:divBdr>
    </w:div>
    <w:div w:id="1195385626">
      <w:bodyDiv w:val="1"/>
      <w:marLeft w:val="0"/>
      <w:marRight w:val="0"/>
      <w:marTop w:val="0"/>
      <w:marBottom w:val="0"/>
      <w:divBdr>
        <w:top w:val="none" w:sz="0" w:space="0" w:color="auto"/>
        <w:left w:val="none" w:sz="0" w:space="0" w:color="auto"/>
        <w:bottom w:val="none" w:sz="0" w:space="0" w:color="auto"/>
        <w:right w:val="none" w:sz="0" w:space="0" w:color="auto"/>
      </w:divBdr>
    </w:div>
    <w:div w:id="1196499022">
      <w:bodyDiv w:val="1"/>
      <w:marLeft w:val="0"/>
      <w:marRight w:val="0"/>
      <w:marTop w:val="0"/>
      <w:marBottom w:val="0"/>
      <w:divBdr>
        <w:top w:val="none" w:sz="0" w:space="0" w:color="auto"/>
        <w:left w:val="none" w:sz="0" w:space="0" w:color="auto"/>
        <w:bottom w:val="none" w:sz="0" w:space="0" w:color="auto"/>
        <w:right w:val="none" w:sz="0" w:space="0" w:color="auto"/>
      </w:divBdr>
    </w:div>
    <w:div w:id="1198665843">
      <w:bodyDiv w:val="1"/>
      <w:marLeft w:val="0"/>
      <w:marRight w:val="0"/>
      <w:marTop w:val="0"/>
      <w:marBottom w:val="0"/>
      <w:divBdr>
        <w:top w:val="none" w:sz="0" w:space="0" w:color="auto"/>
        <w:left w:val="none" w:sz="0" w:space="0" w:color="auto"/>
        <w:bottom w:val="none" w:sz="0" w:space="0" w:color="auto"/>
        <w:right w:val="none" w:sz="0" w:space="0" w:color="auto"/>
      </w:divBdr>
    </w:div>
    <w:div w:id="1200166230">
      <w:bodyDiv w:val="1"/>
      <w:marLeft w:val="0"/>
      <w:marRight w:val="0"/>
      <w:marTop w:val="0"/>
      <w:marBottom w:val="0"/>
      <w:divBdr>
        <w:top w:val="none" w:sz="0" w:space="0" w:color="auto"/>
        <w:left w:val="none" w:sz="0" w:space="0" w:color="auto"/>
        <w:bottom w:val="none" w:sz="0" w:space="0" w:color="auto"/>
        <w:right w:val="none" w:sz="0" w:space="0" w:color="auto"/>
      </w:divBdr>
    </w:div>
    <w:div w:id="1200972181">
      <w:bodyDiv w:val="1"/>
      <w:marLeft w:val="0"/>
      <w:marRight w:val="0"/>
      <w:marTop w:val="0"/>
      <w:marBottom w:val="0"/>
      <w:divBdr>
        <w:top w:val="none" w:sz="0" w:space="0" w:color="auto"/>
        <w:left w:val="none" w:sz="0" w:space="0" w:color="auto"/>
        <w:bottom w:val="none" w:sz="0" w:space="0" w:color="auto"/>
        <w:right w:val="none" w:sz="0" w:space="0" w:color="auto"/>
      </w:divBdr>
    </w:div>
    <w:div w:id="1201672534">
      <w:bodyDiv w:val="1"/>
      <w:marLeft w:val="0"/>
      <w:marRight w:val="0"/>
      <w:marTop w:val="0"/>
      <w:marBottom w:val="0"/>
      <w:divBdr>
        <w:top w:val="none" w:sz="0" w:space="0" w:color="auto"/>
        <w:left w:val="none" w:sz="0" w:space="0" w:color="auto"/>
        <w:bottom w:val="none" w:sz="0" w:space="0" w:color="auto"/>
        <w:right w:val="none" w:sz="0" w:space="0" w:color="auto"/>
      </w:divBdr>
    </w:div>
    <w:div w:id="1217887797">
      <w:bodyDiv w:val="1"/>
      <w:marLeft w:val="0"/>
      <w:marRight w:val="0"/>
      <w:marTop w:val="0"/>
      <w:marBottom w:val="0"/>
      <w:divBdr>
        <w:top w:val="none" w:sz="0" w:space="0" w:color="auto"/>
        <w:left w:val="none" w:sz="0" w:space="0" w:color="auto"/>
        <w:bottom w:val="none" w:sz="0" w:space="0" w:color="auto"/>
        <w:right w:val="none" w:sz="0" w:space="0" w:color="auto"/>
      </w:divBdr>
    </w:div>
    <w:div w:id="1218904312">
      <w:bodyDiv w:val="1"/>
      <w:marLeft w:val="0"/>
      <w:marRight w:val="0"/>
      <w:marTop w:val="0"/>
      <w:marBottom w:val="0"/>
      <w:divBdr>
        <w:top w:val="none" w:sz="0" w:space="0" w:color="auto"/>
        <w:left w:val="none" w:sz="0" w:space="0" w:color="auto"/>
        <w:bottom w:val="none" w:sz="0" w:space="0" w:color="auto"/>
        <w:right w:val="none" w:sz="0" w:space="0" w:color="auto"/>
      </w:divBdr>
    </w:div>
    <w:div w:id="1221670926">
      <w:bodyDiv w:val="1"/>
      <w:marLeft w:val="0"/>
      <w:marRight w:val="0"/>
      <w:marTop w:val="0"/>
      <w:marBottom w:val="0"/>
      <w:divBdr>
        <w:top w:val="none" w:sz="0" w:space="0" w:color="auto"/>
        <w:left w:val="none" w:sz="0" w:space="0" w:color="auto"/>
        <w:bottom w:val="none" w:sz="0" w:space="0" w:color="auto"/>
        <w:right w:val="none" w:sz="0" w:space="0" w:color="auto"/>
      </w:divBdr>
    </w:div>
    <w:div w:id="1223178471">
      <w:bodyDiv w:val="1"/>
      <w:marLeft w:val="0"/>
      <w:marRight w:val="0"/>
      <w:marTop w:val="0"/>
      <w:marBottom w:val="0"/>
      <w:divBdr>
        <w:top w:val="none" w:sz="0" w:space="0" w:color="auto"/>
        <w:left w:val="none" w:sz="0" w:space="0" w:color="auto"/>
        <w:bottom w:val="none" w:sz="0" w:space="0" w:color="auto"/>
        <w:right w:val="none" w:sz="0" w:space="0" w:color="auto"/>
      </w:divBdr>
    </w:div>
    <w:div w:id="1228296021">
      <w:bodyDiv w:val="1"/>
      <w:marLeft w:val="0"/>
      <w:marRight w:val="0"/>
      <w:marTop w:val="0"/>
      <w:marBottom w:val="0"/>
      <w:divBdr>
        <w:top w:val="none" w:sz="0" w:space="0" w:color="auto"/>
        <w:left w:val="none" w:sz="0" w:space="0" w:color="auto"/>
        <w:bottom w:val="none" w:sz="0" w:space="0" w:color="auto"/>
        <w:right w:val="none" w:sz="0" w:space="0" w:color="auto"/>
      </w:divBdr>
    </w:div>
    <w:div w:id="1229225961">
      <w:bodyDiv w:val="1"/>
      <w:marLeft w:val="0"/>
      <w:marRight w:val="0"/>
      <w:marTop w:val="0"/>
      <w:marBottom w:val="0"/>
      <w:divBdr>
        <w:top w:val="none" w:sz="0" w:space="0" w:color="auto"/>
        <w:left w:val="none" w:sz="0" w:space="0" w:color="auto"/>
        <w:bottom w:val="none" w:sz="0" w:space="0" w:color="auto"/>
        <w:right w:val="none" w:sz="0" w:space="0" w:color="auto"/>
      </w:divBdr>
    </w:div>
    <w:div w:id="1231309881">
      <w:bodyDiv w:val="1"/>
      <w:marLeft w:val="0"/>
      <w:marRight w:val="0"/>
      <w:marTop w:val="0"/>
      <w:marBottom w:val="0"/>
      <w:divBdr>
        <w:top w:val="none" w:sz="0" w:space="0" w:color="auto"/>
        <w:left w:val="none" w:sz="0" w:space="0" w:color="auto"/>
        <w:bottom w:val="none" w:sz="0" w:space="0" w:color="auto"/>
        <w:right w:val="none" w:sz="0" w:space="0" w:color="auto"/>
      </w:divBdr>
    </w:div>
    <w:div w:id="1237206181">
      <w:bodyDiv w:val="1"/>
      <w:marLeft w:val="0"/>
      <w:marRight w:val="0"/>
      <w:marTop w:val="0"/>
      <w:marBottom w:val="0"/>
      <w:divBdr>
        <w:top w:val="none" w:sz="0" w:space="0" w:color="auto"/>
        <w:left w:val="none" w:sz="0" w:space="0" w:color="auto"/>
        <w:bottom w:val="none" w:sz="0" w:space="0" w:color="auto"/>
        <w:right w:val="none" w:sz="0" w:space="0" w:color="auto"/>
      </w:divBdr>
    </w:div>
    <w:div w:id="1239174940">
      <w:bodyDiv w:val="1"/>
      <w:marLeft w:val="0"/>
      <w:marRight w:val="0"/>
      <w:marTop w:val="0"/>
      <w:marBottom w:val="0"/>
      <w:divBdr>
        <w:top w:val="none" w:sz="0" w:space="0" w:color="auto"/>
        <w:left w:val="none" w:sz="0" w:space="0" w:color="auto"/>
        <w:bottom w:val="none" w:sz="0" w:space="0" w:color="auto"/>
        <w:right w:val="none" w:sz="0" w:space="0" w:color="auto"/>
      </w:divBdr>
    </w:div>
    <w:div w:id="1239557916">
      <w:bodyDiv w:val="1"/>
      <w:marLeft w:val="0"/>
      <w:marRight w:val="0"/>
      <w:marTop w:val="0"/>
      <w:marBottom w:val="0"/>
      <w:divBdr>
        <w:top w:val="none" w:sz="0" w:space="0" w:color="auto"/>
        <w:left w:val="none" w:sz="0" w:space="0" w:color="auto"/>
        <w:bottom w:val="none" w:sz="0" w:space="0" w:color="auto"/>
        <w:right w:val="none" w:sz="0" w:space="0" w:color="auto"/>
      </w:divBdr>
    </w:div>
    <w:div w:id="1239680296">
      <w:bodyDiv w:val="1"/>
      <w:marLeft w:val="0"/>
      <w:marRight w:val="0"/>
      <w:marTop w:val="0"/>
      <w:marBottom w:val="0"/>
      <w:divBdr>
        <w:top w:val="none" w:sz="0" w:space="0" w:color="auto"/>
        <w:left w:val="none" w:sz="0" w:space="0" w:color="auto"/>
        <w:bottom w:val="none" w:sz="0" w:space="0" w:color="auto"/>
        <w:right w:val="none" w:sz="0" w:space="0" w:color="auto"/>
      </w:divBdr>
    </w:div>
    <w:div w:id="1244491263">
      <w:bodyDiv w:val="1"/>
      <w:marLeft w:val="0"/>
      <w:marRight w:val="0"/>
      <w:marTop w:val="0"/>
      <w:marBottom w:val="0"/>
      <w:divBdr>
        <w:top w:val="none" w:sz="0" w:space="0" w:color="auto"/>
        <w:left w:val="none" w:sz="0" w:space="0" w:color="auto"/>
        <w:bottom w:val="none" w:sz="0" w:space="0" w:color="auto"/>
        <w:right w:val="none" w:sz="0" w:space="0" w:color="auto"/>
      </w:divBdr>
    </w:div>
    <w:div w:id="1244609314">
      <w:bodyDiv w:val="1"/>
      <w:marLeft w:val="0"/>
      <w:marRight w:val="0"/>
      <w:marTop w:val="0"/>
      <w:marBottom w:val="0"/>
      <w:divBdr>
        <w:top w:val="none" w:sz="0" w:space="0" w:color="auto"/>
        <w:left w:val="none" w:sz="0" w:space="0" w:color="auto"/>
        <w:bottom w:val="none" w:sz="0" w:space="0" w:color="auto"/>
        <w:right w:val="none" w:sz="0" w:space="0" w:color="auto"/>
      </w:divBdr>
    </w:div>
    <w:div w:id="1245648986">
      <w:bodyDiv w:val="1"/>
      <w:marLeft w:val="0"/>
      <w:marRight w:val="0"/>
      <w:marTop w:val="0"/>
      <w:marBottom w:val="0"/>
      <w:divBdr>
        <w:top w:val="none" w:sz="0" w:space="0" w:color="auto"/>
        <w:left w:val="none" w:sz="0" w:space="0" w:color="auto"/>
        <w:bottom w:val="none" w:sz="0" w:space="0" w:color="auto"/>
        <w:right w:val="none" w:sz="0" w:space="0" w:color="auto"/>
      </w:divBdr>
    </w:div>
    <w:div w:id="1256325275">
      <w:bodyDiv w:val="1"/>
      <w:marLeft w:val="0"/>
      <w:marRight w:val="0"/>
      <w:marTop w:val="0"/>
      <w:marBottom w:val="0"/>
      <w:divBdr>
        <w:top w:val="none" w:sz="0" w:space="0" w:color="auto"/>
        <w:left w:val="none" w:sz="0" w:space="0" w:color="auto"/>
        <w:bottom w:val="none" w:sz="0" w:space="0" w:color="auto"/>
        <w:right w:val="none" w:sz="0" w:space="0" w:color="auto"/>
      </w:divBdr>
    </w:div>
    <w:div w:id="1257320759">
      <w:bodyDiv w:val="1"/>
      <w:marLeft w:val="0"/>
      <w:marRight w:val="0"/>
      <w:marTop w:val="0"/>
      <w:marBottom w:val="0"/>
      <w:divBdr>
        <w:top w:val="none" w:sz="0" w:space="0" w:color="auto"/>
        <w:left w:val="none" w:sz="0" w:space="0" w:color="auto"/>
        <w:bottom w:val="none" w:sz="0" w:space="0" w:color="auto"/>
        <w:right w:val="none" w:sz="0" w:space="0" w:color="auto"/>
      </w:divBdr>
    </w:div>
    <w:div w:id="1258947831">
      <w:bodyDiv w:val="1"/>
      <w:marLeft w:val="0"/>
      <w:marRight w:val="0"/>
      <w:marTop w:val="0"/>
      <w:marBottom w:val="0"/>
      <w:divBdr>
        <w:top w:val="none" w:sz="0" w:space="0" w:color="auto"/>
        <w:left w:val="none" w:sz="0" w:space="0" w:color="auto"/>
        <w:bottom w:val="none" w:sz="0" w:space="0" w:color="auto"/>
        <w:right w:val="none" w:sz="0" w:space="0" w:color="auto"/>
      </w:divBdr>
    </w:div>
    <w:div w:id="1277564532">
      <w:bodyDiv w:val="1"/>
      <w:marLeft w:val="0"/>
      <w:marRight w:val="0"/>
      <w:marTop w:val="0"/>
      <w:marBottom w:val="0"/>
      <w:divBdr>
        <w:top w:val="none" w:sz="0" w:space="0" w:color="auto"/>
        <w:left w:val="none" w:sz="0" w:space="0" w:color="auto"/>
        <w:bottom w:val="none" w:sz="0" w:space="0" w:color="auto"/>
        <w:right w:val="none" w:sz="0" w:space="0" w:color="auto"/>
      </w:divBdr>
    </w:div>
    <w:div w:id="1285648544">
      <w:bodyDiv w:val="1"/>
      <w:marLeft w:val="0"/>
      <w:marRight w:val="0"/>
      <w:marTop w:val="0"/>
      <w:marBottom w:val="0"/>
      <w:divBdr>
        <w:top w:val="none" w:sz="0" w:space="0" w:color="auto"/>
        <w:left w:val="none" w:sz="0" w:space="0" w:color="auto"/>
        <w:bottom w:val="none" w:sz="0" w:space="0" w:color="auto"/>
        <w:right w:val="none" w:sz="0" w:space="0" w:color="auto"/>
      </w:divBdr>
    </w:div>
    <w:div w:id="1287395104">
      <w:bodyDiv w:val="1"/>
      <w:marLeft w:val="0"/>
      <w:marRight w:val="0"/>
      <w:marTop w:val="0"/>
      <w:marBottom w:val="0"/>
      <w:divBdr>
        <w:top w:val="none" w:sz="0" w:space="0" w:color="auto"/>
        <w:left w:val="none" w:sz="0" w:space="0" w:color="auto"/>
        <w:bottom w:val="none" w:sz="0" w:space="0" w:color="auto"/>
        <w:right w:val="none" w:sz="0" w:space="0" w:color="auto"/>
      </w:divBdr>
    </w:div>
    <w:div w:id="1288119190">
      <w:bodyDiv w:val="1"/>
      <w:marLeft w:val="0"/>
      <w:marRight w:val="0"/>
      <w:marTop w:val="0"/>
      <w:marBottom w:val="0"/>
      <w:divBdr>
        <w:top w:val="none" w:sz="0" w:space="0" w:color="auto"/>
        <w:left w:val="none" w:sz="0" w:space="0" w:color="auto"/>
        <w:bottom w:val="none" w:sz="0" w:space="0" w:color="auto"/>
        <w:right w:val="none" w:sz="0" w:space="0" w:color="auto"/>
      </w:divBdr>
    </w:div>
    <w:div w:id="1292593310">
      <w:bodyDiv w:val="1"/>
      <w:marLeft w:val="0"/>
      <w:marRight w:val="0"/>
      <w:marTop w:val="0"/>
      <w:marBottom w:val="0"/>
      <w:divBdr>
        <w:top w:val="none" w:sz="0" w:space="0" w:color="auto"/>
        <w:left w:val="none" w:sz="0" w:space="0" w:color="auto"/>
        <w:bottom w:val="none" w:sz="0" w:space="0" w:color="auto"/>
        <w:right w:val="none" w:sz="0" w:space="0" w:color="auto"/>
      </w:divBdr>
    </w:div>
    <w:div w:id="1292901659">
      <w:bodyDiv w:val="1"/>
      <w:marLeft w:val="0"/>
      <w:marRight w:val="0"/>
      <w:marTop w:val="0"/>
      <w:marBottom w:val="0"/>
      <w:divBdr>
        <w:top w:val="none" w:sz="0" w:space="0" w:color="auto"/>
        <w:left w:val="none" w:sz="0" w:space="0" w:color="auto"/>
        <w:bottom w:val="none" w:sz="0" w:space="0" w:color="auto"/>
        <w:right w:val="none" w:sz="0" w:space="0" w:color="auto"/>
      </w:divBdr>
    </w:div>
    <w:div w:id="1297447389">
      <w:bodyDiv w:val="1"/>
      <w:marLeft w:val="0"/>
      <w:marRight w:val="0"/>
      <w:marTop w:val="0"/>
      <w:marBottom w:val="0"/>
      <w:divBdr>
        <w:top w:val="none" w:sz="0" w:space="0" w:color="auto"/>
        <w:left w:val="none" w:sz="0" w:space="0" w:color="auto"/>
        <w:bottom w:val="none" w:sz="0" w:space="0" w:color="auto"/>
        <w:right w:val="none" w:sz="0" w:space="0" w:color="auto"/>
      </w:divBdr>
    </w:div>
    <w:div w:id="1304038557">
      <w:bodyDiv w:val="1"/>
      <w:marLeft w:val="0"/>
      <w:marRight w:val="0"/>
      <w:marTop w:val="0"/>
      <w:marBottom w:val="0"/>
      <w:divBdr>
        <w:top w:val="none" w:sz="0" w:space="0" w:color="auto"/>
        <w:left w:val="none" w:sz="0" w:space="0" w:color="auto"/>
        <w:bottom w:val="none" w:sz="0" w:space="0" w:color="auto"/>
        <w:right w:val="none" w:sz="0" w:space="0" w:color="auto"/>
      </w:divBdr>
    </w:div>
    <w:div w:id="1305041902">
      <w:bodyDiv w:val="1"/>
      <w:marLeft w:val="0"/>
      <w:marRight w:val="0"/>
      <w:marTop w:val="0"/>
      <w:marBottom w:val="0"/>
      <w:divBdr>
        <w:top w:val="none" w:sz="0" w:space="0" w:color="auto"/>
        <w:left w:val="none" w:sz="0" w:space="0" w:color="auto"/>
        <w:bottom w:val="none" w:sz="0" w:space="0" w:color="auto"/>
        <w:right w:val="none" w:sz="0" w:space="0" w:color="auto"/>
      </w:divBdr>
    </w:div>
    <w:div w:id="1305230820">
      <w:bodyDiv w:val="1"/>
      <w:marLeft w:val="0"/>
      <w:marRight w:val="0"/>
      <w:marTop w:val="0"/>
      <w:marBottom w:val="0"/>
      <w:divBdr>
        <w:top w:val="none" w:sz="0" w:space="0" w:color="auto"/>
        <w:left w:val="none" w:sz="0" w:space="0" w:color="auto"/>
        <w:bottom w:val="none" w:sz="0" w:space="0" w:color="auto"/>
        <w:right w:val="none" w:sz="0" w:space="0" w:color="auto"/>
      </w:divBdr>
    </w:div>
    <w:div w:id="1306353401">
      <w:bodyDiv w:val="1"/>
      <w:marLeft w:val="0"/>
      <w:marRight w:val="0"/>
      <w:marTop w:val="0"/>
      <w:marBottom w:val="0"/>
      <w:divBdr>
        <w:top w:val="none" w:sz="0" w:space="0" w:color="auto"/>
        <w:left w:val="none" w:sz="0" w:space="0" w:color="auto"/>
        <w:bottom w:val="none" w:sz="0" w:space="0" w:color="auto"/>
        <w:right w:val="none" w:sz="0" w:space="0" w:color="auto"/>
      </w:divBdr>
    </w:div>
    <w:div w:id="1306424200">
      <w:bodyDiv w:val="1"/>
      <w:marLeft w:val="0"/>
      <w:marRight w:val="0"/>
      <w:marTop w:val="0"/>
      <w:marBottom w:val="0"/>
      <w:divBdr>
        <w:top w:val="none" w:sz="0" w:space="0" w:color="auto"/>
        <w:left w:val="none" w:sz="0" w:space="0" w:color="auto"/>
        <w:bottom w:val="none" w:sz="0" w:space="0" w:color="auto"/>
        <w:right w:val="none" w:sz="0" w:space="0" w:color="auto"/>
      </w:divBdr>
    </w:div>
    <w:div w:id="1318726245">
      <w:bodyDiv w:val="1"/>
      <w:marLeft w:val="0"/>
      <w:marRight w:val="0"/>
      <w:marTop w:val="0"/>
      <w:marBottom w:val="0"/>
      <w:divBdr>
        <w:top w:val="none" w:sz="0" w:space="0" w:color="auto"/>
        <w:left w:val="none" w:sz="0" w:space="0" w:color="auto"/>
        <w:bottom w:val="none" w:sz="0" w:space="0" w:color="auto"/>
        <w:right w:val="none" w:sz="0" w:space="0" w:color="auto"/>
      </w:divBdr>
    </w:div>
    <w:div w:id="1321229550">
      <w:bodyDiv w:val="1"/>
      <w:marLeft w:val="0"/>
      <w:marRight w:val="0"/>
      <w:marTop w:val="0"/>
      <w:marBottom w:val="0"/>
      <w:divBdr>
        <w:top w:val="none" w:sz="0" w:space="0" w:color="auto"/>
        <w:left w:val="none" w:sz="0" w:space="0" w:color="auto"/>
        <w:bottom w:val="none" w:sz="0" w:space="0" w:color="auto"/>
        <w:right w:val="none" w:sz="0" w:space="0" w:color="auto"/>
      </w:divBdr>
    </w:div>
    <w:div w:id="1323702674">
      <w:bodyDiv w:val="1"/>
      <w:marLeft w:val="0"/>
      <w:marRight w:val="0"/>
      <w:marTop w:val="0"/>
      <w:marBottom w:val="0"/>
      <w:divBdr>
        <w:top w:val="none" w:sz="0" w:space="0" w:color="auto"/>
        <w:left w:val="none" w:sz="0" w:space="0" w:color="auto"/>
        <w:bottom w:val="none" w:sz="0" w:space="0" w:color="auto"/>
        <w:right w:val="none" w:sz="0" w:space="0" w:color="auto"/>
      </w:divBdr>
    </w:div>
    <w:div w:id="1324158457">
      <w:bodyDiv w:val="1"/>
      <w:marLeft w:val="0"/>
      <w:marRight w:val="0"/>
      <w:marTop w:val="0"/>
      <w:marBottom w:val="0"/>
      <w:divBdr>
        <w:top w:val="none" w:sz="0" w:space="0" w:color="auto"/>
        <w:left w:val="none" w:sz="0" w:space="0" w:color="auto"/>
        <w:bottom w:val="none" w:sz="0" w:space="0" w:color="auto"/>
        <w:right w:val="none" w:sz="0" w:space="0" w:color="auto"/>
      </w:divBdr>
    </w:div>
    <w:div w:id="1325663642">
      <w:bodyDiv w:val="1"/>
      <w:marLeft w:val="0"/>
      <w:marRight w:val="0"/>
      <w:marTop w:val="0"/>
      <w:marBottom w:val="0"/>
      <w:divBdr>
        <w:top w:val="none" w:sz="0" w:space="0" w:color="auto"/>
        <w:left w:val="none" w:sz="0" w:space="0" w:color="auto"/>
        <w:bottom w:val="none" w:sz="0" w:space="0" w:color="auto"/>
        <w:right w:val="none" w:sz="0" w:space="0" w:color="auto"/>
      </w:divBdr>
    </w:div>
    <w:div w:id="1326545265">
      <w:bodyDiv w:val="1"/>
      <w:marLeft w:val="0"/>
      <w:marRight w:val="0"/>
      <w:marTop w:val="0"/>
      <w:marBottom w:val="0"/>
      <w:divBdr>
        <w:top w:val="none" w:sz="0" w:space="0" w:color="auto"/>
        <w:left w:val="none" w:sz="0" w:space="0" w:color="auto"/>
        <w:bottom w:val="none" w:sz="0" w:space="0" w:color="auto"/>
        <w:right w:val="none" w:sz="0" w:space="0" w:color="auto"/>
      </w:divBdr>
    </w:div>
    <w:div w:id="1326592648">
      <w:bodyDiv w:val="1"/>
      <w:marLeft w:val="0"/>
      <w:marRight w:val="0"/>
      <w:marTop w:val="0"/>
      <w:marBottom w:val="0"/>
      <w:divBdr>
        <w:top w:val="none" w:sz="0" w:space="0" w:color="auto"/>
        <w:left w:val="none" w:sz="0" w:space="0" w:color="auto"/>
        <w:bottom w:val="none" w:sz="0" w:space="0" w:color="auto"/>
        <w:right w:val="none" w:sz="0" w:space="0" w:color="auto"/>
      </w:divBdr>
    </w:div>
    <w:div w:id="1330132671">
      <w:bodyDiv w:val="1"/>
      <w:marLeft w:val="0"/>
      <w:marRight w:val="0"/>
      <w:marTop w:val="0"/>
      <w:marBottom w:val="0"/>
      <w:divBdr>
        <w:top w:val="none" w:sz="0" w:space="0" w:color="auto"/>
        <w:left w:val="none" w:sz="0" w:space="0" w:color="auto"/>
        <w:bottom w:val="none" w:sz="0" w:space="0" w:color="auto"/>
        <w:right w:val="none" w:sz="0" w:space="0" w:color="auto"/>
      </w:divBdr>
    </w:div>
    <w:div w:id="1333338118">
      <w:bodyDiv w:val="1"/>
      <w:marLeft w:val="0"/>
      <w:marRight w:val="0"/>
      <w:marTop w:val="0"/>
      <w:marBottom w:val="0"/>
      <w:divBdr>
        <w:top w:val="none" w:sz="0" w:space="0" w:color="auto"/>
        <w:left w:val="none" w:sz="0" w:space="0" w:color="auto"/>
        <w:bottom w:val="none" w:sz="0" w:space="0" w:color="auto"/>
        <w:right w:val="none" w:sz="0" w:space="0" w:color="auto"/>
      </w:divBdr>
    </w:div>
    <w:div w:id="1333531710">
      <w:bodyDiv w:val="1"/>
      <w:marLeft w:val="0"/>
      <w:marRight w:val="0"/>
      <w:marTop w:val="0"/>
      <w:marBottom w:val="0"/>
      <w:divBdr>
        <w:top w:val="none" w:sz="0" w:space="0" w:color="auto"/>
        <w:left w:val="none" w:sz="0" w:space="0" w:color="auto"/>
        <w:bottom w:val="none" w:sz="0" w:space="0" w:color="auto"/>
        <w:right w:val="none" w:sz="0" w:space="0" w:color="auto"/>
      </w:divBdr>
    </w:div>
    <w:div w:id="1336107142">
      <w:bodyDiv w:val="1"/>
      <w:marLeft w:val="0"/>
      <w:marRight w:val="0"/>
      <w:marTop w:val="0"/>
      <w:marBottom w:val="0"/>
      <w:divBdr>
        <w:top w:val="none" w:sz="0" w:space="0" w:color="auto"/>
        <w:left w:val="none" w:sz="0" w:space="0" w:color="auto"/>
        <w:bottom w:val="none" w:sz="0" w:space="0" w:color="auto"/>
        <w:right w:val="none" w:sz="0" w:space="0" w:color="auto"/>
      </w:divBdr>
    </w:div>
    <w:div w:id="1336499315">
      <w:bodyDiv w:val="1"/>
      <w:marLeft w:val="0"/>
      <w:marRight w:val="0"/>
      <w:marTop w:val="0"/>
      <w:marBottom w:val="0"/>
      <w:divBdr>
        <w:top w:val="none" w:sz="0" w:space="0" w:color="auto"/>
        <w:left w:val="none" w:sz="0" w:space="0" w:color="auto"/>
        <w:bottom w:val="none" w:sz="0" w:space="0" w:color="auto"/>
        <w:right w:val="none" w:sz="0" w:space="0" w:color="auto"/>
      </w:divBdr>
    </w:div>
    <w:div w:id="1338801431">
      <w:bodyDiv w:val="1"/>
      <w:marLeft w:val="0"/>
      <w:marRight w:val="0"/>
      <w:marTop w:val="0"/>
      <w:marBottom w:val="0"/>
      <w:divBdr>
        <w:top w:val="none" w:sz="0" w:space="0" w:color="auto"/>
        <w:left w:val="none" w:sz="0" w:space="0" w:color="auto"/>
        <w:bottom w:val="none" w:sz="0" w:space="0" w:color="auto"/>
        <w:right w:val="none" w:sz="0" w:space="0" w:color="auto"/>
      </w:divBdr>
    </w:div>
    <w:div w:id="1338844948">
      <w:bodyDiv w:val="1"/>
      <w:marLeft w:val="0"/>
      <w:marRight w:val="0"/>
      <w:marTop w:val="0"/>
      <w:marBottom w:val="0"/>
      <w:divBdr>
        <w:top w:val="none" w:sz="0" w:space="0" w:color="auto"/>
        <w:left w:val="none" w:sz="0" w:space="0" w:color="auto"/>
        <w:bottom w:val="none" w:sz="0" w:space="0" w:color="auto"/>
        <w:right w:val="none" w:sz="0" w:space="0" w:color="auto"/>
      </w:divBdr>
    </w:div>
    <w:div w:id="1341619515">
      <w:bodyDiv w:val="1"/>
      <w:marLeft w:val="0"/>
      <w:marRight w:val="0"/>
      <w:marTop w:val="0"/>
      <w:marBottom w:val="0"/>
      <w:divBdr>
        <w:top w:val="none" w:sz="0" w:space="0" w:color="auto"/>
        <w:left w:val="none" w:sz="0" w:space="0" w:color="auto"/>
        <w:bottom w:val="none" w:sz="0" w:space="0" w:color="auto"/>
        <w:right w:val="none" w:sz="0" w:space="0" w:color="auto"/>
      </w:divBdr>
    </w:div>
    <w:div w:id="1343050749">
      <w:bodyDiv w:val="1"/>
      <w:marLeft w:val="0"/>
      <w:marRight w:val="0"/>
      <w:marTop w:val="0"/>
      <w:marBottom w:val="0"/>
      <w:divBdr>
        <w:top w:val="none" w:sz="0" w:space="0" w:color="auto"/>
        <w:left w:val="none" w:sz="0" w:space="0" w:color="auto"/>
        <w:bottom w:val="none" w:sz="0" w:space="0" w:color="auto"/>
        <w:right w:val="none" w:sz="0" w:space="0" w:color="auto"/>
      </w:divBdr>
    </w:div>
    <w:div w:id="1343168193">
      <w:bodyDiv w:val="1"/>
      <w:marLeft w:val="0"/>
      <w:marRight w:val="0"/>
      <w:marTop w:val="0"/>
      <w:marBottom w:val="0"/>
      <w:divBdr>
        <w:top w:val="none" w:sz="0" w:space="0" w:color="auto"/>
        <w:left w:val="none" w:sz="0" w:space="0" w:color="auto"/>
        <w:bottom w:val="none" w:sz="0" w:space="0" w:color="auto"/>
        <w:right w:val="none" w:sz="0" w:space="0" w:color="auto"/>
      </w:divBdr>
    </w:div>
    <w:div w:id="1346247736">
      <w:bodyDiv w:val="1"/>
      <w:marLeft w:val="0"/>
      <w:marRight w:val="0"/>
      <w:marTop w:val="0"/>
      <w:marBottom w:val="0"/>
      <w:divBdr>
        <w:top w:val="none" w:sz="0" w:space="0" w:color="auto"/>
        <w:left w:val="none" w:sz="0" w:space="0" w:color="auto"/>
        <w:bottom w:val="none" w:sz="0" w:space="0" w:color="auto"/>
        <w:right w:val="none" w:sz="0" w:space="0" w:color="auto"/>
      </w:divBdr>
    </w:div>
    <w:div w:id="1349867002">
      <w:bodyDiv w:val="1"/>
      <w:marLeft w:val="0"/>
      <w:marRight w:val="0"/>
      <w:marTop w:val="0"/>
      <w:marBottom w:val="0"/>
      <w:divBdr>
        <w:top w:val="none" w:sz="0" w:space="0" w:color="auto"/>
        <w:left w:val="none" w:sz="0" w:space="0" w:color="auto"/>
        <w:bottom w:val="none" w:sz="0" w:space="0" w:color="auto"/>
        <w:right w:val="none" w:sz="0" w:space="0" w:color="auto"/>
      </w:divBdr>
    </w:div>
    <w:div w:id="1350717817">
      <w:bodyDiv w:val="1"/>
      <w:marLeft w:val="0"/>
      <w:marRight w:val="0"/>
      <w:marTop w:val="0"/>
      <w:marBottom w:val="0"/>
      <w:divBdr>
        <w:top w:val="none" w:sz="0" w:space="0" w:color="auto"/>
        <w:left w:val="none" w:sz="0" w:space="0" w:color="auto"/>
        <w:bottom w:val="none" w:sz="0" w:space="0" w:color="auto"/>
        <w:right w:val="none" w:sz="0" w:space="0" w:color="auto"/>
      </w:divBdr>
    </w:div>
    <w:div w:id="1353535520">
      <w:bodyDiv w:val="1"/>
      <w:marLeft w:val="0"/>
      <w:marRight w:val="0"/>
      <w:marTop w:val="0"/>
      <w:marBottom w:val="0"/>
      <w:divBdr>
        <w:top w:val="none" w:sz="0" w:space="0" w:color="auto"/>
        <w:left w:val="none" w:sz="0" w:space="0" w:color="auto"/>
        <w:bottom w:val="none" w:sz="0" w:space="0" w:color="auto"/>
        <w:right w:val="none" w:sz="0" w:space="0" w:color="auto"/>
      </w:divBdr>
    </w:div>
    <w:div w:id="1354379286">
      <w:bodyDiv w:val="1"/>
      <w:marLeft w:val="0"/>
      <w:marRight w:val="0"/>
      <w:marTop w:val="0"/>
      <w:marBottom w:val="0"/>
      <w:divBdr>
        <w:top w:val="none" w:sz="0" w:space="0" w:color="auto"/>
        <w:left w:val="none" w:sz="0" w:space="0" w:color="auto"/>
        <w:bottom w:val="none" w:sz="0" w:space="0" w:color="auto"/>
        <w:right w:val="none" w:sz="0" w:space="0" w:color="auto"/>
      </w:divBdr>
    </w:div>
    <w:div w:id="1354499175">
      <w:bodyDiv w:val="1"/>
      <w:marLeft w:val="0"/>
      <w:marRight w:val="0"/>
      <w:marTop w:val="0"/>
      <w:marBottom w:val="0"/>
      <w:divBdr>
        <w:top w:val="none" w:sz="0" w:space="0" w:color="auto"/>
        <w:left w:val="none" w:sz="0" w:space="0" w:color="auto"/>
        <w:bottom w:val="none" w:sz="0" w:space="0" w:color="auto"/>
        <w:right w:val="none" w:sz="0" w:space="0" w:color="auto"/>
      </w:divBdr>
    </w:div>
    <w:div w:id="1357467099">
      <w:bodyDiv w:val="1"/>
      <w:marLeft w:val="0"/>
      <w:marRight w:val="0"/>
      <w:marTop w:val="0"/>
      <w:marBottom w:val="0"/>
      <w:divBdr>
        <w:top w:val="none" w:sz="0" w:space="0" w:color="auto"/>
        <w:left w:val="none" w:sz="0" w:space="0" w:color="auto"/>
        <w:bottom w:val="none" w:sz="0" w:space="0" w:color="auto"/>
        <w:right w:val="none" w:sz="0" w:space="0" w:color="auto"/>
      </w:divBdr>
    </w:div>
    <w:div w:id="1361390557">
      <w:bodyDiv w:val="1"/>
      <w:marLeft w:val="0"/>
      <w:marRight w:val="0"/>
      <w:marTop w:val="0"/>
      <w:marBottom w:val="0"/>
      <w:divBdr>
        <w:top w:val="none" w:sz="0" w:space="0" w:color="auto"/>
        <w:left w:val="none" w:sz="0" w:space="0" w:color="auto"/>
        <w:bottom w:val="none" w:sz="0" w:space="0" w:color="auto"/>
        <w:right w:val="none" w:sz="0" w:space="0" w:color="auto"/>
      </w:divBdr>
    </w:div>
    <w:div w:id="1363164293">
      <w:bodyDiv w:val="1"/>
      <w:marLeft w:val="0"/>
      <w:marRight w:val="0"/>
      <w:marTop w:val="0"/>
      <w:marBottom w:val="0"/>
      <w:divBdr>
        <w:top w:val="none" w:sz="0" w:space="0" w:color="auto"/>
        <w:left w:val="none" w:sz="0" w:space="0" w:color="auto"/>
        <w:bottom w:val="none" w:sz="0" w:space="0" w:color="auto"/>
        <w:right w:val="none" w:sz="0" w:space="0" w:color="auto"/>
      </w:divBdr>
    </w:div>
    <w:div w:id="1363283213">
      <w:bodyDiv w:val="1"/>
      <w:marLeft w:val="0"/>
      <w:marRight w:val="0"/>
      <w:marTop w:val="0"/>
      <w:marBottom w:val="0"/>
      <w:divBdr>
        <w:top w:val="none" w:sz="0" w:space="0" w:color="auto"/>
        <w:left w:val="none" w:sz="0" w:space="0" w:color="auto"/>
        <w:bottom w:val="none" w:sz="0" w:space="0" w:color="auto"/>
        <w:right w:val="none" w:sz="0" w:space="0" w:color="auto"/>
      </w:divBdr>
    </w:div>
    <w:div w:id="1365322697">
      <w:bodyDiv w:val="1"/>
      <w:marLeft w:val="0"/>
      <w:marRight w:val="0"/>
      <w:marTop w:val="0"/>
      <w:marBottom w:val="0"/>
      <w:divBdr>
        <w:top w:val="none" w:sz="0" w:space="0" w:color="auto"/>
        <w:left w:val="none" w:sz="0" w:space="0" w:color="auto"/>
        <w:bottom w:val="none" w:sz="0" w:space="0" w:color="auto"/>
        <w:right w:val="none" w:sz="0" w:space="0" w:color="auto"/>
      </w:divBdr>
    </w:div>
    <w:div w:id="1365323961">
      <w:bodyDiv w:val="1"/>
      <w:marLeft w:val="0"/>
      <w:marRight w:val="0"/>
      <w:marTop w:val="0"/>
      <w:marBottom w:val="0"/>
      <w:divBdr>
        <w:top w:val="none" w:sz="0" w:space="0" w:color="auto"/>
        <w:left w:val="none" w:sz="0" w:space="0" w:color="auto"/>
        <w:bottom w:val="none" w:sz="0" w:space="0" w:color="auto"/>
        <w:right w:val="none" w:sz="0" w:space="0" w:color="auto"/>
      </w:divBdr>
    </w:div>
    <w:div w:id="1365792062">
      <w:bodyDiv w:val="1"/>
      <w:marLeft w:val="0"/>
      <w:marRight w:val="0"/>
      <w:marTop w:val="0"/>
      <w:marBottom w:val="0"/>
      <w:divBdr>
        <w:top w:val="none" w:sz="0" w:space="0" w:color="auto"/>
        <w:left w:val="none" w:sz="0" w:space="0" w:color="auto"/>
        <w:bottom w:val="none" w:sz="0" w:space="0" w:color="auto"/>
        <w:right w:val="none" w:sz="0" w:space="0" w:color="auto"/>
      </w:divBdr>
    </w:div>
    <w:div w:id="1375883051">
      <w:bodyDiv w:val="1"/>
      <w:marLeft w:val="0"/>
      <w:marRight w:val="0"/>
      <w:marTop w:val="0"/>
      <w:marBottom w:val="0"/>
      <w:divBdr>
        <w:top w:val="none" w:sz="0" w:space="0" w:color="auto"/>
        <w:left w:val="none" w:sz="0" w:space="0" w:color="auto"/>
        <w:bottom w:val="none" w:sz="0" w:space="0" w:color="auto"/>
        <w:right w:val="none" w:sz="0" w:space="0" w:color="auto"/>
      </w:divBdr>
    </w:div>
    <w:div w:id="1382901094">
      <w:bodyDiv w:val="1"/>
      <w:marLeft w:val="0"/>
      <w:marRight w:val="0"/>
      <w:marTop w:val="0"/>
      <w:marBottom w:val="0"/>
      <w:divBdr>
        <w:top w:val="none" w:sz="0" w:space="0" w:color="auto"/>
        <w:left w:val="none" w:sz="0" w:space="0" w:color="auto"/>
        <w:bottom w:val="none" w:sz="0" w:space="0" w:color="auto"/>
        <w:right w:val="none" w:sz="0" w:space="0" w:color="auto"/>
      </w:divBdr>
    </w:div>
    <w:div w:id="1384518890">
      <w:bodyDiv w:val="1"/>
      <w:marLeft w:val="0"/>
      <w:marRight w:val="0"/>
      <w:marTop w:val="0"/>
      <w:marBottom w:val="0"/>
      <w:divBdr>
        <w:top w:val="none" w:sz="0" w:space="0" w:color="auto"/>
        <w:left w:val="none" w:sz="0" w:space="0" w:color="auto"/>
        <w:bottom w:val="none" w:sz="0" w:space="0" w:color="auto"/>
        <w:right w:val="none" w:sz="0" w:space="0" w:color="auto"/>
      </w:divBdr>
    </w:div>
    <w:div w:id="1398548098">
      <w:bodyDiv w:val="1"/>
      <w:marLeft w:val="0"/>
      <w:marRight w:val="0"/>
      <w:marTop w:val="0"/>
      <w:marBottom w:val="0"/>
      <w:divBdr>
        <w:top w:val="none" w:sz="0" w:space="0" w:color="auto"/>
        <w:left w:val="none" w:sz="0" w:space="0" w:color="auto"/>
        <w:bottom w:val="none" w:sz="0" w:space="0" w:color="auto"/>
        <w:right w:val="none" w:sz="0" w:space="0" w:color="auto"/>
      </w:divBdr>
    </w:div>
    <w:div w:id="1399325388">
      <w:bodyDiv w:val="1"/>
      <w:marLeft w:val="0"/>
      <w:marRight w:val="0"/>
      <w:marTop w:val="0"/>
      <w:marBottom w:val="0"/>
      <w:divBdr>
        <w:top w:val="none" w:sz="0" w:space="0" w:color="auto"/>
        <w:left w:val="none" w:sz="0" w:space="0" w:color="auto"/>
        <w:bottom w:val="none" w:sz="0" w:space="0" w:color="auto"/>
        <w:right w:val="none" w:sz="0" w:space="0" w:color="auto"/>
      </w:divBdr>
    </w:div>
    <w:div w:id="1403598722">
      <w:bodyDiv w:val="1"/>
      <w:marLeft w:val="0"/>
      <w:marRight w:val="0"/>
      <w:marTop w:val="0"/>
      <w:marBottom w:val="0"/>
      <w:divBdr>
        <w:top w:val="none" w:sz="0" w:space="0" w:color="auto"/>
        <w:left w:val="none" w:sz="0" w:space="0" w:color="auto"/>
        <w:bottom w:val="none" w:sz="0" w:space="0" w:color="auto"/>
        <w:right w:val="none" w:sz="0" w:space="0" w:color="auto"/>
      </w:divBdr>
    </w:div>
    <w:div w:id="1403868228">
      <w:bodyDiv w:val="1"/>
      <w:marLeft w:val="0"/>
      <w:marRight w:val="0"/>
      <w:marTop w:val="0"/>
      <w:marBottom w:val="0"/>
      <w:divBdr>
        <w:top w:val="none" w:sz="0" w:space="0" w:color="auto"/>
        <w:left w:val="none" w:sz="0" w:space="0" w:color="auto"/>
        <w:bottom w:val="none" w:sz="0" w:space="0" w:color="auto"/>
        <w:right w:val="none" w:sz="0" w:space="0" w:color="auto"/>
      </w:divBdr>
    </w:div>
    <w:div w:id="1403986318">
      <w:bodyDiv w:val="1"/>
      <w:marLeft w:val="0"/>
      <w:marRight w:val="0"/>
      <w:marTop w:val="0"/>
      <w:marBottom w:val="0"/>
      <w:divBdr>
        <w:top w:val="none" w:sz="0" w:space="0" w:color="auto"/>
        <w:left w:val="none" w:sz="0" w:space="0" w:color="auto"/>
        <w:bottom w:val="none" w:sz="0" w:space="0" w:color="auto"/>
        <w:right w:val="none" w:sz="0" w:space="0" w:color="auto"/>
      </w:divBdr>
    </w:div>
    <w:div w:id="1404789320">
      <w:bodyDiv w:val="1"/>
      <w:marLeft w:val="0"/>
      <w:marRight w:val="0"/>
      <w:marTop w:val="0"/>
      <w:marBottom w:val="0"/>
      <w:divBdr>
        <w:top w:val="none" w:sz="0" w:space="0" w:color="auto"/>
        <w:left w:val="none" w:sz="0" w:space="0" w:color="auto"/>
        <w:bottom w:val="none" w:sz="0" w:space="0" w:color="auto"/>
        <w:right w:val="none" w:sz="0" w:space="0" w:color="auto"/>
      </w:divBdr>
    </w:div>
    <w:div w:id="1404794113">
      <w:bodyDiv w:val="1"/>
      <w:marLeft w:val="0"/>
      <w:marRight w:val="0"/>
      <w:marTop w:val="0"/>
      <w:marBottom w:val="0"/>
      <w:divBdr>
        <w:top w:val="none" w:sz="0" w:space="0" w:color="auto"/>
        <w:left w:val="none" w:sz="0" w:space="0" w:color="auto"/>
        <w:bottom w:val="none" w:sz="0" w:space="0" w:color="auto"/>
        <w:right w:val="none" w:sz="0" w:space="0" w:color="auto"/>
      </w:divBdr>
    </w:div>
    <w:div w:id="1410887097">
      <w:bodyDiv w:val="1"/>
      <w:marLeft w:val="0"/>
      <w:marRight w:val="0"/>
      <w:marTop w:val="0"/>
      <w:marBottom w:val="0"/>
      <w:divBdr>
        <w:top w:val="none" w:sz="0" w:space="0" w:color="auto"/>
        <w:left w:val="none" w:sz="0" w:space="0" w:color="auto"/>
        <w:bottom w:val="none" w:sz="0" w:space="0" w:color="auto"/>
        <w:right w:val="none" w:sz="0" w:space="0" w:color="auto"/>
      </w:divBdr>
    </w:div>
    <w:div w:id="1412696681">
      <w:bodyDiv w:val="1"/>
      <w:marLeft w:val="0"/>
      <w:marRight w:val="0"/>
      <w:marTop w:val="0"/>
      <w:marBottom w:val="0"/>
      <w:divBdr>
        <w:top w:val="none" w:sz="0" w:space="0" w:color="auto"/>
        <w:left w:val="none" w:sz="0" w:space="0" w:color="auto"/>
        <w:bottom w:val="none" w:sz="0" w:space="0" w:color="auto"/>
        <w:right w:val="none" w:sz="0" w:space="0" w:color="auto"/>
      </w:divBdr>
    </w:div>
    <w:div w:id="1426726887">
      <w:bodyDiv w:val="1"/>
      <w:marLeft w:val="0"/>
      <w:marRight w:val="0"/>
      <w:marTop w:val="0"/>
      <w:marBottom w:val="0"/>
      <w:divBdr>
        <w:top w:val="none" w:sz="0" w:space="0" w:color="auto"/>
        <w:left w:val="none" w:sz="0" w:space="0" w:color="auto"/>
        <w:bottom w:val="none" w:sz="0" w:space="0" w:color="auto"/>
        <w:right w:val="none" w:sz="0" w:space="0" w:color="auto"/>
      </w:divBdr>
    </w:div>
    <w:div w:id="1430003485">
      <w:bodyDiv w:val="1"/>
      <w:marLeft w:val="0"/>
      <w:marRight w:val="0"/>
      <w:marTop w:val="0"/>
      <w:marBottom w:val="0"/>
      <w:divBdr>
        <w:top w:val="none" w:sz="0" w:space="0" w:color="auto"/>
        <w:left w:val="none" w:sz="0" w:space="0" w:color="auto"/>
        <w:bottom w:val="none" w:sz="0" w:space="0" w:color="auto"/>
        <w:right w:val="none" w:sz="0" w:space="0" w:color="auto"/>
      </w:divBdr>
    </w:div>
    <w:div w:id="1430004432">
      <w:bodyDiv w:val="1"/>
      <w:marLeft w:val="0"/>
      <w:marRight w:val="0"/>
      <w:marTop w:val="0"/>
      <w:marBottom w:val="0"/>
      <w:divBdr>
        <w:top w:val="none" w:sz="0" w:space="0" w:color="auto"/>
        <w:left w:val="none" w:sz="0" w:space="0" w:color="auto"/>
        <w:bottom w:val="none" w:sz="0" w:space="0" w:color="auto"/>
        <w:right w:val="none" w:sz="0" w:space="0" w:color="auto"/>
      </w:divBdr>
    </w:div>
    <w:div w:id="1441149129">
      <w:bodyDiv w:val="1"/>
      <w:marLeft w:val="0"/>
      <w:marRight w:val="0"/>
      <w:marTop w:val="0"/>
      <w:marBottom w:val="0"/>
      <w:divBdr>
        <w:top w:val="none" w:sz="0" w:space="0" w:color="auto"/>
        <w:left w:val="none" w:sz="0" w:space="0" w:color="auto"/>
        <w:bottom w:val="none" w:sz="0" w:space="0" w:color="auto"/>
        <w:right w:val="none" w:sz="0" w:space="0" w:color="auto"/>
      </w:divBdr>
    </w:div>
    <w:div w:id="1444114841">
      <w:bodyDiv w:val="1"/>
      <w:marLeft w:val="0"/>
      <w:marRight w:val="0"/>
      <w:marTop w:val="0"/>
      <w:marBottom w:val="0"/>
      <w:divBdr>
        <w:top w:val="none" w:sz="0" w:space="0" w:color="auto"/>
        <w:left w:val="none" w:sz="0" w:space="0" w:color="auto"/>
        <w:bottom w:val="none" w:sz="0" w:space="0" w:color="auto"/>
        <w:right w:val="none" w:sz="0" w:space="0" w:color="auto"/>
      </w:divBdr>
    </w:div>
    <w:div w:id="1445073289">
      <w:bodyDiv w:val="1"/>
      <w:marLeft w:val="0"/>
      <w:marRight w:val="0"/>
      <w:marTop w:val="0"/>
      <w:marBottom w:val="0"/>
      <w:divBdr>
        <w:top w:val="none" w:sz="0" w:space="0" w:color="auto"/>
        <w:left w:val="none" w:sz="0" w:space="0" w:color="auto"/>
        <w:bottom w:val="none" w:sz="0" w:space="0" w:color="auto"/>
        <w:right w:val="none" w:sz="0" w:space="0" w:color="auto"/>
      </w:divBdr>
    </w:div>
    <w:div w:id="1450314804">
      <w:bodyDiv w:val="1"/>
      <w:marLeft w:val="0"/>
      <w:marRight w:val="0"/>
      <w:marTop w:val="0"/>
      <w:marBottom w:val="0"/>
      <w:divBdr>
        <w:top w:val="none" w:sz="0" w:space="0" w:color="auto"/>
        <w:left w:val="none" w:sz="0" w:space="0" w:color="auto"/>
        <w:bottom w:val="none" w:sz="0" w:space="0" w:color="auto"/>
        <w:right w:val="none" w:sz="0" w:space="0" w:color="auto"/>
      </w:divBdr>
    </w:div>
    <w:div w:id="1451245914">
      <w:bodyDiv w:val="1"/>
      <w:marLeft w:val="0"/>
      <w:marRight w:val="0"/>
      <w:marTop w:val="0"/>
      <w:marBottom w:val="0"/>
      <w:divBdr>
        <w:top w:val="none" w:sz="0" w:space="0" w:color="auto"/>
        <w:left w:val="none" w:sz="0" w:space="0" w:color="auto"/>
        <w:bottom w:val="none" w:sz="0" w:space="0" w:color="auto"/>
        <w:right w:val="none" w:sz="0" w:space="0" w:color="auto"/>
      </w:divBdr>
    </w:div>
    <w:div w:id="1452016180">
      <w:bodyDiv w:val="1"/>
      <w:marLeft w:val="0"/>
      <w:marRight w:val="0"/>
      <w:marTop w:val="0"/>
      <w:marBottom w:val="0"/>
      <w:divBdr>
        <w:top w:val="none" w:sz="0" w:space="0" w:color="auto"/>
        <w:left w:val="none" w:sz="0" w:space="0" w:color="auto"/>
        <w:bottom w:val="none" w:sz="0" w:space="0" w:color="auto"/>
        <w:right w:val="none" w:sz="0" w:space="0" w:color="auto"/>
      </w:divBdr>
    </w:div>
    <w:div w:id="1453741508">
      <w:bodyDiv w:val="1"/>
      <w:marLeft w:val="0"/>
      <w:marRight w:val="0"/>
      <w:marTop w:val="0"/>
      <w:marBottom w:val="0"/>
      <w:divBdr>
        <w:top w:val="none" w:sz="0" w:space="0" w:color="auto"/>
        <w:left w:val="none" w:sz="0" w:space="0" w:color="auto"/>
        <w:bottom w:val="none" w:sz="0" w:space="0" w:color="auto"/>
        <w:right w:val="none" w:sz="0" w:space="0" w:color="auto"/>
      </w:divBdr>
    </w:div>
    <w:div w:id="1454328254">
      <w:bodyDiv w:val="1"/>
      <w:marLeft w:val="0"/>
      <w:marRight w:val="0"/>
      <w:marTop w:val="0"/>
      <w:marBottom w:val="0"/>
      <w:divBdr>
        <w:top w:val="none" w:sz="0" w:space="0" w:color="auto"/>
        <w:left w:val="none" w:sz="0" w:space="0" w:color="auto"/>
        <w:bottom w:val="none" w:sz="0" w:space="0" w:color="auto"/>
        <w:right w:val="none" w:sz="0" w:space="0" w:color="auto"/>
      </w:divBdr>
    </w:div>
    <w:div w:id="1456558958">
      <w:bodyDiv w:val="1"/>
      <w:marLeft w:val="0"/>
      <w:marRight w:val="0"/>
      <w:marTop w:val="0"/>
      <w:marBottom w:val="0"/>
      <w:divBdr>
        <w:top w:val="none" w:sz="0" w:space="0" w:color="auto"/>
        <w:left w:val="none" w:sz="0" w:space="0" w:color="auto"/>
        <w:bottom w:val="none" w:sz="0" w:space="0" w:color="auto"/>
        <w:right w:val="none" w:sz="0" w:space="0" w:color="auto"/>
      </w:divBdr>
    </w:div>
    <w:div w:id="1456678916">
      <w:bodyDiv w:val="1"/>
      <w:marLeft w:val="0"/>
      <w:marRight w:val="0"/>
      <w:marTop w:val="0"/>
      <w:marBottom w:val="0"/>
      <w:divBdr>
        <w:top w:val="none" w:sz="0" w:space="0" w:color="auto"/>
        <w:left w:val="none" w:sz="0" w:space="0" w:color="auto"/>
        <w:bottom w:val="none" w:sz="0" w:space="0" w:color="auto"/>
        <w:right w:val="none" w:sz="0" w:space="0" w:color="auto"/>
      </w:divBdr>
    </w:div>
    <w:div w:id="1457289887">
      <w:bodyDiv w:val="1"/>
      <w:marLeft w:val="0"/>
      <w:marRight w:val="0"/>
      <w:marTop w:val="0"/>
      <w:marBottom w:val="0"/>
      <w:divBdr>
        <w:top w:val="none" w:sz="0" w:space="0" w:color="auto"/>
        <w:left w:val="none" w:sz="0" w:space="0" w:color="auto"/>
        <w:bottom w:val="none" w:sz="0" w:space="0" w:color="auto"/>
        <w:right w:val="none" w:sz="0" w:space="0" w:color="auto"/>
      </w:divBdr>
    </w:div>
    <w:div w:id="1457672792">
      <w:bodyDiv w:val="1"/>
      <w:marLeft w:val="0"/>
      <w:marRight w:val="0"/>
      <w:marTop w:val="0"/>
      <w:marBottom w:val="0"/>
      <w:divBdr>
        <w:top w:val="none" w:sz="0" w:space="0" w:color="auto"/>
        <w:left w:val="none" w:sz="0" w:space="0" w:color="auto"/>
        <w:bottom w:val="none" w:sz="0" w:space="0" w:color="auto"/>
        <w:right w:val="none" w:sz="0" w:space="0" w:color="auto"/>
      </w:divBdr>
    </w:div>
    <w:div w:id="1461070684">
      <w:bodyDiv w:val="1"/>
      <w:marLeft w:val="0"/>
      <w:marRight w:val="0"/>
      <w:marTop w:val="0"/>
      <w:marBottom w:val="0"/>
      <w:divBdr>
        <w:top w:val="none" w:sz="0" w:space="0" w:color="auto"/>
        <w:left w:val="none" w:sz="0" w:space="0" w:color="auto"/>
        <w:bottom w:val="none" w:sz="0" w:space="0" w:color="auto"/>
        <w:right w:val="none" w:sz="0" w:space="0" w:color="auto"/>
      </w:divBdr>
    </w:div>
    <w:div w:id="1464228629">
      <w:bodyDiv w:val="1"/>
      <w:marLeft w:val="0"/>
      <w:marRight w:val="0"/>
      <w:marTop w:val="0"/>
      <w:marBottom w:val="0"/>
      <w:divBdr>
        <w:top w:val="none" w:sz="0" w:space="0" w:color="auto"/>
        <w:left w:val="none" w:sz="0" w:space="0" w:color="auto"/>
        <w:bottom w:val="none" w:sz="0" w:space="0" w:color="auto"/>
        <w:right w:val="none" w:sz="0" w:space="0" w:color="auto"/>
      </w:divBdr>
    </w:div>
    <w:div w:id="1472751788">
      <w:bodyDiv w:val="1"/>
      <w:marLeft w:val="0"/>
      <w:marRight w:val="0"/>
      <w:marTop w:val="0"/>
      <w:marBottom w:val="0"/>
      <w:divBdr>
        <w:top w:val="none" w:sz="0" w:space="0" w:color="auto"/>
        <w:left w:val="none" w:sz="0" w:space="0" w:color="auto"/>
        <w:bottom w:val="none" w:sz="0" w:space="0" w:color="auto"/>
        <w:right w:val="none" w:sz="0" w:space="0" w:color="auto"/>
      </w:divBdr>
    </w:div>
    <w:div w:id="1474560137">
      <w:bodyDiv w:val="1"/>
      <w:marLeft w:val="0"/>
      <w:marRight w:val="0"/>
      <w:marTop w:val="0"/>
      <w:marBottom w:val="0"/>
      <w:divBdr>
        <w:top w:val="none" w:sz="0" w:space="0" w:color="auto"/>
        <w:left w:val="none" w:sz="0" w:space="0" w:color="auto"/>
        <w:bottom w:val="none" w:sz="0" w:space="0" w:color="auto"/>
        <w:right w:val="none" w:sz="0" w:space="0" w:color="auto"/>
      </w:divBdr>
    </w:div>
    <w:div w:id="1479886096">
      <w:bodyDiv w:val="1"/>
      <w:marLeft w:val="0"/>
      <w:marRight w:val="0"/>
      <w:marTop w:val="0"/>
      <w:marBottom w:val="0"/>
      <w:divBdr>
        <w:top w:val="none" w:sz="0" w:space="0" w:color="auto"/>
        <w:left w:val="none" w:sz="0" w:space="0" w:color="auto"/>
        <w:bottom w:val="none" w:sz="0" w:space="0" w:color="auto"/>
        <w:right w:val="none" w:sz="0" w:space="0" w:color="auto"/>
      </w:divBdr>
    </w:div>
    <w:div w:id="1483353533">
      <w:bodyDiv w:val="1"/>
      <w:marLeft w:val="0"/>
      <w:marRight w:val="0"/>
      <w:marTop w:val="0"/>
      <w:marBottom w:val="0"/>
      <w:divBdr>
        <w:top w:val="none" w:sz="0" w:space="0" w:color="auto"/>
        <w:left w:val="none" w:sz="0" w:space="0" w:color="auto"/>
        <w:bottom w:val="none" w:sz="0" w:space="0" w:color="auto"/>
        <w:right w:val="none" w:sz="0" w:space="0" w:color="auto"/>
      </w:divBdr>
    </w:div>
    <w:div w:id="1483542637">
      <w:bodyDiv w:val="1"/>
      <w:marLeft w:val="0"/>
      <w:marRight w:val="0"/>
      <w:marTop w:val="0"/>
      <w:marBottom w:val="0"/>
      <w:divBdr>
        <w:top w:val="none" w:sz="0" w:space="0" w:color="auto"/>
        <w:left w:val="none" w:sz="0" w:space="0" w:color="auto"/>
        <w:bottom w:val="none" w:sz="0" w:space="0" w:color="auto"/>
        <w:right w:val="none" w:sz="0" w:space="0" w:color="auto"/>
      </w:divBdr>
    </w:div>
    <w:div w:id="1484732064">
      <w:bodyDiv w:val="1"/>
      <w:marLeft w:val="0"/>
      <w:marRight w:val="0"/>
      <w:marTop w:val="0"/>
      <w:marBottom w:val="0"/>
      <w:divBdr>
        <w:top w:val="none" w:sz="0" w:space="0" w:color="auto"/>
        <w:left w:val="none" w:sz="0" w:space="0" w:color="auto"/>
        <w:bottom w:val="none" w:sz="0" w:space="0" w:color="auto"/>
        <w:right w:val="none" w:sz="0" w:space="0" w:color="auto"/>
      </w:divBdr>
    </w:div>
    <w:div w:id="1485782559">
      <w:bodyDiv w:val="1"/>
      <w:marLeft w:val="0"/>
      <w:marRight w:val="0"/>
      <w:marTop w:val="0"/>
      <w:marBottom w:val="0"/>
      <w:divBdr>
        <w:top w:val="none" w:sz="0" w:space="0" w:color="auto"/>
        <w:left w:val="none" w:sz="0" w:space="0" w:color="auto"/>
        <w:bottom w:val="none" w:sz="0" w:space="0" w:color="auto"/>
        <w:right w:val="none" w:sz="0" w:space="0" w:color="auto"/>
      </w:divBdr>
    </w:div>
    <w:div w:id="1488742352">
      <w:bodyDiv w:val="1"/>
      <w:marLeft w:val="0"/>
      <w:marRight w:val="0"/>
      <w:marTop w:val="0"/>
      <w:marBottom w:val="0"/>
      <w:divBdr>
        <w:top w:val="none" w:sz="0" w:space="0" w:color="auto"/>
        <w:left w:val="none" w:sz="0" w:space="0" w:color="auto"/>
        <w:bottom w:val="none" w:sz="0" w:space="0" w:color="auto"/>
        <w:right w:val="none" w:sz="0" w:space="0" w:color="auto"/>
      </w:divBdr>
    </w:div>
    <w:div w:id="1489326452">
      <w:bodyDiv w:val="1"/>
      <w:marLeft w:val="0"/>
      <w:marRight w:val="0"/>
      <w:marTop w:val="0"/>
      <w:marBottom w:val="0"/>
      <w:divBdr>
        <w:top w:val="none" w:sz="0" w:space="0" w:color="auto"/>
        <w:left w:val="none" w:sz="0" w:space="0" w:color="auto"/>
        <w:bottom w:val="none" w:sz="0" w:space="0" w:color="auto"/>
        <w:right w:val="none" w:sz="0" w:space="0" w:color="auto"/>
      </w:divBdr>
    </w:div>
    <w:div w:id="1497377377">
      <w:bodyDiv w:val="1"/>
      <w:marLeft w:val="0"/>
      <w:marRight w:val="0"/>
      <w:marTop w:val="0"/>
      <w:marBottom w:val="0"/>
      <w:divBdr>
        <w:top w:val="none" w:sz="0" w:space="0" w:color="auto"/>
        <w:left w:val="none" w:sz="0" w:space="0" w:color="auto"/>
        <w:bottom w:val="none" w:sz="0" w:space="0" w:color="auto"/>
        <w:right w:val="none" w:sz="0" w:space="0" w:color="auto"/>
      </w:divBdr>
    </w:div>
    <w:div w:id="1498305862">
      <w:bodyDiv w:val="1"/>
      <w:marLeft w:val="0"/>
      <w:marRight w:val="0"/>
      <w:marTop w:val="0"/>
      <w:marBottom w:val="0"/>
      <w:divBdr>
        <w:top w:val="none" w:sz="0" w:space="0" w:color="auto"/>
        <w:left w:val="none" w:sz="0" w:space="0" w:color="auto"/>
        <w:bottom w:val="none" w:sz="0" w:space="0" w:color="auto"/>
        <w:right w:val="none" w:sz="0" w:space="0" w:color="auto"/>
      </w:divBdr>
    </w:div>
    <w:div w:id="1499924328">
      <w:bodyDiv w:val="1"/>
      <w:marLeft w:val="0"/>
      <w:marRight w:val="0"/>
      <w:marTop w:val="0"/>
      <w:marBottom w:val="0"/>
      <w:divBdr>
        <w:top w:val="none" w:sz="0" w:space="0" w:color="auto"/>
        <w:left w:val="none" w:sz="0" w:space="0" w:color="auto"/>
        <w:bottom w:val="none" w:sz="0" w:space="0" w:color="auto"/>
        <w:right w:val="none" w:sz="0" w:space="0" w:color="auto"/>
      </w:divBdr>
    </w:div>
    <w:div w:id="1502232454">
      <w:bodyDiv w:val="1"/>
      <w:marLeft w:val="0"/>
      <w:marRight w:val="0"/>
      <w:marTop w:val="0"/>
      <w:marBottom w:val="0"/>
      <w:divBdr>
        <w:top w:val="none" w:sz="0" w:space="0" w:color="auto"/>
        <w:left w:val="none" w:sz="0" w:space="0" w:color="auto"/>
        <w:bottom w:val="none" w:sz="0" w:space="0" w:color="auto"/>
        <w:right w:val="none" w:sz="0" w:space="0" w:color="auto"/>
      </w:divBdr>
    </w:div>
    <w:div w:id="1502963323">
      <w:bodyDiv w:val="1"/>
      <w:marLeft w:val="0"/>
      <w:marRight w:val="0"/>
      <w:marTop w:val="0"/>
      <w:marBottom w:val="0"/>
      <w:divBdr>
        <w:top w:val="none" w:sz="0" w:space="0" w:color="auto"/>
        <w:left w:val="none" w:sz="0" w:space="0" w:color="auto"/>
        <w:bottom w:val="none" w:sz="0" w:space="0" w:color="auto"/>
        <w:right w:val="none" w:sz="0" w:space="0" w:color="auto"/>
      </w:divBdr>
    </w:div>
    <w:div w:id="1505046053">
      <w:bodyDiv w:val="1"/>
      <w:marLeft w:val="0"/>
      <w:marRight w:val="0"/>
      <w:marTop w:val="0"/>
      <w:marBottom w:val="0"/>
      <w:divBdr>
        <w:top w:val="none" w:sz="0" w:space="0" w:color="auto"/>
        <w:left w:val="none" w:sz="0" w:space="0" w:color="auto"/>
        <w:bottom w:val="none" w:sz="0" w:space="0" w:color="auto"/>
        <w:right w:val="none" w:sz="0" w:space="0" w:color="auto"/>
      </w:divBdr>
    </w:div>
    <w:div w:id="1507283799">
      <w:bodyDiv w:val="1"/>
      <w:marLeft w:val="0"/>
      <w:marRight w:val="0"/>
      <w:marTop w:val="0"/>
      <w:marBottom w:val="0"/>
      <w:divBdr>
        <w:top w:val="none" w:sz="0" w:space="0" w:color="auto"/>
        <w:left w:val="none" w:sz="0" w:space="0" w:color="auto"/>
        <w:bottom w:val="none" w:sz="0" w:space="0" w:color="auto"/>
        <w:right w:val="none" w:sz="0" w:space="0" w:color="auto"/>
      </w:divBdr>
    </w:div>
    <w:div w:id="1508791960">
      <w:bodyDiv w:val="1"/>
      <w:marLeft w:val="0"/>
      <w:marRight w:val="0"/>
      <w:marTop w:val="0"/>
      <w:marBottom w:val="0"/>
      <w:divBdr>
        <w:top w:val="none" w:sz="0" w:space="0" w:color="auto"/>
        <w:left w:val="none" w:sz="0" w:space="0" w:color="auto"/>
        <w:bottom w:val="none" w:sz="0" w:space="0" w:color="auto"/>
        <w:right w:val="none" w:sz="0" w:space="0" w:color="auto"/>
      </w:divBdr>
    </w:div>
    <w:div w:id="1509055676">
      <w:bodyDiv w:val="1"/>
      <w:marLeft w:val="0"/>
      <w:marRight w:val="0"/>
      <w:marTop w:val="0"/>
      <w:marBottom w:val="0"/>
      <w:divBdr>
        <w:top w:val="none" w:sz="0" w:space="0" w:color="auto"/>
        <w:left w:val="none" w:sz="0" w:space="0" w:color="auto"/>
        <w:bottom w:val="none" w:sz="0" w:space="0" w:color="auto"/>
        <w:right w:val="none" w:sz="0" w:space="0" w:color="auto"/>
      </w:divBdr>
    </w:div>
    <w:div w:id="1510681674">
      <w:bodyDiv w:val="1"/>
      <w:marLeft w:val="0"/>
      <w:marRight w:val="0"/>
      <w:marTop w:val="0"/>
      <w:marBottom w:val="0"/>
      <w:divBdr>
        <w:top w:val="none" w:sz="0" w:space="0" w:color="auto"/>
        <w:left w:val="none" w:sz="0" w:space="0" w:color="auto"/>
        <w:bottom w:val="none" w:sz="0" w:space="0" w:color="auto"/>
        <w:right w:val="none" w:sz="0" w:space="0" w:color="auto"/>
      </w:divBdr>
    </w:div>
    <w:div w:id="1512795904">
      <w:bodyDiv w:val="1"/>
      <w:marLeft w:val="0"/>
      <w:marRight w:val="0"/>
      <w:marTop w:val="0"/>
      <w:marBottom w:val="0"/>
      <w:divBdr>
        <w:top w:val="none" w:sz="0" w:space="0" w:color="auto"/>
        <w:left w:val="none" w:sz="0" w:space="0" w:color="auto"/>
        <w:bottom w:val="none" w:sz="0" w:space="0" w:color="auto"/>
        <w:right w:val="none" w:sz="0" w:space="0" w:color="auto"/>
      </w:divBdr>
    </w:div>
    <w:div w:id="1525972655">
      <w:bodyDiv w:val="1"/>
      <w:marLeft w:val="0"/>
      <w:marRight w:val="0"/>
      <w:marTop w:val="0"/>
      <w:marBottom w:val="0"/>
      <w:divBdr>
        <w:top w:val="none" w:sz="0" w:space="0" w:color="auto"/>
        <w:left w:val="none" w:sz="0" w:space="0" w:color="auto"/>
        <w:bottom w:val="none" w:sz="0" w:space="0" w:color="auto"/>
        <w:right w:val="none" w:sz="0" w:space="0" w:color="auto"/>
      </w:divBdr>
    </w:div>
    <w:div w:id="1526942421">
      <w:bodyDiv w:val="1"/>
      <w:marLeft w:val="0"/>
      <w:marRight w:val="0"/>
      <w:marTop w:val="0"/>
      <w:marBottom w:val="0"/>
      <w:divBdr>
        <w:top w:val="none" w:sz="0" w:space="0" w:color="auto"/>
        <w:left w:val="none" w:sz="0" w:space="0" w:color="auto"/>
        <w:bottom w:val="none" w:sz="0" w:space="0" w:color="auto"/>
        <w:right w:val="none" w:sz="0" w:space="0" w:color="auto"/>
      </w:divBdr>
    </w:div>
    <w:div w:id="1529761244">
      <w:bodyDiv w:val="1"/>
      <w:marLeft w:val="0"/>
      <w:marRight w:val="0"/>
      <w:marTop w:val="0"/>
      <w:marBottom w:val="0"/>
      <w:divBdr>
        <w:top w:val="none" w:sz="0" w:space="0" w:color="auto"/>
        <w:left w:val="none" w:sz="0" w:space="0" w:color="auto"/>
        <w:bottom w:val="none" w:sz="0" w:space="0" w:color="auto"/>
        <w:right w:val="none" w:sz="0" w:space="0" w:color="auto"/>
      </w:divBdr>
    </w:div>
    <w:div w:id="1531606229">
      <w:bodyDiv w:val="1"/>
      <w:marLeft w:val="0"/>
      <w:marRight w:val="0"/>
      <w:marTop w:val="0"/>
      <w:marBottom w:val="0"/>
      <w:divBdr>
        <w:top w:val="none" w:sz="0" w:space="0" w:color="auto"/>
        <w:left w:val="none" w:sz="0" w:space="0" w:color="auto"/>
        <w:bottom w:val="none" w:sz="0" w:space="0" w:color="auto"/>
        <w:right w:val="none" w:sz="0" w:space="0" w:color="auto"/>
      </w:divBdr>
    </w:div>
    <w:div w:id="1535196177">
      <w:bodyDiv w:val="1"/>
      <w:marLeft w:val="0"/>
      <w:marRight w:val="0"/>
      <w:marTop w:val="0"/>
      <w:marBottom w:val="0"/>
      <w:divBdr>
        <w:top w:val="none" w:sz="0" w:space="0" w:color="auto"/>
        <w:left w:val="none" w:sz="0" w:space="0" w:color="auto"/>
        <w:bottom w:val="none" w:sz="0" w:space="0" w:color="auto"/>
        <w:right w:val="none" w:sz="0" w:space="0" w:color="auto"/>
      </w:divBdr>
    </w:div>
    <w:div w:id="1536456042">
      <w:bodyDiv w:val="1"/>
      <w:marLeft w:val="0"/>
      <w:marRight w:val="0"/>
      <w:marTop w:val="0"/>
      <w:marBottom w:val="0"/>
      <w:divBdr>
        <w:top w:val="none" w:sz="0" w:space="0" w:color="auto"/>
        <w:left w:val="none" w:sz="0" w:space="0" w:color="auto"/>
        <w:bottom w:val="none" w:sz="0" w:space="0" w:color="auto"/>
        <w:right w:val="none" w:sz="0" w:space="0" w:color="auto"/>
      </w:divBdr>
    </w:div>
    <w:div w:id="1537085653">
      <w:bodyDiv w:val="1"/>
      <w:marLeft w:val="0"/>
      <w:marRight w:val="0"/>
      <w:marTop w:val="0"/>
      <w:marBottom w:val="0"/>
      <w:divBdr>
        <w:top w:val="none" w:sz="0" w:space="0" w:color="auto"/>
        <w:left w:val="none" w:sz="0" w:space="0" w:color="auto"/>
        <w:bottom w:val="none" w:sz="0" w:space="0" w:color="auto"/>
        <w:right w:val="none" w:sz="0" w:space="0" w:color="auto"/>
      </w:divBdr>
    </w:div>
    <w:div w:id="1538154354">
      <w:bodyDiv w:val="1"/>
      <w:marLeft w:val="0"/>
      <w:marRight w:val="0"/>
      <w:marTop w:val="0"/>
      <w:marBottom w:val="0"/>
      <w:divBdr>
        <w:top w:val="none" w:sz="0" w:space="0" w:color="auto"/>
        <w:left w:val="none" w:sz="0" w:space="0" w:color="auto"/>
        <w:bottom w:val="none" w:sz="0" w:space="0" w:color="auto"/>
        <w:right w:val="none" w:sz="0" w:space="0" w:color="auto"/>
      </w:divBdr>
    </w:div>
    <w:div w:id="1539469892">
      <w:bodyDiv w:val="1"/>
      <w:marLeft w:val="0"/>
      <w:marRight w:val="0"/>
      <w:marTop w:val="0"/>
      <w:marBottom w:val="0"/>
      <w:divBdr>
        <w:top w:val="none" w:sz="0" w:space="0" w:color="auto"/>
        <w:left w:val="none" w:sz="0" w:space="0" w:color="auto"/>
        <w:bottom w:val="none" w:sz="0" w:space="0" w:color="auto"/>
        <w:right w:val="none" w:sz="0" w:space="0" w:color="auto"/>
      </w:divBdr>
    </w:div>
    <w:div w:id="1539662098">
      <w:bodyDiv w:val="1"/>
      <w:marLeft w:val="0"/>
      <w:marRight w:val="0"/>
      <w:marTop w:val="0"/>
      <w:marBottom w:val="0"/>
      <w:divBdr>
        <w:top w:val="none" w:sz="0" w:space="0" w:color="auto"/>
        <w:left w:val="none" w:sz="0" w:space="0" w:color="auto"/>
        <w:bottom w:val="none" w:sz="0" w:space="0" w:color="auto"/>
        <w:right w:val="none" w:sz="0" w:space="0" w:color="auto"/>
      </w:divBdr>
    </w:div>
    <w:div w:id="1547328618">
      <w:bodyDiv w:val="1"/>
      <w:marLeft w:val="0"/>
      <w:marRight w:val="0"/>
      <w:marTop w:val="0"/>
      <w:marBottom w:val="0"/>
      <w:divBdr>
        <w:top w:val="none" w:sz="0" w:space="0" w:color="auto"/>
        <w:left w:val="none" w:sz="0" w:space="0" w:color="auto"/>
        <w:bottom w:val="none" w:sz="0" w:space="0" w:color="auto"/>
        <w:right w:val="none" w:sz="0" w:space="0" w:color="auto"/>
      </w:divBdr>
    </w:div>
    <w:div w:id="1549027026">
      <w:bodyDiv w:val="1"/>
      <w:marLeft w:val="0"/>
      <w:marRight w:val="0"/>
      <w:marTop w:val="0"/>
      <w:marBottom w:val="0"/>
      <w:divBdr>
        <w:top w:val="none" w:sz="0" w:space="0" w:color="auto"/>
        <w:left w:val="none" w:sz="0" w:space="0" w:color="auto"/>
        <w:bottom w:val="none" w:sz="0" w:space="0" w:color="auto"/>
        <w:right w:val="none" w:sz="0" w:space="0" w:color="auto"/>
      </w:divBdr>
    </w:div>
    <w:div w:id="1549107032">
      <w:bodyDiv w:val="1"/>
      <w:marLeft w:val="0"/>
      <w:marRight w:val="0"/>
      <w:marTop w:val="0"/>
      <w:marBottom w:val="0"/>
      <w:divBdr>
        <w:top w:val="none" w:sz="0" w:space="0" w:color="auto"/>
        <w:left w:val="none" w:sz="0" w:space="0" w:color="auto"/>
        <w:bottom w:val="none" w:sz="0" w:space="0" w:color="auto"/>
        <w:right w:val="none" w:sz="0" w:space="0" w:color="auto"/>
      </w:divBdr>
    </w:div>
    <w:div w:id="1550073292">
      <w:bodyDiv w:val="1"/>
      <w:marLeft w:val="0"/>
      <w:marRight w:val="0"/>
      <w:marTop w:val="0"/>
      <w:marBottom w:val="0"/>
      <w:divBdr>
        <w:top w:val="none" w:sz="0" w:space="0" w:color="auto"/>
        <w:left w:val="none" w:sz="0" w:space="0" w:color="auto"/>
        <w:bottom w:val="none" w:sz="0" w:space="0" w:color="auto"/>
        <w:right w:val="none" w:sz="0" w:space="0" w:color="auto"/>
      </w:divBdr>
    </w:div>
    <w:div w:id="1553036755">
      <w:bodyDiv w:val="1"/>
      <w:marLeft w:val="0"/>
      <w:marRight w:val="0"/>
      <w:marTop w:val="0"/>
      <w:marBottom w:val="0"/>
      <w:divBdr>
        <w:top w:val="none" w:sz="0" w:space="0" w:color="auto"/>
        <w:left w:val="none" w:sz="0" w:space="0" w:color="auto"/>
        <w:bottom w:val="none" w:sz="0" w:space="0" w:color="auto"/>
        <w:right w:val="none" w:sz="0" w:space="0" w:color="auto"/>
      </w:divBdr>
    </w:div>
    <w:div w:id="1554923183">
      <w:bodyDiv w:val="1"/>
      <w:marLeft w:val="0"/>
      <w:marRight w:val="0"/>
      <w:marTop w:val="0"/>
      <w:marBottom w:val="0"/>
      <w:divBdr>
        <w:top w:val="none" w:sz="0" w:space="0" w:color="auto"/>
        <w:left w:val="none" w:sz="0" w:space="0" w:color="auto"/>
        <w:bottom w:val="none" w:sz="0" w:space="0" w:color="auto"/>
        <w:right w:val="none" w:sz="0" w:space="0" w:color="auto"/>
      </w:divBdr>
    </w:div>
    <w:div w:id="1556310948">
      <w:bodyDiv w:val="1"/>
      <w:marLeft w:val="0"/>
      <w:marRight w:val="0"/>
      <w:marTop w:val="0"/>
      <w:marBottom w:val="0"/>
      <w:divBdr>
        <w:top w:val="none" w:sz="0" w:space="0" w:color="auto"/>
        <w:left w:val="none" w:sz="0" w:space="0" w:color="auto"/>
        <w:bottom w:val="none" w:sz="0" w:space="0" w:color="auto"/>
        <w:right w:val="none" w:sz="0" w:space="0" w:color="auto"/>
      </w:divBdr>
    </w:div>
    <w:div w:id="1560172330">
      <w:bodyDiv w:val="1"/>
      <w:marLeft w:val="0"/>
      <w:marRight w:val="0"/>
      <w:marTop w:val="0"/>
      <w:marBottom w:val="0"/>
      <w:divBdr>
        <w:top w:val="none" w:sz="0" w:space="0" w:color="auto"/>
        <w:left w:val="none" w:sz="0" w:space="0" w:color="auto"/>
        <w:bottom w:val="none" w:sz="0" w:space="0" w:color="auto"/>
        <w:right w:val="none" w:sz="0" w:space="0" w:color="auto"/>
      </w:divBdr>
    </w:div>
    <w:div w:id="1560822318">
      <w:bodyDiv w:val="1"/>
      <w:marLeft w:val="0"/>
      <w:marRight w:val="0"/>
      <w:marTop w:val="0"/>
      <w:marBottom w:val="0"/>
      <w:divBdr>
        <w:top w:val="none" w:sz="0" w:space="0" w:color="auto"/>
        <w:left w:val="none" w:sz="0" w:space="0" w:color="auto"/>
        <w:bottom w:val="none" w:sz="0" w:space="0" w:color="auto"/>
        <w:right w:val="none" w:sz="0" w:space="0" w:color="auto"/>
      </w:divBdr>
    </w:div>
    <w:div w:id="1562211860">
      <w:bodyDiv w:val="1"/>
      <w:marLeft w:val="0"/>
      <w:marRight w:val="0"/>
      <w:marTop w:val="0"/>
      <w:marBottom w:val="0"/>
      <w:divBdr>
        <w:top w:val="none" w:sz="0" w:space="0" w:color="auto"/>
        <w:left w:val="none" w:sz="0" w:space="0" w:color="auto"/>
        <w:bottom w:val="none" w:sz="0" w:space="0" w:color="auto"/>
        <w:right w:val="none" w:sz="0" w:space="0" w:color="auto"/>
      </w:divBdr>
    </w:div>
    <w:div w:id="1565872744">
      <w:bodyDiv w:val="1"/>
      <w:marLeft w:val="0"/>
      <w:marRight w:val="0"/>
      <w:marTop w:val="0"/>
      <w:marBottom w:val="0"/>
      <w:divBdr>
        <w:top w:val="none" w:sz="0" w:space="0" w:color="auto"/>
        <w:left w:val="none" w:sz="0" w:space="0" w:color="auto"/>
        <w:bottom w:val="none" w:sz="0" w:space="0" w:color="auto"/>
        <w:right w:val="none" w:sz="0" w:space="0" w:color="auto"/>
      </w:divBdr>
    </w:div>
    <w:div w:id="1568223903">
      <w:bodyDiv w:val="1"/>
      <w:marLeft w:val="0"/>
      <w:marRight w:val="0"/>
      <w:marTop w:val="0"/>
      <w:marBottom w:val="0"/>
      <w:divBdr>
        <w:top w:val="none" w:sz="0" w:space="0" w:color="auto"/>
        <w:left w:val="none" w:sz="0" w:space="0" w:color="auto"/>
        <w:bottom w:val="none" w:sz="0" w:space="0" w:color="auto"/>
        <w:right w:val="none" w:sz="0" w:space="0" w:color="auto"/>
      </w:divBdr>
    </w:div>
    <w:div w:id="1577855901">
      <w:bodyDiv w:val="1"/>
      <w:marLeft w:val="0"/>
      <w:marRight w:val="0"/>
      <w:marTop w:val="0"/>
      <w:marBottom w:val="0"/>
      <w:divBdr>
        <w:top w:val="none" w:sz="0" w:space="0" w:color="auto"/>
        <w:left w:val="none" w:sz="0" w:space="0" w:color="auto"/>
        <w:bottom w:val="none" w:sz="0" w:space="0" w:color="auto"/>
        <w:right w:val="none" w:sz="0" w:space="0" w:color="auto"/>
      </w:divBdr>
    </w:div>
    <w:div w:id="1580283662">
      <w:bodyDiv w:val="1"/>
      <w:marLeft w:val="0"/>
      <w:marRight w:val="0"/>
      <w:marTop w:val="0"/>
      <w:marBottom w:val="0"/>
      <w:divBdr>
        <w:top w:val="none" w:sz="0" w:space="0" w:color="auto"/>
        <w:left w:val="none" w:sz="0" w:space="0" w:color="auto"/>
        <w:bottom w:val="none" w:sz="0" w:space="0" w:color="auto"/>
        <w:right w:val="none" w:sz="0" w:space="0" w:color="auto"/>
      </w:divBdr>
    </w:div>
    <w:div w:id="1582058437">
      <w:bodyDiv w:val="1"/>
      <w:marLeft w:val="0"/>
      <w:marRight w:val="0"/>
      <w:marTop w:val="0"/>
      <w:marBottom w:val="0"/>
      <w:divBdr>
        <w:top w:val="none" w:sz="0" w:space="0" w:color="auto"/>
        <w:left w:val="none" w:sz="0" w:space="0" w:color="auto"/>
        <w:bottom w:val="none" w:sz="0" w:space="0" w:color="auto"/>
        <w:right w:val="none" w:sz="0" w:space="0" w:color="auto"/>
      </w:divBdr>
    </w:div>
    <w:div w:id="1584299000">
      <w:bodyDiv w:val="1"/>
      <w:marLeft w:val="0"/>
      <w:marRight w:val="0"/>
      <w:marTop w:val="0"/>
      <w:marBottom w:val="0"/>
      <w:divBdr>
        <w:top w:val="none" w:sz="0" w:space="0" w:color="auto"/>
        <w:left w:val="none" w:sz="0" w:space="0" w:color="auto"/>
        <w:bottom w:val="none" w:sz="0" w:space="0" w:color="auto"/>
        <w:right w:val="none" w:sz="0" w:space="0" w:color="auto"/>
      </w:divBdr>
    </w:div>
    <w:div w:id="1584951233">
      <w:bodyDiv w:val="1"/>
      <w:marLeft w:val="0"/>
      <w:marRight w:val="0"/>
      <w:marTop w:val="0"/>
      <w:marBottom w:val="0"/>
      <w:divBdr>
        <w:top w:val="none" w:sz="0" w:space="0" w:color="auto"/>
        <w:left w:val="none" w:sz="0" w:space="0" w:color="auto"/>
        <w:bottom w:val="none" w:sz="0" w:space="0" w:color="auto"/>
        <w:right w:val="none" w:sz="0" w:space="0" w:color="auto"/>
      </w:divBdr>
    </w:div>
    <w:div w:id="1586842253">
      <w:bodyDiv w:val="1"/>
      <w:marLeft w:val="0"/>
      <w:marRight w:val="0"/>
      <w:marTop w:val="0"/>
      <w:marBottom w:val="0"/>
      <w:divBdr>
        <w:top w:val="none" w:sz="0" w:space="0" w:color="auto"/>
        <w:left w:val="none" w:sz="0" w:space="0" w:color="auto"/>
        <w:bottom w:val="none" w:sz="0" w:space="0" w:color="auto"/>
        <w:right w:val="none" w:sz="0" w:space="0" w:color="auto"/>
      </w:divBdr>
    </w:div>
    <w:div w:id="1589732819">
      <w:bodyDiv w:val="1"/>
      <w:marLeft w:val="0"/>
      <w:marRight w:val="0"/>
      <w:marTop w:val="0"/>
      <w:marBottom w:val="0"/>
      <w:divBdr>
        <w:top w:val="none" w:sz="0" w:space="0" w:color="auto"/>
        <w:left w:val="none" w:sz="0" w:space="0" w:color="auto"/>
        <w:bottom w:val="none" w:sz="0" w:space="0" w:color="auto"/>
        <w:right w:val="none" w:sz="0" w:space="0" w:color="auto"/>
      </w:divBdr>
    </w:div>
    <w:div w:id="1591348055">
      <w:bodyDiv w:val="1"/>
      <w:marLeft w:val="0"/>
      <w:marRight w:val="0"/>
      <w:marTop w:val="0"/>
      <w:marBottom w:val="0"/>
      <w:divBdr>
        <w:top w:val="none" w:sz="0" w:space="0" w:color="auto"/>
        <w:left w:val="none" w:sz="0" w:space="0" w:color="auto"/>
        <w:bottom w:val="none" w:sz="0" w:space="0" w:color="auto"/>
        <w:right w:val="none" w:sz="0" w:space="0" w:color="auto"/>
      </w:divBdr>
    </w:div>
    <w:div w:id="1595437502">
      <w:bodyDiv w:val="1"/>
      <w:marLeft w:val="0"/>
      <w:marRight w:val="0"/>
      <w:marTop w:val="0"/>
      <w:marBottom w:val="0"/>
      <w:divBdr>
        <w:top w:val="none" w:sz="0" w:space="0" w:color="auto"/>
        <w:left w:val="none" w:sz="0" w:space="0" w:color="auto"/>
        <w:bottom w:val="none" w:sz="0" w:space="0" w:color="auto"/>
        <w:right w:val="none" w:sz="0" w:space="0" w:color="auto"/>
      </w:divBdr>
    </w:div>
    <w:div w:id="1599487866">
      <w:bodyDiv w:val="1"/>
      <w:marLeft w:val="0"/>
      <w:marRight w:val="0"/>
      <w:marTop w:val="0"/>
      <w:marBottom w:val="0"/>
      <w:divBdr>
        <w:top w:val="none" w:sz="0" w:space="0" w:color="auto"/>
        <w:left w:val="none" w:sz="0" w:space="0" w:color="auto"/>
        <w:bottom w:val="none" w:sz="0" w:space="0" w:color="auto"/>
        <w:right w:val="none" w:sz="0" w:space="0" w:color="auto"/>
      </w:divBdr>
    </w:div>
    <w:div w:id="1608806259">
      <w:bodyDiv w:val="1"/>
      <w:marLeft w:val="0"/>
      <w:marRight w:val="0"/>
      <w:marTop w:val="0"/>
      <w:marBottom w:val="0"/>
      <w:divBdr>
        <w:top w:val="none" w:sz="0" w:space="0" w:color="auto"/>
        <w:left w:val="none" w:sz="0" w:space="0" w:color="auto"/>
        <w:bottom w:val="none" w:sz="0" w:space="0" w:color="auto"/>
        <w:right w:val="none" w:sz="0" w:space="0" w:color="auto"/>
      </w:divBdr>
    </w:div>
    <w:div w:id="1616208929">
      <w:bodyDiv w:val="1"/>
      <w:marLeft w:val="0"/>
      <w:marRight w:val="0"/>
      <w:marTop w:val="0"/>
      <w:marBottom w:val="0"/>
      <w:divBdr>
        <w:top w:val="none" w:sz="0" w:space="0" w:color="auto"/>
        <w:left w:val="none" w:sz="0" w:space="0" w:color="auto"/>
        <w:bottom w:val="none" w:sz="0" w:space="0" w:color="auto"/>
        <w:right w:val="none" w:sz="0" w:space="0" w:color="auto"/>
      </w:divBdr>
    </w:div>
    <w:div w:id="1621915677">
      <w:bodyDiv w:val="1"/>
      <w:marLeft w:val="0"/>
      <w:marRight w:val="0"/>
      <w:marTop w:val="0"/>
      <w:marBottom w:val="0"/>
      <w:divBdr>
        <w:top w:val="none" w:sz="0" w:space="0" w:color="auto"/>
        <w:left w:val="none" w:sz="0" w:space="0" w:color="auto"/>
        <w:bottom w:val="none" w:sz="0" w:space="0" w:color="auto"/>
        <w:right w:val="none" w:sz="0" w:space="0" w:color="auto"/>
      </w:divBdr>
    </w:div>
    <w:div w:id="1623733712">
      <w:bodyDiv w:val="1"/>
      <w:marLeft w:val="0"/>
      <w:marRight w:val="0"/>
      <w:marTop w:val="0"/>
      <w:marBottom w:val="0"/>
      <w:divBdr>
        <w:top w:val="none" w:sz="0" w:space="0" w:color="auto"/>
        <w:left w:val="none" w:sz="0" w:space="0" w:color="auto"/>
        <w:bottom w:val="none" w:sz="0" w:space="0" w:color="auto"/>
        <w:right w:val="none" w:sz="0" w:space="0" w:color="auto"/>
      </w:divBdr>
    </w:div>
    <w:div w:id="1629043935">
      <w:bodyDiv w:val="1"/>
      <w:marLeft w:val="0"/>
      <w:marRight w:val="0"/>
      <w:marTop w:val="0"/>
      <w:marBottom w:val="0"/>
      <w:divBdr>
        <w:top w:val="none" w:sz="0" w:space="0" w:color="auto"/>
        <w:left w:val="none" w:sz="0" w:space="0" w:color="auto"/>
        <w:bottom w:val="none" w:sz="0" w:space="0" w:color="auto"/>
        <w:right w:val="none" w:sz="0" w:space="0" w:color="auto"/>
      </w:divBdr>
    </w:div>
    <w:div w:id="1632057560">
      <w:bodyDiv w:val="1"/>
      <w:marLeft w:val="0"/>
      <w:marRight w:val="0"/>
      <w:marTop w:val="0"/>
      <w:marBottom w:val="0"/>
      <w:divBdr>
        <w:top w:val="none" w:sz="0" w:space="0" w:color="auto"/>
        <w:left w:val="none" w:sz="0" w:space="0" w:color="auto"/>
        <w:bottom w:val="none" w:sz="0" w:space="0" w:color="auto"/>
        <w:right w:val="none" w:sz="0" w:space="0" w:color="auto"/>
      </w:divBdr>
    </w:div>
    <w:div w:id="1633748623">
      <w:bodyDiv w:val="1"/>
      <w:marLeft w:val="0"/>
      <w:marRight w:val="0"/>
      <w:marTop w:val="0"/>
      <w:marBottom w:val="0"/>
      <w:divBdr>
        <w:top w:val="none" w:sz="0" w:space="0" w:color="auto"/>
        <w:left w:val="none" w:sz="0" w:space="0" w:color="auto"/>
        <w:bottom w:val="none" w:sz="0" w:space="0" w:color="auto"/>
        <w:right w:val="none" w:sz="0" w:space="0" w:color="auto"/>
      </w:divBdr>
    </w:div>
    <w:div w:id="1636258595">
      <w:bodyDiv w:val="1"/>
      <w:marLeft w:val="0"/>
      <w:marRight w:val="0"/>
      <w:marTop w:val="0"/>
      <w:marBottom w:val="0"/>
      <w:divBdr>
        <w:top w:val="none" w:sz="0" w:space="0" w:color="auto"/>
        <w:left w:val="none" w:sz="0" w:space="0" w:color="auto"/>
        <w:bottom w:val="none" w:sz="0" w:space="0" w:color="auto"/>
        <w:right w:val="none" w:sz="0" w:space="0" w:color="auto"/>
      </w:divBdr>
    </w:div>
    <w:div w:id="1637442554">
      <w:bodyDiv w:val="1"/>
      <w:marLeft w:val="0"/>
      <w:marRight w:val="0"/>
      <w:marTop w:val="0"/>
      <w:marBottom w:val="0"/>
      <w:divBdr>
        <w:top w:val="none" w:sz="0" w:space="0" w:color="auto"/>
        <w:left w:val="none" w:sz="0" w:space="0" w:color="auto"/>
        <w:bottom w:val="none" w:sz="0" w:space="0" w:color="auto"/>
        <w:right w:val="none" w:sz="0" w:space="0" w:color="auto"/>
      </w:divBdr>
    </w:div>
    <w:div w:id="1637711661">
      <w:bodyDiv w:val="1"/>
      <w:marLeft w:val="0"/>
      <w:marRight w:val="0"/>
      <w:marTop w:val="0"/>
      <w:marBottom w:val="0"/>
      <w:divBdr>
        <w:top w:val="none" w:sz="0" w:space="0" w:color="auto"/>
        <w:left w:val="none" w:sz="0" w:space="0" w:color="auto"/>
        <w:bottom w:val="none" w:sz="0" w:space="0" w:color="auto"/>
        <w:right w:val="none" w:sz="0" w:space="0" w:color="auto"/>
      </w:divBdr>
    </w:div>
    <w:div w:id="1639069114">
      <w:bodyDiv w:val="1"/>
      <w:marLeft w:val="0"/>
      <w:marRight w:val="0"/>
      <w:marTop w:val="0"/>
      <w:marBottom w:val="0"/>
      <w:divBdr>
        <w:top w:val="none" w:sz="0" w:space="0" w:color="auto"/>
        <w:left w:val="none" w:sz="0" w:space="0" w:color="auto"/>
        <w:bottom w:val="none" w:sz="0" w:space="0" w:color="auto"/>
        <w:right w:val="none" w:sz="0" w:space="0" w:color="auto"/>
      </w:divBdr>
    </w:div>
    <w:div w:id="1641419206">
      <w:bodyDiv w:val="1"/>
      <w:marLeft w:val="0"/>
      <w:marRight w:val="0"/>
      <w:marTop w:val="0"/>
      <w:marBottom w:val="0"/>
      <w:divBdr>
        <w:top w:val="none" w:sz="0" w:space="0" w:color="auto"/>
        <w:left w:val="none" w:sz="0" w:space="0" w:color="auto"/>
        <w:bottom w:val="none" w:sz="0" w:space="0" w:color="auto"/>
        <w:right w:val="none" w:sz="0" w:space="0" w:color="auto"/>
      </w:divBdr>
    </w:div>
    <w:div w:id="1641575943">
      <w:bodyDiv w:val="1"/>
      <w:marLeft w:val="0"/>
      <w:marRight w:val="0"/>
      <w:marTop w:val="0"/>
      <w:marBottom w:val="0"/>
      <w:divBdr>
        <w:top w:val="none" w:sz="0" w:space="0" w:color="auto"/>
        <w:left w:val="none" w:sz="0" w:space="0" w:color="auto"/>
        <w:bottom w:val="none" w:sz="0" w:space="0" w:color="auto"/>
        <w:right w:val="none" w:sz="0" w:space="0" w:color="auto"/>
      </w:divBdr>
    </w:div>
    <w:div w:id="1643536630">
      <w:bodyDiv w:val="1"/>
      <w:marLeft w:val="0"/>
      <w:marRight w:val="0"/>
      <w:marTop w:val="0"/>
      <w:marBottom w:val="0"/>
      <w:divBdr>
        <w:top w:val="none" w:sz="0" w:space="0" w:color="auto"/>
        <w:left w:val="none" w:sz="0" w:space="0" w:color="auto"/>
        <w:bottom w:val="none" w:sz="0" w:space="0" w:color="auto"/>
        <w:right w:val="none" w:sz="0" w:space="0" w:color="auto"/>
      </w:divBdr>
    </w:div>
    <w:div w:id="1644776221">
      <w:bodyDiv w:val="1"/>
      <w:marLeft w:val="0"/>
      <w:marRight w:val="0"/>
      <w:marTop w:val="0"/>
      <w:marBottom w:val="0"/>
      <w:divBdr>
        <w:top w:val="none" w:sz="0" w:space="0" w:color="auto"/>
        <w:left w:val="none" w:sz="0" w:space="0" w:color="auto"/>
        <w:bottom w:val="none" w:sz="0" w:space="0" w:color="auto"/>
        <w:right w:val="none" w:sz="0" w:space="0" w:color="auto"/>
      </w:divBdr>
    </w:div>
    <w:div w:id="1645547158">
      <w:bodyDiv w:val="1"/>
      <w:marLeft w:val="0"/>
      <w:marRight w:val="0"/>
      <w:marTop w:val="0"/>
      <w:marBottom w:val="0"/>
      <w:divBdr>
        <w:top w:val="none" w:sz="0" w:space="0" w:color="auto"/>
        <w:left w:val="none" w:sz="0" w:space="0" w:color="auto"/>
        <w:bottom w:val="none" w:sz="0" w:space="0" w:color="auto"/>
        <w:right w:val="none" w:sz="0" w:space="0" w:color="auto"/>
      </w:divBdr>
    </w:div>
    <w:div w:id="1651983604">
      <w:bodyDiv w:val="1"/>
      <w:marLeft w:val="0"/>
      <w:marRight w:val="0"/>
      <w:marTop w:val="0"/>
      <w:marBottom w:val="0"/>
      <w:divBdr>
        <w:top w:val="none" w:sz="0" w:space="0" w:color="auto"/>
        <w:left w:val="none" w:sz="0" w:space="0" w:color="auto"/>
        <w:bottom w:val="none" w:sz="0" w:space="0" w:color="auto"/>
        <w:right w:val="none" w:sz="0" w:space="0" w:color="auto"/>
      </w:divBdr>
    </w:div>
    <w:div w:id="1652754362">
      <w:bodyDiv w:val="1"/>
      <w:marLeft w:val="0"/>
      <w:marRight w:val="0"/>
      <w:marTop w:val="0"/>
      <w:marBottom w:val="0"/>
      <w:divBdr>
        <w:top w:val="none" w:sz="0" w:space="0" w:color="auto"/>
        <w:left w:val="none" w:sz="0" w:space="0" w:color="auto"/>
        <w:bottom w:val="none" w:sz="0" w:space="0" w:color="auto"/>
        <w:right w:val="none" w:sz="0" w:space="0" w:color="auto"/>
      </w:divBdr>
    </w:div>
    <w:div w:id="1658728387">
      <w:bodyDiv w:val="1"/>
      <w:marLeft w:val="0"/>
      <w:marRight w:val="0"/>
      <w:marTop w:val="0"/>
      <w:marBottom w:val="0"/>
      <w:divBdr>
        <w:top w:val="none" w:sz="0" w:space="0" w:color="auto"/>
        <w:left w:val="none" w:sz="0" w:space="0" w:color="auto"/>
        <w:bottom w:val="none" w:sz="0" w:space="0" w:color="auto"/>
        <w:right w:val="none" w:sz="0" w:space="0" w:color="auto"/>
      </w:divBdr>
    </w:div>
    <w:div w:id="1660226453">
      <w:bodyDiv w:val="1"/>
      <w:marLeft w:val="0"/>
      <w:marRight w:val="0"/>
      <w:marTop w:val="0"/>
      <w:marBottom w:val="0"/>
      <w:divBdr>
        <w:top w:val="none" w:sz="0" w:space="0" w:color="auto"/>
        <w:left w:val="none" w:sz="0" w:space="0" w:color="auto"/>
        <w:bottom w:val="none" w:sz="0" w:space="0" w:color="auto"/>
        <w:right w:val="none" w:sz="0" w:space="0" w:color="auto"/>
      </w:divBdr>
    </w:div>
    <w:div w:id="1661301703">
      <w:bodyDiv w:val="1"/>
      <w:marLeft w:val="0"/>
      <w:marRight w:val="0"/>
      <w:marTop w:val="0"/>
      <w:marBottom w:val="0"/>
      <w:divBdr>
        <w:top w:val="none" w:sz="0" w:space="0" w:color="auto"/>
        <w:left w:val="none" w:sz="0" w:space="0" w:color="auto"/>
        <w:bottom w:val="none" w:sz="0" w:space="0" w:color="auto"/>
        <w:right w:val="none" w:sz="0" w:space="0" w:color="auto"/>
      </w:divBdr>
    </w:div>
    <w:div w:id="1663852475">
      <w:bodyDiv w:val="1"/>
      <w:marLeft w:val="0"/>
      <w:marRight w:val="0"/>
      <w:marTop w:val="0"/>
      <w:marBottom w:val="0"/>
      <w:divBdr>
        <w:top w:val="none" w:sz="0" w:space="0" w:color="auto"/>
        <w:left w:val="none" w:sz="0" w:space="0" w:color="auto"/>
        <w:bottom w:val="none" w:sz="0" w:space="0" w:color="auto"/>
        <w:right w:val="none" w:sz="0" w:space="0" w:color="auto"/>
      </w:divBdr>
    </w:div>
    <w:div w:id="1665277339">
      <w:bodyDiv w:val="1"/>
      <w:marLeft w:val="0"/>
      <w:marRight w:val="0"/>
      <w:marTop w:val="0"/>
      <w:marBottom w:val="0"/>
      <w:divBdr>
        <w:top w:val="none" w:sz="0" w:space="0" w:color="auto"/>
        <w:left w:val="none" w:sz="0" w:space="0" w:color="auto"/>
        <w:bottom w:val="none" w:sz="0" w:space="0" w:color="auto"/>
        <w:right w:val="none" w:sz="0" w:space="0" w:color="auto"/>
      </w:divBdr>
    </w:div>
    <w:div w:id="1668560692">
      <w:bodyDiv w:val="1"/>
      <w:marLeft w:val="0"/>
      <w:marRight w:val="0"/>
      <w:marTop w:val="0"/>
      <w:marBottom w:val="0"/>
      <w:divBdr>
        <w:top w:val="none" w:sz="0" w:space="0" w:color="auto"/>
        <w:left w:val="none" w:sz="0" w:space="0" w:color="auto"/>
        <w:bottom w:val="none" w:sz="0" w:space="0" w:color="auto"/>
        <w:right w:val="none" w:sz="0" w:space="0" w:color="auto"/>
      </w:divBdr>
    </w:div>
    <w:div w:id="1669333070">
      <w:bodyDiv w:val="1"/>
      <w:marLeft w:val="0"/>
      <w:marRight w:val="0"/>
      <w:marTop w:val="0"/>
      <w:marBottom w:val="0"/>
      <w:divBdr>
        <w:top w:val="none" w:sz="0" w:space="0" w:color="auto"/>
        <w:left w:val="none" w:sz="0" w:space="0" w:color="auto"/>
        <w:bottom w:val="none" w:sz="0" w:space="0" w:color="auto"/>
        <w:right w:val="none" w:sz="0" w:space="0" w:color="auto"/>
      </w:divBdr>
    </w:div>
    <w:div w:id="1674213993">
      <w:bodyDiv w:val="1"/>
      <w:marLeft w:val="0"/>
      <w:marRight w:val="0"/>
      <w:marTop w:val="0"/>
      <w:marBottom w:val="0"/>
      <w:divBdr>
        <w:top w:val="none" w:sz="0" w:space="0" w:color="auto"/>
        <w:left w:val="none" w:sz="0" w:space="0" w:color="auto"/>
        <w:bottom w:val="none" w:sz="0" w:space="0" w:color="auto"/>
        <w:right w:val="none" w:sz="0" w:space="0" w:color="auto"/>
      </w:divBdr>
    </w:div>
    <w:div w:id="1674334785">
      <w:bodyDiv w:val="1"/>
      <w:marLeft w:val="0"/>
      <w:marRight w:val="0"/>
      <w:marTop w:val="0"/>
      <w:marBottom w:val="0"/>
      <w:divBdr>
        <w:top w:val="none" w:sz="0" w:space="0" w:color="auto"/>
        <w:left w:val="none" w:sz="0" w:space="0" w:color="auto"/>
        <w:bottom w:val="none" w:sz="0" w:space="0" w:color="auto"/>
        <w:right w:val="none" w:sz="0" w:space="0" w:color="auto"/>
      </w:divBdr>
    </w:div>
    <w:div w:id="1675834661">
      <w:bodyDiv w:val="1"/>
      <w:marLeft w:val="0"/>
      <w:marRight w:val="0"/>
      <w:marTop w:val="0"/>
      <w:marBottom w:val="0"/>
      <w:divBdr>
        <w:top w:val="none" w:sz="0" w:space="0" w:color="auto"/>
        <w:left w:val="none" w:sz="0" w:space="0" w:color="auto"/>
        <w:bottom w:val="none" w:sz="0" w:space="0" w:color="auto"/>
        <w:right w:val="none" w:sz="0" w:space="0" w:color="auto"/>
      </w:divBdr>
    </w:div>
    <w:div w:id="1681080165">
      <w:bodyDiv w:val="1"/>
      <w:marLeft w:val="0"/>
      <w:marRight w:val="0"/>
      <w:marTop w:val="0"/>
      <w:marBottom w:val="0"/>
      <w:divBdr>
        <w:top w:val="none" w:sz="0" w:space="0" w:color="auto"/>
        <w:left w:val="none" w:sz="0" w:space="0" w:color="auto"/>
        <w:bottom w:val="none" w:sz="0" w:space="0" w:color="auto"/>
        <w:right w:val="none" w:sz="0" w:space="0" w:color="auto"/>
      </w:divBdr>
    </w:div>
    <w:div w:id="1683970807">
      <w:bodyDiv w:val="1"/>
      <w:marLeft w:val="0"/>
      <w:marRight w:val="0"/>
      <w:marTop w:val="0"/>
      <w:marBottom w:val="0"/>
      <w:divBdr>
        <w:top w:val="none" w:sz="0" w:space="0" w:color="auto"/>
        <w:left w:val="none" w:sz="0" w:space="0" w:color="auto"/>
        <w:bottom w:val="none" w:sz="0" w:space="0" w:color="auto"/>
        <w:right w:val="none" w:sz="0" w:space="0" w:color="auto"/>
      </w:divBdr>
    </w:div>
    <w:div w:id="1686244553">
      <w:bodyDiv w:val="1"/>
      <w:marLeft w:val="0"/>
      <w:marRight w:val="0"/>
      <w:marTop w:val="0"/>
      <w:marBottom w:val="0"/>
      <w:divBdr>
        <w:top w:val="none" w:sz="0" w:space="0" w:color="auto"/>
        <w:left w:val="none" w:sz="0" w:space="0" w:color="auto"/>
        <w:bottom w:val="none" w:sz="0" w:space="0" w:color="auto"/>
        <w:right w:val="none" w:sz="0" w:space="0" w:color="auto"/>
      </w:divBdr>
    </w:div>
    <w:div w:id="1693149073">
      <w:bodyDiv w:val="1"/>
      <w:marLeft w:val="0"/>
      <w:marRight w:val="0"/>
      <w:marTop w:val="0"/>
      <w:marBottom w:val="0"/>
      <w:divBdr>
        <w:top w:val="none" w:sz="0" w:space="0" w:color="auto"/>
        <w:left w:val="none" w:sz="0" w:space="0" w:color="auto"/>
        <w:bottom w:val="none" w:sz="0" w:space="0" w:color="auto"/>
        <w:right w:val="none" w:sz="0" w:space="0" w:color="auto"/>
      </w:divBdr>
    </w:div>
    <w:div w:id="1705591836">
      <w:bodyDiv w:val="1"/>
      <w:marLeft w:val="0"/>
      <w:marRight w:val="0"/>
      <w:marTop w:val="0"/>
      <w:marBottom w:val="0"/>
      <w:divBdr>
        <w:top w:val="none" w:sz="0" w:space="0" w:color="auto"/>
        <w:left w:val="none" w:sz="0" w:space="0" w:color="auto"/>
        <w:bottom w:val="none" w:sz="0" w:space="0" w:color="auto"/>
        <w:right w:val="none" w:sz="0" w:space="0" w:color="auto"/>
      </w:divBdr>
    </w:div>
    <w:div w:id="1708215128">
      <w:bodyDiv w:val="1"/>
      <w:marLeft w:val="0"/>
      <w:marRight w:val="0"/>
      <w:marTop w:val="0"/>
      <w:marBottom w:val="0"/>
      <w:divBdr>
        <w:top w:val="none" w:sz="0" w:space="0" w:color="auto"/>
        <w:left w:val="none" w:sz="0" w:space="0" w:color="auto"/>
        <w:bottom w:val="none" w:sz="0" w:space="0" w:color="auto"/>
        <w:right w:val="none" w:sz="0" w:space="0" w:color="auto"/>
      </w:divBdr>
    </w:div>
    <w:div w:id="1709524080">
      <w:bodyDiv w:val="1"/>
      <w:marLeft w:val="0"/>
      <w:marRight w:val="0"/>
      <w:marTop w:val="0"/>
      <w:marBottom w:val="0"/>
      <w:divBdr>
        <w:top w:val="none" w:sz="0" w:space="0" w:color="auto"/>
        <w:left w:val="none" w:sz="0" w:space="0" w:color="auto"/>
        <w:bottom w:val="none" w:sz="0" w:space="0" w:color="auto"/>
        <w:right w:val="none" w:sz="0" w:space="0" w:color="auto"/>
      </w:divBdr>
    </w:div>
    <w:div w:id="1712680314">
      <w:bodyDiv w:val="1"/>
      <w:marLeft w:val="0"/>
      <w:marRight w:val="0"/>
      <w:marTop w:val="0"/>
      <w:marBottom w:val="0"/>
      <w:divBdr>
        <w:top w:val="none" w:sz="0" w:space="0" w:color="auto"/>
        <w:left w:val="none" w:sz="0" w:space="0" w:color="auto"/>
        <w:bottom w:val="none" w:sz="0" w:space="0" w:color="auto"/>
        <w:right w:val="none" w:sz="0" w:space="0" w:color="auto"/>
      </w:divBdr>
    </w:div>
    <w:div w:id="1714042391">
      <w:bodyDiv w:val="1"/>
      <w:marLeft w:val="0"/>
      <w:marRight w:val="0"/>
      <w:marTop w:val="0"/>
      <w:marBottom w:val="0"/>
      <w:divBdr>
        <w:top w:val="none" w:sz="0" w:space="0" w:color="auto"/>
        <w:left w:val="none" w:sz="0" w:space="0" w:color="auto"/>
        <w:bottom w:val="none" w:sz="0" w:space="0" w:color="auto"/>
        <w:right w:val="none" w:sz="0" w:space="0" w:color="auto"/>
      </w:divBdr>
    </w:div>
    <w:div w:id="1717512488">
      <w:bodyDiv w:val="1"/>
      <w:marLeft w:val="0"/>
      <w:marRight w:val="0"/>
      <w:marTop w:val="0"/>
      <w:marBottom w:val="0"/>
      <w:divBdr>
        <w:top w:val="none" w:sz="0" w:space="0" w:color="auto"/>
        <w:left w:val="none" w:sz="0" w:space="0" w:color="auto"/>
        <w:bottom w:val="none" w:sz="0" w:space="0" w:color="auto"/>
        <w:right w:val="none" w:sz="0" w:space="0" w:color="auto"/>
      </w:divBdr>
    </w:div>
    <w:div w:id="1722748835">
      <w:bodyDiv w:val="1"/>
      <w:marLeft w:val="0"/>
      <w:marRight w:val="0"/>
      <w:marTop w:val="0"/>
      <w:marBottom w:val="0"/>
      <w:divBdr>
        <w:top w:val="none" w:sz="0" w:space="0" w:color="auto"/>
        <w:left w:val="none" w:sz="0" w:space="0" w:color="auto"/>
        <w:bottom w:val="none" w:sz="0" w:space="0" w:color="auto"/>
        <w:right w:val="none" w:sz="0" w:space="0" w:color="auto"/>
      </w:divBdr>
    </w:div>
    <w:div w:id="1723627132">
      <w:bodyDiv w:val="1"/>
      <w:marLeft w:val="0"/>
      <w:marRight w:val="0"/>
      <w:marTop w:val="0"/>
      <w:marBottom w:val="0"/>
      <w:divBdr>
        <w:top w:val="none" w:sz="0" w:space="0" w:color="auto"/>
        <w:left w:val="none" w:sz="0" w:space="0" w:color="auto"/>
        <w:bottom w:val="none" w:sz="0" w:space="0" w:color="auto"/>
        <w:right w:val="none" w:sz="0" w:space="0" w:color="auto"/>
      </w:divBdr>
    </w:div>
    <w:div w:id="1723748388">
      <w:bodyDiv w:val="1"/>
      <w:marLeft w:val="0"/>
      <w:marRight w:val="0"/>
      <w:marTop w:val="0"/>
      <w:marBottom w:val="0"/>
      <w:divBdr>
        <w:top w:val="none" w:sz="0" w:space="0" w:color="auto"/>
        <w:left w:val="none" w:sz="0" w:space="0" w:color="auto"/>
        <w:bottom w:val="none" w:sz="0" w:space="0" w:color="auto"/>
        <w:right w:val="none" w:sz="0" w:space="0" w:color="auto"/>
      </w:divBdr>
    </w:div>
    <w:div w:id="1731802996">
      <w:bodyDiv w:val="1"/>
      <w:marLeft w:val="0"/>
      <w:marRight w:val="0"/>
      <w:marTop w:val="0"/>
      <w:marBottom w:val="0"/>
      <w:divBdr>
        <w:top w:val="none" w:sz="0" w:space="0" w:color="auto"/>
        <w:left w:val="none" w:sz="0" w:space="0" w:color="auto"/>
        <w:bottom w:val="none" w:sz="0" w:space="0" w:color="auto"/>
        <w:right w:val="none" w:sz="0" w:space="0" w:color="auto"/>
      </w:divBdr>
    </w:div>
    <w:div w:id="1732459141">
      <w:bodyDiv w:val="1"/>
      <w:marLeft w:val="0"/>
      <w:marRight w:val="0"/>
      <w:marTop w:val="0"/>
      <w:marBottom w:val="0"/>
      <w:divBdr>
        <w:top w:val="none" w:sz="0" w:space="0" w:color="auto"/>
        <w:left w:val="none" w:sz="0" w:space="0" w:color="auto"/>
        <w:bottom w:val="none" w:sz="0" w:space="0" w:color="auto"/>
        <w:right w:val="none" w:sz="0" w:space="0" w:color="auto"/>
      </w:divBdr>
    </w:div>
    <w:div w:id="1737972705">
      <w:bodyDiv w:val="1"/>
      <w:marLeft w:val="0"/>
      <w:marRight w:val="0"/>
      <w:marTop w:val="0"/>
      <w:marBottom w:val="0"/>
      <w:divBdr>
        <w:top w:val="none" w:sz="0" w:space="0" w:color="auto"/>
        <w:left w:val="none" w:sz="0" w:space="0" w:color="auto"/>
        <w:bottom w:val="none" w:sz="0" w:space="0" w:color="auto"/>
        <w:right w:val="none" w:sz="0" w:space="0" w:color="auto"/>
      </w:divBdr>
    </w:div>
    <w:div w:id="1740058440">
      <w:bodyDiv w:val="1"/>
      <w:marLeft w:val="0"/>
      <w:marRight w:val="0"/>
      <w:marTop w:val="0"/>
      <w:marBottom w:val="0"/>
      <w:divBdr>
        <w:top w:val="none" w:sz="0" w:space="0" w:color="auto"/>
        <w:left w:val="none" w:sz="0" w:space="0" w:color="auto"/>
        <w:bottom w:val="none" w:sz="0" w:space="0" w:color="auto"/>
        <w:right w:val="none" w:sz="0" w:space="0" w:color="auto"/>
      </w:divBdr>
    </w:div>
    <w:div w:id="1752852387">
      <w:bodyDiv w:val="1"/>
      <w:marLeft w:val="0"/>
      <w:marRight w:val="0"/>
      <w:marTop w:val="0"/>
      <w:marBottom w:val="0"/>
      <w:divBdr>
        <w:top w:val="none" w:sz="0" w:space="0" w:color="auto"/>
        <w:left w:val="none" w:sz="0" w:space="0" w:color="auto"/>
        <w:bottom w:val="none" w:sz="0" w:space="0" w:color="auto"/>
        <w:right w:val="none" w:sz="0" w:space="0" w:color="auto"/>
      </w:divBdr>
    </w:div>
    <w:div w:id="1754471838">
      <w:bodyDiv w:val="1"/>
      <w:marLeft w:val="0"/>
      <w:marRight w:val="0"/>
      <w:marTop w:val="0"/>
      <w:marBottom w:val="0"/>
      <w:divBdr>
        <w:top w:val="none" w:sz="0" w:space="0" w:color="auto"/>
        <w:left w:val="none" w:sz="0" w:space="0" w:color="auto"/>
        <w:bottom w:val="none" w:sz="0" w:space="0" w:color="auto"/>
        <w:right w:val="none" w:sz="0" w:space="0" w:color="auto"/>
      </w:divBdr>
    </w:div>
    <w:div w:id="1759399357">
      <w:bodyDiv w:val="1"/>
      <w:marLeft w:val="0"/>
      <w:marRight w:val="0"/>
      <w:marTop w:val="0"/>
      <w:marBottom w:val="0"/>
      <w:divBdr>
        <w:top w:val="none" w:sz="0" w:space="0" w:color="auto"/>
        <w:left w:val="none" w:sz="0" w:space="0" w:color="auto"/>
        <w:bottom w:val="none" w:sz="0" w:space="0" w:color="auto"/>
        <w:right w:val="none" w:sz="0" w:space="0" w:color="auto"/>
      </w:divBdr>
    </w:div>
    <w:div w:id="1762068669">
      <w:bodyDiv w:val="1"/>
      <w:marLeft w:val="0"/>
      <w:marRight w:val="0"/>
      <w:marTop w:val="0"/>
      <w:marBottom w:val="0"/>
      <w:divBdr>
        <w:top w:val="none" w:sz="0" w:space="0" w:color="auto"/>
        <w:left w:val="none" w:sz="0" w:space="0" w:color="auto"/>
        <w:bottom w:val="none" w:sz="0" w:space="0" w:color="auto"/>
        <w:right w:val="none" w:sz="0" w:space="0" w:color="auto"/>
      </w:divBdr>
    </w:div>
    <w:div w:id="1763180587">
      <w:bodyDiv w:val="1"/>
      <w:marLeft w:val="0"/>
      <w:marRight w:val="0"/>
      <w:marTop w:val="0"/>
      <w:marBottom w:val="0"/>
      <w:divBdr>
        <w:top w:val="none" w:sz="0" w:space="0" w:color="auto"/>
        <w:left w:val="none" w:sz="0" w:space="0" w:color="auto"/>
        <w:bottom w:val="none" w:sz="0" w:space="0" w:color="auto"/>
        <w:right w:val="none" w:sz="0" w:space="0" w:color="auto"/>
      </w:divBdr>
    </w:div>
    <w:div w:id="1768648656">
      <w:bodyDiv w:val="1"/>
      <w:marLeft w:val="0"/>
      <w:marRight w:val="0"/>
      <w:marTop w:val="0"/>
      <w:marBottom w:val="0"/>
      <w:divBdr>
        <w:top w:val="none" w:sz="0" w:space="0" w:color="auto"/>
        <w:left w:val="none" w:sz="0" w:space="0" w:color="auto"/>
        <w:bottom w:val="none" w:sz="0" w:space="0" w:color="auto"/>
        <w:right w:val="none" w:sz="0" w:space="0" w:color="auto"/>
      </w:divBdr>
    </w:div>
    <w:div w:id="1769429572">
      <w:bodyDiv w:val="1"/>
      <w:marLeft w:val="0"/>
      <w:marRight w:val="0"/>
      <w:marTop w:val="0"/>
      <w:marBottom w:val="0"/>
      <w:divBdr>
        <w:top w:val="none" w:sz="0" w:space="0" w:color="auto"/>
        <w:left w:val="none" w:sz="0" w:space="0" w:color="auto"/>
        <w:bottom w:val="none" w:sz="0" w:space="0" w:color="auto"/>
        <w:right w:val="none" w:sz="0" w:space="0" w:color="auto"/>
      </w:divBdr>
    </w:div>
    <w:div w:id="1769501532">
      <w:bodyDiv w:val="1"/>
      <w:marLeft w:val="0"/>
      <w:marRight w:val="0"/>
      <w:marTop w:val="0"/>
      <w:marBottom w:val="0"/>
      <w:divBdr>
        <w:top w:val="none" w:sz="0" w:space="0" w:color="auto"/>
        <w:left w:val="none" w:sz="0" w:space="0" w:color="auto"/>
        <w:bottom w:val="none" w:sz="0" w:space="0" w:color="auto"/>
        <w:right w:val="none" w:sz="0" w:space="0" w:color="auto"/>
      </w:divBdr>
    </w:div>
    <w:div w:id="1771512634">
      <w:bodyDiv w:val="1"/>
      <w:marLeft w:val="0"/>
      <w:marRight w:val="0"/>
      <w:marTop w:val="0"/>
      <w:marBottom w:val="0"/>
      <w:divBdr>
        <w:top w:val="none" w:sz="0" w:space="0" w:color="auto"/>
        <w:left w:val="none" w:sz="0" w:space="0" w:color="auto"/>
        <w:bottom w:val="none" w:sz="0" w:space="0" w:color="auto"/>
        <w:right w:val="none" w:sz="0" w:space="0" w:color="auto"/>
      </w:divBdr>
    </w:div>
    <w:div w:id="1772436033">
      <w:bodyDiv w:val="1"/>
      <w:marLeft w:val="0"/>
      <w:marRight w:val="0"/>
      <w:marTop w:val="0"/>
      <w:marBottom w:val="0"/>
      <w:divBdr>
        <w:top w:val="none" w:sz="0" w:space="0" w:color="auto"/>
        <w:left w:val="none" w:sz="0" w:space="0" w:color="auto"/>
        <w:bottom w:val="none" w:sz="0" w:space="0" w:color="auto"/>
        <w:right w:val="none" w:sz="0" w:space="0" w:color="auto"/>
      </w:divBdr>
    </w:div>
    <w:div w:id="1773627017">
      <w:bodyDiv w:val="1"/>
      <w:marLeft w:val="0"/>
      <w:marRight w:val="0"/>
      <w:marTop w:val="0"/>
      <w:marBottom w:val="0"/>
      <w:divBdr>
        <w:top w:val="none" w:sz="0" w:space="0" w:color="auto"/>
        <w:left w:val="none" w:sz="0" w:space="0" w:color="auto"/>
        <w:bottom w:val="none" w:sz="0" w:space="0" w:color="auto"/>
        <w:right w:val="none" w:sz="0" w:space="0" w:color="auto"/>
      </w:divBdr>
    </w:div>
    <w:div w:id="1774008920">
      <w:bodyDiv w:val="1"/>
      <w:marLeft w:val="0"/>
      <w:marRight w:val="0"/>
      <w:marTop w:val="0"/>
      <w:marBottom w:val="0"/>
      <w:divBdr>
        <w:top w:val="none" w:sz="0" w:space="0" w:color="auto"/>
        <w:left w:val="none" w:sz="0" w:space="0" w:color="auto"/>
        <w:bottom w:val="none" w:sz="0" w:space="0" w:color="auto"/>
        <w:right w:val="none" w:sz="0" w:space="0" w:color="auto"/>
      </w:divBdr>
    </w:div>
    <w:div w:id="1775904395">
      <w:bodyDiv w:val="1"/>
      <w:marLeft w:val="0"/>
      <w:marRight w:val="0"/>
      <w:marTop w:val="0"/>
      <w:marBottom w:val="0"/>
      <w:divBdr>
        <w:top w:val="none" w:sz="0" w:space="0" w:color="auto"/>
        <w:left w:val="none" w:sz="0" w:space="0" w:color="auto"/>
        <w:bottom w:val="none" w:sz="0" w:space="0" w:color="auto"/>
        <w:right w:val="none" w:sz="0" w:space="0" w:color="auto"/>
      </w:divBdr>
    </w:div>
    <w:div w:id="1783499427">
      <w:bodyDiv w:val="1"/>
      <w:marLeft w:val="0"/>
      <w:marRight w:val="0"/>
      <w:marTop w:val="0"/>
      <w:marBottom w:val="0"/>
      <w:divBdr>
        <w:top w:val="none" w:sz="0" w:space="0" w:color="auto"/>
        <w:left w:val="none" w:sz="0" w:space="0" w:color="auto"/>
        <w:bottom w:val="none" w:sz="0" w:space="0" w:color="auto"/>
        <w:right w:val="none" w:sz="0" w:space="0" w:color="auto"/>
      </w:divBdr>
    </w:div>
    <w:div w:id="1784809817">
      <w:bodyDiv w:val="1"/>
      <w:marLeft w:val="0"/>
      <w:marRight w:val="0"/>
      <w:marTop w:val="0"/>
      <w:marBottom w:val="0"/>
      <w:divBdr>
        <w:top w:val="none" w:sz="0" w:space="0" w:color="auto"/>
        <w:left w:val="none" w:sz="0" w:space="0" w:color="auto"/>
        <w:bottom w:val="none" w:sz="0" w:space="0" w:color="auto"/>
        <w:right w:val="none" w:sz="0" w:space="0" w:color="auto"/>
      </w:divBdr>
    </w:div>
    <w:div w:id="1792702579">
      <w:bodyDiv w:val="1"/>
      <w:marLeft w:val="0"/>
      <w:marRight w:val="0"/>
      <w:marTop w:val="0"/>
      <w:marBottom w:val="0"/>
      <w:divBdr>
        <w:top w:val="none" w:sz="0" w:space="0" w:color="auto"/>
        <w:left w:val="none" w:sz="0" w:space="0" w:color="auto"/>
        <w:bottom w:val="none" w:sz="0" w:space="0" w:color="auto"/>
        <w:right w:val="none" w:sz="0" w:space="0" w:color="auto"/>
      </w:divBdr>
    </w:div>
    <w:div w:id="1793667373">
      <w:bodyDiv w:val="1"/>
      <w:marLeft w:val="0"/>
      <w:marRight w:val="0"/>
      <w:marTop w:val="0"/>
      <w:marBottom w:val="0"/>
      <w:divBdr>
        <w:top w:val="none" w:sz="0" w:space="0" w:color="auto"/>
        <w:left w:val="none" w:sz="0" w:space="0" w:color="auto"/>
        <w:bottom w:val="none" w:sz="0" w:space="0" w:color="auto"/>
        <w:right w:val="none" w:sz="0" w:space="0" w:color="auto"/>
      </w:divBdr>
    </w:div>
    <w:div w:id="1807700264">
      <w:bodyDiv w:val="1"/>
      <w:marLeft w:val="0"/>
      <w:marRight w:val="0"/>
      <w:marTop w:val="0"/>
      <w:marBottom w:val="0"/>
      <w:divBdr>
        <w:top w:val="none" w:sz="0" w:space="0" w:color="auto"/>
        <w:left w:val="none" w:sz="0" w:space="0" w:color="auto"/>
        <w:bottom w:val="none" w:sz="0" w:space="0" w:color="auto"/>
        <w:right w:val="none" w:sz="0" w:space="0" w:color="auto"/>
      </w:divBdr>
    </w:div>
    <w:div w:id="1808426126">
      <w:bodyDiv w:val="1"/>
      <w:marLeft w:val="0"/>
      <w:marRight w:val="0"/>
      <w:marTop w:val="0"/>
      <w:marBottom w:val="0"/>
      <w:divBdr>
        <w:top w:val="none" w:sz="0" w:space="0" w:color="auto"/>
        <w:left w:val="none" w:sz="0" w:space="0" w:color="auto"/>
        <w:bottom w:val="none" w:sz="0" w:space="0" w:color="auto"/>
        <w:right w:val="none" w:sz="0" w:space="0" w:color="auto"/>
      </w:divBdr>
    </w:div>
    <w:div w:id="1810052039">
      <w:bodyDiv w:val="1"/>
      <w:marLeft w:val="0"/>
      <w:marRight w:val="0"/>
      <w:marTop w:val="0"/>
      <w:marBottom w:val="0"/>
      <w:divBdr>
        <w:top w:val="none" w:sz="0" w:space="0" w:color="auto"/>
        <w:left w:val="none" w:sz="0" w:space="0" w:color="auto"/>
        <w:bottom w:val="none" w:sz="0" w:space="0" w:color="auto"/>
        <w:right w:val="none" w:sz="0" w:space="0" w:color="auto"/>
      </w:divBdr>
    </w:div>
    <w:div w:id="1813473804">
      <w:bodyDiv w:val="1"/>
      <w:marLeft w:val="0"/>
      <w:marRight w:val="0"/>
      <w:marTop w:val="0"/>
      <w:marBottom w:val="0"/>
      <w:divBdr>
        <w:top w:val="none" w:sz="0" w:space="0" w:color="auto"/>
        <w:left w:val="none" w:sz="0" w:space="0" w:color="auto"/>
        <w:bottom w:val="none" w:sz="0" w:space="0" w:color="auto"/>
        <w:right w:val="none" w:sz="0" w:space="0" w:color="auto"/>
      </w:divBdr>
    </w:div>
    <w:div w:id="1822690165">
      <w:bodyDiv w:val="1"/>
      <w:marLeft w:val="0"/>
      <w:marRight w:val="0"/>
      <w:marTop w:val="0"/>
      <w:marBottom w:val="0"/>
      <w:divBdr>
        <w:top w:val="none" w:sz="0" w:space="0" w:color="auto"/>
        <w:left w:val="none" w:sz="0" w:space="0" w:color="auto"/>
        <w:bottom w:val="none" w:sz="0" w:space="0" w:color="auto"/>
        <w:right w:val="none" w:sz="0" w:space="0" w:color="auto"/>
      </w:divBdr>
    </w:div>
    <w:div w:id="1840926135">
      <w:bodyDiv w:val="1"/>
      <w:marLeft w:val="0"/>
      <w:marRight w:val="0"/>
      <w:marTop w:val="0"/>
      <w:marBottom w:val="0"/>
      <w:divBdr>
        <w:top w:val="none" w:sz="0" w:space="0" w:color="auto"/>
        <w:left w:val="none" w:sz="0" w:space="0" w:color="auto"/>
        <w:bottom w:val="none" w:sz="0" w:space="0" w:color="auto"/>
        <w:right w:val="none" w:sz="0" w:space="0" w:color="auto"/>
      </w:divBdr>
    </w:div>
    <w:div w:id="1846627308">
      <w:bodyDiv w:val="1"/>
      <w:marLeft w:val="0"/>
      <w:marRight w:val="0"/>
      <w:marTop w:val="0"/>
      <w:marBottom w:val="0"/>
      <w:divBdr>
        <w:top w:val="none" w:sz="0" w:space="0" w:color="auto"/>
        <w:left w:val="none" w:sz="0" w:space="0" w:color="auto"/>
        <w:bottom w:val="none" w:sz="0" w:space="0" w:color="auto"/>
        <w:right w:val="none" w:sz="0" w:space="0" w:color="auto"/>
      </w:divBdr>
    </w:div>
    <w:div w:id="1851288836">
      <w:bodyDiv w:val="1"/>
      <w:marLeft w:val="0"/>
      <w:marRight w:val="0"/>
      <w:marTop w:val="0"/>
      <w:marBottom w:val="0"/>
      <w:divBdr>
        <w:top w:val="none" w:sz="0" w:space="0" w:color="auto"/>
        <w:left w:val="none" w:sz="0" w:space="0" w:color="auto"/>
        <w:bottom w:val="none" w:sz="0" w:space="0" w:color="auto"/>
        <w:right w:val="none" w:sz="0" w:space="0" w:color="auto"/>
      </w:divBdr>
    </w:div>
    <w:div w:id="1851946581">
      <w:bodyDiv w:val="1"/>
      <w:marLeft w:val="0"/>
      <w:marRight w:val="0"/>
      <w:marTop w:val="0"/>
      <w:marBottom w:val="0"/>
      <w:divBdr>
        <w:top w:val="none" w:sz="0" w:space="0" w:color="auto"/>
        <w:left w:val="none" w:sz="0" w:space="0" w:color="auto"/>
        <w:bottom w:val="none" w:sz="0" w:space="0" w:color="auto"/>
        <w:right w:val="none" w:sz="0" w:space="0" w:color="auto"/>
      </w:divBdr>
    </w:div>
    <w:div w:id="1855804340">
      <w:bodyDiv w:val="1"/>
      <w:marLeft w:val="0"/>
      <w:marRight w:val="0"/>
      <w:marTop w:val="0"/>
      <w:marBottom w:val="0"/>
      <w:divBdr>
        <w:top w:val="none" w:sz="0" w:space="0" w:color="auto"/>
        <w:left w:val="none" w:sz="0" w:space="0" w:color="auto"/>
        <w:bottom w:val="none" w:sz="0" w:space="0" w:color="auto"/>
        <w:right w:val="none" w:sz="0" w:space="0" w:color="auto"/>
      </w:divBdr>
    </w:div>
    <w:div w:id="1856075111">
      <w:bodyDiv w:val="1"/>
      <w:marLeft w:val="0"/>
      <w:marRight w:val="0"/>
      <w:marTop w:val="0"/>
      <w:marBottom w:val="0"/>
      <w:divBdr>
        <w:top w:val="none" w:sz="0" w:space="0" w:color="auto"/>
        <w:left w:val="none" w:sz="0" w:space="0" w:color="auto"/>
        <w:bottom w:val="none" w:sz="0" w:space="0" w:color="auto"/>
        <w:right w:val="none" w:sz="0" w:space="0" w:color="auto"/>
      </w:divBdr>
    </w:div>
    <w:div w:id="1858957530">
      <w:bodyDiv w:val="1"/>
      <w:marLeft w:val="0"/>
      <w:marRight w:val="0"/>
      <w:marTop w:val="0"/>
      <w:marBottom w:val="0"/>
      <w:divBdr>
        <w:top w:val="none" w:sz="0" w:space="0" w:color="auto"/>
        <w:left w:val="none" w:sz="0" w:space="0" w:color="auto"/>
        <w:bottom w:val="none" w:sz="0" w:space="0" w:color="auto"/>
        <w:right w:val="none" w:sz="0" w:space="0" w:color="auto"/>
      </w:divBdr>
    </w:div>
    <w:div w:id="1861238144">
      <w:bodyDiv w:val="1"/>
      <w:marLeft w:val="0"/>
      <w:marRight w:val="0"/>
      <w:marTop w:val="0"/>
      <w:marBottom w:val="0"/>
      <w:divBdr>
        <w:top w:val="none" w:sz="0" w:space="0" w:color="auto"/>
        <w:left w:val="none" w:sz="0" w:space="0" w:color="auto"/>
        <w:bottom w:val="none" w:sz="0" w:space="0" w:color="auto"/>
        <w:right w:val="none" w:sz="0" w:space="0" w:color="auto"/>
      </w:divBdr>
    </w:div>
    <w:div w:id="1862089416">
      <w:bodyDiv w:val="1"/>
      <w:marLeft w:val="0"/>
      <w:marRight w:val="0"/>
      <w:marTop w:val="0"/>
      <w:marBottom w:val="0"/>
      <w:divBdr>
        <w:top w:val="none" w:sz="0" w:space="0" w:color="auto"/>
        <w:left w:val="none" w:sz="0" w:space="0" w:color="auto"/>
        <w:bottom w:val="none" w:sz="0" w:space="0" w:color="auto"/>
        <w:right w:val="none" w:sz="0" w:space="0" w:color="auto"/>
      </w:divBdr>
    </w:div>
    <w:div w:id="1866215798">
      <w:bodyDiv w:val="1"/>
      <w:marLeft w:val="0"/>
      <w:marRight w:val="0"/>
      <w:marTop w:val="0"/>
      <w:marBottom w:val="0"/>
      <w:divBdr>
        <w:top w:val="none" w:sz="0" w:space="0" w:color="auto"/>
        <w:left w:val="none" w:sz="0" w:space="0" w:color="auto"/>
        <w:bottom w:val="none" w:sz="0" w:space="0" w:color="auto"/>
        <w:right w:val="none" w:sz="0" w:space="0" w:color="auto"/>
      </w:divBdr>
    </w:div>
    <w:div w:id="1869641813">
      <w:bodyDiv w:val="1"/>
      <w:marLeft w:val="0"/>
      <w:marRight w:val="0"/>
      <w:marTop w:val="0"/>
      <w:marBottom w:val="0"/>
      <w:divBdr>
        <w:top w:val="none" w:sz="0" w:space="0" w:color="auto"/>
        <w:left w:val="none" w:sz="0" w:space="0" w:color="auto"/>
        <w:bottom w:val="none" w:sz="0" w:space="0" w:color="auto"/>
        <w:right w:val="none" w:sz="0" w:space="0" w:color="auto"/>
      </w:divBdr>
    </w:div>
    <w:div w:id="1875146675">
      <w:bodyDiv w:val="1"/>
      <w:marLeft w:val="0"/>
      <w:marRight w:val="0"/>
      <w:marTop w:val="0"/>
      <w:marBottom w:val="0"/>
      <w:divBdr>
        <w:top w:val="none" w:sz="0" w:space="0" w:color="auto"/>
        <w:left w:val="none" w:sz="0" w:space="0" w:color="auto"/>
        <w:bottom w:val="none" w:sz="0" w:space="0" w:color="auto"/>
        <w:right w:val="none" w:sz="0" w:space="0" w:color="auto"/>
      </w:divBdr>
    </w:div>
    <w:div w:id="1876306769">
      <w:bodyDiv w:val="1"/>
      <w:marLeft w:val="0"/>
      <w:marRight w:val="0"/>
      <w:marTop w:val="0"/>
      <w:marBottom w:val="0"/>
      <w:divBdr>
        <w:top w:val="none" w:sz="0" w:space="0" w:color="auto"/>
        <w:left w:val="none" w:sz="0" w:space="0" w:color="auto"/>
        <w:bottom w:val="none" w:sz="0" w:space="0" w:color="auto"/>
        <w:right w:val="none" w:sz="0" w:space="0" w:color="auto"/>
      </w:divBdr>
    </w:div>
    <w:div w:id="1878853984">
      <w:bodyDiv w:val="1"/>
      <w:marLeft w:val="0"/>
      <w:marRight w:val="0"/>
      <w:marTop w:val="0"/>
      <w:marBottom w:val="0"/>
      <w:divBdr>
        <w:top w:val="none" w:sz="0" w:space="0" w:color="auto"/>
        <w:left w:val="none" w:sz="0" w:space="0" w:color="auto"/>
        <w:bottom w:val="none" w:sz="0" w:space="0" w:color="auto"/>
        <w:right w:val="none" w:sz="0" w:space="0" w:color="auto"/>
      </w:divBdr>
    </w:div>
    <w:div w:id="1879317070">
      <w:bodyDiv w:val="1"/>
      <w:marLeft w:val="0"/>
      <w:marRight w:val="0"/>
      <w:marTop w:val="0"/>
      <w:marBottom w:val="0"/>
      <w:divBdr>
        <w:top w:val="none" w:sz="0" w:space="0" w:color="auto"/>
        <w:left w:val="none" w:sz="0" w:space="0" w:color="auto"/>
        <w:bottom w:val="none" w:sz="0" w:space="0" w:color="auto"/>
        <w:right w:val="none" w:sz="0" w:space="0" w:color="auto"/>
      </w:divBdr>
    </w:div>
    <w:div w:id="1894807863">
      <w:bodyDiv w:val="1"/>
      <w:marLeft w:val="0"/>
      <w:marRight w:val="0"/>
      <w:marTop w:val="0"/>
      <w:marBottom w:val="0"/>
      <w:divBdr>
        <w:top w:val="none" w:sz="0" w:space="0" w:color="auto"/>
        <w:left w:val="none" w:sz="0" w:space="0" w:color="auto"/>
        <w:bottom w:val="none" w:sz="0" w:space="0" w:color="auto"/>
        <w:right w:val="none" w:sz="0" w:space="0" w:color="auto"/>
      </w:divBdr>
    </w:div>
    <w:div w:id="1896118176">
      <w:bodyDiv w:val="1"/>
      <w:marLeft w:val="0"/>
      <w:marRight w:val="0"/>
      <w:marTop w:val="0"/>
      <w:marBottom w:val="0"/>
      <w:divBdr>
        <w:top w:val="none" w:sz="0" w:space="0" w:color="auto"/>
        <w:left w:val="none" w:sz="0" w:space="0" w:color="auto"/>
        <w:bottom w:val="none" w:sz="0" w:space="0" w:color="auto"/>
        <w:right w:val="none" w:sz="0" w:space="0" w:color="auto"/>
      </w:divBdr>
    </w:div>
    <w:div w:id="1898054128">
      <w:bodyDiv w:val="1"/>
      <w:marLeft w:val="0"/>
      <w:marRight w:val="0"/>
      <w:marTop w:val="0"/>
      <w:marBottom w:val="0"/>
      <w:divBdr>
        <w:top w:val="none" w:sz="0" w:space="0" w:color="auto"/>
        <w:left w:val="none" w:sz="0" w:space="0" w:color="auto"/>
        <w:bottom w:val="none" w:sz="0" w:space="0" w:color="auto"/>
        <w:right w:val="none" w:sz="0" w:space="0" w:color="auto"/>
      </w:divBdr>
    </w:div>
    <w:div w:id="1898469241">
      <w:bodyDiv w:val="1"/>
      <w:marLeft w:val="0"/>
      <w:marRight w:val="0"/>
      <w:marTop w:val="0"/>
      <w:marBottom w:val="0"/>
      <w:divBdr>
        <w:top w:val="none" w:sz="0" w:space="0" w:color="auto"/>
        <w:left w:val="none" w:sz="0" w:space="0" w:color="auto"/>
        <w:bottom w:val="none" w:sz="0" w:space="0" w:color="auto"/>
        <w:right w:val="none" w:sz="0" w:space="0" w:color="auto"/>
      </w:divBdr>
    </w:div>
    <w:div w:id="1903641635">
      <w:bodyDiv w:val="1"/>
      <w:marLeft w:val="0"/>
      <w:marRight w:val="0"/>
      <w:marTop w:val="0"/>
      <w:marBottom w:val="0"/>
      <w:divBdr>
        <w:top w:val="none" w:sz="0" w:space="0" w:color="auto"/>
        <w:left w:val="none" w:sz="0" w:space="0" w:color="auto"/>
        <w:bottom w:val="none" w:sz="0" w:space="0" w:color="auto"/>
        <w:right w:val="none" w:sz="0" w:space="0" w:color="auto"/>
      </w:divBdr>
    </w:div>
    <w:div w:id="1906451140">
      <w:bodyDiv w:val="1"/>
      <w:marLeft w:val="0"/>
      <w:marRight w:val="0"/>
      <w:marTop w:val="0"/>
      <w:marBottom w:val="0"/>
      <w:divBdr>
        <w:top w:val="none" w:sz="0" w:space="0" w:color="auto"/>
        <w:left w:val="none" w:sz="0" w:space="0" w:color="auto"/>
        <w:bottom w:val="none" w:sz="0" w:space="0" w:color="auto"/>
        <w:right w:val="none" w:sz="0" w:space="0" w:color="auto"/>
      </w:divBdr>
    </w:div>
    <w:div w:id="1912422529">
      <w:bodyDiv w:val="1"/>
      <w:marLeft w:val="0"/>
      <w:marRight w:val="0"/>
      <w:marTop w:val="0"/>
      <w:marBottom w:val="0"/>
      <w:divBdr>
        <w:top w:val="none" w:sz="0" w:space="0" w:color="auto"/>
        <w:left w:val="none" w:sz="0" w:space="0" w:color="auto"/>
        <w:bottom w:val="none" w:sz="0" w:space="0" w:color="auto"/>
        <w:right w:val="none" w:sz="0" w:space="0" w:color="auto"/>
      </w:divBdr>
    </w:div>
    <w:div w:id="1916740778">
      <w:bodyDiv w:val="1"/>
      <w:marLeft w:val="0"/>
      <w:marRight w:val="0"/>
      <w:marTop w:val="0"/>
      <w:marBottom w:val="0"/>
      <w:divBdr>
        <w:top w:val="none" w:sz="0" w:space="0" w:color="auto"/>
        <w:left w:val="none" w:sz="0" w:space="0" w:color="auto"/>
        <w:bottom w:val="none" w:sz="0" w:space="0" w:color="auto"/>
        <w:right w:val="none" w:sz="0" w:space="0" w:color="auto"/>
      </w:divBdr>
    </w:div>
    <w:div w:id="1918124406">
      <w:bodyDiv w:val="1"/>
      <w:marLeft w:val="0"/>
      <w:marRight w:val="0"/>
      <w:marTop w:val="0"/>
      <w:marBottom w:val="0"/>
      <w:divBdr>
        <w:top w:val="none" w:sz="0" w:space="0" w:color="auto"/>
        <w:left w:val="none" w:sz="0" w:space="0" w:color="auto"/>
        <w:bottom w:val="none" w:sz="0" w:space="0" w:color="auto"/>
        <w:right w:val="none" w:sz="0" w:space="0" w:color="auto"/>
      </w:divBdr>
    </w:div>
    <w:div w:id="1918324174">
      <w:bodyDiv w:val="1"/>
      <w:marLeft w:val="0"/>
      <w:marRight w:val="0"/>
      <w:marTop w:val="0"/>
      <w:marBottom w:val="0"/>
      <w:divBdr>
        <w:top w:val="none" w:sz="0" w:space="0" w:color="auto"/>
        <w:left w:val="none" w:sz="0" w:space="0" w:color="auto"/>
        <w:bottom w:val="none" w:sz="0" w:space="0" w:color="auto"/>
        <w:right w:val="none" w:sz="0" w:space="0" w:color="auto"/>
      </w:divBdr>
    </w:div>
    <w:div w:id="1931114140">
      <w:bodyDiv w:val="1"/>
      <w:marLeft w:val="0"/>
      <w:marRight w:val="0"/>
      <w:marTop w:val="0"/>
      <w:marBottom w:val="0"/>
      <w:divBdr>
        <w:top w:val="none" w:sz="0" w:space="0" w:color="auto"/>
        <w:left w:val="none" w:sz="0" w:space="0" w:color="auto"/>
        <w:bottom w:val="none" w:sz="0" w:space="0" w:color="auto"/>
        <w:right w:val="none" w:sz="0" w:space="0" w:color="auto"/>
      </w:divBdr>
    </w:div>
    <w:div w:id="1932426666">
      <w:bodyDiv w:val="1"/>
      <w:marLeft w:val="0"/>
      <w:marRight w:val="0"/>
      <w:marTop w:val="0"/>
      <w:marBottom w:val="0"/>
      <w:divBdr>
        <w:top w:val="none" w:sz="0" w:space="0" w:color="auto"/>
        <w:left w:val="none" w:sz="0" w:space="0" w:color="auto"/>
        <w:bottom w:val="none" w:sz="0" w:space="0" w:color="auto"/>
        <w:right w:val="none" w:sz="0" w:space="0" w:color="auto"/>
      </w:divBdr>
    </w:div>
    <w:div w:id="1934392465">
      <w:bodyDiv w:val="1"/>
      <w:marLeft w:val="0"/>
      <w:marRight w:val="0"/>
      <w:marTop w:val="0"/>
      <w:marBottom w:val="0"/>
      <w:divBdr>
        <w:top w:val="none" w:sz="0" w:space="0" w:color="auto"/>
        <w:left w:val="none" w:sz="0" w:space="0" w:color="auto"/>
        <w:bottom w:val="none" w:sz="0" w:space="0" w:color="auto"/>
        <w:right w:val="none" w:sz="0" w:space="0" w:color="auto"/>
      </w:divBdr>
    </w:div>
    <w:div w:id="1935091148">
      <w:bodyDiv w:val="1"/>
      <w:marLeft w:val="0"/>
      <w:marRight w:val="0"/>
      <w:marTop w:val="0"/>
      <w:marBottom w:val="0"/>
      <w:divBdr>
        <w:top w:val="none" w:sz="0" w:space="0" w:color="auto"/>
        <w:left w:val="none" w:sz="0" w:space="0" w:color="auto"/>
        <w:bottom w:val="none" w:sz="0" w:space="0" w:color="auto"/>
        <w:right w:val="none" w:sz="0" w:space="0" w:color="auto"/>
      </w:divBdr>
    </w:div>
    <w:div w:id="1938832243">
      <w:bodyDiv w:val="1"/>
      <w:marLeft w:val="0"/>
      <w:marRight w:val="0"/>
      <w:marTop w:val="0"/>
      <w:marBottom w:val="0"/>
      <w:divBdr>
        <w:top w:val="none" w:sz="0" w:space="0" w:color="auto"/>
        <w:left w:val="none" w:sz="0" w:space="0" w:color="auto"/>
        <w:bottom w:val="none" w:sz="0" w:space="0" w:color="auto"/>
        <w:right w:val="none" w:sz="0" w:space="0" w:color="auto"/>
      </w:divBdr>
    </w:div>
    <w:div w:id="1940793792">
      <w:bodyDiv w:val="1"/>
      <w:marLeft w:val="0"/>
      <w:marRight w:val="0"/>
      <w:marTop w:val="0"/>
      <w:marBottom w:val="0"/>
      <w:divBdr>
        <w:top w:val="none" w:sz="0" w:space="0" w:color="auto"/>
        <w:left w:val="none" w:sz="0" w:space="0" w:color="auto"/>
        <w:bottom w:val="none" w:sz="0" w:space="0" w:color="auto"/>
        <w:right w:val="none" w:sz="0" w:space="0" w:color="auto"/>
      </w:divBdr>
    </w:div>
    <w:div w:id="1944026352">
      <w:bodyDiv w:val="1"/>
      <w:marLeft w:val="0"/>
      <w:marRight w:val="0"/>
      <w:marTop w:val="0"/>
      <w:marBottom w:val="0"/>
      <w:divBdr>
        <w:top w:val="none" w:sz="0" w:space="0" w:color="auto"/>
        <w:left w:val="none" w:sz="0" w:space="0" w:color="auto"/>
        <w:bottom w:val="none" w:sz="0" w:space="0" w:color="auto"/>
        <w:right w:val="none" w:sz="0" w:space="0" w:color="auto"/>
      </w:divBdr>
    </w:div>
    <w:div w:id="1948614362">
      <w:bodyDiv w:val="1"/>
      <w:marLeft w:val="0"/>
      <w:marRight w:val="0"/>
      <w:marTop w:val="0"/>
      <w:marBottom w:val="0"/>
      <w:divBdr>
        <w:top w:val="none" w:sz="0" w:space="0" w:color="auto"/>
        <w:left w:val="none" w:sz="0" w:space="0" w:color="auto"/>
        <w:bottom w:val="none" w:sz="0" w:space="0" w:color="auto"/>
        <w:right w:val="none" w:sz="0" w:space="0" w:color="auto"/>
      </w:divBdr>
    </w:div>
    <w:div w:id="1950157803">
      <w:bodyDiv w:val="1"/>
      <w:marLeft w:val="0"/>
      <w:marRight w:val="0"/>
      <w:marTop w:val="0"/>
      <w:marBottom w:val="0"/>
      <w:divBdr>
        <w:top w:val="none" w:sz="0" w:space="0" w:color="auto"/>
        <w:left w:val="none" w:sz="0" w:space="0" w:color="auto"/>
        <w:bottom w:val="none" w:sz="0" w:space="0" w:color="auto"/>
        <w:right w:val="none" w:sz="0" w:space="0" w:color="auto"/>
      </w:divBdr>
    </w:div>
    <w:div w:id="1963458650">
      <w:bodyDiv w:val="1"/>
      <w:marLeft w:val="0"/>
      <w:marRight w:val="0"/>
      <w:marTop w:val="0"/>
      <w:marBottom w:val="0"/>
      <w:divBdr>
        <w:top w:val="none" w:sz="0" w:space="0" w:color="auto"/>
        <w:left w:val="none" w:sz="0" w:space="0" w:color="auto"/>
        <w:bottom w:val="none" w:sz="0" w:space="0" w:color="auto"/>
        <w:right w:val="none" w:sz="0" w:space="0" w:color="auto"/>
      </w:divBdr>
    </w:div>
    <w:div w:id="1966543233">
      <w:bodyDiv w:val="1"/>
      <w:marLeft w:val="0"/>
      <w:marRight w:val="0"/>
      <w:marTop w:val="0"/>
      <w:marBottom w:val="0"/>
      <w:divBdr>
        <w:top w:val="none" w:sz="0" w:space="0" w:color="auto"/>
        <w:left w:val="none" w:sz="0" w:space="0" w:color="auto"/>
        <w:bottom w:val="none" w:sz="0" w:space="0" w:color="auto"/>
        <w:right w:val="none" w:sz="0" w:space="0" w:color="auto"/>
      </w:divBdr>
    </w:div>
    <w:div w:id="1969117003">
      <w:bodyDiv w:val="1"/>
      <w:marLeft w:val="0"/>
      <w:marRight w:val="0"/>
      <w:marTop w:val="0"/>
      <w:marBottom w:val="0"/>
      <w:divBdr>
        <w:top w:val="none" w:sz="0" w:space="0" w:color="auto"/>
        <w:left w:val="none" w:sz="0" w:space="0" w:color="auto"/>
        <w:bottom w:val="none" w:sz="0" w:space="0" w:color="auto"/>
        <w:right w:val="none" w:sz="0" w:space="0" w:color="auto"/>
      </w:divBdr>
    </w:div>
    <w:div w:id="1971128201">
      <w:bodyDiv w:val="1"/>
      <w:marLeft w:val="0"/>
      <w:marRight w:val="0"/>
      <w:marTop w:val="0"/>
      <w:marBottom w:val="0"/>
      <w:divBdr>
        <w:top w:val="none" w:sz="0" w:space="0" w:color="auto"/>
        <w:left w:val="none" w:sz="0" w:space="0" w:color="auto"/>
        <w:bottom w:val="none" w:sz="0" w:space="0" w:color="auto"/>
        <w:right w:val="none" w:sz="0" w:space="0" w:color="auto"/>
      </w:divBdr>
    </w:div>
    <w:div w:id="1974752349">
      <w:bodyDiv w:val="1"/>
      <w:marLeft w:val="0"/>
      <w:marRight w:val="0"/>
      <w:marTop w:val="0"/>
      <w:marBottom w:val="0"/>
      <w:divBdr>
        <w:top w:val="none" w:sz="0" w:space="0" w:color="auto"/>
        <w:left w:val="none" w:sz="0" w:space="0" w:color="auto"/>
        <w:bottom w:val="none" w:sz="0" w:space="0" w:color="auto"/>
        <w:right w:val="none" w:sz="0" w:space="0" w:color="auto"/>
      </w:divBdr>
    </w:div>
    <w:div w:id="1975283703">
      <w:bodyDiv w:val="1"/>
      <w:marLeft w:val="0"/>
      <w:marRight w:val="0"/>
      <w:marTop w:val="0"/>
      <w:marBottom w:val="0"/>
      <w:divBdr>
        <w:top w:val="none" w:sz="0" w:space="0" w:color="auto"/>
        <w:left w:val="none" w:sz="0" w:space="0" w:color="auto"/>
        <w:bottom w:val="none" w:sz="0" w:space="0" w:color="auto"/>
        <w:right w:val="none" w:sz="0" w:space="0" w:color="auto"/>
      </w:divBdr>
    </w:div>
    <w:div w:id="1978030609">
      <w:bodyDiv w:val="1"/>
      <w:marLeft w:val="0"/>
      <w:marRight w:val="0"/>
      <w:marTop w:val="0"/>
      <w:marBottom w:val="0"/>
      <w:divBdr>
        <w:top w:val="none" w:sz="0" w:space="0" w:color="auto"/>
        <w:left w:val="none" w:sz="0" w:space="0" w:color="auto"/>
        <w:bottom w:val="none" w:sz="0" w:space="0" w:color="auto"/>
        <w:right w:val="none" w:sz="0" w:space="0" w:color="auto"/>
      </w:divBdr>
    </w:div>
    <w:div w:id="1981030786">
      <w:bodyDiv w:val="1"/>
      <w:marLeft w:val="0"/>
      <w:marRight w:val="0"/>
      <w:marTop w:val="0"/>
      <w:marBottom w:val="0"/>
      <w:divBdr>
        <w:top w:val="none" w:sz="0" w:space="0" w:color="auto"/>
        <w:left w:val="none" w:sz="0" w:space="0" w:color="auto"/>
        <w:bottom w:val="none" w:sz="0" w:space="0" w:color="auto"/>
        <w:right w:val="none" w:sz="0" w:space="0" w:color="auto"/>
      </w:divBdr>
    </w:div>
    <w:div w:id="1983391080">
      <w:bodyDiv w:val="1"/>
      <w:marLeft w:val="0"/>
      <w:marRight w:val="0"/>
      <w:marTop w:val="0"/>
      <w:marBottom w:val="0"/>
      <w:divBdr>
        <w:top w:val="none" w:sz="0" w:space="0" w:color="auto"/>
        <w:left w:val="none" w:sz="0" w:space="0" w:color="auto"/>
        <w:bottom w:val="none" w:sz="0" w:space="0" w:color="auto"/>
        <w:right w:val="none" w:sz="0" w:space="0" w:color="auto"/>
      </w:divBdr>
    </w:div>
    <w:div w:id="1989745244">
      <w:bodyDiv w:val="1"/>
      <w:marLeft w:val="0"/>
      <w:marRight w:val="0"/>
      <w:marTop w:val="0"/>
      <w:marBottom w:val="0"/>
      <w:divBdr>
        <w:top w:val="none" w:sz="0" w:space="0" w:color="auto"/>
        <w:left w:val="none" w:sz="0" w:space="0" w:color="auto"/>
        <w:bottom w:val="none" w:sz="0" w:space="0" w:color="auto"/>
        <w:right w:val="none" w:sz="0" w:space="0" w:color="auto"/>
      </w:divBdr>
    </w:div>
    <w:div w:id="1994984749">
      <w:bodyDiv w:val="1"/>
      <w:marLeft w:val="0"/>
      <w:marRight w:val="0"/>
      <w:marTop w:val="0"/>
      <w:marBottom w:val="0"/>
      <w:divBdr>
        <w:top w:val="none" w:sz="0" w:space="0" w:color="auto"/>
        <w:left w:val="none" w:sz="0" w:space="0" w:color="auto"/>
        <w:bottom w:val="none" w:sz="0" w:space="0" w:color="auto"/>
        <w:right w:val="none" w:sz="0" w:space="0" w:color="auto"/>
      </w:divBdr>
    </w:div>
    <w:div w:id="1996491492">
      <w:bodyDiv w:val="1"/>
      <w:marLeft w:val="0"/>
      <w:marRight w:val="0"/>
      <w:marTop w:val="0"/>
      <w:marBottom w:val="0"/>
      <w:divBdr>
        <w:top w:val="none" w:sz="0" w:space="0" w:color="auto"/>
        <w:left w:val="none" w:sz="0" w:space="0" w:color="auto"/>
        <w:bottom w:val="none" w:sz="0" w:space="0" w:color="auto"/>
        <w:right w:val="none" w:sz="0" w:space="0" w:color="auto"/>
      </w:divBdr>
    </w:div>
    <w:div w:id="2003924651">
      <w:bodyDiv w:val="1"/>
      <w:marLeft w:val="0"/>
      <w:marRight w:val="0"/>
      <w:marTop w:val="0"/>
      <w:marBottom w:val="0"/>
      <w:divBdr>
        <w:top w:val="none" w:sz="0" w:space="0" w:color="auto"/>
        <w:left w:val="none" w:sz="0" w:space="0" w:color="auto"/>
        <w:bottom w:val="none" w:sz="0" w:space="0" w:color="auto"/>
        <w:right w:val="none" w:sz="0" w:space="0" w:color="auto"/>
      </w:divBdr>
    </w:div>
    <w:div w:id="2007171644">
      <w:bodyDiv w:val="1"/>
      <w:marLeft w:val="0"/>
      <w:marRight w:val="0"/>
      <w:marTop w:val="0"/>
      <w:marBottom w:val="0"/>
      <w:divBdr>
        <w:top w:val="none" w:sz="0" w:space="0" w:color="auto"/>
        <w:left w:val="none" w:sz="0" w:space="0" w:color="auto"/>
        <w:bottom w:val="none" w:sz="0" w:space="0" w:color="auto"/>
        <w:right w:val="none" w:sz="0" w:space="0" w:color="auto"/>
      </w:divBdr>
    </w:div>
    <w:div w:id="2007858408">
      <w:bodyDiv w:val="1"/>
      <w:marLeft w:val="0"/>
      <w:marRight w:val="0"/>
      <w:marTop w:val="0"/>
      <w:marBottom w:val="0"/>
      <w:divBdr>
        <w:top w:val="none" w:sz="0" w:space="0" w:color="auto"/>
        <w:left w:val="none" w:sz="0" w:space="0" w:color="auto"/>
        <w:bottom w:val="none" w:sz="0" w:space="0" w:color="auto"/>
        <w:right w:val="none" w:sz="0" w:space="0" w:color="auto"/>
      </w:divBdr>
    </w:div>
    <w:div w:id="2009477466">
      <w:bodyDiv w:val="1"/>
      <w:marLeft w:val="0"/>
      <w:marRight w:val="0"/>
      <w:marTop w:val="0"/>
      <w:marBottom w:val="0"/>
      <w:divBdr>
        <w:top w:val="none" w:sz="0" w:space="0" w:color="auto"/>
        <w:left w:val="none" w:sz="0" w:space="0" w:color="auto"/>
        <w:bottom w:val="none" w:sz="0" w:space="0" w:color="auto"/>
        <w:right w:val="none" w:sz="0" w:space="0" w:color="auto"/>
      </w:divBdr>
    </w:div>
    <w:div w:id="2011524006">
      <w:bodyDiv w:val="1"/>
      <w:marLeft w:val="0"/>
      <w:marRight w:val="0"/>
      <w:marTop w:val="0"/>
      <w:marBottom w:val="0"/>
      <w:divBdr>
        <w:top w:val="none" w:sz="0" w:space="0" w:color="auto"/>
        <w:left w:val="none" w:sz="0" w:space="0" w:color="auto"/>
        <w:bottom w:val="none" w:sz="0" w:space="0" w:color="auto"/>
        <w:right w:val="none" w:sz="0" w:space="0" w:color="auto"/>
      </w:divBdr>
    </w:div>
    <w:div w:id="2011710014">
      <w:bodyDiv w:val="1"/>
      <w:marLeft w:val="0"/>
      <w:marRight w:val="0"/>
      <w:marTop w:val="0"/>
      <w:marBottom w:val="0"/>
      <w:divBdr>
        <w:top w:val="none" w:sz="0" w:space="0" w:color="auto"/>
        <w:left w:val="none" w:sz="0" w:space="0" w:color="auto"/>
        <w:bottom w:val="none" w:sz="0" w:space="0" w:color="auto"/>
        <w:right w:val="none" w:sz="0" w:space="0" w:color="auto"/>
      </w:divBdr>
    </w:div>
    <w:div w:id="2015720388">
      <w:bodyDiv w:val="1"/>
      <w:marLeft w:val="0"/>
      <w:marRight w:val="0"/>
      <w:marTop w:val="0"/>
      <w:marBottom w:val="0"/>
      <w:divBdr>
        <w:top w:val="none" w:sz="0" w:space="0" w:color="auto"/>
        <w:left w:val="none" w:sz="0" w:space="0" w:color="auto"/>
        <w:bottom w:val="none" w:sz="0" w:space="0" w:color="auto"/>
        <w:right w:val="none" w:sz="0" w:space="0" w:color="auto"/>
      </w:divBdr>
    </w:div>
    <w:div w:id="2015915074">
      <w:bodyDiv w:val="1"/>
      <w:marLeft w:val="0"/>
      <w:marRight w:val="0"/>
      <w:marTop w:val="0"/>
      <w:marBottom w:val="0"/>
      <w:divBdr>
        <w:top w:val="none" w:sz="0" w:space="0" w:color="auto"/>
        <w:left w:val="none" w:sz="0" w:space="0" w:color="auto"/>
        <w:bottom w:val="none" w:sz="0" w:space="0" w:color="auto"/>
        <w:right w:val="none" w:sz="0" w:space="0" w:color="auto"/>
      </w:divBdr>
    </w:div>
    <w:div w:id="2021464023">
      <w:bodyDiv w:val="1"/>
      <w:marLeft w:val="0"/>
      <w:marRight w:val="0"/>
      <w:marTop w:val="0"/>
      <w:marBottom w:val="0"/>
      <w:divBdr>
        <w:top w:val="none" w:sz="0" w:space="0" w:color="auto"/>
        <w:left w:val="none" w:sz="0" w:space="0" w:color="auto"/>
        <w:bottom w:val="none" w:sz="0" w:space="0" w:color="auto"/>
        <w:right w:val="none" w:sz="0" w:space="0" w:color="auto"/>
      </w:divBdr>
    </w:div>
    <w:div w:id="2022777169">
      <w:bodyDiv w:val="1"/>
      <w:marLeft w:val="0"/>
      <w:marRight w:val="0"/>
      <w:marTop w:val="0"/>
      <w:marBottom w:val="0"/>
      <w:divBdr>
        <w:top w:val="none" w:sz="0" w:space="0" w:color="auto"/>
        <w:left w:val="none" w:sz="0" w:space="0" w:color="auto"/>
        <w:bottom w:val="none" w:sz="0" w:space="0" w:color="auto"/>
        <w:right w:val="none" w:sz="0" w:space="0" w:color="auto"/>
      </w:divBdr>
    </w:div>
    <w:div w:id="2023437071">
      <w:bodyDiv w:val="1"/>
      <w:marLeft w:val="0"/>
      <w:marRight w:val="0"/>
      <w:marTop w:val="0"/>
      <w:marBottom w:val="0"/>
      <w:divBdr>
        <w:top w:val="none" w:sz="0" w:space="0" w:color="auto"/>
        <w:left w:val="none" w:sz="0" w:space="0" w:color="auto"/>
        <w:bottom w:val="none" w:sz="0" w:space="0" w:color="auto"/>
        <w:right w:val="none" w:sz="0" w:space="0" w:color="auto"/>
      </w:divBdr>
    </w:div>
    <w:div w:id="2024748263">
      <w:bodyDiv w:val="1"/>
      <w:marLeft w:val="0"/>
      <w:marRight w:val="0"/>
      <w:marTop w:val="0"/>
      <w:marBottom w:val="0"/>
      <w:divBdr>
        <w:top w:val="none" w:sz="0" w:space="0" w:color="auto"/>
        <w:left w:val="none" w:sz="0" w:space="0" w:color="auto"/>
        <w:bottom w:val="none" w:sz="0" w:space="0" w:color="auto"/>
        <w:right w:val="none" w:sz="0" w:space="0" w:color="auto"/>
      </w:divBdr>
    </w:div>
    <w:div w:id="2027511410">
      <w:bodyDiv w:val="1"/>
      <w:marLeft w:val="0"/>
      <w:marRight w:val="0"/>
      <w:marTop w:val="0"/>
      <w:marBottom w:val="0"/>
      <w:divBdr>
        <w:top w:val="none" w:sz="0" w:space="0" w:color="auto"/>
        <w:left w:val="none" w:sz="0" w:space="0" w:color="auto"/>
        <w:bottom w:val="none" w:sz="0" w:space="0" w:color="auto"/>
        <w:right w:val="none" w:sz="0" w:space="0" w:color="auto"/>
      </w:divBdr>
    </w:div>
    <w:div w:id="2036806928">
      <w:bodyDiv w:val="1"/>
      <w:marLeft w:val="0"/>
      <w:marRight w:val="0"/>
      <w:marTop w:val="0"/>
      <w:marBottom w:val="0"/>
      <w:divBdr>
        <w:top w:val="none" w:sz="0" w:space="0" w:color="auto"/>
        <w:left w:val="none" w:sz="0" w:space="0" w:color="auto"/>
        <w:bottom w:val="none" w:sz="0" w:space="0" w:color="auto"/>
        <w:right w:val="none" w:sz="0" w:space="0" w:color="auto"/>
      </w:divBdr>
    </w:div>
    <w:div w:id="2036879539">
      <w:bodyDiv w:val="1"/>
      <w:marLeft w:val="0"/>
      <w:marRight w:val="0"/>
      <w:marTop w:val="0"/>
      <w:marBottom w:val="0"/>
      <w:divBdr>
        <w:top w:val="none" w:sz="0" w:space="0" w:color="auto"/>
        <w:left w:val="none" w:sz="0" w:space="0" w:color="auto"/>
        <w:bottom w:val="none" w:sz="0" w:space="0" w:color="auto"/>
        <w:right w:val="none" w:sz="0" w:space="0" w:color="auto"/>
      </w:divBdr>
    </w:div>
    <w:div w:id="2041002816">
      <w:bodyDiv w:val="1"/>
      <w:marLeft w:val="0"/>
      <w:marRight w:val="0"/>
      <w:marTop w:val="0"/>
      <w:marBottom w:val="0"/>
      <w:divBdr>
        <w:top w:val="none" w:sz="0" w:space="0" w:color="auto"/>
        <w:left w:val="none" w:sz="0" w:space="0" w:color="auto"/>
        <w:bottom w:val="none" w:sz="0" w:space="0" w:color="auto"/>
        <w:right w:val="none" w:sz="0" w:space="0" w:color="auto"/>
      </w:divBdr>
    </w:div>
    <w:div w:id="2042585676">
      <w:bodyDiv w:val="1"/>
      <w:marLeft w:val="0"/>
      <w:marRight w:val="0"/>
      <w:marTop w:val="0"/>
      <w:marBottom w:val="0"/>
      <w:divBdr>
        <w:top w:val="none" w:sz="0" w:space="0" w:color="auto"/>
        <w:left w:val="none" w:sz="0" w:space="0" w:color="auto"/>
        <w:bottom w:val="none" w:sz="0" w:space="0" w:color="auto"/>
        <w:right w:val="none" w:sz="0" w:space="0" w:color="auto"/>
      </w:divBdr>
    </w:div>
    <w:div w:id="2048019844">
      <w:bodyDiv w:val="1"/>
      <w:marLeft w:val="0"/>
      <w:marRight w:val="0"/>
      <w:marTop w:val="0"/>
      <w:marBottom w:val="0"/>
      <w:divBdr>
        <w:top w:val="none" w:sz="0" w:space="0" w:color="auto"/>
        <w:left w:val="none" w:sz="0" w:space="0" w:color="auto"/>
        <w:bottom w:val="none" w:sz="0" w:space="0" w:color="auto"/>
        <w:right w:val="none" w:sz="0" w:space="0" w:color="auto"/>
      </w:divBdr>
    </w:div>
    <w:div w:id="2059158246">
      <w:bodyDiv w:val="1"/>
      <w:marLeft w:val="0"/>
      <w:marRight w:val="0"/>
      <w:marTop w:val="0"/>
      <w:marBottom w:val="0"/>
      <w:divBdr>
        <w:top w:val="none" w:sz="0" w:space="0" w:color="auto"/>
        <w:left w:val="none" w:sz="0" w:space="0" w:color="auto"/>
        <w:bottom w:val="none" w:sz="0" w:space="0" w:color="auto"/>
        <w:right w:val="none" w:sz="0" w:space="0" w:color="auto"/>
      </w:divBdr>
    </w:div>
    <w:div w:id="2061855421">
      <w:bodyDiv w:val="1"/>
      <w:marLeft w:val="0"/>
      <w:marRight w:val="0"/>
      <w:marTop w:val="0"/>
      <w:marBottom w:val="0"/>
      <w:divBdr>
        <w:top w:val="none" w:sz="0" w:space="0" w:color="auto"/>
        <w:left w:val="none" w:sz="0" w:space="0" w:color="auto"/>
        <w:bottom w:val="none" w:sz="0" w:space="0" w:color="auto"/>
        <w:right w:val="none" w:sz="0" w:space="0" w:color="auto"/>
      </w:divBdr>
    </w:div>
    <w:div w:id="2068723568">
      <w:bodyDiv w:val="1"/>
      <w:marLeft w:val="0"/>
      <w:marRight w:val="0"/>
      <w:marTop w:val="0"/>
      <w:marBottom w:val="0"/>
      <w:divBdr>
        <w:top w:val="none" w:sz="0" w:space="0" w:color="auto"/>
        <w:left w:val="none" w:sz="0" w:space="0" w:color="auto"/>
        <w:bottom w:val="none" w:sz="0" w:space="0" w:color="auto"/>
        <w:right w:val="none" w:sz="0" w:space="0" w:color="auto"/>
      </w:divBdr>
    </w:div>
    <w:div w:id="2070570927">
      <w:bodyDiv w:val="1"/>
      <w:marLeft w:val="0"/>
      <w:marRight w:val="0"/>
      <w:marTop w:val="0"/>
      <w:marBottom w:val="0"/>
      <w:divBdr>
        <w:top w:val="none" w:sz="0" w:space="0" w:color="auto"/>
        <w:left w:val="none" w:sz="0" w:space="0" w:color="auto"/>
        <w:bottom w:val="none" w:sz="0" w:space="0" w:color="auto"/>
        <w:right w:val="none" w:sz="0" w:space="0" w:color="auto"/>
      </w:divBdr>
    </w:div>
    <w:div w:id="2072608052">
      <w:bodyDiv w:val="1"/>
      <w:marLeft w:val="0"/>
      <w:marRight w:val="0"/>
      <w:marTop w:val="0"/>
      <w:marBottom w:val="0"/>
      <w:divBdr>
        <w:top w:val="none" w:sz="0" w:space="0" w:color="auto"/>
        <w:left w:val="none" w:sz="0" w:space="0" w:color="auto"/>
        <w:bottom w:val="none" w:sz="0" w:space="0" w:color="auto"/>
        <w:right w:val="none" w:sz="0" w:space="0" w:color="auto"/>
      </w:divBdr>
    </w:div>
    <w:div w:id="2073191253">
      <w:bodyDiv w:val="1"/>
      <w:marLeft w:val="0"/>
      <w:marRight w:val="0"/>
      <w:marTop w:val="0"/>
      <w:marBottom w:val="0"/>
      <w:divBdr>
        <w:top w:val="none" w:sz="0" w:space="0" w:color="auto"/>
        <w:left w:val="none" w:sz="0" w:space="0" w:color="auto"/>
        <w:bottom w:val="none" w:sz="0" w:space="0" w:color="auto"/>
        <w:right w:val="none" w:sz="0" w:space="0" w:color="auto"/>
      </w:divBdr>
    </w:div>
    <w:div w:id="2080007781">
      <w:bodyDiv w:val="1"/>
      <w:marLeft w:val="0"/>
      <w:marRight w:val="0"/>
      <w:marTop w:val="0"/>
      <w:marBottom w:val="0"/>
      <w:divBdr>
        <w:top w:val="none" w:sz="0" w:space="0" w:color="auto"/>
        <w:left w:val="none" w:sz="0" w:space="0" w:color="auto"/>
        <w:bottom w:val="none" w:sz="0" w:space="0" w:color="auto"/>
        <w:right w:val="none" w:sz="0" w:space="0" w:color="auto"/>
      </w:divBdr>
    </w:div>
    <w:div w:id="2080638063">
      <w:bodyDiv w:val="1"/>
      <w:marLeft w:val="0"/>
      <w:marRight w:val="0"/>
      <w:marTop w:val="0"/>
      <w:marBottom w:val="0"/>
      <w:divBdr>
        <w:top w:val="none" w:sz="0" w:space="0" w:color="auto"/>
        <w:left w:val="none" w:sz="0" w:space="0" w:color="auto"/>
        <w:bottom w:val="none" w:sz="0" w:space="0" w:color="auto"/>
        <w:right w:val="none" w:sz="0" w:space="0" w:color="auto"/>
      </w:divBdr>
    </w:div>
    <w:div w:id="2081907175">
      <w:bodyDiv w:val="1"/>
      <w:marLeft w:val="0"/>
      <w:marRight w:val="0"/>
      <w:marTop w:val="0"/>
      <w:marBottom w:val="0"/>
      <w:divBdr>
        <w:top w:val="none" w:sz="0" w:space="0" w:color="auto"/>
        <w:left w:val="none" w:sz="0" w:space="0" w:color="auto"/>
        <w:bottom w:val="none" w:sz="0" w:space="0" w:color="auto"/>
        <w:right w:val="none" w:sz="0" w:space="0" w:color="auto"/>
      </w:divBdr>
    </w:div>
    <w:div w:id="2086341522">
      <w:bodyDiv w:val="1"/>
      <w:marLeft w:val="0"/>
      <w:marRight w:val="0"/>
      <w:marTop w:val="0"/>
      <w:marBottom w:val="0"/>
      <w:divBdr>
        <w:top w:val="none" w:sz="0" w:space="0" w:color="auto"/>
        <w:left w:val="none" w:sz="0" w:space="0" w:color="auto"/>
        <w:bottom w:val="none" w:sz="0" w:space="0" w:color="auto"/>
        <w:right w:val="none" w:sz="0" w:space="0" w:color="auto"/>
      </w:divBdr>
    </w:div>
    <w:div w:id="2091467027">
      <w:bodyDiv w:val="1"/>
      <w:marLeft w:val="0"/>
      <w:marRight w:val="0"/>
      <w:marTop w:val="0"/>
      <w:marBottom w:val="0"/>
      <w:divBdr>
        <w:top w:val="none" w:sz="0" w:space="0" w:color="auto"/>
        <w:left w:val="none" w:sz="0" w:space="0" w:color="auto"/>
        <w:bottom w:val="none" w:sz="0" w:space="0" w:color="auto"/>
        <w:right w:val="none" w:sz="0" w:space="0" w:color="auto"/>
      </w:divBdr>
    </w:div>
    <w:div w:id="2092698283">
      <w:bodyDiv w:val="1"/>
      <w:marLeft w:val="0"/>
      <w:marRight w:val="0"/>
      <w:marTop w:val="0"/>
      <w:marBottom w:val="0"/>
      <w:divBdr>
        <w:top w:val="none" w:sz="0" w:space="0" w:color="auto"/>
        <w:left w:val="none" w:sz="0" w:space="0" w:color="auto"/>
        <w:bottom w:val="none" w:sz="0" w:space="0" w:color="auto"/>
        <w:right w:val="none" w:sz="0" w:space="0" w:color="auto"/>
      </w:divBdr>
    </w:div>
    <w:div w:id="2095011536">
      <w:bodyDiv w:val="1"/>
      <w:marLeft w:val="0"/>
      <w:marRight w:val="0"/>
      <w:marTop w:val="0"/>
      <w:marBottom w:val="0"/>
      <w:divBdr>
        <w:top w:val="none" w:sz="0" w:space="0" w:color="auto"/>
        <w:left w:val="none" w:sz="0" w:space="0" w:color="auto"/>
        <w:bottom w:val="none" w:sz="0" w:space="0" w:color="auto"/>
        <w:right w:val="none" w:sz="0" w:space="0" w:color="auto"/>
      </w:divBdr>
    </w:div>
    <w:div w:id="2097482935">
      <w:bodyDiv w:val="1"/>
      <w:marLeft w:val="0"/>
      <w:marRight w:val="0"/>
      <w:marTop w:val="0"/>
      <w:marBottom w:val="0"/>
      <w:divBdr>
        <w:top w:val="none" w:sz="0" w:space="0" w:color="auto"/>
        <w:left w:val="none" w:sz="0" w:space="0" w:color="auto"/>
        <w:bottom w:val="none" w:sz="0" w:space="0" w:color="auto"/>
        <w:right w:val="none" w:sz="0" w:space="0" w:color="auto"/>
      </w:divBdr>
    </w:div>
    <w:div w:id="2107846385">
      <w:bodyDiv w:val="1"/>
      <w:marLeft w:val="0"/>
      <w:marRight w:val="0"/>
      <w:marTop w:val="0"/>
      <w:marBottom w:val="0"/>
      <w:divBdr>
        <w:top w:val="none" w:sz="0" w:space="0" w:color="auto"/>
        <w:left w:val="none" w:sz="0" w:space="0" w:color="auto"/>
        <w:bottom w:val="none" w:sz="0" w:space="0" w:color="auto"/>
        <w:right w:val="none" w:sz="0" w:space="0" w:color="auto"/>
      </w:divBdr>
    </w:div>
    <w:div w:id="2112625368">
      <w:bodyDiv w:val="1"/>
      <w:marLeft w:val="0"/>
      <w:marRight w:val="0"/>
      <w:marTop w:val="0"/>
      <w:marBottom w:val="0"/>
      <w:divBdr>
        <w:top w:val="none" w:sz="0" w:space="0" w:color="auto"/>
        <w:left w:val="none" w:sz="0" w:space="0" w:color="auto"/>
        <w:bottom w:val="none" w:sz="0" w:space="0" w:color="auto"/>
        <w:right w:val="none" w:sz="0" w:space="0" w:color="auto"/>
      </w:divBdr>
    </w:div>
    <w:div w:id="2115709626">
      <w:bodyDiv w:val="1"/>
      <w:marLeft w:val="0"/>
      <w:marRight w:val="0"/>
      <w:marTop w:val="0"/>
      <w:marBottom w:val="0"/>
      <w:divBdr>
        <w:top w:val="none" w:sz="0" w:space="0" w:color="auto"/>
        <w:left w:val="none" w:sz="0" w:space="0" w:color="auto"/>
        <w:bottom w:val="none" w:sz="0" w:space="0" w:color="auto"/>
        <w:right w:val="none" w:sz="0" w:space="0" w:color="auto"/>
      </w:divBdr>
    </w:div>
    <w:div w:id="2115781807">
      <w:bodyDiv w:val="1"/>
      <w:marLeft w:val="0"/>
      <w:marRight w:val="0"/>
      <w:marTop w:val="0"/>
      <w:marBottom w:val="0"/>
      <w:divBdr>
        <w:top w:val="none" w:sz="0" w:space="0" w:color="auto"/>
        <w:left w:val="none" w:sz="0" w:space="0" w:color="auto"/>
        <w:bottom w:val="none" w:sz="0" w:space="0" w:color="auto"/>
        <w:right w:val="none" w:sz="0" w:space="0" w:color="auto"/>
      </w:divBdr>
    </w:div>
    <w:div w:id="2122650387">
      <w:bodyDiv w:val="1"/>
      <w:marLeft w:val="0"/>
      <w:marRight w:val="0"/>
      <w:marTop w:val="0"/>
      <w:marBottom w:val="0"/>
      <w:divBdr>
        <w:top w:val="none" w:sz="0" w:space="0" w:color="auto"/>
        <w:left w:val="none" w:sz="0" w:space="0" w:color="auto"/>
        <w:bottom w:val="none" w:sz="0" w:space="0" w:color="auto"/>
        <w:right w:val="none" w:sz="0" w:space="0" w:color="auto"/>
      </w:divBdr>
    </w:div>
    <w:div w:id="2122989790">
      <w:bodyDiv w:val="1"/>
      <w:marLeft w:val="0"/>
      <w:marRight w:val="0"/>
      <w:marTop w:val="0"/>
      <w:marBottom w:val="0"/>
      <w:divBdr>
        <w:top w:val="none" w:sz="0" w:space="0" w:color="auto"/>
        <w:left w:val="none" w:sz="0" w:space="0" w:color="auto"/>
        <w:bottom w:val="none" w:sz="0" w:space="0" w:color="auto"/>
        <w:right w:val="none" w:sz="0" w:space="0" w:color="auto"/>
      </w:divBdr>
    </w:div>
    <w:div w:id="2124228589">
      <w:bodyDiv w:val="1"/>
      <w:marLeft w:val="0"/>
      <w:marRight w:val="0"/>
      <w:marTop w:val="0"/>
      <w:marBottom w:val="0"/>
      <w:divBdr>
        <w:top w:val="none" w:sz="0" w:space="0" w:color="auto"/>
        <w:left w:val="none" w:sz="0" w:space="0" w:color="auto"/>
        <w:bottom w:val="none" w:sz="0" w:space="0" w:color="auto"/>
        <w:right w:val="none" w:sz="0" w:space="0" w:color="auto"/>
      </w:divBdr>
    </w:div>
    <w:div w:id="2126609608">
      <w:bodyDiv w:val="1"/>
      <w:marLeft w:val="0"/>
      <w:marRight w:val="0"/>
      <w:marTop w:val="0"/>
      <w:marBottom w:val="0"/>
      <w:divBdr>
        <w:top w:val="none" w:sz="0" w:space="0" w:color="auto"/>
        <w:left w:val="none" w:sz="0" w:space="0" w:color="auto"/>
        <w:bottom w:val="none" w:sz="0" w:space="0" w:color="auto"/>
        <w:right w:val="none" w:sz="0" w:space="0" w:color="auto"/>
      </w:divBdr>
    </w:div>
    <w:div w:id="2127655428">
      <w:bodyDiv w:val="1"/>
      <w:marLeft w:val="0"/>
      <w:marRight w:val="0"/>
      <w:marTop w:val="0"/>
      <w:marBottom w:val="0"/>
      <w:divBdr>
        <w:top w:val="none" w:sz="0" w:space="0" w:color="auto"/>
        <w:left w:val="none" w:sz="0" w:space="0" w:color="auto"/>
        <w:bottom w:val="none" w:sz="0" w:space="0" w:color="auto"/>
        <w:right w:val="none" w:sz="0" w:space="0" w:color="auto"/>
      </w:divBdr>
    </w:div>
    <w:div w:id="2136486823">
      <w:bodyDiv w:val="1"/>
      <w:marLeft w:val="0"/>
      <w:marRight w:val="0"/>
      <w:marTop w:val="0"/>
      <w:marBottom w:val="0"/>
      <w:divBdr>
        <w:top w:val="none" w:sz="0" w:space="0" w:color="auto"/>
        <w:left w:val="none" w:sz="0" w:space="0" w:color="auto"/>
        <w:bottom w:val="none" w:sz="0" w:space="0" w:color="auto"/>
        <w:right w:val="none" w:sz="0" w:space="0" w:color="auto"/>
      </w:divBdr>
    </w:div>
    <w:div w:id="2140879792">
      <w:bodyDiv w:val="1"/>
      <w:marLeft w:val="0"/>
      <w:marRight w:val="0"/>
      <w:marTop w:val="0"/>
      <w:marBottom w:val="0"/>
      <w:divBdr>
        <w:top w:val="none" w:sz="0" w:space="0" w:color="auto"/>
        <w:left w:val="none" w:sz="0" w:space="0" w:color="auto"/>
        <w:bottom w:val="none" w:sz="0" w:space="0" w:color="auto"/>
        <w:right w:val="none" w:sz="0" w:space="0" w:color="auto"/>
      </w:divBdr>
    </w:div>
    <w:div w:id="2143227737">
      <w:bodyDiv w:val="1"/>
      <w:marLeft w:val="0"/>
      <w:marRight w:val="0"/>
      <w:marTop w:val="0"/>
      <w:marBottom w:val="0"/>
      <w:divBdr>
        <w:top w:val="none" w:sz="0" w:space="0" w:color="auto"/>
        <w:left w:val="none" w:sz="0" w:space="0" w:color="auto"/>
        <w:bottom w:val="none" w:sz="0" w:space="0" w:color="auto"/>
        <w:right w:val="none" w:sz="0" w:space="0" w:color="auto"/>
      </w:divBdr>
    </w:div>
    <w:div w:id="2143846366">
      <w:bodyDiv w:val="1"/>
      <w:marLeft w:val="0"/>
      <w:marRight w:val="0"/>
      <w:marTop w:val="0"/>
      <w:marBottom w:val="0"/>
      <w:divBdr>
        <w:top w:val="none" w:sz="0" w:space="0" w:color="auto"/>
        <w:left w:val="none" w:sz="0" w:space="0" w:color="auto"/>
        <w:bottom w:val="none" w:sz="0" w:space="0" w:color="auto"/>
        <w:right w:val="none" w:sz="0" w:space="0" w:color="auto"/>
      </w:divBdr>
    </w:div>
    <w:div w:id="2144077365">
      <w:bodyDiv w:val="1"/>
      <w:marLeft w:val="0"/>
      <w:marRight w:val="0"/>
      <w:marTop w:val="0"/>
      <w:marBottom w:val="0"/>
      <w:divBdr>
        <w:top w:val="none" w:sz="0" w:space="0" w:color="auto"/>
        <w:left w:val="none" w:sz="0" w:space="0" w:color="auto"/>
        <w:bottom w:val="none" w:sz="0" w:space="0" w:color="auto"/>
        <w:right w:val="none" w:sz="0" w:space="0" w:color="auto"/>
      </w:divBdr>
    </w:div>
    <w:div w:id="214580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hyperlink" Target="https://www.efi.int/knowledge/maps/treespecies" TargetMode="External"/><Relationship Id="rId42" Type="http://schemas.openxmlformats.org/officeDocument/2006/relationships/chart" Target="charts/chart1.xm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chart" Target="charts/chart2.xml"/><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7.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5\AppData\Roaming\Microsoft\Excel\potential_AGB_int%20(version%201).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5\AppData\Roaming\Microsoft\Excel\potential_AGB_int%20(version%201).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[potential_AGB_int (version 1).xls]Sheet2!PivotTable2</c:name>
    <c:fmtId val="-1"/>
  </c:pivotSource>
  <c:chart>
    <c:autoTitleDeleted val="0"/>
    <c:pivotFmts>
      <c:pivotFmt>
        <c:idx val="0"/>
        <c:spPr>
          <a:solidFill>
            <a:srgbClr val="6FD220"/>
          </a:solidFill>
          <a:ln w="12700">
            <a:solidFill>
              <a:srgbClr val="6FD220"/>
            </a:solidFill>
          </a:ln>
          <a:effectLst/>
        </c:spPr>
        <c:marker>
          <c:symbol val="none"/>
        </c:marker>
        <c:dLbl>
          <c:idx val="0"/>
          <c:delete val="1"/>
          <c:extLst>
            <c:ext xmlns:c15="http://schemas.microsoft.com/office/drawing/2012/chart" uri="{CE6537A1-D6FC-4f65-9D91-7224C49458BB}"/>
          </c:extLst>
        </c:dLbl>
      </c:pivotFmt>
      <c:pivotFmt>
        <c:idx val="1"/>
        <c:spPr>
          <a:solidFill>
            <a:srgbClr val="EDD500"/>
          </a:solidFill>
          <a:ln>
            <a:noFill/>
          </a:ln>
          <a:effectLst/>
        </c:spPr>
        <c:marker>
          <c:symbol val="none"/>
        </c:marker>
        <c:dLbl>
          <c:idx val="0"/>
          <c:delete val="1"/>
          <c:extLst>
            <c:ext xmlns:c15="http://schemas.microsoft.com/office/drawing/2012/chart" uri="{CE6537A1-D6FC-4f65-9D91-7224C49458BB}"/>
          </c:extLst>
        </c:dLbl>
      </c:pivotFmt>
      <c:pivotFmt>
        <c:idx val="2"/>
        <c:spPr>
          <a:solidFill>
            <a:srgbClr val="EDD500"/>
          </a:solidFill>
          <a:ln w="12700">
            <a:solidFill>
              <a:srgbClr val="EDD500"/>
            </a:solidFill>
          </a:ln>
          <a:effectLst/>
        </c:spPr>
      </c:pivotFmt>
      <c:pivotFmt>
        <c:idx val="3"/>
        <c:spPr>
          <a:solidFill>
            <a:srgbClr val="EDD500"/>
          </a:solidFill>
          <a:ln w="12700">
            <a:solidFill>
              <a:srgbClr val="EDD500"/>
            </a:solidFill>
          </a:ln>
          <a:effectLst/>
        </c:spPr>
      </c:pivotFmt>
      <c:pivotFmt>
        <c:idx val="4"/>
        <c:spPr>
          <a:solidFill>
            <a:srgbClr val="EDD500"/>
          </a:solidFill>
          <a:ln w="12700">
            <a:solidFill>
              <a:srgbClr val="EDD500"/>
            </a:solidFill>
          </a:ln>
          <a:effectLst/>
        </c:spPr>
      </c:pivotFmt>
      <c:pivotFmt>
        <c:idx val="5"/>
        <c:spPr>
          <a:solidFill>
            <a:srgbClr val="EDD500"/>
          </a:solidFill>
          <a:ln w="12700">
            <a:solidFill>
              <a:srgbClr val="EDD500"/>
            </a:solidFill>
          </a:ln>
          <a:effectLst/>
        </c:spPr>
      </c:pivotFmt>
      <c:pivotFmt>
        <c:idx val="6"/>
        <c:spPr>
          <a:solidFill>
            <a:srgbClr val="EDD500"/>
          </a:solidFill>
          <a:ln w="12700">
            <a:solidFill>
              <a:srgbClr val="EDD500"/>
            </a:solidFill>
          </a:ln>
          <a:effectLst/>
        </c:spPr>
      </c:pivotFmt>
      <c:pivotFmt>
        <c:idx val="7"/>
        <c:spPr>
          <a:solidFill>
            <a:srgbClr val="EDD500"/>
          </a:solidFill>
          <a:ln w="12700">
            <a:solidFill>
              <a:srgbClr val="EDD500"/>
            </a:solidFill>
          </a:ln>
          <a:effectLst/>
        </c:spPr>
      </c:pivotFmt>
      <c:pivotFmt>
        <c:idx val="8"/>
        <c:spPr>
          <a:solidFill>
            <a:srgbClr val="EDD500"/>
          </a:solidFill>
          <a:ln w="12700">
            <a:solidFill>
              <a:srgbClr val="EDD500"/>
            </a:solidFill>
          </a:ln>
          <a:effectLst/>
        </c:spPr>
      </c:pivotFmt>
      <c:pivotFmt>
        <c:idx val="9"/>
        <c:spPr>
          <a:solidFill>
            <a:srgbClr val="EDD500"/>
          </a:solidFill>
          <a:ln w="12700">
            <a:solidFill>
              <a:srgbClr val="EDD500"/>
            </a:solidFill>
          </a:ln>
          <a:effectLst/>
        </c:spPr>
      </c:pivotFmt>
      <c:pivotFmt>
        <c:idx val="10"/>
        <c:spPr>
          <a:solidFill>
            <a:srgbClr val="EDD500"/>
          </a:solidFill>
          <a:ln w="12700">
            <a:solidFill>
              <a:srgbClr val="EDD500"/>
            </a:solidFill>
          </a:ln>
          <a:effectLst/>
        </c:spPr>
      </c:pivotFmt>
      <c:pivotFmt>
        <c:idx val="11"/>
        <c:spPr>
          <a:solidFill>
            <a:srgbClr val="EDD500"/>
          </a:solidFill>
          <a:ln w="12700">
            <a:solidFill>
              <a:srgbClr val="EDD500"/>
            </a:solidFill>
          </a:ln>
          <a:effectLst/>
        </c:spPr>
      </c:pivotFmt>
      <c:pivotFmt>
        <c:idx val="12"/>
        <c:spPr>
          <a:solidFill>
            <a:srgbClr val="E9F201"/>
          </a:solidFill>
          <a:ln>
            <a:noFill/>
          </a:ln>
          <a:effectLst/>
        </c:spPr>
        <c:marker>
          <c:symbol val="none"/>
        </c:marker>
        <c:dLbl>
          <c:idx val="0"/>
          <c:delete val="1"/>
          <c:extLst>
            <c:ext xmlns:c15="http://schemas.microsoft.com/office/drawing/2012/chart" uri="{CE6537A1-D6FC-4f65-9D91-7224C49458BB}"/>
          </c:extLst>
        </c:dLbl>
      </c:pivotFmt>
      <c:pivotFmt>
        <c:idx val="13"/>
        <c:spPr>
          <a:solidFill>
            <a:srgbClr val="E9F201"/>
          </a:solidFill>
          <a:ln>
            <a:solidFill>
              <a:srgbClr val="E9F201"/>
            </a:solidFill>
          </a:ln>
          <a:effectLst/>
        </c:spPr>
      </c:pivotFmt>
      <c:pivotFmt>
        <c:idx val="14"/>
        <c:spPr>
          <a:solidFill>
            <a:srgbClr val="E9F201"/>
          </a:solidFill>
          <a:ln w="12700">
            <a:solidFill>
              <a:srgbClr val="E9F201"/>
            </a:solidFill>
          </a:ln>
          <a:effectLst/>
        </c:spPr>
      </c:pivotFmt>
      <c:pivotFmt>
        <c:idx val="15"/>
        <c:spPr>
          <a:solidFill>
            <a:srgbClr val="E9F201"/>
          </a:solidFill>
          <a:ln w="12700">
            <a:solidFill>
              <a:srgbClr val="E9F201"/>
            </a:solidFill>
          </a:ln>
          <a:effectLst/>
        </c:spPr>
      </c:pivotFmt>
      <c:pivotFmt>
        <c:idx val="16"/>
        <c:spPr>
          <a:solidFill>
            <a:srgbClr val="E04E01"/>
          </a:solidFill>
          <a:ln>
            <a:noFill/>
          </a:ln>
          <a:effectLst/>
        </c:spPr>
        <c:marker>
          <c:symbol val="none"/>
        </c:marker>
        <c:dLbl>
          <c:idx val="0"/>
          <c:delete val="1"/>
          <c:extLst>
            <c:ext xmlns:c15="http://schemas.microsoft.com/office/drawing/2012/chart" uri="{CE6537A1-D6FC-4f65-9D91-7224C49458BB}"/>
          </c:extLst>
        </c:dLbl>
      </c:pivotFmt>
      <c:pivotFmt>
        <c:idx val="17"/>
        <c:spPr>
          <a:solidFill>
            <a:srgbClr val="E04E01"/>
          </a:solidFill>
          <a:ln w="12700">
            <a:solidFill>
              <a:srgbClr val="E04E01"/>
            </a:solidFill>
          </a:ln>
          <a:effectLst/>
        </c:spPr>
      </c:pivotFmt>
      <c:pivotFmt>
        <c:idx val="18"/>
        <c:spPr>
          <a:solidFill>
            <a:srgbClr val="E04E01"/>
          </a:solidFill>
          <a:ln w="12700">
            <a:solidFill>
              <a:srgbClr val="E04E01"/>
            </a:solidFill>
          </a:ln>
          <a:effectLst/>
        </c:spPr>
      </c:pivotFmt>
      <c:pivotFmt>
        <c:idx val="19"/>
        <c:spPr>
          <a:solidFill>
            <a:srgbClr val="921616"/>
          </a:solidFill>
          <a:ln w="12700">
            <a:solidFill>
              <a:srgbClr val="921616"/>
            </a:solidFill>
          </a:ln>
          <a:effectLst/>
        </c:spPr>
        <c:marker>
          <c:symbol val="none"/>
        </c:marker>
        <c:dLbl>
          <c:idx val="0"/>
          <c:delete val="1"/>
          <c:extLst>
            <c:ext xmlns:c15="http://schemas.microsoft.com/office/drawing/2012/chart" uri="{CE6537A1-D6FC-4f65-9D91-7224C49458BB}"/>
          </c:extLst>
        </c:dLbl>
      </c:pivotFmt>
      <c:pivotFmt>
        <c:idx val="20"/>
        <c:spPr>
          <a:solidFill>
            <a:srgbClr val="6FD220"/>
          </a:solidFill>
          <a:ln w="12700">
            <a:solidFill>
              <a:srgbClr val="6FD220"/>
            </a:solidFill>
          </a:ln>
          <a:effectLst/>
        </c:spPr>
        <c:marker>
          <c:symbol val="none"/>
        </c:marker>
        <c:dLbl>
          <c:idx val="0"/>
          <c:delete val="1"/>
          <c:extLst>
            <c:ext xmlns:c15="http://schemas.microsoft.com/office/drawing/2012/chart" uri="{CE6537A1-D6FC-4f65-9D91-7224C49458BB}"/>
          </c:extLst>
        </c:dLbl>
      </c:pivotFmt>
      <c:pivotFmt>
        <c:idx val="21"/>
        <c:spPr>
          <a:solidFill>
            <a:srgbClr val="EDD500"/>
          </a:solidFill>
          <a:ln>
            <a:noFill/>
          </a:ln>
          <a:effectLst/>
        </c:spPr>
        <c:marker>
          <c:symbol val="none"/>
        </c:marker>
        <c:dLbl>
          <c:idx val="0"/>
          <c:delete val="1"/>
          <c:extLst>
            <c:ext xmlns:c15="http://schemas.microsoft.com/office/drawing/2012/chart" uri="{CE6537A1-D6FC-4f65-9D91-7224C49458BB}"/>
          </c:extLst>
        </c:dLbl>
      </c:pivotFmt>
      <c:pivotFmt>
        <c:idx val="22"/>
        <c:spPr>
          <a:solidFill>
            <a:srgbClr val="EDD500"/>
          </a:solidFill>
          <a:ln w="12700">
            <a:solidFill>
              <a:srgbClr val="EDD500"/>
            </a:solidFill>
          </a:ln>
          <a:effectLst/>
        </c:spPr>
      </c:pivotFmt>
      <c:pivotFmt>
        <c:idx val="23"/>
        <c:spPr>
          <a:solidFill>
            <a:srgbClr val="EDD500"/>
          </a:solidFill>
          <a:ln w="12700">
            <a:solidFill>
              <a:srgbClr val="EDD500"/>
            </a:solidFill>
          </a:ln>
          <a:effectLst/>
        </c:spPr>
      </c:pivotFmt>
      <c:pivotFmt>
        <c:idx val="24"/>
        <c:spPr>
          <a:solidFill>
            <a:srgbClr val="EDD500"/>
          </a:solidFill>
          <a:ln w="12700">
            <a:solidFill>
              <a:srgbClr val="EDD500"/>
            </a:solidFill>
          </a:ln>
          <a:effectLst/>
        </c:spPr>
      </c:pivotFmt>
      <c:pivotFmt>
        <c:idx val="25"/>
        <c:spPr>
          <a:solidFill>
            <a:srgbClr val="EDD500"/>
          </a:solidFill>
          <a:ln w="12700">
            <a:solidFill>
              <a:srgbClr val="EDD500"/>
            </a:solidFill>
          </a:ln>
          <a:effectLst/>
        </c:spPr>
      </c:pivotFmt>
      <c:pivotFmt>
        <c:idx val="26"/>
        <c:spPr>
          <a:solidFill>
            <a:srgbClr val="EDD500"/>
          </a:solidFill>
          <a:ln w="12700">
            <a:solidFill>
              <a:srgbClr val="EDD500"/>
            </a:solidFill>
          </a:ln>
          <a:effectLst/>
        </c:spPr>
      </c:pivotFmt>
      <c:pivotFmt>
        <c:idx val="27"/>
        <c:spPr>
          <a:solidFill>
            <a:srgbClr val="EDD500"/>
          </a:solidFill>
          <a:ln w="12700">
            <a:solidFill>
              <a:srgbClr val="EDD500"/>
            </a:solidFill>
          </a:ln>
          <a:effectLst/>
        </c:spPr>
      </c:pivotFmt>
      <c:pivotFmt>
        <c:idx val="28"/>
        <c:spPr>
          <a:solidFill>
            <a:srgbClr val="EDD500"/>
          </a:solidFill>
          <a:ln w="12700">
            <a:solidFill>
              <a:srgbClr val="EDD500"/>
            </a:solidFill>
          </a:ln>
          <a:effectLst/>
        </c:spPr>
      </c:pivotFmt>
      <c:pivotFmt>
        <c:idx val="29"/>
        <c:spPr>
          <a:solidFill>
            <a:srgbClr val="EDD500"/>
          </a:solidFill>
          <a:ln w="12700">
            <a:solidFill>
              <a:srgbClr val="EDD500"/>
            </a:solidFill>
          </a:ln>
          <a:effectLst/>
        </c:spPr>
      </c:pivotFmt>
      <c:pivotFmt>
        <c:idx val="30"/>
        <c:spPr>
          <a:solidFill>
            <a:srgbClr val="EDD500"/>
          </a:solidFill>
          <a:ln w="12700">
            <a:solidFill>
              <a:srgbClr val="EDD500"/>
            </a:solidFill>
          </a:ln>
          <a:effectLst/>
        </c:spPr>
      </c:pivotFmt>
      <c:pivotFmt>
        <c:idx val="31"/>
        <c:spPr>
          <a:solidFill>
            <a:srgbClr val="EDD500"/>
          </a:solidFill>
          <a:ln w="12700">
            <a:solidFill>
              <a:srgbClr val="EDD500"/>
            </a:solidFill>
          </a:ln>
          <a:effectLst/>
        </c:spPr>
      </c:pivotFmt>
      <c:pivotFmt>
        <c:idx val="32"/>
        <c:spPr>
          <a:solidFill>
            <a:srgbClr val="E9F201"/>
          </a:solidFill>
          <a:ln>
            <a:noFill/>
          </a:ln>
          <a:effectLst/>
        </c:spPr>
        <c:marker>
          <c:symbol val="none"/>
        </c:marker>
        <c:dLbl>
          <c:idx val="0"/>
          <c:delete val="1"/>
          <c:extLst>
            <c:ext xmlns:c15="http://schemas.microsoft.com/office/drawing/2012/chart" uri="{CE6537A1-D6FC-4f65-9D91-7224C49458BB}"/>
          </c:extLst>
        </c:dLbl>
      </c:pivotFmt>
      <c:pivotFmt>
        <c:idx val="33"/>
        <c:spPr>
          <a:solidFill>
            <a:srgbClr val="E9F201"/>
          </a:solidFill>
          <a:ln>
            <a:solidFill>
              <a:srgbClr val="E9F201"/>
            </a:solidFill>
          </a:ln>
          <a:effectLst/>
        </c:spPr>
      </c:pivotFmt>
      <c:pivotFmt>
        <c:idx val="34"/>
        <c:spPr>
          <a:solidFill>
            <a:srgbClr val="E9F201"/>
          </a:solidFill>
          <a:ln w="12700">
            <a:solidFill>
              <a:srgbClr val="E9F201"/>
            </a:solidFill>
          </a:ln>
          <a:effectLst/>
        </c:spPr>
      </c:pivotFmt>
      <c:pivotFmt>
        <c:idx val="35"/>
        <c:spPr>
          <a:solidFill>
            <a:srgbClr val="E9F201"/>
          </a:solidFill>
          <a:ln w="12700">
            <a:solidFill>
              <a:srgbClr val="E9F201"/>
            </a:solidFill>
          </a:ln>
          <a:effectLst/>
        </c:spPr>
      </c:pivotFmt>
      <c:pivotFmt>
        <c:idx val="36"/>
        <c:spPr>
          <a:solidFill>
            <a:srgbClr val="E04E01"/>
          </a:solidFill>
          <a:ln>
            <a:noFill/>
          </a:ln>
          <a:effectLst/>
        </c:spPr>
        <c:marker>
          <c:symbol val="none"/>
        </c:marker>
        <c:dLbl>
          <c:idx val="0"/>
          <c:delete val="1"/>
          <c:extLst>
            <c:ext xmlns:c15="http://schemas.microsoft.com/office/drawing/2012/chart" uri="{CE6537A1-D6FC-4f65-9D91-7224C49458BB}"/>
          </c:extLst>
        </c:dLbl>
      </c:pivotFmt>
      <c:pivotFmt>
        <c:idx val="37"/>
        <c:spPr>
          <a:solidFill>
            <a:srgbClr val="E04E01"/>
          </a:solidFill>
          <a:ln w="12700">
            <a:solidFill>
              <a:srgbClr val="E04E01"/>
            </a:solidFill>
          </a:ln>
          <a:effectLst/>
        </c:spPr>
      </c:pivotFmt>
      <c:pivotFmt>
        <c:idx val="38"/>
        <c:spPr>
          <a:solidFill>
            <a:srgbClr val="E04E01"/>
          </a:solidFill>
          <a:ln w="12700">
            <a:solidFill>
              <a:srgbClr val="E04E01"/>
            </a:solidFill>
          </a:ln>
          <a:effectLst/>
        </c:spPr>
      </c:pivotFmt>
      <c:pivotFmt>
        <c:idx val="39"/>
        <c:spPr>
          <a:solidFill>
            <a:srgbClr val="921616"/>
          </a:solidFill>
          <a:ln w="12700">
            <a:solidFill>
              <a:srgbClr val="921616"/>
            </a:solidFill>
          </a:ln>
          <a:effectLst/>
        </c:spPr>
        <c:marker>
          <c:symbol val="none"/>
        </c:marker>
        <c:dLbl>
          <c:idx val="0"/>
          <c:delete val="1"/>
          <c:extLst>
            <c:ext xmlns:c15="http://schemas.microsoft.com/office/drawing/2012/chart" uri="{CE6537A1-D6FC-4f65-9D91-7224C49458BB}"/>
          </c:extLst>
        </c:dLbl>
      </c:pivotFmt>
      <c:pivotFmt>
        <c:idx val="40"/>
        <c:spPr>
          <a:solidFill>
            <a:srgbClr val="6FD220"/>
          </a:solidFill>
          <a:ln w="12700">
            <a:solidFill>
              <a:srgbClr val="6FD220"/>
            </a:solidFill>
          </a:ln>
          <a:effectLst/>
        </c:spPr>
        <c:marker>
          <c:symbol val="none"/>
        </c:marker>
        <c:dLbl>
          <c:idx val="0"/>
          <c:delete val="1"/>
          <c:extLst>
            <c:ext xmlns:c15="http://schemas.microsoft.com/office/drawing/2012/chart" uri="{CE6537A1-D6FC-4f65-9D91-7224C49458BB}"/>
          </c:extLst>
        </c:dLbl>
      </c:pivotFmt>
      <c:pivotFmt>
        <c:idx val="41"/>
        <c:spPr>
          <a:solidFill>
            <a:srgbClr val="EDD500"/>
          </a:solidFill>
          <a:ln>
            <a:noFill/>
          </a:ln>
          <a:effectLst/>
        </c:spPr>
        <c:marker>
          <c:symbol val="none"/>
        </c:marker>
        <c:dLbl>
          <c:idx val="0"/>
          <c:delete val="1"/>
          <c:extLst>
            <c:ext xmlns:c15="http://schemas.microsoft.com/office/drawing/2012/chart" uri="{CE6537A1-D6FC-4f65-9D91-7224C49458BB}"/>
          </c:extLst>
        </c:dLbl>
      </c:pivotFmt>
      <c:pivotFmt>
        <c:idx val="42"/>
        <c:spPr>
          <a:solidFill>
            <a:srgbClr val="EDD500"/>
          </a:solidFill>
          <a:ln w="12700">
            <a:solidFill>
              <a:srgbClr val="EDD500"/>
            </a:solidFill>
          </a:ln>
          <a:effectLst/>
        </c:spPr>
      </c:pivotFmt>
      <c:pivotFmt>
        <c:idx val="43"/>
        <c:spPr>
          <a:solidFill>
            <a:srgbClr val="EDD500"/>
          </a:solidFill>
          <a:ln w="12700">
            <a:solidFill>
              <a:srgbClr val="EDD500"/>
            </a:solidFill>
          </a:ln>
          <a:effectLst/>
        </c:spPr>
      </c:pivotFmt>
      <c:pivotFmt>
        <c:idx val="44"/>
        <c:spPr>
          <a:solidFill>
            <a:srgbClr val="EDD500"/>
          </a:solidFill>
          <a:ln w="12700">
            <a:solidFill>
              <a:srgbClr val="EDD500"/>
            </a:solidFill>
          </a:ln>
          <a:effectLst/>
        </c:spPr>
      </c:pivotFmt>
      <c:pivotFmt>
        <c:idx val="45"/>
        <c:spPr>
          <a:solidFill>
            <a:srgbClr val="EDD500"/>
          </a:solidFill>
          <a:ln w="12700">
            <a:solidFill>
              <a:srgbClr val="EDD500"/>
            </a:solidFill>
          </a:ln>
          <a:effectLst/>
        </c:spPr>
      </c:pivotFmt>
      <c:pivotFmt>
        <c:idx val="46"/>
        <c:spPr>
          <a:solidFill>
            <a:srgbClr val="EDD500"/>
          </a:solidFill>
          <a:ln w="12700">
            <a:solidFill>
              <a:srgbClr val="EDD500"/>
            </a:solidFill>
          </a:ln>
          <a:effectLst/>
        </c:spPr>
      </c:pivotFmt>
      <c:pivotFmt>
        <c:idx val="47"/>
        <c:spPr>
          <a:solidFill>
            <a:srgbClr val="EDD500"/>
          </a:solidFill>
          <a:ln w="12700">
            <a:solidFill>
              <a:srgbClr val="EDD500"/>
            </a:solidFill>
          </a:ln>
          <a:effectLst/>
        </c:spPr>
      </c:pivotFmt>
      <c:pivotFmt>
        <c:idx val="48"/>
        <c:spPr>
          <a:solidFill>
            <a:srgbClr val="EDD500"/>
          </a:solidFill>
          <a:ln w="12700">
            <a:solidFill>
              <a:srgbClr val="EDD500"/>
            </a:solidFill>
          </a:ln>
          <a:effectLst/>
        </c:spPr>
      </c:pivotFmt>
      <c:pivotFmt>
        <c:idx val="49"/>
        <c:spPr>
          <a:solidFill>
            <a:srgbClr val="EDD500"/>
          </a:solidFill>
          <a:ln w="12700">
            <a:solidFill>
              <a:srgbClr val="EDD500"/>
            </a:solidFill>
          </a:ln>
          <a:effectLst/>
        </c:spPr>
      </c:pivotFmt>
      <c:pivotFmt>
        <c:idx val="50"/>
        <c:spPr>
          <a:solidFill>
            <a:srgbClr val="EDD500"/>
          </a:solidFill>
          <a:ln w="12700">
            <a:solidFill>
              <a:srgbClr val="EDD500"/>
            </a:solidFill>
          </a:ln>
          <a:effectLst/>
        </c:spPr>
      </c:pivotFmt>
      <c:pivotFmt>
        <c:idx val="51"/>
        <c:spPr>
          <a:solidFill>
            <a:srgbClr val="EDD500"/>
          </a:solidFill>
          <a:ln w="12700">
            <a:solidFill>
              <a:srgbClr val="EDD500"/>
            </a:solidFill>
          </a:ln>
          <a:effectLst/>
        </c:spPr>
      </c:pivotFmt>
      <c:pivotFmt>
        <c:idx val="52"/>
        <c:spPr>
          <a:solidFill>
            <a:srgbClr val="E9F201"/>
          </a:solidFill>
          <a:ln>
            <a:noFill/>
          </a:ln>
          <a:effectLst/>
        </c:spPr>
        <c:marker>
          <c:symbol val="none"/>
        </c:marker>
        <c:dLbl>
          <c:idx val="0"/>
          <c:delete val="1"/>
          <c:extLst>
            <c:ext xmlns:c15="http://schemas.microsoft.com/office/drawing/2012/chart" uri="{CE6537A1-D6FC-4f65-9D91-7224C49458BB}"/>
          </c:extLst>
        </c:dLbl>
      </c:pivotFmt>
      <c:pivotFmt>
        <c:idx val="53"/>
        <c:spPr>
          <a:solidFill>
            <a:srgbClr val="E9F201"/>
          </a:solidFill>
          <a:ln>
            <a:solidFill>
              <a:srgbClr val="E9F201"/>
            </a:solidFill>
          </a:ln>
          <a:effectLst/>
        </c:spPr>
      </c:pivotFmt>
      <c:pivotFmt>
        <c:idx val="54"/>
        <c:spPr>
          <a:solidFill>
            <a:srgbClr val="E9F201"/>
          </a:solidFill>
          <a:ln w="12700">
            <a:solidFill>
              <a:srgbClr val="E9F201"/>
            </a:solidFill>
          </a:ln>
          <a:effectLst/>
        </c:spPr>
      </c:pivotFmt>
      <c:pivotFmt>
        <c:idx val="55"/>
        <c:spPr>
          <a:solidFill>
            <a:srgbClr val="E9F201"/>
          </a:solidFill>
          <a:ln w="12700">
            <a:solidFill>
              <a:srgbClr val="E9F201"/>
            </a:solidFill>
          </a:ln>
          <a:effectLst/>
        </c:spPr>
      </c:pivotFmt>
      <c:pivotFmt>
        <c:idx val="56"/>
        <c:spPr>
          <a:solidFill>
            <a:srgbClr val="E04E01"/>
          </a:solidFill>
          <a:ln>
            <a:noFill/>
          </a:ln>
          <a:effectLst/>
        </c:spPr>
        <c:marker>
          <c:symbol val="none"/>
        </c:marker>
        <c:dLbl>
          <c:idx val="0"/>
          <c:delete val="1"/>
          <c:extLst>
            <c:ext xmlns:c15="http://schemas.microsoft.com/office/drawing/2012/chart" uri="{CE6537A1-D6FC-4f65-9D91-7224C49458BB}"/>
          </c:extLst>
        </c:dLbl>
      </c:pivotFmt>
      <c:pivotFmt>
        <c:idx val="57"/>
        <c:spPr>
          <a:solidFill>
            <a:srgbClr val="E04E01"/>
          </a:solidFill>
          <a:ln w="12700">
            <a:solidFill>
              <a:srgbClr val="E04E01"/>
            </a:solidFill>
          </a:ln>
          <a:effectLst/>
        </c:spPr>
      </c:pivotFmt>
      <c:pivotFmt>
        <c:idx val="58"/>
        <c:spPr>
          <a:solidFill>
            <a:srgbClr val="E04E01"/>
          </a:solidFill>
          <a:ln w="12700">
            <a:solidFill>
              <a:srgbClr val="E04E01"/>
            </a:solidFill>
          </a:ln>
          <a:effectLst/>
        </c:spPr>
      </c:pivotFmt>
      <c:pivotFmt>
        <c:idx val="59"/>
        <c:spPr>
          <a:solidFill>
            <a:srgbClr val="921616"/>
          </a:solidFill>
          <a:ln w="12700">
            <a:solidFill>
              <a:srgbClr val="921616"/>
            </a:solidFill>
          </a:ln>
          <a:effectLst/>
        </c:spPr>
        <c:marker>
          <c:symbol val="none"/>
        </c:marker>
        <c:dLbl>
          <c:idx val="0"/>
          <c:delete val="1"/>
          <c:extLst>
            <c:ext xmlns:c15="http://schemas.microsoft.com/office/drawing/2012/chart" uri="{CE6537A1-D6FC-4f65-9D91-7224C49458BB}"/>
          </c:extLst>
        </c:dLbl>
      </c:pivotFmt>
      <c:pivotFmt>
        <c:idx val="60"/>
        <c:spPr>
          <a:solidFill>
            <a:srgbClr val="6FD220"/>
          </a:solidFill>
          <a:ln w="12700">
            <a:solidFill>
              <a:srgbClr val="6FD220"/>
            </a:solidFill>
          </a:ln>
          <a:effectLst/>
        </c:spPr>
        <c:marker>
          <c:symbol val="none"/>
        </c:marker>
        <c:dLbl>
          <c:idx val="0"/>
          <c:delete val="1"/>
          <c:extLst>
            <c:ext xmlns:c15="http://schemas.microsoft.com/office/drawing/2012/chart" uri="{CE6537A1-D6FC-4f65-9D91-7224C49458BB}"/>
          </c:extLst>
        </c:dLbl>
      </c:pivotFmt>
      <c:pivotFmt>
        <c:idx val="61"/>
        <c:spPr>
          <a:solidFill>
            <a:srgbClr val="EDD500"/>
          </a:solidFill>
          <a:ln>
            <a:noFill/>
          </a:ln>
          <a:effectLst/>
        </c:spPr>
        <c:marker>
          <c:symbol val="none"/>
        </c:marker>
        <c:dLbl>
          <c:idx val="0"/>
          <c:delete val="1"/>
          <c:extLst>
            <c:ext xmlns:c15="http://schemas.microsoft.com/office/drawing/2012/chart" uri="{CE6537A1-D6FC-4f65-9D91-7224C49458BB}"/>
          </c:extLst>
        </c:dLbl>
      </c:pivotFmt>
      <c:pivotFmt>
        <c:idx val="62"/>
        <c:spPr>
          <a:solidFill>
            <a:srgbClr val="EDD500"/>
          </a:solidFill>
          <a:ln w="12700">
            <a:solidFill>
              <a:srgbClr val="EDD500"/>
            </a:solidFill>
          </a:ln>
          <a:effectLst/>
        </c:spPr>
      </c:pivotFmt>
      <c:pivotFmt>
        <c:idx val="63"/>
        <c:spPr>
          <a:solidFill>
            <a:srgbClr val="EDD500"/>
          </a:solidFill>
          <a:ln w="12700">
            <a:solidFill>
              <a:srgbClr val="EDD500"/>
            </a:solidFill>
          </a:ln>
          <a:effectLst/>
        </c:spPr>
      </c:pivotFmt>
      <c:pivotFmt>
        <c:idx val="64"/>
        <c:spPr>
          <a:solidFill>
            <a:srgbClr val="EDD500"/>
          </a:solidFill>
          <a:ln w="12700">
            <a:solidFill>
              <a:srgbClr val="EDD500"/>
            </a:solidFill>
          </a:ln>
          <a:effectLst/>
        </c:spPr>
      </c:pivotFmt>
      <c:pivotFmt>
        <c:idx val="65"/>
        <c:spPr>
          <a:solidFill>
            <a:srgbClr val="EDD500"/>
          </a:solidFill>
          <a:ln w="12700">
            <a:solidFill>
              <a:srgbClr val="EDD500"/>
            </a:solidFill>
          </a:ln>
          <a:effectLst/>
        </c:spPr>
      </c:pivotFmt>
      <c:pivotFmt>
        <c:idx val="66"/>
        <c:spPr>
          <a:solidFill>
            <a:srgbClr val="EDD500"/>
          </a:solidFill>
          <a:ln w="12700">
            <a:solidFill>
              <a:srgbClr val="EDD500"/>
            </a:solidFill>
          </a:ln>
          <a:effectLst/>
        </c:spPr>
      </c:pivotFmt>
      <c:pivotFmt>
        <c:idx val="67"/>
        <c:spPr>
          <a:solidFill>
            <a:srgbClr val="EDD500"/>
          </a:solidFill>
          <a:ln w="12700">
            <a:solidFill>
              <a:srgbClr val="EDD500"/>
            </a:solidFill>
          </a:ln>
          <a:effectLst/>
        </c:spPr>
      </c:pivotFmt>
      <c:pivotFmt>
        <c:idx val="68"/>
        <c:spPr>
          <a:solidFill>
            <a:srgbClr val="EDD500"/>
          </a:solidFill>
          <a:ln w="12700">
            <a:solidFill>
              <a:srgbClr val="EDD500"/>
            </a:solidFill>
          </a:ln>
          <a:effectLst/>
        </c:spPr>
      </c:pivotFmt>
      <c:pivotFmt>
        <c:idx val="69"/>
        <c:spPr>
          <a:solidFill>
            <a:srgbClr val="EDD500"/>
          </a:solidFill>
          <a:ln w="12700">
            <a:solidFill>
              <a:srgbClr val="EDD500"/>
            </a:solidFill>
          </a:ln>
          <a:effectLst/>
        </c:spPr>
      </c:pivotFmt>
      <c:pivotFmt>
        <c:idx val="70"/>
        <c:spPr>
          <a:solidFill>
            <a:srgbClr val="EDD500"/>
          </a:solidFill>
          <a:ln w="12700">
            <a:solidFill>
              <a:srgbClr val="EDD500"/>
            </a:solidFill>
          </a:ln>
          <a:effectLst/>
        </c:spPr>
      </c:pivotFmt>
      <c:pivotFmt>
        <c:idx val="71"/>
        <c:spPr>
          <a:solidFill>
            <a:srgbClr val="EDD500"/>
          </a:solidFill>
          <a:ln w="12700">
            <a:solidFill>
              <a:srgbClr val="EDD500"/>
            </a:solidFill>
          </a:ln>
          <a:effectLst/>
        </c:spPr>
      </c:pivotFmt>
      <c:pivotFmt>
        <c:idx val="72"/>
        <c:spPr>
          <a:solidFill>
            <a:srgbClr val="E9F201"/>
          </a:solidFill>
          <a:ln>
            <a:noFill/>
          </a:ln>
          <a:effectLst/>
        </c:spPr>
        <c:marker>
          <c:symbol val="none"/>
        </c:marker>
        <c:dLbl>
          <c:idx val="0"/>
          <c:delete val="1"/>
          <c:extLst>
            <c:ext xmlns:c15="http://schemas.microsoft.com/office/drawing/2012/chart" uri="{CE6537A1-D6FC-4f65-9D91-7224C49458BB}"/>
          </c:extLst>
        </c:dLbl>
      </c:pivotFmt>
      <c:pivotFmt>
        <c:idx val="73"/>
        <c:spPr>
          <a:solidFill>
            <a:srgbClr val="E9F201"/>
          </a:solidFill>
          <a:ln>
            <a:solidFill>
              <a:srgbClr val="E9F201"/>
            </a:solidFill>
          </a:ln>
          <a:effectLst/>
        </c:spPr>
      </c:pivotFmt>
      <c:pivotFmt>
        <c:idx val="74"/>
        <c:spPr>
          <a:solidFill>
            <a:srgbClr val="E9F201"/>
          </a:solidFill>
          <a:ln w="12700">
            <a:solidFill>
              <a:srgbClr val="E9F201"/>
            </a:solidFill>
          </a:ln>
          <a:effectLst/>
        </c:spPr>
      </c:pivotFmt>
      <c:pivotFmt>
        <c:idx val="75"/>
        <c:spPr>
          <a:solidFill>
            <a:srgbClr val="E9F201"/>
          </a:solidFill>
          <a:ln w="12700">
            <a:solidFill>
              <a:srgbClr val="E9F201"/>
            </a:solidFill>
          </a:ln>
          <a:effectLst/>
        </c:spPr>
      </c:pivotFmt>
      <c:pivotFmt>
        <c:idx val="76"/>
        <c:spPr>
          <a:solidFill>
            <a:srgbClr val="E04E01"/>
          </a:solidFill>
          <a:ln>
            <a:noFill/>
          </a:ln>
          <a:effectLst/>
        </c:spPr>
        <c:marker>
          <c:symbol val="none"/>
        </c:marker>
        <c:dLbl>
          <c:idx val="0"/>
          <c:delete val="1"/>
          <c:extLst>
            <c:ext xmlns:c15="http://schemas.microsoft.com/office/drawing/2012/chart" uri="{CE6537A1-D6FC-4f65-9D91-7224C49458BB}"/>
          </c:extLst>
        </c:dLbl>
      </c:pivotFmt>
      <c:pivotFmt>
        <c:idx val="77"/>
        <c:spPr>
          <a:solidFill>
            <a:srgbClr val="E04E01"/>
          </a:solidFill>
          <a:ln w="12700">
            <a:solidFill>
              <a:srgbClr val="E04E01"/>
            </a:solidFill>
          </a:ln>
          <a:effectLst/>
        </c:spPr>
      </c:pivotFmt>
      <c:pivotFmt>
        <c:idx val="78"/>
        <c:spPr>
          <a:solidFill>
            <a:srgbClr val="E04E01"/>
          </a:solidFill>
          <a:ln w="12700">
            <a:solidFill>
              <a:srgbClr val="E04E01"/>
            </a:solidFill>
          </a:ln>
          <a:effectLst/>
        </c:spPr>
      </c:pivotFmt>
      <c:pivotFmt>
        <c:idx val="79"/>
        <c:spPr>
          <a:solidFill>
            <a:srgbClr val="921616"/>
          </a:solidFill>
          <a:ln w="12700">
            <a:solidFill>
              <a:srgbClr val="921616"/>
            </a:solidFill>
          </a:ln>
          <a:effectLst/>
        </c:spPr>
        <c:marker>
          <c:symbol val="none"/>
        </c:marker>
        <c:dLbl>
          <c:idx val="0"/>
          <c:delete val="1"/>
          <c:extLst>
            <c:ext xmlns:c15="http://schemas.microsoft.com/office/drawing/2012/chart" uri="{CE6537A1-D6FC-4f65-9D91-7224C49458BB}"/>
          </c:extLst>
        </c:dLbl>
      </c:pivotFmt>
      <c:pivotFmt>
        <c:idx val="80"/>
        <c:spPr>
          <a:solidFill>
            <a:srgbClr val="6FD220"/>
          </a:solidFill>
          <a:ln w="12700">
            <a:solidFill>
              <a:srgbClr val="6FD220"/>
            </a:solidFill>
          </a:ln>
          <a:effectLst/>
        </c:spPr>
        <c:marker>
          <c:symbol val="none"/>
        </c:marker>
        <c:dLbl>
          <c:idx val="0"/>
          <c:delete val="1"/>
          <c:extLst>
            <c:ext xmlns:c15="http://schemas.microsoft.com/office/drawing/2012/chart" uri="{CE6537A1-D6FC-4f65-9D91-7224C49458BB}"/>
          </c:extLst>
        </c:dLbl>
      </c:pivotFmt>
      <c:pivotFmt>
        <c:idx val="81"/>
        <c:spPr>
          <a:solidFill>
            <a:srgbClr val="EDD500"/>
          </a:solidFill>
          <a:ln>
            <a:noFill/>
          </a:ln>
          <a:effectLst/>
        </c:spPr>
        <c:marker>
          <c:symbol val="none"/>
        </c:marker>
        <c:dLbl>
          <c:idx val="0"/>
          <c:delete val="1"/>
          <c:extLst>
            <c:ext xmlns:c15="http://schemas.microsoft.com/office/drawing/2012/chart" uri="{CE6537A1-D6FC-4f65-9D91-7224C49458BB}"/>
          </c:extLst>
        </c:dLbl>
      </c:pivotFmt>
      <c:pivotFmt>
        <c:idx val="82"/>
        <c:spPr>
          <a:solidFill>
            <a:srgbClr val="EDD500"/>
          </a:solidFill>
          <a:ln w="12700">
            <a:solidFill>
              <a:srgbClr val="EDD500"/>
            </a:solidFill>
          </a:ln>
          <a:effectLst/>
        </c:spPr>
      </c:pivotFmt>
      <c:pivotFmt>
        <c:idx val="83"/>
        <c:spPr>
          <a:solidFill>
            <a:srgbClr val="EDD500"/>
          </a:solidFill>
          <a:ln w="12700">
            <a:solidFill>
              <a:srgbClr val="EDD500"/>
            </a:solidFill>
          </a:ln>
          <a:effectLst/>
        </c:spPr>
      </c:pivotFmt>
      <c:pivotFmt>
        <c:idx val="84"/>
        <c:spPr>
          <a:solidFill>
            <a:srgbClr val="EDD500"/>
          </a:solidFill>
          <a:ln w="12700">
            <a:solidFill>
              <a:srgbClr val="EDD500"/>
            </a:solidFill>
          </a:ln>
          <a:effectLst/>
        </c:spPr>
      </c:pivotFmt>
      <c:pivotFmt>
        <c:idx val="85"/>
        <c:spPr>
          <a:solidFill>
            <a:srgbClr val="EDD500"/>
          </a:solidFill>
          <a:ln w="12700">
            <a:solidFill>
              <a:srgbClr val="EDD500"/>
            </a:solidFill>
          </a:ln>
          <a:effectLst/>
        </c:spPr>
      </c:pivotFmt>
      <c:pivotFmt>
        <c:idx val="86"/>
        <c:spPr>
          <a:solidFill>
            <a:srgbClr val="EDD500"/>
          </a:solidFill>
          <a:ln w="12700">
            <a:solidFill>
              <a:srgbClr val="EDD500"/>
            </a:solidFill>
          </a:ln>
          <a:effectLst/>
        </c:spPr>
      </c:pivotFmt>
      <c:pivotFmt>
        <c:idx val="87"/>
        <c:spPr>
          <a:solidFill>
            <a:srgbClr val="EDD500"/>
          </a:solidFill>
          <a:ln w="12700">
            <a:solidFill>
              <a:srgbClr val="EDD500"/>
            </a:solidFill>
          </a:ln>
          <a:effectLst/>
        </c:spPr>
      </c:pivotFmt>
      <c:pivotFmt>
        <c:idx val="88"/>
        <c:spPr>
          <a:solidFill>
            <a:srgbClr val="EDD500"/>
          </a:solidFill>
          <a:ln w="12700">
            <a:solidFill>
              <a:srgbClr val="EDD500"/>
            </a:solidFill>
          </a:ln>
          <a:effectLst/>
        </c:spPr>
      </c:pivotFmt>
      <c:pivotFmt>
        <c:idx val="89"/>
        <c:spPr>
          <a:solidFill>
            <a:srgbClr val="EDD500"/>
          </a:solidFill>
          <a:ln w="12700">
            <a:solidFill>
              <a:srgbClr val="EDD500"/>
            </a:solidFill>
          </a:ln>
          <a:effectLst/>
        </c:spPr>
      </c:pivotFmt>
      <c:pivotFmt>
        <c:idx val="90"/>
        <c:spPr>
          <a:solidFill>
            <a:srgbClr val="EDD500"/>
          </a:solidFill>
          <a:ln w="12700">
            <a:solidFill>
              <a:srgbClr val="EDD500"/>
            </a:solidFill>
          </a:ln>
          <a:effectLst/>
        </c:spPr>
      </c:pivotFmt>
      <c:pivotFmt>
        <c:idx val="91"/>
        <c:spPr>
          <a:solidFill>
            <a:srgbClr val="EDD500"/>
          </a:solidFill>
          <a:ln w="12700">
            <a:solidFill>
              <a:srgbClr val="EDD500"/>
            </a:solidFill>
          </a:ln>
          <a:effectLst/>
        </c:spPr>
      </c:pivotFmt>
      <c:pivotFmt>
        <c:idx val="92"/>
        <c:spPr>
          <a:solidFill>
            <a:srgbClr val="E9F201"/>
          </a:solidFill>
          <a:ln>
            <a:noFill/>
          </a:ln>
          <a:effectLst/>
        </c:spPr>
        <c:marker>
          <c:symbol val="none"/>
        </c:marker>
        <c:dLbl>
          <c:idx val="0"/>
          <c:delete val="1"/>
          <c:extLst>
            <c:ext xmlns:c15="http://schemas.microsoft.com/office/drawing/2012/chart" uri="{CE6537A1-D6FC-4f65-9D91-7224C49458BB}"/>
          </c:extLst>
        </c:dLbl>
      </c:pivotFmt>
      <c:pivotFmt>
        <c:idx val="93"/>
        <c:spPr>
          <a:solidFill>
            <a:srgbClr val="E9F201"/>
          </a:solidFill>
          <a:ln>
            <a:solidFill>
              <a:srgbClr val="E9F201"/>
            </a:solidFill>
          </a:ln>
          <a:effectLst/>
        </c:spPr>
      </c:pivotFmt>
      <c:pivotFmt>
        <c:idx val="94"/>
        <c:spPr>
          <a:solidFill>
            <a:srgbClr val="E9F201"/>
          </a:solidFill>
          <a:ln w="12700">
            <a:solidFill>
              <a:srgbClr val="E9F201"/>
            </a:solidFill>
          </a:ln>
          <a:effectLst/>
        </c:spPr>
      </c:pivotFmt>
      <c:pivotFmt>
        <c:idx val="95"/>
        <c:spPr>
          <a:solidFill>
            <a:srgbClr val="E9F201"/>
          </a:solidFill>
          <a:ln w="12700">
            <a:solidFill>
              <a:srgbClr val="E9F201"/>
            </a:solidFill>
          </a:ln>
          <a:effectLst/>
        </c:spPr>
      </c:pivotFmt>
      <c:pivotFmt>
        <c:idx val="96"/>
        <c:spPr>
          <a:solidFill>
            <a:srgbClr val="E04E01"/>
          </a:solidFill>
          <a:ln>
            <a:noFill/>
          </a:ln>
          <a:effectLst/>
        </c:spPr>
        <c:marker>
          <c:symbol val="none"/>
        </c:marker>
        <c:dLbl>
          <c:idx val="0"/>
          <c:delete val="1"/>
          <c:extLst>
            <c:ext xmlns:c15="http://schemas.microsoft.com/office/drawing/2012/chart" uri="{CE6537A1-D6FC-4f65-9D91-7224C49458BB}"/>
          </c:extLst>
        </c:dLbl>
      </c:pivotFmt>
      <c:pivotFmt>
        <c:idx val="97"/>
        <c:spPr>
          <a:solidFill>
            <a:srgbClr val="E04E01"/>
          </a:solidFill>
          <a:ln w="12700">
            <a:solidFill>
              <a:srgbClr val="E04E01"/>
            </a:solidFill>
          </a:ln>
          <a:effectLst/>
        </c:spPr>
      </c:pivotFmt>
      <c:pivotFmt>
        <c:idx val="98"/>
        <c:spPr>
          <a:solidFill>
            <a:srgbClr val="E04E01"/>
          </a:solidFill>
          <a:ln w="12700">
            <a:solidFill>
              <a:srgbClr val="E04E01"/>
            </a:solidFill>
          </a:ln>
          <a:effectLst/>
        </c:spPr>
      </c:pivotFmt>
      <c:pivotFmt>
        <c:idx val="99"/>
        <c:spPr>
          <a:solidFill>
            <a:srgbClr val="921616"/>
          </a:solidFill>
          <a:ln w="12700">
            <a:solidFill>
              <a:srgbClr val="921616"/>
            </a:solidFill>
          </a:ln>
          <a:effectLst/>
        </c:spPr>
        <c:marker>
          <c:symbol val="none"/>
        </c:marker>
        <c:dLbl>
          <c:idx val="0"/>
          <c:delete val="1"/>
          <c:extLst>
            <c:ext xmlns:c15="http://schemas.microsoft.com/office/drawing/2012/chart" uri="{CE6537A1-D6FC-4f65-9D91-7224C49458BB}"/>
          </c:extLst>
        </c:dLbl>
      </c:pivotFmt>
      <c:pivotFmt>
        <c:idx val="100"/>
        <c:spPr>
          <a:solidFill>
            <a:srgbClr val="6FD220"/>
          </a:solidFill>
          <a:ln w="12700">
            <a:solidFill>
              <a:srgbClr val="6FD220"/>
            </a:solidFill>
          </a:ln>
          <a:effectLst/>
        </c:spPr>
        <c:marker>
          <c:symbol val="none"/>
        </c:marker>
        <c:dLbl>
          <c:idx val="0"/>
          <c:delete val="1"/>
          <c:extLst>
            <c:ext xmlns:c15="http://schemas.microsoft.com/office/drawing/2012/chart" uri="{CE6537A1-D6FC-4f65-9D91-7224C49458BB}"/>
          </c:extLst>
        </c:dLbl>
      </c:pivotFmt>
      <c:pivotFmt>
        <c:idx val="101"/>
        <c:spPr>
          <a:solidFill>
            <a:srgbClr val="EDD500"/>
          </a:solidFill>
          <a:ln>
            <a:noFill/>
          </a:ln>
          <a:effectLst/>
        </c:spPr>
        <c:marker>
          <c:symbol val="none"/>
        </c:marker>
        <c:dLbl>
          <c:idx val="0"/>
          <c:delete val="1"/>
          <c:extLst>
            <c:ext xmlns:c15="http://schemas.microsoft.com/office/drawing/2012/chart" uri="{CE6537A1-D6FC-4f65-9D91-7224C49458BB}"/>
          </c:extLst>
        </c:dLbl>
      </c:pivotFmt>
      <c:pivotFmt>
        <c:idx val="102"/>
        <c:spPr>
          <a:solidFill>
            <a:srgbClr val="EDD500"/>
          </a:solidFill>
          <a:ln w="12700">
            <a:solidFill>
              <a:srgbClr val="EDD500"/>
            </a:solidFill>
          </a:ln>
          <a:effectLst/>
        </c:spPr>
      </c:pivotFmt>
      <c:pivotFmt>
        <c:idx val="103"/>
        <c:spPr>
          <a:solidFill>
            <a:srgbClr val="EDD500"/>
          </a:solidFill>
          <a:ln w="12700">
            <a:solidFill>
              <a:srgbClr val="EDD500"/>
            </a:solidFill>
          </a:ln>
          <a:effectLst/>
        </c:spPr>
      </c:pivotFmt>
      <c:pivotFmt>
        <c:idx val="104"/>
        <c:spPr>
          <a:solidFill>
            <a:srgbClr val="EDD500"/>
          </a:solidFill>
          <a:ln w="12700">
            <a:solidFill>
              <a:srgbClr val="EDD500"/>
            </a:solidFill>
          </a:ln>
          <a:effectLst/>
        </c:spPr>
      </c:pivotFmt>
      <c:pivotFmt>
        <c:idx val="105"/>
        <c:spPr>
          <a:solidFill>
            <a:srgbClr val="EDD500"/>
          </a:solidFill>
          <a:ln w="12700">
            <a:solidFill>
              <a:srgbClr val="EDD500"/>
            </a:solidFill>
          </a:ln>
          <a:effectLst/>
        </c:spPr>
      </c:pivotFmt>
      <c:pivotFmt>
        <c:idx val="106"/>
        <c:spPr>
          <a:solidFill>
            <a:srgbClr val="EDD500"/>
          </a:solidFill>
          <a:ln w="12700">
            <a:solidFill>
              <a:srgbClr val="EDD500"/>
            </a:solidFill>
          </a:ln>
          <a:effectLst/>
        </c:spPr>
      </c:pivotFmt>
      <c:pivotFmt>
        <c:idx val="107"/>
        <c:spPr>
          <a:solidFill>
            <a:srgbClr val="EDD500"/>
          </a:solidFill>
          <a:ln w="12700">
            <a:solidFill>
              <a:srgbClr val="EDD500"/>
            </a:solidFill>
          </a:ln>
          <a:effectLst/>
        </c:spPr>
      </c:pivotFmt>
      <c:pivotFmt>
        <c:idx val="108"/>
        <c:spPr>
          <a:solidFill>
            <a:srgbClr val="EDD500"/>
          </a:solidFill>
          <a:ln w="12700">
            <a:solidFill>
              <a:srgbClr val="EDD500"/>
            </a:solidFill>
          </a:ln>
          <a:effectLst/>
        </c:spPr>
      </c:pivotFmt>
      <c:pivotFmt>
        <c:idx val="109"/>
        <c:spPr>
          <a:solidFill>
            <a:srgbClr val="EDD500"/>
          </a:solidFill>
          <a:ln w="12700">
            <a:solidFill>
              <a:srgbClr val="EDD500"/>
            </a:solidFill>
          </a:ln>
          <a:effectLst/>
        </c:spPr>
      </c:pivotFmt>
      <c:pivotFmt>
        <c:idx val="110"/>
        <c:spPr>
          <a:solidFill>
            <a:srgbClr val="EDD500"/>
          </a:solidFill>
          <a:ln w="12700">
            <a:solidFill>
              <a:srgbClr val="EDD500"/>
            </a:solidFill>
          </a:ln>
          <a:effectLst/>
        </c:spPr>
      </c:pivotFmt>
      <c:pivotFmt>
        <c:idx val="111"/>
        <c:spPr>
          <a:solidFill>
            <a:srgbClr val="EDD500"/>
          </a:solidFill>
          <a:ln w="12700">
            <a:solidFill>
              <a:srgbClr val="EDD500"/>
            </a:solidFill>
          </a:ln>
          <a:effectLst/>
        </c:spPr>
      </c:pivotFmt>
      <c:pivotFmt>
        <c:idx val="112"/>
        <c:spPr>
          <a:solidFill>
            <a:srgbClr val="E9F201"/>
          </a:solidFill>
          <a:ln>
            <a:noFill/>
          </a:ln>
          <a:effectLst/>
        </c:spPr>
        <c:marker>
          <c:symbol val="none"/>
        </c:marker>
        <c:dLbl>
          <c:idx val="0"/>
          <c:delete val="1"/>
          <c:extLst>
            <c:ext xmlns:c15="http://schemas.microsoft.com/office/drawing/2012/chart" uri="{CE6537A1-D6FC-4f65-9D91-7224C49458BB}"/>
          </c:extLst>
        </c:dLbl>
      </c:pivotFmt>
      <c:pivotFmt>
        <c:idx val="113"/>
        <c:spPr>
          <a:solidFill>
            <a:srgbClr val="E9F201"/>
          </a:solidFill>
          <a:ln>
            <a:solidFill>
              <a:srgbClr val="E9F201"/>
            </a:solidFill>
          </a:ln>
          <a:effectLst/>
        </c:spPr>
      </c:pivotFmt>
      <c:pivotFmt>
        <c:idx val="114"/>
        <c:spPr>
          <a:solidFill>
            <a:srgbClr val="E9F201"/>
          </a:solidFill>
          <a:ln w="12700">
            <a:solidFill>
              <a:srgbClr val="E9F201"/>
            </a:solidFill>
          </a:ln>
          <a:effectLst/>
        </c:spPr>
      </c:pivotFmt>
      <c:pivotFmt>
        <c:idx val="115"/>
        <c:spPr>
          <a:solidFill>
            <a:srgbClr val="E9F201"/>
          </a:solidFill>
          <a:ln w="12700">
            <a:solidFill>
              <a:srgbClr val="E9F201"/>
            </a:solidFill>
          </a:ln>
          <a:effectLst/>
        </c:spPr>
      </c:pivotFmt>
      <c:pivotFmt>
        <c:idx val="116"/>
        <c:spPr>
          <a:solidFill>
            <a:srgbClr val="E04E01"/>
          </a:solidFill>
          <a:ln>
            <a:noFill/>
          </a:ln>
          <a:effectLst/>
        </c:spPr>
        <c:marker>
          <c:symbol val="none"/>
        </c:marker>
        <c:dLbl>
          <c:idx val="0"/>
          <c:delete val="1"/>
          <c:extLst>
            <c:ext xmlns:c15="http://schemas.microsoft.com/office/drawing/2012/chart" uri="{CE6537A1-D6FC-4f65-9D91-7224C49458BB}"/>
          </c:extLst>
        </c:dLbl>
      </c:pivotFmt>
      <c:pivotFmt>
        <c:idx val="117"/>
        <c:spPr>
          <a:solidFill>
            <a:srgbClr val="E04E01"/>
          </a:solidFill>
          <a:ln w="12700">
            <a:solidFill>
              <a:srgbClr val="E04E01"/>
            </a:solidFill>
          </a:ln>
          <a:effectLst/>
        </c:spPr>
      </c:pivotFmt>
      <c:pivotFmt>
        <c:idx val="118"/>
        <c:spPr>
          <a:solidFill>
            <a:srgbClr val="E04E01"/>
          </a:solidFill>
          <a:ln w="12700">
            <a:solidFill>
              <a:srgbClr val="E04E01"/>
            </a:solidFill>
          </a:ln>
          <a:effectLst/>
        </c:spPr>
      </c:pivotFmt>
      <c:pivotFmt>
        <c:idx val="119"/>
        <c:spPr>
          <a:solidFill>
            <a:srgbClr val="921616"/>
          </a:solidFill>
          <a:ln w="12700">
            <a:solidFill>
              <a:srgbClr val="921616"/>
            </a:solidFill>
          </a:ln>
          <a:effectLst/>
        </c:spPr>
        <c:marker>
          <c:symbol val="none"/>
        </c:marker>
        <c:dLbl>
          <c:idx val="0"/>
          <c:delete val="1"/>
          <c:extLst>
            <c:ext xmlns:c15="http://schemas.microsoft.com/office/drawing/2012/chart" uri="{CE6537A1-D6FC-4f65-9D91-7224C49458BB}"/>
          </c:extLst>
        </c:dLbl>
      </c:pivotFmt>
    </c:pivotFmts>
    <c:plotArea>
      <c:layout/>
      <c:barChart>
        <c:barDir val="col"/>
        <c:grouping val="clustered"/>
        <c:varyColors val="0"/>
        <c:ser>
          <c:idx val="0"/>
          <c:order val="0"/>
          <c:tx>
            <c:strRef>
              <c:f>Sheet2!$B$1:$B$2</c:f>
              <c:strCache>
                <c:ptCount val="1"/>
                <c:pt idx="0">
                  <c:v>GROUP A</c:v>
                </c:pt>
              </c:strCache>
            </c:strRef>
          </c:tx>
          <c:spPr>
            <a:solidFill>
              <a:srgbClr val="6FD220"/>
            </a:solidFill>
            <a:ln w="12700">
              <a:solidFill>
                <a:srgbClr val="6FD220"/>
              </a:solidFill>
            </a:ln>
            <a:effectLst/>
          </c:spPr>
          <c:invertIfNegative val="0"/>
          <c:cat>
            <c:strRef>
              <c:f>Sheet2!$A$3:$A$132</c:f>
              <c:strCache>
                <c:ptCount val="12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strCache>
            </c:strRef>
          </c:cat>
          <c:val>
            <c:numRef>
              <c:f>Sheet2!$B$3:$B$132</c:f>
              <c:numCache>
                <c:formatCode>General</c:formatCode>
                <c:ptCount val="129"/>
                <c:pt idx="17">
                  <c:v>73740794861</c:v>
                </c:pt>
                <c:pt idx="18">
                  <c:v>73278342003</c:v>
                </c:pt>
                <c:pt idx="19">
                  <c:v>51627805948</c:v>
                </c:pt>
                <c:pt idx="20">
                  <c:v>52230223439</c:v>
                </c:pt>
                <c:pt idx="21">
                  <c:v>44058470624</c:v>
                </c:pt>
                <c:pt idx="22">
                  <c:v>30419273823</c:v>
                </c:pt>
                <c:pt idx="23">
                  <c:v>29032985555</c:v>
                </c:pt>
                <c:pt idx="24">
                  <c:v>26273547731</c:v>
                </c:pt>
                <c:pt idx="25">
                  <c:v>14976285709</c:v>
                </c:pt>
                <c:pt idx="26">
                  <c:v>15769818881</c:v>
                </c:pt>
                <c:pt idx="27">
                  <c:v>12515218847</c:v>
                </c:pt>
                <c:pt idx="28">
                  <c:v>13434958128</c:v>
                </c:pt>
                <c:pt idx="29">
                  <c:v>7660465337</c:v>
                </c:pt>
                <c:pt idx="30">
                  <c:v>8054773977</c:v>
                </c:pt>
                <c:pt idx="31">
                  <c:v>5634311065</c:v>
                </c:pt>
                <c:pt idx="32">
                  <c:v>5576474104</c:v>
                </c:pt>
                <c:pt idx="33">
                  <c:v>4205114691</c:v>
                </c:pt>
                <c:pt idx="34">
                  <c:v>3725103645</c:v>
                </c:pt>
                <c:pt idx="35">
                  <c:v>2618819067</c:v>
                </c:pt>
                <c:pt idx="36">
                  <c:v>2118840771</c:v>
                </c:pt>
                <c:pt idx="37">
                  <c:v>1026748689</c:v>
                </c:pt>
                <c:pt idx="38">
                  <c:v>917552505</c:v>
                </c:pt>
                <c:pt idx="39">
                  <c:v>513906853</c:v>
                </c:pt>
                <c:pt idx="40">
                  <c:v>592561782</c:v>
                </c:pt>
                <c:pt idx="41">
                  <c:v>974693177</c:v>
                </c:pt>
                <c:pt idx="42">
                  <c:v>446339271</c:v>
                </c:pt>
                <c:pt idx="43">
                  <c:v>446883207</c:v>
                </c:pt>
                <c:pt idx="44">
                  <c:v>231387730</c:v>
                </c:pt>
                <c:pt idx="45">
                  <c:v>45295709</c:v>
                </c:pt>
                <c:pt idx="46">
                  <c:v>317204055</c:v>
                </c:pt>
                <c:pt idx="47">
                  <c:v>196829464</c:v>
                </c:pt>
                <c:pt idx="48">
                  <c:v>137077377</c:v>
                </c:pt>
                <c:pt idx="49">
                  <c:v>127380262</c:v>
                </c:pt>
                <c:pt idx="50">
                  <c:v>100755833</c:v>
                </c:pt>
                <c:pt idx="51">
                  <c:v>128764415</c:v>
                </c:pt>
                <c:pt idx="52">
                  <c:v>1470195</c:v>
                </c:pt>
                <c:pt idx="53">
                  <c:v>70508023</c:v>
                </c:pt>
                <c:pt idx="54">
                  <c:v>2204209</c:v>
                </c:pt>
                <c:pt idx="55">
                  <c:v>968812</c:v>
                </c:pt>
                <c:pt idx="56">
                  <c:v>40385223</c:v>
                </c:pt>
                <c:pt idx="57">
                  <c:v>534724</c:v>
                </c:pt>
                <c:pt idx="58">
                  <c:v>37653738</c:v>
                </c:pt>
                <c:pt idx="59">
                  <c:v>1499843</c:v>
                </c:pt>
                <c:pt idx="60">
                  <c:v>38896</c:v>
                </c:pt>
                <c:pt idx="61">
                  <c:v>695925</c:v>
                </c:pt>
                <c:pt idx="62">
                  <c:v>15464499</c:v>
                </c:pt>
                <c:pt idx="63">
                  <c:v>315247</c:v>
                </c:pt>
                <c:pt idx="64">
                  <c:v>15961</c:v>
                </c:pt>
                <c:pt idx="65">
                  <c:v>15982</c:v>
                </c:pt>
                <c:pt idx="66">
                  <c:v>227060</c:v>
                </c:pt>
                <c:pt idx="67">
                  <c:v>8047</c:v>
                </c:pt>
                <c:pt idx="68">
                  <c:v>11762</c:v>
                </c:pt>
                <c:pt idx="69">
                  <c:v>12603</c:v>
                </c:pt>
                <c:pt idx="70">
                  <c:v>5219</c:v>
                </c:pt>
                <c:pt idx="71">
                  <c:v>6497</c:v>
                </c:pt>
                <c:pt idx="72">
                  <c:v>5903</c:v>
                </c:pt>
                <c:pt idx="73">
                  <c:v>92712</c:v>
                </c:pt>
                <c:pt idx="74">
                  <c:v>1508</c:v>
                </c:pt>
                <c:pt idx="75">
                  <c:v>58323</c:v>
                </c:pt>
                <c:pt idx="76">
                  <c:v>26928</c:v>
                </c:pt>
                <c:pt idx="77">
                  <c:v>1432</c:v>
                </c:pt>
                <c:pt idx="78">
                  <c:v>1241</c:v>
                </c:pt>
                <c:pt idx="79">
                  <c:v>1343</c:v>
                </c:pt>
                <c:pt idx="80">
                  <c:v>880</c:v>
                </c:pt>
                <c:pt idx="81">
                  <c:v>1016</c:v>
                </c:pt>
                <c:pt idx="82">
                  <c:v>27569</c:v>
                </c:pt>
                <c:pt idx="83">
                  <c:v>6455</c:v>
                </c:pt>
                <c:pt idx="84">
                  <c:v>566</c:v>
                </c:pt>
                <c:pt idx="85">
                  <c:v>385</c:v>
                </c:pt>
                <c:pt idx="86">
                  <c:v>295</c:v>
                </c:pt>
                <c:pt idx="87">
                  <c:v>337</c:v>
                </c:pt>
                <c:pt idx="88">
                  <c:v>227</c:v>
                </c:pt>
                <c:pt idx="89">
                  <c:v>423</c:v>
                </c:pt>
                <c:pt idx="90">
                  <c:v>130</c:v>
                </c:pt>
                <c:pt idx="91">
                  <c:v>167</c:v>
                </c:pt>
                <c:pt idx="92">
                  <c:v>148</c:v>
                </c:pt>
                <c:pt idx="93">
                  <c:v>148</c:v>
                </c:pt>
                <c:pt idx="94">
                  <c:v>127</c:v>
                </c:pt>
                <c:pt idx="95">
                  <c:v>156</c:v>
                </c:pt>
                <c:pt idx="96">
                  <c:v>110</c:v>
                </c:pt>
                <c:pt idx="97">
                  <c:v>109</c:v>
                </c:pt>
                <c:pt idx="98">
                  <c:v>131</c:v>
                </c:pt>
                <c:pt idx="99">
                  <c:v>220</c:v>
                </c:pt>
                <c:pt idx="100">
                  <c:v>138</c:v>
                </c:pt>
                <c:pt idx="101">
                  <c:v>119</c:v>
                </c:pt>
                <c:pt idx="102">
                  <c:v>115</c:v>
                </c:pt>
                <c:pt idx="103">
                  <c:v>134</c:v>
                </c:pt>
                <c:pt idx="104">
                  <c:v>130</c:v>
                </c:pt>
                <c:pt idx="105">
                  <c:v>130</c:v>
                </c:pt>
                <c:pt idx="106">
                  <c:v>120</c:v>
                </c:pt>
                <c:pt idx="107">
                  <c:v>122</c:v>
                </c:pt>
                <c:pt idx="108">
                  <c:v>136</c:v>
                </c:pt>
                <c:pt idx="109">
                  <c:v>121</c:v>
                </c:pt>
                <c:pt idx="110">
                  <c:v>141</c:v>
                </c:pt>
                <c:pt idx="111">
                  <c:v>115</c:v>
                </c:pt>
                <c:pt idx="112">
                  <c:v>124</c:v>
                </c:pt>
                <c:pt idx="113">
                  <c:v>121</c:v>
                </c:pt>
                <c:pt idx="114">
                  <c:v>127</c:v>
                </c:pt>
                <c:pt idx="115">
                  <c:v>122</c:v>
                </c:pt>
                <c:pt idx="116">
                  <c:v>154</c:v>
                </c:pt>
                <c:pt idx="117">
                  <c:v>121</c:v>
                </c:pt>
                <c:pt idx="118">
                  <c:v>128</c:v>
                </c:pt>
                <c:pt idx="119">
                  <c:v>127</c:v>
                </c:pt>
                <c:pt idx="120">
                  <c:v>124</c:v>
                </c:pt>
                <c:pt idx="121">
                  <c:v>157</c:v>
                </c:pt>
                <c:pt idx="122">
                  <c:v>124</c:v>
                </c:pt>
                <c:pt idx="123">
                  <c:v>134</c:v>
                </c:pt>
                <c:pt idx="124">
                  <c:v>132</c:v>
                </c:pt>
                <c:pt idx="125">
                  <c:v>125</c:v>
                </c:pt>
                <c:pt idx="126">
                  <c:v>129</c:v>
                </c:pt>
                <c:pt idx="127">
                  <c:v>127</c:v>
                </c:pt>
                <c:pt idx="128">
                  <c:v>129</c:v>
                </c:pt>
              </c:numCache>
            </c:numRef>
          </c:val>
          <c:extLst>
            <c:ext xmlns:c16="http://schemas.microsoft.com/office/drawing/2014/chart" uri="{C3380CC4-5D6E-409C-BE32-E72D297353CC}">
              <c16:uniqueId val="{00000000-FBD3-4200-B0EC-9B8E6F99B386}"/>
            </c:ext>
          </c:extLst>
        </c:ser>
        <c:ser>
          <c:idx val="1"/>
          <c:order val="1"/>
          <c:tx>
            <c:strRef>
              <c:f>Sheet2!$C$1:$C$2</c:f>
              <c:strCache>
                <c:ptCount val="1"/>
                <c:pt idx="0">
                  <c:v>GROUP B</c:v>
                </c:pt>
              </c:strCache>
            </c:strRef>
          </c:tx>
          <c:spPr>
            <a:solidFill>
              <a:srgbClr val="EDD500"/>
            </a:solidFill>
            <a:ln>
              <a:noFill/>
            </a:ln>
            <a:effectLst/>
          </c:spPr>
          <c:invertIfNegative val="0"/>
          <c:dPt>
            <c:idx val="7"/>
            <c:invertIfNegative val="0"/>
            <c:bubble3D val="0"/>
            <c:spPr>
              <a:solidFill>
                <a:srgbClr val="EDD500"/>
              </a:solidFill>
              <a:ln w="12700">
                <a:solidFill>
                  <a:srgbClr val="EDD500"/>
                </a:solidFill>
              </a:ln>
              <a:effectLst/>
            </c:spPr>
            <c:extLst>
              <c:ext xmlns:c16="http://schemas.microsoft.com/office/drawing/2014/chart" uri="{C3380CC4-5D6E-409C-BE32-E72D297353CC}">
                <c16:uniqueId val="{00000002-FBD3-4200-B0EC-9B8E6F99B386}"/>
              </c:ext>
            </c:extLst>
          </c:dPt>
          <c:dPt>
            <c:idx val="8"/>
            <c:invertIfNegative val="0"/>
            <c:bubble3D val="0"/>
            <c:spPr>
              <a:solidFill>
                <a:srgbClr val="EDD500"/>
              </a:solidFill>
              <a:ln w="12700">
                <a:solidFill>
                  <a:srgbClr val="EDD500"/>
                </a:solidFill>
              </a:ln>
              <a:effectLst/>
            </c:spPr>
            <c:extLst>
              <c:ext xmlns:c16="http://schemas.microsoft.com/office/drawing/2014/chart" uri="{C3380CC4-5D6E-409C-BE32-E72D297353CC}">
                <c16:uniqueId val="{00000004-FBD3-4200-B0EC-9B8E6F99B386}"/>
              </c:ext>
            </c:extLst>
          </c:dPt>
          <c:dPt>
            <c:idx val="9"/>
            <c:invertIfNegative val="0"/>
            <c:bubble3D val="0"/>
            <c:spPr>
              <a:solidFill>
                <a:srgbClr val="EDD500"/>
              </a:solidFill>
              <a:ln w="12700">
                <a:solidFill>
                  <a:srgbClr val="EDD500"/>
                </a:solidFill>
              </a:ln>
              <a:effectLst/>
            </c:spPr>
            <c:extLst>
              <c:ext xmlns:c16="http://schemas.microsoft.com/office/drawing/2014/chart" uri="{C3380CC4-5D6E-409C-BE32-E72D297353CC}">
                <c16:uniqueId val="{00000006-FBD3-4200-B0EC-9B8E6F99B386}"/>
              </c:ext>
            </c:extLst>
          </c:dPt>
          <c:dPt>
            <c:idx val="10"/>
            <c:invertIfNegative val="0"/>
            <c:bubble3D val="0"/>
            <c:spPr>
              <a:solidFill>
                <a:srgbClr val="EDD500"/>
              </a:solidFill>
              <a:ln w="12700">
                <a:solidFill>
                  <a:srgbClr val="EDD500"/>
                </a:solidFill>
              </a:ln>
              <a:effectLst/>
            </c:spPr>
            <c:extLst>
              <c:ext xmlns:c16="http://schemas.microsoft.com/office/drawing/2014/chart" uri="{C3380CC4-5D6E-409C-BE32-E72D297353CC}">
                <c16:uniqueId val="{00000008-FBD3-4200-B0EC-9B8E6F99B386}"/>
              </c:ext>
            </c:extLst>
          </c:dPt>
          <c:dPt>
            <c:idx val="11"/>
            <c:invertIfNegative val="0"/>
            <c:bubble3D val="0"/>
            <c:spPr>
              <a:solidFill>
                <a:srgbClr val="EDD500"/>
              </a:solidFill>
              <a:ln w="12700">
                <a:solidFill>
                  <a:srgbClr val="EDD500"/>
                </a:solidFill>
              </a:ln>
              <a:effectLst/>
            </c:spPr>
            <c:extLst>
              <c:ext xmlns:c16="http://schemas.microsoft.com/office/drawing/2014/chart" uri="{C3380CC4-5D6E-409C-BE32-E72D297353CC}">
                <c16:uniqueId val="{0000000A-FBD3-4200-B0EC-9B8E6F99B386}"/>
              </c:ext>
            </c:extLst>
          </c:dPt>
          <c:dPt>
            <c:idx val="12"/>
            <c:invertIfNegative val="0"/>
            <c:bubble3D val="0"/>
            <c:spPr>
              <a:solidFill>
                <a:srgbClr val="EDD500"/>
              </a:solidFill>
              <a:ln w="12700">
                <a:solidFill>
                  <a:srgbClr val="EDD500"/>
                </a:solidFill>
              </a:ln>
              <a:effectLst/>
            </c:spPr>
            <c:extLst>
              <c:ext xmlns:c16="http://schemas.microsoft.com/office/drawing/2014/chart" uri="{C3380CC4-5D6E-409C-BE32-E72D297353CC}">
                <c16:uniqueId val="{0000000C-FBD3-4200-B0EC-9B8E6F99B386}"/>
              </c:ext>
            </c:extLst>
          </c:dPt>
          <c:dPt>
            <c:idx val="13"/>
            <c:invertIfNegative val="0"/>
            <c:bubble3D val="0"/>
            <c:spPr>
              <a:solidFill>
                <a:srgbClr val="EDD500"/>
              </a:solidFill>
              <a:ln w="12700">
                <a:solidFill>
                  <a:srgbClr val="EDD500"/>
                </a:solidFill>
              </a:ln>
              <a:effectLst/>
            </c:spPr>
            <c:extLst>
              <c:ext xmlns:c16="http://schemas.microsoft.com/office/drawing/2014/chart" uri="{C3380CC4-5D6E-409C-BE32-E72D297353CC}">
                <c16:uniqueId val="{0000000E-FBD3-4200-B0EC-9B8E6F99B386}"/>
              </c:ext>
            </c:extLst>
          </c:dPt>
          <c:dPt>
            <c:idx val="14"/>
            <c:invertIfNegative val="0"/>
            <c:bubble3D val="0"/>
            <c:spPr>
              <a:solidFill>
                <a:srgbClr val="EDD500"/>
              </a:solidFill>
              <a:ln w="12700">
                <a:solidFill>
                  <a:srgbClr val="EDD500"/>
                </a:solidFill>
              </a:ln>
              <a:effectLst/>
            </c:spPr>
            <c:extLst>
              <c:ext xmlns:c16="http://schemas.microsoft.com/office/drawing/2014/chart" uri="{C3380CC4-5D6E-409C-BE32-E72D297353CC}">
                <c16:uniqueId val="{00000010-FBD3-4200-B0EC-9B8E6F99B386}"/>
              </c:ext>
            </c:extLst>
          </c:dPt>
          <c:dPt>
            <c:idx val="15"/>
            <c:invertIfNegative val="0"/>
            <c:bubble3D val="0"/>
            <c:spPr>
              <a:solidFill>
                <a:srgbClr val="EDD500"/>
              </a:solidFill>
              <a:ln w="12700">
                <a:solidFill>
                  <a:srgbClr val="EDD500"/>
                </a:solidFill>
              </a:ln>
              <a:effectLst/>
            </c:spPr>
            <c:extLst>
              <c:ext xmlns:c16="http://schemas.microsoft.com/office/drawing/2014/chart" uri="{C3380CC4-5D6E-409C-BE32-E72D297353CC}">
                <c16:uniqueId val="{00000012-FBD3-4200-B0EC-9B8E6F99B386}"/>
              </c:ext>
            </c:extLst>
          </c:dPt>
          <c:dPt>
            <c:idx val="16"/>
            <c:invertIfNegative val="0"/>
            <c:bubble3D val="0"/>
            <c:spPr>
              <a:solidFill>
                <a:srgbClr val="EDD500"/>
              </a:solidFill>
              <a:ln w="12700">
                <a:solidFill>
                  <a:srgbClr val="EDD500"/>
                </a:solidFill>
              </a:ln>
              <a:effectLst/>
            </c:spPr>
            <c:extLst>
              <c:ext xmlns:c16="http://schemas.microsoft.com/office/drawing/2014/chart" uri="{C3380CC4-5D6E-409C-BE32-E72D297353CC}">
                <c16:uniqueId val="{00000014-FBD3-4200-B0EC-9B8E6F99B386}"/>
              </c:ext>
            </c:extLst>
          </c:dPt>
          <c:cat>
            <c:strRef>
              <c:f>Sheet2!$A$3:$A$132</c:f>
              <c:strCache>
                <c:ptCount val="12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strCache>
            </c:strRef>
          </c:cat>
          <c:val>
            <c:numRef>
              <c:f>Sheet2!$C$3:$C$132</c:f>
              <c:numCache>
                <c:formatCode>General</c:formatCode>
                <c:ptCount val="129"/>
                <c:pt idx="7">
                  <c:v>332784346028</c:v>
                </c:pt>
                <c:pt idx="8">
                  <c:v>394462013120</c:v>
                </c:pt>
                <c:pt idx="9">
                  <c:v>313752960577</c:v>
                </c:pt>
                <c:pt idx="10">
                  <c:v>204566471733</c:v>
                </c:pt>
                <c:pt idx="11">
                  <c:v>179936454547</c:v>
                </c:pt>
                <c:pt idx="12">
                  <c:v>127156065994</c:v>
                </c:pt>
                <c:pt idx="13">
                  <c:v>154955499255</c:v>
                </c:pt>
                <c:pt idx="14">
                  <c:v>159154572061</c:v>
                </c:pt>
                <c:pt idx="15">
                  <c:v>82113120684</c:v>
                </c:pt>
                <c:pt idx="16">
                  <c:v>111197942076</c:v>
                </c:pt>
              </c:numCache>
            </c:numRef>
          </c:val>
          <c:extLst>
            <c:ext xmlns:c16="http://schemas.microsoft.com/office/drawing/2014/chart" uri="{C3380CC4-5D6E-409C-BE32-E72D297353CC}">
              <c16:uniqueId val="{00000015-FBD3-4200-B0EC-9B8E6F99B386}"/>
            </c:ext>
          </c:extLst>
        </c:ser>
        <c:ser>
          <c:idx val="2"/>
          <c:order val="2"/>
          <c:tx>
            <c:strRef>
              <c:f>Sheet2!$D$1:$D$2</c:f>
              <c:strCache>
                <c:ptCount val="1"/>
                <c:pt idx="0">
                  <c:v>GROUP C</c:v>
                </c:pt>
              </c:strCache>
            </c:strRef>
          </c:tx>
          <c:spPr>
            <a:solidFill>
              <a:srgbClr val="E9F201"/>
            </a:solidFill>
            <a:ln>
              <a:noFill/>
            </a:ln>
            <a:effectLst/>
          </c:spPr>
          <c:invertIfNegative val="0"/>
          <c:dPt>
            <c:idx val="4"/>
            <c:invertIfNegative val="0"/>
            <c:bubble3D val="0"/>
            <c:spPr>
              <a:solidFill>
                <a:srgbClr val="E9F201"/>
              </a:solidFill>
              <a:ln>
                <a:solidFill>
                  <a:srgbClr val="E9F201"/>
                </a:solidFill>
              </a:ln>
              <a:effectLst/>
            </c:spPr>
            <c:extLst>
              <c:ext xmlns:c16="http://schemas.microsoft.com/office/drawing/2014/chart" uri="{C3380CC4-5D6E-409C-BE32-E72D297353CC}">
                <c16:uniqueId val="{00000017-FBD3-4200-B0EC-9B8E6F99B386}"/>
              </c:ext>
            </c:extLst>
          </c:dPt>
          <c:dPt>
            <c:idx val="5"/>
            <c:invertIfNegative val="0"/>
            <c:bubble3D val="0"/>
            <c:spPr>
              <a:solidFill>
                <a:srgbClr val="E9F201"/>
              </a:solidFill>
              <a:ln w="12700">
                <a:solidFill>
                  <a:srgbClr val="E9F201"/>
                </a:solidFill>
              </a:ln>
              <a:effectLst/>
            </c:spPr>
            <c:extLst>
              <c:ext xmlns:c16="http://schemas.microsoft.com/office/drawing/2014/chart" uri="{C3380CC4-5D6E-409C-BE32-E72D297353CC}">
                <c16:uniqueId val="{00000019-FBD3-4200-B0EC-9B8E6F99B386}"/>
              </c:ext>
            </c:extLst>
          </c:dPt>
          <c:dPt>
            <c:idx val="6"/>
            <c:invertIfNegative val="0"/>
            <c:bubble3D val="0"/>
            <c:spPr>
              <a:solidFill>
                <a:srgbClr val="E9F201"/>
              </a:solidFill>
              <a:ln w="12700">
                <a:solidFill>
                  <a:srgbClr val="E9F201"/>
                </a:solidFill>
              </a:ln>
              <a:effectLst/>
            </c:spPr>
            <c:extLst>
              <c:ext xmlns:c16="http://schemas.microsoft.com/office/drawing/2014/chart" uri="{C3380CC4-5D6E-409C-BE32-E72D297353CC}">
                <c16:uniqueId val="{0000001B-FBD3-4200-B0EC-9B8E6F99B386}"/>
              </c:ext>
            </c:extLst>
          </c:dPt>
          <c:cat>
            <c:strRef>
              <c:f>Sheet2!$A$3:$A$132</c:f>
              <c:strCache>
                <c:ptCount val="12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strCache>
            </c:strRef>
          </c:cat>
          <c:val>
            <c:numRef>
              <c:f>Sheet2!$D$3:$D$132</c:f>
              <c:numCache>
                <c:formatCode>General</c:formatCode>
                <c:ptCount val="129"/>
                <c:pt idx="4">
                  <c:v>819106319696</c:v>
                </c:pt>
                <c:pt idx="5">
                  <c:v>626783113167</c:v>
                </c:pt>
                <c:pt idx="6">
                  <c:v>598954496376</c:v>
                </c:pt>
              </c:numCache>
            </c:numRef>
          </c:val>
          <c:extLst>
            <c:ext xmlns:c16="http://schemas.microsoft.com/office/drawing/2014/chart" uri="{C3380CC4-5D6E-409C-BE32-E72D297353CC}">
              <c16:uniqueId val="{0000001C-FBD3-4200-B0EC-9B8E6F99B386}"/>
            </c:ext>
          </c:extLst>
        </c:ser>
        <c:ser>
          <c:idx val="3"/>
          <c:order val="3"/>
          <c:tx>
            <c:strRef>
              <c:f>Sheet2!$E$1:$E$2</c:f>
              <c:strCache>
                <c:ptCount val="1"/>
                <c:pt idx="0">
                  <c:v>GROUP D</c:v>
                </c:pt>
              </c:strCache>
            </c:strRef>
          </c:tx>
          <c:spPr>
            <a:solidFill>
              <a:srgbClr val="E04E01"/>
            </a:solidFill>
            <a:ln>
              <a:noFill/>
            </a:ln>
            <a:effectLst/>
          </c:spPr>
          <c:invertIfNegative val="0"/>
          <c:dPt>
            <c:idx val="2"/>
            <c:invertIfNegative val="0"/>
            <c:bubble3D val="0"/>
            <c:spPr>
              <a:solidFill>
                <a:srgbClr val="E04E01"/>
              </a:solidFill>
              <a:ln w="12700">
                <a:solidFill>
                  <a:srgbClr val="E04E01"/>
                </a:solidFill>
              </a:ln>
              <a:effectLst/>
            </c:spPr>
            <c:extLst>
              <c:ext xmlns:c16="http://schemas.microsoft.com/office/drawing/2014/chart" uri="{C3380CC4-5D6E-409C-BE32-E72D297353CC}">
                <c16:uniqueId val="{0000001E-FBD3-4200-B0EC-9B8E6F99B386}"/>
              </c:ext>
            </c:extLst>
          </c:dPt>
          <c:dPt>
            <c:idx val="3"/>
            <c:invertIfNegative val="0"/>
            <c:bubble3D val="0"/>
            <c:spPr>
              <a:solidFill>
                <a:srgbClr val="E04E01"/>
              </a:solidFill>
              <a:ln w="12700">
                <a:solidFill>
                  <a:srgbClr val="E04E01"/>
                </a:solidFill>
              </a:ln>
              <a:effectLst/>
            </c:spPr>
            <c:extLst>
              <c:ext xmlns:c16="http://schemas.microsoft.com/office/drawing/2014/chart" uri="{C3380CC4-5D6E-409C-BE32-E72D297353CC}">
                <c16:uniqueId val="{00000020-FBD3-4200-B0EC-9B8E6F99B386}"/>
              </c:ext>
            </c:extLst>
          </c:dPt>
          <c:cat>
            <c:strRef>
              <c:f>Sheet2!$A$3:$A$132</c:f>
              <c:strCache>
                <c:ptCount val="12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strCache>
            </c:strRef>
          </c:cat>
          <c:val>
            <c:numRef>
              <c:f>Sheet2!$E$3:$E$132</c:f>
              <c:numCache>
                <c:formatCode>General</c:formatCode>
                <c:ptCount val="129"/>
                <c:pt idx="2">
                  <c:v>1300687704351</c:v>
                </c:pt>
                <c:pt idx="3">
                  <c:v>673393666195</c:v>
                </c:pt>
              </c:numCache>
            </c:numRef>
          </c:val>
          <c:extLst>
            <c:ext xmlns:c16="http://schemas.microsoft.com/office/drawing/2014/chart" uri="{C3380CC4-5D6E-409C-BE32-E72D297353CC}">
              <c16:uniqueId val="{00000021-FBD3-4200-B0EC-9B8E6F99B386}"/>
            </c:ext>
          </c:extLst>
        </c:ser>
        <c:ser>
          <c:idx val="4"/>
          <c:order val="4"/>
          <c:tx>
            <c:strRef>
              <c:f>Sheet2!$F$1:$F$2</c:f>
              <c:strCache>
                <c:ptCount val="1"/>
                <c:pt idx="0">
                  <c:v>GROUP E</c:v>
                </c:pt>
              </c:strCache>
            </c:strRef>
          </c:tx>
          <c:spPr>
            <a:solidFill>
              <a:srgbClr val="921616"/>
            </a:solidFill>
            <a:ln w="12700">
              <a:solidFill>
                <a:srgbClr val="921616"/>
              </a:solidFill>
            </a:ln>
            <a:effectLst/>
          </c:spPr>
          <c:invertIfNegative val="0"/>
          <c:cat>
            <c:strRef>
              <c:f>Sheet2!$A$3:$A$132</c:f>
              <c:strCache>
                <c:ptCount val="12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strCache>
            </c:strRef>
          </c:cat>
          <c:val>
            <c:numRef>
              <c:f>Sheet2!$F$3:$F$132</c:f>
              <c:numCache>
                <c:formatCode>General</c:formatCode>
                <c:ptCount val="129"/>
                <c:pt idx="0">
                  <c:v>1151369271278</c:v>
                </c:pt>
                <c:pt idx="1">
                  <c:v>1853936783949</c:v>
                </c:pt>
              </c:numCache>
            </c:numRef>
          </c:val>
          <c:extLst>
            <c:ext xmlns:c16="http://schemas.microsoft.com/office/drawing/2014/chart" uri="{C3380CC4-5D6E-409C-BE32-E72D297353CC}">
              <c16:uniqueId val="{00000022-FBD3-4200-B0EC-9B8E6F99B386}"/>
            </c:ext>
          </c:extLst>
        </c:ser>
        <c:dLbls>
          <c:showLegendKey val="0"/>
          <c:showVal val="0"/>
          <c:showCatName val="0"/>
          <c:showSerName val="0"/>
          <c:showPercent val="0"/>
          <c:showBubbleSize val="0"/>
        </c:dLbls>
        <c:gapWidth val="219"/>
        <c:axId val="167323136"/>
        <c:axId val="154849792"/>
      </c:barChart>
      <c:catAx>
        <c:axId val="16732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54849792"/>
        <c:crosses val="autoZero"/>
        <c:auto val="0"/>
        <c:lblAlgn val="ctr"/>
        <c:lblOffset val="100"/>
        <c:noMultiLvlLbl val="0"/>
      </c:catAx>
      <c:valAx>
        <c:axId val="154849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67323136"/>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6350" cap="flat" cmpd="sng" algn="ctr">
      <a:solidFill>
        <a:schemeClr val="bg1">
          <a:lumMod val="95000"/>
        </a:schemeClr>
      </a:solidFill>
      <a:round/>
    </a:ln>
    <a:effectLst/>
  </c:spPr>
  <c:txPr>
    <a:bodyPr/>
    <a:lstStyle/>
    <a:p>
      <a:pPr>
        <a:defRPr/>
      </a:pPr>
      <a:endParaRPr lang="el-GR"/>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[potential_AGB_int (version 1).xls]ee-chart (1)!PivotTable1</c:name>
    <c:fmtId val="-1"/>
  </c:pivotSource>
  <c:chart>
    <c:autoTitleDeleted val="1"/>
    <c:pivotFmts>
      <c:pivotFmt>
        <c:idx val="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a:softEdge rad="190500"/>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6FD220"/>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chemeClr val="tx1"/>
                    </a:solidFill>
                  </a:rPr>
                  <a:t>5%</a:t>
                </a:r>
              </a:p>
            </c:rich>
          </c:tx>
          <c:spPr>
            <a:noFill/>
            <a:ln>
              <a:noFill/>
            </a:ln>
            <a:effectLst>
              <a:softEdge rad="190500"/>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End"/>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3"/>
        <c:spPr>
          <a:solidFill>
            <a:srgbClr val="EDD500"/>
          </a:solidFill>
          <a:ln>
            <a:noFill/>
          </a:ln>
          <a:effectLst/>
        </c:spPr>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chemeClr val="tx1"/>
                    </a:solidFill>
                  </a:rPr>
                  <a:t>22%</a:t>
                </a:r>
              </a:p>
            </c:rich>
          </c:tx>
          <c:spPr>
            <a:noFill/>
            <a:ln>
              <a:noFill/>
            </a:ln>
            <a:effectLst>
              <a:softEdge rad="190500"/>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End"/>
          <c:showLegendKey val="0"/>
          <c:showVal val="1"/>
          <c:showCatName val="0"/>
          <c:showSerName val="0"/>
          <c:showPercent val="0"/>
          <c:showBubbleSize val="0"/>
          <c:extLst>
            <c:ext xmlns:c15="http://schemas.microsoft.com/office/drawing/2012/chart" uri="{CE6537A1-D6FC-4f65-9D91-7224C49458BB}">
              <c15:layout>
                <c:manualLayout>
                  <c:w val="6.494033606623914E-2"/>
                  <c:h val="0.1001199492614346"/>
                </c:manualLayout>
              </c15:layout>
              <c15:showDataLabelsRange val="0"/>
            </c:ext>
          </c:extLst>
        </c:dLbl>
      </c:pivotFmt>
      <c:pivotFmt>
        <c:idx val="4"/>
        <c:spPr>
          <a:solidFill>
            <a:srgbClr val="E98E0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chemeClr val="tx1"/>
                    </a:solidFill>
                  </a:rPr>
                  <a:t>21%</a:t>
                </a:r>
              </a:p>
            </c:rich>
          </c:tx>
          <c:spPr>
            <a:noFill/>
            <a:ln>
              <a:noFill/>
            </a:ln>
            <a:effectLst>
              <a:softEdge rad="190500"/>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End"/>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5"/>
        <c:spPr>
          <a:solidFill>
            <a:srgbClr val="E04E0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chemeClr val="tx1"/>
                    </a:solidFill>
                  </a:rPr>
                  <a:t>21%</a:t>
                </a:r>
              </a:p>
            </c:rich>
          </c:tx>
          <c:spPr>
            <a:noFill/>
            <a:ln>
              <a:noFill/>
            </a:ln>
            <a:effectLst>
              <a:softEdge rad="190500"/>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End"/>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6"/>
        <c:spPr>
          <a:solidFill>
            <a:srgbClr val="921616"/>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chemeClr val="tx1"/>
                    </a:solidFill>
                  </a:rPr>
                  <a:t>31%</a:t>
                </a:r>
              </a:p>
            </c:rich>
          </c:tx>
          <c:spPr>
            <a:noFill/>
            <a:ln>
              <a:noFill/>
            </a:ln>
            <a:effectLst>
              <a:softEdge rad="190500"/>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End"/>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7"/>
        <c:spPr>
          <a:solidFill>
            <a:schemeClr val="accent1"/>
          </a:solidFill>
          <a:ln>
            <a:noFill/>
          </a:ln>
          <a:effectLst/>
        </c:spPr>
        <c:marker>
          <c:symbol val="none"/>
        </c:marker>
        <c:dLbl>
          <c:idx val="0"/>
          <c:spPr>
            <a:noFill/>
            <a:ln>
              <a:noFill/>
            </a:ln>
            <a:effectLst>
              <a:softEdge rad="190500"/>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6FD220"/>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chemeClr val="tx1"/>
                    </a:solidFill>
                  </a:rPr>
                  <a:t>5%</a:t>
                </a:r>
              </a:p>
            </c:rich>
          </c:tx>
          <c:spPr>
            <a:noFill/>
            <a:ln>
              <a:noFill/>
            </a:ln>
            <a:effectLst>
              <a:softEdge rad="190500"/>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End"/>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9"/>
        <c:spPr>
          <a:solidFill>
            <a:srgbClr val="EDD500"/>
          </a:solidFill>
          <a:ln>
            <a:noFill/>
          </a:ln>
          <a:effectLst/>
        </c:spPr>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chemeClr val="tx1"/>
                    </a:solidFill>
                  </a:rPr>
                  <a:t>22%</a:t>
                </a:r>
              </a:p>
            </c:rich>
          </c:tx>
          <c:spPr>
            <a:noFill/>
            <a:ln>
              <a:noFill/>
            </a:ln>
            <a:effectLst>
              <a:softEdge rad="190500"/>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End"/>
          <c:showLegendKey val="0"/>
          <c:showVal val="1"/>
          <c:showCatName val="0"/>
          <c:showSerName val="0"/>
          <c:showPercent val="0"/>
          <c:showBubbleSize val="0"/>
          <c:extLst>
            <c:ext xmlns:c15="http://schemas.microsoft.com/office/drawing/2012/chart" uri="{CE6537A1-D6FC-4f65-9D91-7224C49458BB}">
              <c15:layout>
                <c:manualLayout>
                  <c:w val="6.494033606623914E-2"/>
                  <c:h val="0.1001199492614346"/>
                </c:manualLayout>
              </c15:layout>
              <c15:showDataLabelsRange val="0"/>
            </c:ext>
          </c:extLst>
        </c:dLbl>
      </c:pivotFmt>
      <c:pivotFmt>
        <c:idx val="10"/>
        <c:spPr>
          <a:solidFill>
            <a:srgbClr val="E98E0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chemeClr val="tx1"/>
                    </a:solidFill>
                  </a:rPr>
                  <a:t>21%</a:t>
                </a:r>
              </a:p>
            </c:rich>
          </c:tx>
          <c:spPr>
            <a:noFill/>
            <a:ln>
              <a:noFill/>
            </a:ln>
            <a:effectLst>
              <a:softEdge rad="190500"/>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End"/>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1"/>
        <c:spPr>
          <a:solidFill>
            <a:srgbClr val="E04E0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chemeClr val="tx1"/>
                    </a:solidFill>
                  </a:rPr>
                  <a:t>21%</a:t>
                </a:r>
              </a:p>
            </c:rich>
          </c:tx>
          <c:spPr>
            <a:noFill/>
            <a:ln>
              <a:noFill/>
            </a:ln>
            <a:effectLst>
              <a:softEdge rad="190500"/>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End"/>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2"/>
        <c:spPr>
          <a:solidFill>
            <a:srgbClr val="921616"/>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chemeClr val="tx1"/>
                    </a:solidFill>
                  </a:rPr>
                  <a:t>31%</a:t>
                </a:r>
              </a:p>
            </c:rich>
          </c:tx>
          <c:spPr>
            <a:noFill/>
            <a:ln>
              <a:noFill/>
            </a:ln>
            <a:effectLst>
              <a:softEdge rad="190500"/>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End"/>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3"/>
        <c:spPr>
          <a:solidFill>
            <a:schemeClr val="accent1"/>
          </a:solidFill>
          <a:ln>
            <a:noFill/>
          </a:ln>
          <a:effectLst/>
        </c:spPr>
        <c:marker>
          <c:symbol val="none"/>
        </c:marker>
        <c:dLbl>
          <c:idx val="0"/>
          <c:spPr>
            <a:noFill/>
            <a:ln>
              <a:noFill/>
            </a:ln>
            <a:effectLst>
              <a:softEdge rad="190500"/>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rgbClr val="6FD220"/>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chemeClr val="tx1"/>
                    </a:solidFill>
                  </a:rPr>
                  <a:t>5%</a:t>
                </a:r>
              </a:p>
            </c:rich>
          </c:tx>
          <c:spPr>
            <a:noFill/>
            <a:ln>
              <a:noFill/>
            </a:ln>
            <a:effectLst>
              <a:softEdge rad="190500"/>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End"/>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5"/>
        <c:spPr>
          <a:solidFill>
            <a:srgbClr val="EDD500"/>
          </a:solidFill>
          <a:ln>
            <a:noFill/>
          </a:ln>
          <a:effectLst/>
        </c:spPr>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chemeClr val="tx1"/>
                    </a:solidFill>
                  </a:rPr>
                  <a:t>22%</a:t>
                </a:r>
              </a:p>
            </c:rich>
          </c:tx>
          <c:spPr>
            <a:noFill/>
            <a:ln>
              <a:noFill/>
            </a:ln>
            <a:effectLst>
              <a:softEdge rad="190500"/>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End"/>
          <c:showLegendKey val="0"/>
          <c:showVal val="1"/>
          <c:showCatName val="0"/>
          <c:showSerName val="0"/>
          <c:showPercent val="0"/>
          <c:showBubbleSize val="0"/>
          <c:extLst>
            <c:ext xmlns:c15="http://schemas.microsoft.com/office/drawing/2012/chart" uri="{CE6537A1-D6FC-4f65-9D91-7224C49458BB}">
              <c15:layout>
                <c:manualLayout>
                  <c:w val="6.494033606623914E-2"/>
                  <c:h val="0.1001199492614346"/>
                </c:manualLayout>
              </c15:layout>
              <c15:showDataLabelsRange val="0"/>
            </c:ext>
          </c:extLst>
        </c:dLbl>
      </c:pivotFmt>
      <c:pivotFmt>
        <c:idx val="16"/>
        <c:spPr>
          <a:solidFill>
            <a:srgbClr val="E98E0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chemeClr val="tx1"/>
                    </a:solidFill>
                  </a:rPr>
                  <a:t>21%</a:t>
                </a:r>
              </a:p>
            </c:rich>
          </c:tx>
          <c:spPr>
            <a:noFill/>
            <a:ln>
              <a:noFill/>
            </a:ln>
            <a:effectLst>
              <a:softEdge rad="190500"/>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End"/>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7"/>
        <c:spPr>
          <a:solidFill>
            <a:srgbClr val="E04E0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chemeClr val="tx1"/>
                    </a:solidFill>
                  </a:rPr>
                  <a:t>21%</a:t>
                </a:r>
              </a:p>
            </c:rich>
          </c:tx>
          <c:spPr>
            <a:noFill/>
            <a:ln>
              <a:noFill/>
            </a:ln>
            <a:effectLst>
              <a:softEdge rad="190500"/>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End"/>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8"/>
        <c:spPr>
          <a:solidFill>
            <a:srgbClr val="921616"/>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chemeClr val="tx1"/>
                    </a:solidFill>
                  </a:rPr>
                  <a:t>31%</a:t>
                </a:r>
              </a:p>
            </c:rich>
          </c:tx>
          <c:spPr>
            <a:noFill/>
            <a:ln>
              <a:noFill/>
            </a:ln>
            <a:effectLst>
              <a:softEdge rad="190500"/>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End"/>
          <c:showLegendKey val="0"/>
          <c:showVal val="1"/>
          <c:showCatName val="0"/>
          <c:showSerName val="0"/>
          <c:showPercent val="0"/>
          <c:showBubbleSize val="0"/>
          <c:extLst>
            <c:ext xmlns:c15="http://schemas.microsoft.com/office/drawing/2012/chart" uri="{CE6537A1-D6FC-4f65-9D91-7224C49458BB}">
              <c15:showDataLabelsRange val="0"/>
            </c:ext>
          </c:extLst>
        </c:dLbl>
      </c:pivotFmt>
    </c:pivotFmts>
    <c:plotArea>
      <c:layout/>
      <c:pieChart>
        <c:varyColors val="1"/>
        <c:ser>
          <c:idx val="0"/>
          <c:order val="0"/>
          <c:tx>
            <c:strRef>
              <c:f>'ee-chart (1)'!$AF$133:$AF$134</c:f>
              <c:strCache>
                <c:ptCount val="1"/>
                <c:pt idx="0">
                  <c:v>Total</c:v>
                </c:pt>
              </c:strCache>
            </c:strRef>
          </c:tx>
          <c:dPt>
            <c:idx val="0"/>
            <c:bubble3D val="0"/>
            <c:spPr>
              <a:solidFill>
                <a:srgbClr val="6FD220"/>
              </a:solidFill>
              <a:ln>
                <a:noFill/>
              </a:ln>
              <a:effectLst/>
            </c:spPr>
            <c:extLst>
              <c:ext xmlns:c16="http://schemas.microsoft.com/office/drawing/2014/chart" uri="{C3380CC4-5D6E-409C-BE32-E72D297353CC}">
                <c16:uniqueId val="{00000001-EEDB-41D0-93CD-54709F99F052}"/>
              </c:ext>
            </c:extLst>
          </c:dPt>
          <c:dPt>
            <c:idx val="1"/>
            <c:bubble3D val="0"/>
            <c:spPr>
              <a:solidFill>
                <a:srgbClr val="EDD500"/>
              </a:solidFill>
              <a:ln>
                <a:noFill/>
              </a:ln>
              <a:effectLst/>
            </c:spPr>
            <c:extLst>
              <c:ext xmlns:c16="http://schemas.microsoft.com/office/drawing/2014/chart" uri="{C3380CC4-5D6E-409C-BE32-E72D297353CC}">
                <c16:uniqueId val="{00000003-EEDB-41D0-93CD-54709F99F052}"/>
              </c:ext>
            </c:extLst>
          </c:dPt>
          <c:dPt>
            <c:idx val="2"/>
            <c:bubble3D val="0"/>
            <c:spPr>
              <a:solidFill>
                <a:srgbClr val="E98E01"/>
              </a:solidFill>
              <a:ln>
                <a:noFill/>
              </a:ln>
              <a:effectLst/>
            </c:spPr>
            <c:extLst>
              <c:ext xmlns:c16="http://schemas.microsoft.com/office/drawing/2014/chart" uri="{C3380CC4-5D6E-409C-BE32-E72D297353CC}">
                <c16:uniqueId val="{00000005-EEDB-41D0-93CD-54709F99F052}"/>
              </c:ext>
            </c:extLst>
          </c:dPt>
          <c:dPt>
            <c:idx val="3"/>
            <c:bubble3D val="0"/>
            <c:spPr>
              <a:solidFill>
                <a:srgbClr val="E04E01"/>
              </a:solidFill>
              <a:ln>
                <a:noFill/>
              </a:ln>
              <a:effectLst/>
            </c:spPr>
            <c:extLst>
              <c:ext xmlns:c16="http://schemas.microsoft.com/office/drawing/2014/chart" uri="{C3380CC4-5D6E-409C-BE32-E72D297353CC}">
                <c16:uniqueId val="{00000007-EEDB-41D0-93CD-54709F99F052}"/>
              </c:ext>
            </c:extLst>
          </c:dPt>
          <c:dPt>
            <c:idx val="4"/>
            <c:bubble3D val="0"/>
            <c:spPr>
              <a:solidFill>
                <a:srgbClr val="921616"/>
              </a:solidFill>
              <a:ln>
                <a:noFill/>
              </a:ln>
              <a:effectLst/>
            </c:spPr>
            <c:extLst>
              <c:ext xmlns:c16="http://schemas.microsoft.com/office/drawing/2014/chart" uri="{C3380CC4-5D6E-409C-BE32-E72D297353CC}">
                <c16:uniqueId val="{00000009-EEDB-41D0-93CD-54709F99F052}"/>
              </c:ext>
            </c:extLst>
          </c:dPt>
          <c:dLbls>
            <c:dLbl>
              <c:idx val="0"/>
              <c:tx>
                <c:rich>
                  <a:bodyPr/>
                  <a:lstStyle/>
                  <a:p>
                    <a:r>
                      <a:rPr lang="en-US" sz="1100" b="1">
                        <a:solidFill>
                          <a:schemeClr val="tx1"/>
                        </a:solidFill>
                      </a:rPr>
                      <a:t>5%</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EDB-41D0-93CD-54709F99F052}"/>
                </c:ext>
              </c:extLst>
            </c:dLbl>
            <c:dLbl>
              <c:idx val="1"/>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chemeClr val="tx1"/>
                        </a:solidFill>
                      </a:rPr>
                      <a:t>22%</a:t>
                    </a:r>
                  </a:p>
                </c:rich>
              </c:tx>
              <c:spPr>
                <a:noFill/>
                <a:ln>
                  <a:noFill/>
                </a:ln>
                <a:effectLst>
                  <a:softEdge rad="190500"/>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End"/>
              <c:showLegendKey val="0"/>
              <c:showVal val="1"/>
              <c:showCatName val="0"/>
              <c:showSerName val="0"/>
              <c:showPercent val="0"/>
              <c:showBubbleSize val="0"/>
              <c:extLst>
                <c:ext xmlns:c15="http://schemas.microsoft.com/office/drawing/2012/chart" uri="{CE6537A1-D6FC-4f65-9D91-7224C49458BB}">
                  <c15:layout>
                    <c:manualLayout>
                      <c:w val="6.494033606623914E-2"/>
                      <c:h val="0.1001199492614346"/>
                    </c:manualLayout>
                  </c15:layout>
                  <c15:showDataLabelsRange val="0"/>
                </c:ext>
                <c:ext xmlns:c16="http://schemas.microsoft.com/office/drawing/2014/chart" uri="{C3380CC4-5D6E-409C-BE32-E72D297353CC}">
                  <c16:uniqueId val="{00000003-EEDB-41D0-93CD-54709F99F052}"/>
                </c:ext>
              </c:extLst>
            </c:dLbl>
            <c:dLbl>
              <c:idx val="2"/>
              <c:tx>
                <c:rich>
                  <a:bodyPr/>
                  <a:lstStyle/>
                  <a:p>
                    <a:r>
                      <a:rPr lang="en-US" sz="1100" b="1">
                        <a:solidFill>
                          <a:schemeClr val="tx1"/>
                        </a:solidFill>
                      </a:rPr>
                      <a:t>21%</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EDB-41D0-93CD-54709F99F052}"/>
                </c:ext>
              </c:extLst>
            </c:dLbl>
            <c:dLbl>
              <c:idx val="3"/>
              <c:tx>
                <c:rich>
                  <a:bodyPr/>
                  <a:lstStyle/>
                  <a:p>
                    <a:r>
                      <a:rPr lang="en-US" sz="1100" b="1">
                        <a:solidFill>
                          <a:schemeClr val="tx1"/>
                        </a:solidFill>
                      </a:rPr>
                      <a:t>21%</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EDB-41D0-93CD-54709F99F052}"/>
                </c:ext>
              </c:extLst>
            </c:dLbl>
            <c:dLbl>
              <c:idx val="4"/>
              <c:tx>
                <c:rich>
                  <a:bodyPr/>
                  <a:lstStyle/>
                  <a:p>
                    <a:r>
                      <a:rPr lang="en-US" sz="1100" b="1">
                        <a:solidFill>
                          <a:schemeClr val="tx1"/>
                        </a:solidFill>
                      </a:rPr>
                      <a:t>31%</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EDB-41D0-93CD-54709F99F052}"/>
                </c:ext>
              </c:extLst>
            </c:dLbl>
            <c:spPr>
              <a:noFill/>
              <a:ln>
                <a:noFill/>
              </a:ln>
              <a:effectLst>
                <a:softEdge rad="190500"/>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'ee-chart (1)'!$AE$135:$AE$140</c:f>
              <c:strCache>
                <c:ptCount val="5"/>
                <c:pt idx="0">
                  <c:v>GROUP A</c:v>
                </c:pt>
                <c:pt idx="1">
                  <c:v>GROUP B</c:v>
                </c:pt>
                <c:pt idx="2">
                  <c:v>GROUP C</c:v>
                </c:pt>
                <c:pt idx="3">
                  <c:v>GROUP D</c:v>
                </c:pt>
                <c:pt idx="4">
                  <c:v>GROUP E</c:v>
                </c:pt>
              </c:strCache>
            </c:strRef>
          </c:cat>
          <c:val>
            <c:numRef>
              <c:f>'ee-chart (1)'!$AF$135:$AF$140</c:f>
              <c:numCache>
                <c:formatCode>General</c:formatCode>
                <c:ptCount val="5"/>
                <c:pt idx="0">
                  <c:v>5.0516886135435618E-2</c:v>
                </c:pt>
                <c:pt idx="1">
                  <c:v>0.21531745116356299</c:v>
                </c:pt>
                <c:pt idx="2">
                  <c:v>0.21372505012362386</c:v>
                </c:pt>
                <c:pt idx="3">
                  <c:v>0.20632901799262124</c:v>
                </c:pt>
                <c:pt idx="4">
                  <c:v>0.31411159458475629</c:v>
                </c:pt>
              </c:numCache>
            </c:numRef>
          </c:val>
          <c:extLst>
            <c:ext xmlns:c16="http://schemas.microsoft.com/office/drawing/2014/chart" uri="{C3380CC4-5D6E-409C-BE32-E72D297353CC}">
              <c16:uniqueId val="{0000000A-EEDB-41D0-93CD-54709F99F052}"/>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a:pPr>
      <a:endParaRPr lang="el-G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Liu12</b:Tag>
    <b:SourceType>JournalArticle</b:SourceType>
    <b:Guid>{97013B0A-DD9E-4B1D-873D-E99A2B3B5EF8}</b:Guid>
    <b:Author>
      <b:Author>
        <b:NameList>
          <b:Person>
            <b:Last>Liu</b:Last>
            <b:First>Y.,</b:First>
            <b:Middle>Guirui, Y., Wang, Q.-F. and Zhang, Y.</b:Middle>
          </b:Person>
        </b:NameList>
      </b:Author>
    </b:Author>
    <b:Title>Huge carbon sequestration potential in global forests</b:Title>
    <b:JournalName>Journal of Resources and Ecology </b:JournalName>
    <b:Year>2012</b:Year>
    <b:Pages>3, 193–201</b:Pages>
    <b:RefOrder>13</b:RefOrder>
  </b:Source>
  <b:Source>
    <b:Tag>Kei09</b:Tag>
    <b:SourceType>JournalArticle</b:SourceType>
    <b:Guid>{AA57CAA5-7E08-4871-9046-29597657A8FD}</b:Guid>
    <b:Author>
      <b:Author>
        <b:NameList>
          <b:Person>
            <b:Last>Keith</b:Last>
            <b:First>H.,</b:First>
            <b:Middle>Mackey, B. G., Lindenmayer, D. B.</b:Middle>
          </b:Person>
        </b:NameList>
      </b:Author>
    </b:Author>
    <b:Title>Re-evaluation of forest biomass carbon stocks and lessons from the world’s most carbon-dense forests.</b:Title>
    <b:JournalName>National Academy of Sciences</b:JournalName>
    <b:Year>2009</b:Year>
    <b:Pages>106: 11635-11640.</b:Pages>
    <b:RefOrder>14</b:RefOrder>
  </b:Source>
  <b:Source>
    <b:Tag>Lun20</b:Tag>
    <b:SourceType>JournalArticle</b:SourceType>
    <b:Guid>{C0CE8EBD-D6EE-42C4-8E44-A745B77DB7A9}</b:Guid>
    <b:Author>
      <b:Author>
        <b:NameList>
          <b:Person>
            <b:Last>Lundberg</b:Last>
            <b:First>S.,</b:First>
            <b:Middle>Erion, G., Chen, H., DeGrave, A., Prutkin, J., Nair, B., Katz, R., Himmelfarb, J., Bansal, N. and Lee, S.-I.</b:Middle>
          </b:Person>
        </b:NameList>
      </b:Author>
    </b:Author>
    <b:Title>‘From local explanations to global understanding with explainable ai for trees</b:Title>
    <b:JournalName>Nature Machine Intelligence</b:JournalName>
    <b:Year>2020</b:Year>
    <b:RefOrder>28</b:RefOrder>
  </b:Source>
  <b:Source>
    <b:Tag>Spa20</b:Tag>
    <b:SourceType>Report</b:SourceType>
    <b:Guid>{E9F251A0-FA58-489E-A7C7-F314FB7E37CF}</b:Guid>
    <b:Title>Harmonized global maps of above and belowground biomass carbon density in the year 2010</b:Title>
    <b:Year>2020</b:Year>
    <b:Publisher>Scientific Data</b:Publisher>
    <b:Author>
      <b:Author>
        <b:NameList>
          <b:Person>
            <b:Last>Spawn</b:Last>
            <b:Middle>A.</b:Middle>
            <b:First>Seth</b:First>
          </b:Person>
          <b:Person>
            <b:Last>Sullivan</b:Last>
            <b:Middle>C.</b:Middle>
            <b:First>Clare</b:First>
          </b:Person>
          <b:Person>
            <b:Last>Lark</b:Last>
            <b:Middle>J.</b:Middle>
            <b:First>Tyler</b:First>
          </b:Person>
          <b:Person>
            <b:Last>Gibbs</b:Last>
            <b:Middle>K.</b:Middle>
            <b:First>Holly</b:First>
          </b:Person>
        </b:NameList>
      </b:Author>
    </b:Author>
    <b:RefOrder>30</b:RefOrder>
  </b:Source>
  <b:Source>
    <b:Tag>Mal20</b:Tag>
    <b:SourceType>Report</b:SourceType>
    <b:Guid>{E040AC96-0EC9-4457-B2CB-160CD012CD2D}</b:Guid>
    <b:Title>Automated Production of a Land Cover/Use Map of Europe Based on Sentinel-2 Imagery</b:Title>
    <b:Year>2020</b:Year>
    <b:Publisher>Remote Sensing</b:Publisher>
    <b:Author>
      <b:Author>
        <b:NameList>
          <b:Person>
            <b:Last>Malinowski</b:Last>
            <b:First>R.</b:First>
          </b:Person>
          <b:Person>
            <b:Last>Lewiński</b:Last>
            <b:First>S.</b:First>
          </b:Person>
          <b:Person>
            <b:Last>Rybicki</b:Last>
            <b:First>M.</b:First>
          </b:Person>
          <b:Person>
            <b:Last>Gromny</b:Last>
            <b:First>E.</b:First>
          </b:Person>
          <b:Person>
            <b:Last>Jenerowicz</b:Last>
            <b:First>M.</b:First>
          </b:Person>
          <b:Person>
            <b:Last>Krupiński</b:Last>
            <b:First>M.</b:First>
          </b:Person>
          <b:Person>
            <b:Last>Nowakowski</b:Last>
            <b:First>A.</b:First>
          </b:Person>
          <b:Person>
            <b:Last>Wojtkowski</b:Last>
            <b:First>C.</b:First>
          </b:Person>
          <b:Person>
            <b:Last>Krupiński</b:Last>
            <b:First>M.</b:First>
          </b:Person>
          <b:Person>
            <b:Last>Krätzschmar</b:Last>
            <b:First>E.</b:First>
          </b:Person>
          <b:Person>
            <b:Last>Schauer</b:Last>
            <b:First>P.</b:First>
          </b:Person>
        </b:NameList>
      </b:Author>
    </b:Author>
    <b:RefOrder>31</b:RefOrder>
  </b:Source>
  <b:Source>
    <b:Tag>Bru11</b:Tag>
    <b:SourceType>Report</b:SourceType>
    <b:Guid>{C31D1F39-A62E-4500-A645-9FA3EE52CA77}</b:Guid>
    <b:Title>Statistical mapping of tree species over Europe. Special Issue European Journal of Forest Research.</b:Title>
    <b:Year>2011</b:Year>
    <b:Author>
      <b:Author>
        <b:NameList>
          <b:Person>
            <b:Last>Brus</b:Last>
            <b:Middle>J.</b:Middle>
            <b:First>D.</b:First>
          </b:Person>
          <b:Person>
            <b:Last>Hengeveld</b:Last>
            <b:Middle>M.</b:Middle>
            <b:First>G.</b:First>
          </b:Person>
          <b:Person>
            <b:Last>Walvoort</b:Last>
            <b:Middle>J.</b:Middle>
            <b:First>D. J.</b:First>
          </b:Person>
          <b:Person>
            <b:Last>Goedhart</b:Last>
            <b:Middle>W.</b:Middle>
            <b:First>P.</b:First>
          </b:Person>
          <b:Person>
            <b:Last>Heidema</b:Last>
            <b:Middle>H.</b:Middle>
            <b:First>A.</b:First>
          </b:Person>
          <b:Person>
            <b:Last>Nabuurs</b:Last>
            <b:Middle>J.</b:Middle>
            <b:First>G.</b:First>
          </b:Person>
          <b:Person>
            <b:Last>Gunia</b:Last>
            <b:First>K.</b:First>
          </b:Person>
        </b:NameList>
      </b:Author>
    </b:Author>
    <b:RefOrder>32</b:RefOrder>
  </b:Source>
  <b:Source>
    <b:Tag>Gor17</b:Tag>
    <b:SourceType>Report</b:SourceType>
    <b:Guid>{A90ED444-B1A0-4FD6-8603-802DC4597ED2}</b:Guid>
    <b:Title>Google Earth Engine: Planetary-scale geospatial analysis for everyone. Remote Sensing of Environment</b:Title>
    <b:Year>2017</b:Year>
    <b:Author>
      <b:Author>
        <b:NameList>
          <b:Person>
            <b:Last>Gorelick</b:Last>
            <b:First>N.</b:First>
          </b:Person>
          <b:Person>
            <b:Last>Hancher</b:Last>
            <b:First>M.</b:First>
          </b:Person>
          <b:Person>
            <b:Last>Dixon</b:Last>
            <b:First>M.</b:First>
          </b:Person>
          <b:Person>
            <b:Last>Ilyushchenko</b:Last>
            <b:First>S.</b:First>
          </b:Person>
          <b:Person>
            <b:Last>Thau</b:Last>
            <b:First>D.</b:First>
          </b:Person>
          <b:Person>
            <b:Last>Moore</b:Last>
            <b:First>R.</b:First>
          </b:Person>
        </b:NameList>
      </b:Author>
    </b:Author>
    <b:RefOrder>29</b:RefOrder>
  </b:Source>
  <b:Source>
    <b:Tag>Int06</b:Tag>
    <b:SourceType>Report</b:SourceType>
    <b:Guid>{018B5B3B-B937-4498-89F5-01C09CB60728}</b:Guid>
    <b:Title>guidelines for national greenhouse gas inventories volume 4: agriculture, forestry and other land use</b:Title>
    <b:Year>2006</b:Year>
    <b:Publisher>Intergovernmental Panel on Climate Change</b:Publisher>
    <b:Author>
      <b:Author>
        <b:NameList>
          <b:Person>
            <b:Last>IPCC</b:Last>
          </b:Person>
        </b:NameList>
      </b:Author>
    </b:Author>
    <b:RefOrder>1</b:RefOrder>
  </b:Source>
  <b:Source>
    <b:Tag>Hal7a</b:Tag>
    <b:SourceType>Misc</b:SourceType>
    <b:Guid>{3A4C6D22-A23A-48C8-A54C-E5C521645DDF}</b:Guid>
    <b:Title>Glcm texture: A tutorial </b:Title>
    <b:Year>2017a</b:Year>
    <b:Author>
      <b:Author>
        <b:NameList>
          <b:Person>
            <b:Last>Hall-Beyer</b:Last>
            <b:First>M.</b:First>
          </b:Person>
        </b:NameList>
      </b:Author>
    </b:Author>
    <b:RefOrder>24</b:RefOrder>
  </b:Source>
  <b:Source>
    <b:Tag>EEA17</b:Tag>
    <b:SourceType>Report</b:SourceType>
    <b:Guid>{2941511B-3C0A-4D30-95D9-5599EB1C69B3}</b:Guid>
    <b:Author>
      <b:Author>
        <b:NameList>
          <b:Person>
            <b:Last>EEA</b:Last>
          </b:Person>
        </b:NameList>
      </b:Author>
    </b:Author>
    <b:Title>European environmental agency. climate change, impacts and vulnerability in europe 2016, an indicator-based report</b:Title>
    <b:Year>2017</b:Year>
    <b:Publisher>European Environment Agency</b:Publisher>
    <b:RefOrder>19</b:RefOrder>
  </b:Source>
  <b:Source>
    <b:Tag>Pan19</b:Tag>
    <b:SourceType>JournalArticle</b:SourceType>
    <b:Guid>{258E2B55-1886-4FC3-A4FA-9C3AE360A8DA}</b:Guid>
    <b:Author>
      <b:Author>
        <b:NameList>
          <b:Person>
            <b:Last>Pandit</b:Last>
            <b:First>S.</b:First>
          </b:Person>
          <b:Person>
            <b:Last>Tsuyuki</b:Last>
            <b:First>S.</b:First>
          </b:Person>
          <b:Person>
            <b:Last>Dube</b:Last>
            <b:First>T.</b:First>
          </b:Person>
        </b:NameList>
      </b:Author>
    </b:Author>
    <b:Title>Exploring the inclusion of Sentinel-2 MSI texture metrics in above-ground biomass estimation in the community forest of Nepal</b:Title>
    <b:JournalName>Geocarto International</b:JournalName>
    <b:Year>2019</b:Year>
    <b:RefOrder>17</b:RefOrder>
  </b:Source>
  <b:Source>
    <b:Tag>Cai97</b:Tag>
    <b:SourceType>JournalArticle</b:SourceType>
    <b:Guid>{E0EF63B6-0E87-4BB8-A263-C7E60BE4BEE5}</b:Guid>
    <b:Author>
      <b:Author>
        <b:NameList>
          <b:Person>
            <b:Last>Cairns</b:Last>
            <b:First>M.</b:First>
          </b:Person>
          <b:Person>
            <b:Last>Brown</b:Last>
            <b:First>S.</b:First>
          </b:Person>
          <b:Person>
            <b:Last>Helmer</b:Last>
            <b:First>E.</b:First>
          </b:Person>
          <b:Person>
            <b:Last>Baumgardner</b:Last>
            <b:First>G.</b:First>
          </b:Person>
        </b:NameList>
      </b:Author>
    </b:Author>
    <b:Title>Root biomass allocation in the world’s upland forests</b:Title>
    <b:JournalName>Oelogia</b:JournalName>
    <b:Year>1997</b:Year>
    <b:Pages>111, 1–11</b:Pages>
    <b:RefOrder>10</b:RefOrder>
  </b:Source>
  <b:Source>
    <b:Tag>Gao18</b:Tag>
    <b:SourceType>JournalArticle</b:SourceType>
    <b:Guid>{7E8C3A52-5FB0-4774-9203-445C81D81E66}</b:Guid>
    <b:Author>
      <b:Author>
        <b:NameList>
          <b:Person>
            <b:Last>Gao</b:Last>
            <b:First>Y.</b:First>
          </b:Person>
          <b:Person>
            <b:Last>Lu</b:Last>
            <b:First>D.</b:First>
          </b:Person>
          <b:Person>
            <b:Last>Li</b:Last>
            <b:First>G.</b:First>
          </b:Person>
          <b:Person>
            <b:Last>Wang</b:Last>
            <b:First>G.</b:First>
          </b:Person>
          <b:Person>
            <b:Last>Chen</b:Last>
            <b:First>Q.</b:First>
          </b:Person>
          <b:Person>
            <b:Last>Liu</b:Last>
            <b:First>L.</b:First>
          </b:Person>
          <b:Person>
            <b:Last>Li</b:Last>
            <b:First>D.</b:First>
          </b:Person>
        </b:NameList>
      </b:Author>
    </b:Author>
    <b:Title>Comparative analysis of modeling algorithms for forest aboveground biomass estimation in a subtropical region</b:Title>
    <b:JournalName>Remote Sensing</b:JournalName>
    <b:Year>2018</b:Year>
    <b:Pages>10, 627</b:Pages>
    <b:RefOrder>33</b:RefOrder>
  </b:Source>
  <b:Source>
    <b:Tag>Gre05</b:Tag>
    <b:SourceType>Report</b:SourceType>
    <b:Guid>{482EDCBE-0C1B-41E1-AE52-4793DCD13634}</b:Guid>
    <b:Author>
      <b:Author>
        <b:NameList>
          <b:Person>
            <b:Last>Gregorio</b:Last>
            <b:First>M.</b:First>
          </b:Person>
          <b:Person>
            <b:Last>Ricardo</b:Last>
            <b:First>R.</b:First>
          </b:Person>
          <b:Person>
            <b:Last>Marta</b:Last>
            <b:First>M.</b:First>
          </b:Person>
        </b:NameList>
      </b:Author>
    </b:Author>
    <b:Title>Produccion de biomasa y fijacion de CO2 por los bosques espanoles</b:Title>
    <b:Year>2005</b:Year>
    <b:RefOrder>20</b:RefOrder>
  </b:Source>
  <b:Source>
    <b:Tag>Har73</b:Tag>
    <b:SourceType>JournalArticle</b:SourceType>
    <b:Guid>{B9802300-E8CC-4254-9138-8F84D5FE0C36}</b:Guid>
    <b:Title>Textural features for image classification</b:Title>
    <b:Year>1973</b:Year>
    <b:Author>
      <b:Author>
        <b:NameList>
          <b:Person>
            <b:Last>Haralick</b:Last>
            <b:First>R.</b:First>
          </b:Person>
          <b:Person>
            <b:Last>Shanmugam</b:Last>
            <b:First>K.</b:First>
          </b:Person>
          <b:Person>
            <b:Last>Dinstein</b:Last>
          </b:Person>
        </b:NameList>
      </b:Author>
    </b:Author>
    <b:JournalName>IEEE Trans Syst Man Cybern</b:JournalName>
    <b:Pages>610–621</b:Pages>
    <b:RefOrder>23</b:RefOrder>
  </b:Source>
  <b:Source>
    <b:Tag>Hon16</b:Tag>
    <b:SourceType>JournalArticle</b:SourceType>
    <b:Guid>{15BAA8EC-23E1-4896-B2BC-F2B72D8F6147}</b:Guid>
    <b:Title>Variable selection using mean decrease accuracy and mean decrease gini based on random forest</b:Title>
    <b:Year>2016</b:Year>
    <b:Author>
      <b:Author>
        <b:NameList>
          <b:Person>
            <b:Last>Hong</b:Last>
            <b:First>Han</b:First>
          </b:Person>
          <b:Person>
            <b:Last>Xiaoling</b:Last>
            <b:First>Guo</b:First>
          </b:Person>
          <b:Person>
            <b:Last>Hua</b:Last>
            <b:First>Yu</b:First>
          </b:Person>
        </b:NameList>
      </b:Author>
    </b:Author>
    <b:JournalName>IEEE International Conference on Software Engineering and Service Science</b:JournalName>
    <b:Pages>219–224</b:Pages>
    <b:RefOrder>27</b:RefOrder>
  </b:Source>
  <b:Source>
    <b:Tag>Kan13</b:Tag>
    <b:SourceType>JournalArticle</b:SourceType>
    <b:Guid>{D5784CF9-0A88-4DB3-8FE8-B35EB71E80FF}</b:Guid>
    <b:Author>
      <b:Author>
        <b:NameList>
          <b:Person>
            <b:Last>Kankare</b:Last>
            <b:First>V.</b:First>
          </b:Person>
          <b:Person>
            <b:Last>Vastaranta</b:Last>
            <b:First>M.</b:First>
          </b:Person>
          <b:Person>
            <b:Last>Holopainen</b:Last>
            <b:First>M.</b:First>
          </b:Person>
          <b:Person>
            <b:Last>Raty</b:Last>
            <b:First>M.</b:First>
          </b:Person>
          <b:Person>
            <b:Last>Yu</b:Last>
            <b:First>X.</b:First>
          </b:Person>
          <b:Person>
            <b:Last>Hyyppa</b:Last>
            <b:First>J.</b:First>
          </b:Person>
          <b:Person>
            <b:Last>Hyyppa</b:Last>
            <b:First>H.</b:First>
          </b:Person>
          <b:Person>
            <b:Last>Alho</b:Last>
            <b:First>P.</b:First>
          </b:Person>
          <b:Person>
            <b:Last>Viitala</b:Last>
            <b:First>R.</b:First>
          </b:Person>
        </b:NameList>
      </b:Author>
    </b:Author>
    <b:Title>Retrieval of forest aboveground biomass and stem volume with airborne scanning lidar</b:Title>
    <b:JournalName>Remote Sensing</b:JournalName>
    <b:Year>2013</b:Year>
    <b:Pages>5, 2257–2274.</b:Pages>
    <b:RefOrder>9</b:RefOrder>
  </b:Source>
  <b:Source>
    <b:Tag>Kel14</b:Tag>
    <b:SourceType>JournalArticle</b:SourceType>
    <b:Guid>{0AF189E6-31CD-417F-BA3D-23C9AF74346C}</b:Guid>
    <b:Author>
      <b:Author>
        <b:NameList>
          <b:Person>
            <b:Last>Kelsey</b:Last>
            <b:First>K.</b:First>
          </b:Person>
          <b:Person>
            <b:Last>Neff</b:Last>
            <b:First>J.</b:First>
          </b:Person>
        </b:NameList>
      </b:Author>
    </b:Author>
    <b:Title>Estimates of aboveground biomass from texture analysis of Landsat imagery</b:Title>
    <b:JournalName>Remote Sensing</b:JournalName>
    <b:Year>2014</b:Year>
    <b:Pages>6, 6407–6422.</b:Pages>
    <b:RefOrder>22</b:RefOrder>
  </b:Source>
  <b:Source>
    <b:Tag>Lac03</b:Tag>
    <b:SourceType>JournalArticle</b:SourceType>
    <b:Guid>{11E47545-5D95-4B61-9743-DA9E440C7F8B}</b:Guid>
    <b:Author>
      <b:Author>
        <b:NameList>
          <b:Person>
            <b:Last>Lackner</b:Last>
            <b:Middle>S.</b:Middle>
            <b:First>K.</b:First>
          </b:Person>
        </b:NameList>
      </b:Author>
    </b:Author>
    <b:Title>A guide to CO2 sequestration</b:Title>
    <b:JournalName>Science</b:JournalName>
    <b:Year>2003</b:Year>
    <b:Pages>300 (5626) 1677–1678</b:Pages>
    <b:RefOrder>3</b:RefOrder>
  </b:Source>
  <b:Source>
    <b:Tag>Lew19</b:Tag>
    <b:SourceType>InternetSite</b:SourceType>
    <b:Guid>{5756A7E0-2DFC-4B4D-B785-931EDFF264A6}</b:Guid>
    <b:Author>
      <b:Author>
        <b:NameList>
          <b:Person>
            <b:Last>Lewinson</b:Last>
            <b:First>E.</b:First>
          </b:Person>
        </b:NameList>
      </b:Author>
    </b:Author>
    <b:Title>Explaining feature importance by example of a Random Forest</b:Title>
    <b:JournalName>Towards Data Science</b:JournalName>
    <b:Year>2019</b:Year>
    <b:InternetSiteTitle>Towards Data Science</b:InternetSiteTitle>
    <b:URL>https://towardsdatascience.com/explaining-feature-importance-by-example-of-a-random-forest-d9166011959e</b:URL>
    <b:RefOrder>26</b:RefOrder>
  </b:Source>
  <b:Source>
    <b:Tag>Pan18</b:Tag>
    <b:SourceType>JournalArticle</b:SourceType>
    <b:Guid>{A0DF3575-4571-485F-8970-21BE57AE7C68}</b:Guid>
    <b:Author>
      <b:Author>
        <b:NameList>
          <b:Person>
            <b:Last>Pandit</b:Last>
            <b:First>S.</b:First>
          </b:Person>
          <b:Person>
            <b:Last>Tsuyuki</b:Last>
            <b:First>S.</b:First>
          </b:Person>
          <b:Person>
            <b:Last>Dube</b:Last>
            <b:First>T.</b:First>
          </b:Person>
        </b:NameList>
      </b:Author>
    </b:Author>
    <b:Title>Estimating above-ground biomass in subtropical buffer zone community forests, Nepal, using sentinel-2 data</b:Title>
    <b:JournalName>Remote Sensing</b:JournalName>
    <b:Year>2018</b:Year>
    <b:Pages>10, 601</b:Pages>
    <b:RefOrder>18</b:RefOrder>
  </b:Source>
  <b:Source>
    <b:Tag>Ped11</b:Tag>
    <b:SourceType>JournalArticle</b:SourceType>
    <b:Guid>{4D79FDE5-1FA3-4516-9F8D-C1CB2E935419}</b:Guid>
    <b:Author>
      <b:Author>
        <b:NameList>
          <b:Person>
            <b:Last>Pedregosa</b:Last>
            <b:First>F.</b:First>
          </b:Person>
          <b:Person>
            <b:Last>Varoquaux</b:Last>
            <b:First>G.</b:First>
          </b:Person>
          <b:Person>
            <b:Last>Gramfort</b:Last>
            <b:First>A.</b:First>
          </b:Person>
          <b:Person>
            <b:Last>Michel</b:Last>
            <b:First>V.</b:First>
          </b:Person>
          <b:Person>
            <b:Last>Thirion</b:Last>
            <b:First>B.</b:First>
          </b:Person>
          <b:Person>
            <b:Last>Grisel</b:Last>
            <b:First>O.</b:First>
          </b:Person>
          <b:Person>
            <b:Last>Blondel</b:Last>
            <b:First>M.</b:First>
          </b:Person>
          <b:Person>
            <b:Last>Prettenhofer</b:Last>
            <b:First>P.</b:First>
          </b:Person>
          <b:Person>
            <b:Last>Weiss</b:Last>
            <b:First>R.</b:First>
          </b:Person>
          <b:Person>
            <b:Last>Dubourg</b:Last>
            <b:First>V.</b:First>
          </b:Person>
          <b:Person>
            <b:Last>Vanderplas</b:Last>
            <b:First>J.</b:First>
          </b:Person>
          <b:Person>
            <b:Last>Passos</b:Last>
            <b:First>A.</b:First>
          </b:Person>
          <b:Person>
            <b:Last>Cournapeau</b:Last>
            <b:First>D.</b:First>
          </b:Person>
          <b:Person>
            <b:Last>Brucher</b:Last>
            <b:First>M.</b:First>
          </b:Person>
          <b:Person>
            <b:Last>Perrot</b:Last>
            <b:First>M.</b:First>
          </b:Person>
          <b:Person>
            <b:Last>Duchesnay</b:Last>
            <b:First>E.</b:First>
          </b:Person>
        </b:NameList>
      </b:Author>
    </b:Author>
    <b:Title>Scikit-learn: Machine learning in Python</b:Title>
    <b:JournalName>Journal of Machine Learning Research</b:JournalName>
    <b:Year>2011</b:Year>
    <b:Pages>12, 2825–2830.</b:Pages>
    <b:RefOrder>25</b:RefOrder>
  </b:Source>
  <b:Source>
    <b:Tag>Pic12</b:Tag>
    <b:SourceType>Report</b:SourceType>
    <b:Guid>{58F1E4C9-55B6-450C-A9EF-AE094960F4F0}</b:Guid>
    <b:Author>
      <b:Author>
        <b:NameList>
          <b:Person>
            <b:Last>Picard</b:Last>
            <b:First>N.</b:First>
          </b:Person>
          <b:Person>
            <b:Last>Saint-Andre</b:Last>
            <b:First>L.</b:First>
          </b:Person>
          <b:Person>
            <b:Last>Henry</b:Last>
            <b:First>M.</b:First>
          </b:Person>
        </b:NameList>
      </b:Author>
    </b:Author>
    <b:Title>Manual for building tree volume and biomass allometric equations: from field measurement to prediction</b:Title>
    <b:Year>2012</b:Year>
    <b:RefOrder>7</b:RefOrder>
  </b:Source>
  <b:Source>
    <b:Tag>Pul20</b:Tag>
    <b:SourceType>JournalArticle</b:SourceType>
    <b:Guid>{D74C37B4-2574-40D9-896F-7D5C90BED8E3}</b:Guid>
    <b:Author>
      <b:Author>
        <b:NameList>
          <b:Person>
            <b:Last>Puliti</b:Last>
            <b:First>S.</b:First>
          </b:Person>
          <b:Person>
            <b:Last>Hauglin</b:Last>
            <b:First>M.</b:First>
          </b:Person>
          <b:Person>
            <b:Last>Breidenbach</b:Last>
            <b:First>J.</b:First>
          </b:Person>
          <b:Person>
            <b:Last>Montesano</b:Last>
            <b:First>P.</b:First>
          </b:Person>
          <b:Person>
            <b:Last>Neigh</b:Last>
            <b:First>C.</b:First>
          </b:Person>
          <b:Person>
            <b:Last>Rahlf</b:Last>
            <b:First>J.</b:First>
          </b:Person>
          <b:Person>
            <b:Last>Solberg</b:Last>
            <b:First>S.</b:First>
          </b:Person>
          <b:Person>
            <b:Last>Klingenberg</b:Last>
            <b:Middle>F.</b:Middle>
            <b:First>T.</b:First>
          </b:Person>
          <b:Person>
            <b:Last>Astrup</b:Last>
            <b:First>R.</b:First>
          </b:Person>
        </b:NameList>
      </b:Author>
    </b:Author>
    <b:Title>Modelling above-ground biomass stock over norway using national forest inventory data with arcticdem and Sentinel-2 data</b:Title>
    <b:JournalName>Remote Sensing of Environment</b:JournalName>
    <b:Year>2020</b:Year>
    <b:Pages>236</b:Pages>
    <b:RefOrder>34</b:RefOrder>
  </b:Source>
  <b:Source>
    <b:Tag>Sal20</b:Tag>
    <b:SourceType>JournalArticle</b:SourceType>
    <b:Guid>{B6F1FA69-1ED1-40A1-868C-E518B43E9E1C}</b:Guid>
    <b:Author>
      <b:Author>
        <b:NameList>
          <b:Person>
            <b:Last>Salem</b:Last>
            <b:First>I.</b:First>
          </b:Person>
          <b:Person>
            <b:Last>Basam</b:Last>
            <b:First>D.</b:First>
          </b:Person>
          <b:Person>
            <b:Last>Taoufik</b:Last>
            <b:First>K.</b:First>
          </b:Person>
          <b:Person>
            <b:Last>Nazmi</b:Last>
            <b:First>S.</b:First>
          </b:Person>
        </b:NameList>
      </b:Author>
    </b:Author>
    <b:Title>A review of terrestrial carbon assessment methods using geo-spatial technologies with emphasis on arid lands</b:Title>
    <b:Year>2020</b:Year>
    <b:JournalName>Remote Sensing</b:JournalName>
    <b:RefOrder>2</b:RefOrder>
  </b:Source>
  <b:Source>
    <b:Tag>Sti12</b:Tag>
    <b:SourceType>JournalArticle</b:SourceType>
    <b:Guid>{AE26978E-95F3-4410-ACB6-5A85861FDD49}</b:Guid>
    <b:Author>
      <b:Author>
        <b:NameList>
          <b:Person>
            <b:Last>Stinson</b:Last>
            <b:First>G.</b:First>
          </b:Person>
          <b:Person>
            <b:Last>Kurz</b:Last>
            <b:Middle>A.</b:Middle>
            <b:First>W.</b:First>
          </b:Person>
          <b:Person>
            <b:Last>Smyth</b:Last>
            <b:Middle>E.</b:Middle>
            <b:First>C.</b:First>
          </b:Person>
          <b:Person>
            <b:Last>Neilson</b:Last>
            <b:Middle>T.</b:Middle>
            <b:First>E.</b:First>
          </b:Person>
          <b:Person>
            <b:Last>Dymond</b:Last>
            <b:Middle>C.</b:Middle>
            <b:First>C.</b:First>
          </b:Person>
          <b:Person>
            <b:Last>Metsaranta</b:Last>
            <b:First>J.</b:First>
          </b:Person>
        </b:NameList>
      </b:Author>
    </b:Author>
    <b:Title>An inventory-based analysis of canada’s managed forest carbon dynamics, 1990 to 2008</b:Title>
    <b:JournalName>Global Change Biology</b:JournalName>
    <b:Year>2012</b:Year>
    <b:Pages>17(6), 2227–2244</b:Pages>
    <b:RefOrder>4</b:RefOrder>
  </b:Source>
  <b:Source>
    <b:Tag>Tho12</b:Tag>
    <b:SourceType>JournalArticle</b:SourceType>
    <b:Guid>{FF1C365B-7E1E-4B44-9FF4-0A855E30BEE7}</b:Guid>
    <b:Author>
      <b:Author>
        <b:NameList>
          <b:Person>
            <b:Last>Thomas</b:Last>
            <b:First>S.</b:First>
          </b:Person>
          <b:Person>
            <b:Last>Martin</b:Last>
            <b:Middle>R.</b:Middle>
            <b:First>A.</b:First>
          </b:Person>
        </b:NameList>
      </b:Author>
    </b:Author>
    <b:Title>Carbon content of tree tissues: A synthesis</b:Title>
    <b:JournalName>Forests</b:JournalName>
    <b:Year>2012</b:Year>
    <b:Pages>3, 332–352</b:Pages>
    <b:RefOrder>12</b:RefOrder>
  </b:Source>
  <b:Source>
    <b:Tag>Tor18</b:Tag>
    <b:SourceType>JournalArticle</b:SourceType>
    <b:Guid>{7AF2E7C4-3DA9-40BE-B314-E32E224C4C15}</b:Guid>
    <b:Author>
      <b:Author>
        <b:NameList>
          <b:Person>
            <b:Last>Torralba</b:Last>
            <b:First>J.</b:First>
          </b:Person>
          <b:Person>
            <b:Last>Crespo-Peremarch</b:Last>
            <b:First>P.</b:First>
          </b:Person>
          <b:Person>
            <b:Last>Ruiz</b:Last>
            <b:Middle>A.</b:Middle>
            <b:First>L.</b:First>
          </b:Person>
        </b:NameList>
      </b:Author>
    </b:Author>
    <b:Title>Assessing the use of discrete , full-waveform LiDAR and TLS to classify Mediterranean forest species composition</b:Title>
    <b:JournalName>Revista de Teledetección</b:JournalName>
    <b:Year>2018</b:Year>
    <b:Pages>52, 27-40</b:Pages>
    <b:RefOrder>35</b:RefOrder>
  </b:Source>
  <b:Source>
    <b:Tag>Vas12</b:Tag>
    <b:SourceType>JournalArticle</b:SourceType>
    <b:Guid>{B7ABA9B2-D3A9-4345-9B8A-B436D9F086C4}</b:Guid>
    <b:Title>Methods to estimate above-ground biomass and carbon stock in natural forests - a review</b:Title>
    <b:Year>2012</b:Year>
    <b:Author>
      <b:Author>
        <b:NameList>
          <b:Person>
            <b:Last>Vashum</b:Last>
            <b:First>K.</b:First>
          </b:Person>
        </b:NameList>
      </b:Author>
    </b:Author>
    <b:JournalName>Journal of Ecosystem Ecography</b:JournalName>
    <b:RefOrder>8</b:RefOrder>
  </b:Source>
  <b:Source>
    <b:Tag>Zhe04</b:Tag>
    <b:SourceType>JournalArticle</b:SourceType>
    <b:Guid>{473D1B2E-196E-4AC1-95DB-FB815F95967B}</b:Guid>
    <b:Author>
      <b:Author>
        <b:NameList>
          <b:Person>
            <b:Last>Zheng</b:Last>
            <b:First>D.</b:First>
          </b:Person>
          <b:Person>
            <b:Last>Rademacher</b:Last>
            <b:First>J.</b:First>
          </b:Person>
          <b:Person>
            <b:Last>Chen</b:Last>
            <b:First>J.</b:First>
          </b:Person>
          <b:Person>
            <b:Last>Crow</b:Last>
            <b:First>T.</b:First>
          </b:Person>
          <b:Person>
            <b:Last>Bresee</b:Last>
            <b:Middle>K.</b:Middle>
            <b:First>M.</b:First>
          </b:Person>
          <b:Person>
            <b:Last>Moine</b:Last>
            <b:Middle>L.</b:Middle>
            <b:First>J.</b:First>
          </b:Person>
          <b:Person>
            <b:Last>Ryu</b:Last>
            <b:Middle>R.</b:Middle>
            <b:First>S.</b:First>
          </b:Person>
        </b:NameList>
      </b:Author>
    </b:Author>
    <b:Title>Estimating aboveground biomass using Landsat 7 ETM+ data across a managed landscape in northern Wisconsin, USA</b:Title>
    <b:JournalName>Remote Sensing of Environment</b:JournalName>
    <b:Year>2004</b:Year>
    <b:Pages>93, 402–411</b:Pages>
    <b:RefOrder>36</b:RefOrder>
  </b:Source>
  <b:Source>
    <b:Tag>Zho02</b:Tag>
    <b:SourceType>JournalArticle</b:SourceType>
    <b:Guid>{546BF7E4-3341-4EE0-B83E-3D8211A02F94}</b:Guid>
    <b:Author>
      <b:Author>
        <b:NameList>
          <b:Person>
            <b:Last>Zhou</b:Last>
            <b:First>G.</b:First>
          </b:Person>
          <b:Person>
            <b:Last>Wang</b:Last>
            <b:First>Y.</b:First>
          </b:Person>
          <b:Person>
            <b:Last>Jiang</b:Last>
            <b:First>Y.</b:First>
          </b:Person>
          <b:Person>
            <b:Last>Yang</b:Last>
            <b:First>Z.</b:First>
          </b:Person>
        </b:NameList>
      </b:Author>
    </b:Author>
    <b:Title>Estimating biomass and net primary production from forest inventory data: A case study of China's Larix forests</b:Title>
    <b:JournalName>Forest Ecology and Management</b:JournalName>
    <b:Year>2002</b:Year>
    <b:Pages>169, 149-157</b:Pages>
    <b:RefOrder>15</b:RefOrder>
  </b:Source>
  <b:Source>
    <b:Tag>FAO12</b:Tag>
    <b:SourceType>JournalArticle</b:SourceType>
    <b:Guid>{36C6A0F4-817C-44DF-AFB2-1F793E695FCE}</b:Guid>
    <b:Author>
      <b:Author>
        <b:NameList>
          <b:Person>
            <b:Last>FAO</b:Last>
          </b:Person>
        </b:NameList>
      </b:Author>
    </b:Author>
    <b:Title>Global ecological zones for FAO forest reporting: 2010 update</b:Title>
    <b:JournalName>Food and Agriculture Organization</b:JournalName>
    <b:Year>2012</b:Year>
    <b:RefOrder>16</b:RefOrder>
  </b:Source>
  <b:Source>
    <b:Tag>For20</b:Tag>
    <b:SourceType>JournalArticle</b:SourceType>
    <b:Guid>{ECB1BBAE-A236-438B-9750-04C2ED9049C5}</b:Guid>
    <b:Title>Above-ground biomass mapping in West African dryland forest using Sentinel-1 and 2 datasets - A case study</b:Title>
    <b:Year>2020</b:Year>
    <b:Author>
      <b:Author>
        <b:NameList>
          <b:Person>
            <b:Last>Forkuor</b:Last>
            <b:First>G.</b:First>
          </b:Person>
          <b:Person>
            <b:Last>Zoungrana</b:Last>
            <b:First>B.</b:First>
          </b:Person>
          <b:Person>
            <b:Last>Dimobe</b:Last>
            <b:First>K.</b:First>
          </b:Person>
          <b:Person>
            <b:Last>Ouattara</b:Last>
            <b:First>B.</b:First>
          </b:Person>
          <b:Person>
            <b:Last>Vadrevu</b:Last>
            <b:First>K.</b:First>
          </b:Person>
          <b:Person>
            <b:Last>Tondoh</b:Last>
            <b:First>E.</b:First>
          </b:Person>
        </b:NameList>
      </b:Author>
    </b:Author>
    <b:JournalName>Remote Sensing of Environment</b:JournalName>
    <b:Pages>236</b:Pages>
    <b:RefOrder>21</b:RefOrder>
  </b:Source>
  <b:Source>
    <b:Tag>Gal17</b:Tag>
    <b:SourceType>JournalArticle</b:SourceType>
    <b:Guid>{19E55F53-4AE0-4E66-BC6D-203E53FE3749}</b:Guid>
    <b:Author>
      <b:Author>
        <b:NameList>
          <b:Person>
            <b:Last>Galidaki</b:Last>
            <b:First>G.</b:First>
          </b:Person>
          <b:Person>
            <b:Last>Zianis</b:Last>
            <b:First>D.</b:First>
          </b:Person>
          <b:Person>
            <b:Last>Gitas</b:Last>
            <b:First>I.</b:First>
          </b:Person>
          <b:Person>
            <b:Last>Radoglou</b:Last>
            <b:First>K.</b:First>
          </b:Person>
          <b:Person>
            <b:Last>Karathanassi</b:Last>
            <b:First>V.</b:First>
          </b:Person>
          <b:Person>
            <b:Last>Tsakiri–Strati</b:Last>
            <b:First>M.</b:First>
          </b:Person>
          <b:Person>
            <b:Last>Woodhouse</b:Last>
            <b:First>I.</b:First>
          </b:Person>
          <b:Person>
            <b:Last>Mallinis</b:Last>
            <b:First>G.</b:First>
          </b:Person>
        </b:NameList>
      </b:Author>
    </b:Author>
    <b:Title>Vegetation biomass estimation with remote sensing: focus on forest and other wooded land over the Mediterranean ecosystem</b:Title>
    <b:JournalName>International Journal of Remote Sensing</b:JournalName>
    <b:Year>2017</b:Year>
    <b:Pages>38(7), 1940–1966.</b:Pages>
    <b:RefOrder>5</b:RefOrder>
  </b:Source>
  <b:Source>
    <b:Tag>LuD06</b:Tag>
    <b:SourceType>JournalArticle</b:SourceType>
    <b:Guid>{B6E60518-3EB1-4606-86F3-5213305F809B}</b:Guid>
    <b:Author>
      <b:Author>
        <b:NameList>
          <b:Person>
            <b:Last>Lu</b:Last>
            <b:First>D.</b:First>
          </b:Person>
        </b:NameList>
      </b:Author>
    </b:Author>
    <b:Title>The potential and challenge of remote sensing-based biomass estimation</b:Title>
    <b:JournalName>International Journal of Remote Sensing</b:JournalName>
    <b:Year>2006</b:Year>
    <b:Pages>27(7), 1297–1328</b:Pages>
    <b:RefOrder>6</b:RefOrder>
  </b:Source>
  <b:Source>
    <b:Tag>Kha20</b:Tag>
    <b:SourceType>JournalArticle</b:SourceType>
    <b:Guid>{D1FD16DC-7F21-403B-8769-356B65F17D01}</b:Guid>
    <b:Author>
      <b:Author>
        <b:NameList>
          <b:Person>
            <b:Last>Khan</b:Last>
            <b:First>K.</b:First>
          </b:Person>
          <b:Person>
            <b:Last>Iqbal</b:Last>
            <b:First>J.</b:First>
          </b:Person>
          <b:Person>
            <b:Last>Ali</b:Last>
            <b:First>A.</b:First>
          </b:Person>
          <b:Person>
            <b:Last>Khan</b:Last>
            <b:Middle>N.</b:Middle>
            <b:First>S.</b:First>
          </b:Person>
        </b:NameList>
      </b:Author>
    </b:Author>
    <b:Title>Assessment of sentinel-2-derived vegetation indices for the estimation of above-ground biomass/carbon stock, temporal deforestation and carbon emissions estimation in the moist temperate forests of Pakistan</b:Title>
    <b:JournalName>Applied Ecology and Environmental Research</b:JournalName>
    <b:Year>2020</b:Year>
    <b:Pages>18, 783–815</b:Pages>
    <b:RefOrder>11</b:RefOrder>
  </b:Source>
</b:Sources>
</file>

<file path=customXml/itemProps1.xml><?xml version="1.0" encoding="utf-8"?>
<ds:datastoreItem xmlns:ds="http://schemas.openxmlformats.org/officeDocument/2006/customXml" ds:itemID="{3D12CA57-9C31-4245-82B6-62F890CBF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58</Pages>
  <Words>12970</Words>
  <Characters>70038</Characters>
  <Application>Microsoft Office Word</Application>
  <DocSecurity>0</DocSecurity>
  <Lines>583</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Charalampos Georgiadis</dc:creator>
  <cp:lastModifiedBy>Charalampos Georgiadis</cp:lastModifiedBy>
  <cp:revision>8</cp:revision>
  <cp:lastPrinted>2021-12-28T07:21:00Z</cp:lastPrinted>
  <dcterms:created xsi:type="dcterms:W3CDTF">2021-12-28T07:13:00Z</dcterms:created>
  <dcterms:modified xsi:type="dcterms:W3CDTF">2021-12-28T07:22:00Z</dcterms:modified>
</cp:coreProperties>
</file>