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6F3CE7" w14:textId="7F4D364D" w:rsidR="00335C78" w:rsidRPr="00361666" w:rsidRDefault="00B425F6" w:rsidP="00D21C20">
      <w:r>
        <w:tab/>
      </w:r>
    </w:p>
    <w:p w14:paraId="5B80287B" w14:textId="77777777" w:rsidR="00D21C20" w:rsidRPr="00C60499" w:rsidRDefault="00D21C20" w:rsidP="00D21C20">
      <w:pPr>
        <w:rPr>
          <w:lang w:val="en-GB"/>
        </w:rPr>
      </w:pPr>
    </w:p>
    <w:p w14:paraId="5E9DEA39" w14:textId="77777777" w:rsidR="0039315A" w:rsidRDefault="0039315A" w:rsidP="00D21C20">
      <w:pPr>
        <w:rPr>
          <w:lang w:val="en-GB"/>
        </w:rPr>
      </w:pPr>
    </w:p>
    <w:p w14:paraId="6B2F69FE" w14:textId="77777777" w:rsidR="00A822F2" w:rsidRDefault="00F645AD" w:rsidP="00D85139">
      <w:pPr>
        <w:jc w:val="center"/>
        <w:rPr>
          <w:lang w:val="en-GB"/>
        </w:rPr>
      </w:pPr>
      <w:r w:rsidRPr="0039315A">
        <w:rPr>
          <w:noProof/>
          <w:lang w:val="en-GB" w:eastAsia="en-GB"/>
        </w:rPr>
        <w:drawing>
          <wp:inline distT="0" distB="0" distL="0" distR="0" wp14:anchorId="73373134" wp14:editId="2767830A">
            <wp:extent cx="1201406" cy="918294"/>
            <wp:effectExtent l="0" t="0" r="0" b="0"/>
            <wp:docPr id="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2" descr="C:\Users\Stratos\Desktop\IASON_LOGO_TRANSPARENT_BLACK.png"/>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1211367" cy="925908"/>
                    </a:xfrm>
                    <a:prstGeom prst="rect">
                      <a:avLst/>
                    </a:prstGeom>
                    <a:noFill/>
                  </pic:spPr>
                </pic:pic>
              </a:graphicData>
            </a:graphic>
          </wp:inline>
        </w:drawing>
      </w:r>
    </w:p>
    <w:p w14:paraId="15021496" w14:textId="77777777" w:rsidR="00A822F2" w:rsidRDefault="00A822F2" w:rsidP="00D21C20">
      <w:pPr>
        <w:rPr>
          <w:lang w:val="en-GB"/>
        </w:rPr>
      </w:pPr>
    </w:p>
    <w:p w14:paraId="0BDC73C5" w14:textId="77777777" w:rsidR="0039315A" w:rsidRDefault="0039315A" w:rsidP="00D21C20">
      <w:pPr>
        <w:rPr>
          <w:lang w:val="en-GB"/>
        </w:rPr>
      </w:pPr>
    </w:p>
    <w:p w14:paraId="235205AA" w14:textId="77777777" w:rsidR="00D21C20" w:rsidRPr="00C60499" w:rsidRDefault="00D21C20" w:rsidP="00D21C20">
      <w:pPr>
        <w:rPr>
          <w:lang w:val="en-GB"/>
        </w:rPr>
      </w:pP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2"/>
        <w:gridCol w:w="7125"/>
      </w:tblGrid>
      <w:tr w:rsidR="00B96825" w14:paraId="1B3C5306" w14:textId="77777777" w:rsidTr="00FD04F7">
        <w:trPr>
          <w:trHeight w:val="567"/>
        </w:trPr>
        <w:tc>
          <w:tcPr>
            <w:tcW w:w="1276" w:type="dxa"/>
            <w:tcBorders>
              <w:bottom w:val="single" w:sz="4" w:space="0" w:color="auto"/>
            </w:tcBorders>
            <w:shd w:val="clear" w:color="auto" w:fill="auto"/>
            <w:vAlign w:val="center"/>
          </w:tcPr>
          <w:p w14:paraId="1CB00DF9" w14:textId="2B81C466" w:rsidR="00B96825" w:rsidRDefault="00A822F2" w:rsidP="00A822F2">
            <w:pPr>
              <w:pStyle w:val="Title"/>
              <w:spacing w:after="0"/>
              <w:rPr>
                <w:lang w:val="en-GB"/>
              </w:rPr>
            </w:pPr>
            <w:r>
              <w:rPr>
                <w:lang w:val="en-GB"/>
              </w:rPr>
              <w:t>D</w:t>
            </w:r>
            <w:r w:rsidR="001B0612">
              <w:rPr>
                <w:lang w:val="en-GB"/>
              </w:rPr>
              <w:t>2</w:t>
            </w:r>
            <w:r w:rsidR="00B96825">
              <w:rPr>
                <w:lang w:val="en-GB"/>
              </w:rPr>
              <w:t>.</w:t>
            </w:r>
            <w:r w:rsidR="001B0612">
              <w:rPr>
                <w:lang w:val="en-GB"/>
              </w:rPr>
              <w:t>7</w:t>
            </w:r>
          </w:p>
        </w:tc>
        <w:tc>
          <w:tcPr>
            <w:tcW w:w="7229" w:type="dxa"/>
            <w:tcBorders>
              <w:bottom w:val="single" w:sz="4" w:space="0" w:color="auto"/>
            </w:tcBorders>
            <w:shd w:val="clear" w:color="auto" w:fill="auto"/>
            <w:vAlign w:val="center"/>
          </w:tcPr>
          <w:p w14:paraId="2914BA50" w14:textId="58E0A242" w:rsidR="00B96825" w:rsidRPr="00B96825" w:rsidRDefault="001B0612" w:rsidP="00B96825">
            <w:pPr>
              <w:pStyle w:val="Title"/>
              <w:spacing w:after="0"/>
            </w:pPr>
            <w:r>
              <w:t>Report on Augmenting precision</w:t>
            </w:r>
          </w:p>
        </w:tc>
      </w:tr>
      <w:tr w:rsidR="00B96825" w14:paraId="50BDAD2C" w14:textId="77777777" w:rsidTr="00FD04F7">
        <w:trPr>
          <w:trHeight w:val="283"/>
        </w:trPr>
        <w:tc>
          <w:tcPr>
            <w:tcW w:w="8505" w:type="dxa"/>
            <w:gridSpan w:val="2"/>
            <w:tcBorders>
              <w:top w:val="single" w:sz="4" w:space="0" w:color="auto"/>
              <w:bottom w:val="single" w:sz="4" w:space="0" w:color="auto"/>
            </w:tcBorders>
            <w:shd w:val="clear" w:color="auto" w:fill="auto"/>
            <w:vAlign w:val="center"/>
          </w:tcPr>
          <w:p w14:paraId="7449DD5A" w14:textId="77777777" w:rsidR="00B96825" w:rsidRPr="00B96825" w:rsidRDefault="00B96825" w:rsidP="00B96825"/>
        </w:tc>
      </w:tr>
      <w:tr w:rsidR="00A61E11" w14:paraId="53C81C69" w14:textId="77777777" w:rsidTr="00FD04F7">
        <w:trPr>
          <w:trHeight w:val="283"/>
        </w:trPr>
        <w:tc>
          <w:tcPr>
            <w:tcW w:w="8505" w:type="dxa"/>
            <w:gridSpan w:val="2"/>
            <w:tcBorders>
              <w:top w:val="single" w:sz="4" w:space="0" w:color="auto"/>
            </w:tcBorders>
            <w:shd w:val="clear" w:color="auto" w:fill="auto"/>
            <w:vAlign w:val="center"/>
          </w:tcPr>
          <w:p w14:paraId="17A944FB" w14:textId="77777777" w:rsidR="0039315A" w:rsidRPr="0039315A" w:rsidRDefault="000909EF" w:rsidP="0039315A">
            <w:pPr>
              <w:pStyle w:val="Subtitle"/>
              <w:spacing w:line="240" w:lineRule="auto"/>
              <w:rPr>
                <w:lang w:val="en-GB"/>
              </w:rPr>
            </w:pPr>
            <w:r>
              <w:rPr>
                <w:b/>
                <w:lang w:val="en-GB"/>
              </w:rPr>
              <w:t>MAIL</w:t>
            </w:r>
            <w:r>
              <w:rPr>
                <w:lang w:val="en-GB"/>
              </w:rPr>
              <w:t xml:space="preserve">: </w:t>
            </w:r>
            <w:r>
              <w:rPr>
                <w:rFonts w:eastAsia="Times New Roman"/>
                <w:i w:val="0"/>
                <w:iCs w:val="0"/>
                <w:lang w:val="en-GB"/>
              </w:rPr>
              <w:t>Identifying Marginal Lands in Europe and strengthening their contribution potentialities in a CO2 sequestration strategy</w:t>
            </w:r>
          </w:p>
        </w:tc>
      </w:tr>
    </w:tbl>
    <w:p w14:paraId="3EF6D012" w14:textId="77777777" w:rsidR="00D21C20" w:rsidRPr="00C60499" w:rsidRDefault="00D21C20" w:rsidP="00D21C20">
      <w:pPr>
        <w:rPr>
          <w:lang w:val="en-GB"/>
        </w:rPr>
      </w:pPr>
    </w:p>
    <w:p w14:paraId="1D9919E8" w14:textId="77777777" w:rsidR="00D21C20" w:rsidRPr="00C60499" w:rsidRDefault="00D21C20" w:rsidP="00D21C20">
      <w:pPr>
        <w:rPr>
          <w:lang w:val="en-GB"/>
        </w:rPr>
      </w:pPr>
    </w:p>
    <w:p w14:paraId="1583AB2E" w14:textId="5883484A" w:rsidR="00D21C20" w:rsidRDefault="00D21C20" w:rsidP="00D21C20">
      <w:pPr>
        <w:rPr>
          <w:lang w:val="en-GB"/>
        </w:rPr>
      </w:pPr>
    </w:p>
    <w:p w14:paraId="3F792755" w14:textId="25E6C9AA" w:rsidR="009D4DC1" w:rsidRDefault="009D4DC1" w:rsidP="00D21C20">
      <w:pPr>
        <w:rPr>
          <w:lang w:val="en-GB"/>
        </w:rPr>
      </w:pPr>
    </w:p>
    <w:p w14:paraId="3E7756C1" w14:textId="77777777" w:rsidR="009D4DC1" w:rsidRPr="00157BBF" w:rsidRDefault="009D4DC1" w:rsidP="009D4DC1">
      <w:pPr>
        <w:spacing w:line="240" w:lineRule="auto"/>
        <w:rPr>
          <w:sz w:val="20"/>
          <w:szCs w:val="20"/>
          <w:lang w:val="en-GB"/>
        </w:rPr>
      </w:pPr>
      <w:r w:rsidRPr="00157BBF">
        <w:rPr>
          <w:sz w:val="20"/>
          <w:szCs w:val="20"/>
          <w:lang w:val="en-GB"/>
        </w:rPr>
        <w:t xml:space="preserve">MAIL project has received funding from the European Union’s Horizon 2020 research and innovation programme under the Marie </w:t>
      </w:r>
      <w:proofErr w:type="spellStart"/>
      <w:r w:rsidRPr="00157BBF">
        <w:rPr>
          <w:sz w:val="20"/>
          <w:szCs w:val="20"/>
          <w:lang w:val="en-GB"/>
        </w:rPr>
        <w:t>Skłodowska</w:t>
      </w:r>
      <w:proofErr w:type="spellEnd"/>
      <w:r w:rsidRPr="00157BBF">
        <w:rPr>
          <w:sz w:val="20"/>
          <w:szCs w:val="20"/>
          <w:lang w:val="en-GB"/>
        </w:rPr>
        <w:t xml:space="preserve">-Curie grant agreement No </w:t>
      </w:r>
      <w:proofErr w:type="gramStart"/>
      <w:r w:rsidRPr="00157BBF">
        <w:rPr>
          <w:sz w:val="20"/>
          <w:szCs w:val="20"/>
          <w:lang w:val="en-GB"/>
        </w:rPr>
        <w:t>823805;</w:t>
      </w:r>
      <w:proofErr w:type="gramEnd"/>
      <w:r w:rsidRPr="00157BBF">
        <w:rPr>
          <w:sz w:val="20"/>
          <w:szCs w:val="20"/>
          <w:lang w:val="en-GB"/>
        </w:rPr>
        <w:t xml:space="preserve"> [H2020 MSCA RISE 2018]</w:t>
      </w:r>
    </w:p>
    <w:p w14:paraId="21D333CF" w14:textId="77777777" w:rsidR="009D4DC1" w:rsidRPr="00C60499" w:rsidRDefault="009D4DC1" w:rsidP="00D21C20">
      <w:pPr>
        <w:rPr>
          <w:lang w:val="en-GB"/>
        </w:rPr>
      </w:pPr>
    </w:p>
    <w:p w14:paraId="774ACBA4" w14:textId="77777777" w:rsidR="00D21C20" w:rsidRPr="00C60499" w:rsidRDefault="00D21C20" w:rsidP="00D21C20">
      <w:pPr>
        <w:rPr>
          <w:lang w:val="en-GB"/>
        </w:rPr>
      </w:pPr>
    </w:p>
    <w:p w14:paraId="0B733ACF" w14:textId="77777777" w:rsidR="00D21C20" w:rsidRPr="00C60499" w:rsidRDefault="00D21C20" w:rsidP="00D21C20">
      <w:pPr>
        <w:rPr>
          <w:lang w:val="en-GB"/>
        </w:rPr>
      </w:pPr>
    </w:p>
    <w:p w14:paraId="5EA3BDC9" w14:textId="77777777" w:rsidR="00D21C20" w:rsidRDefault="00D21C20" w:rsidP="00D21C20">
      <w:pPr>
        <w:rPr>
          <w:lang w:val="en-GB"/>
        </w:rPr>
      </w:pPr>
    </w:p>
    <w:p w14:paraId="4AB4B6C3" w14:textId="77777777" w:rsidR="00A822F2" w:rsidRPr="00C60499" w:rsidRDefault="00A822F2" w:rsidP="00D21C20">
      <w:pPr>
        <w:rPr>
          <w:lang w:val="en-GB"/>
        </w:rPr>
      </w:pPr>
    </w:p>
    <w:p w14:paraId="11D44284" w14:textId="77777777" w:rsidR="00D21C20" w:rsidRPr="00C60499" w:rsidRDefault="00D21C20" w:rsidP="00D21C20">
      <w:pPr>
        <w:rPr>
          <w:lang w:val="en-GB"/>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78"/>
        <w:gridCol w:w="6409"/>
      </w:tblGrid>
      <w:tr w:rsidR="000909EF" w:rsidRPr="009D5BD6" w14:paraId="30C9CE00" w14:textId="77777777" w:rsidTr="00523EFA">
        <w:trPr>
          <w:trHeight w:val="567"/>
        </w:trPr>
        <w:tc>
          <w:tcPr>
            <w:tcW w:w="1978" w:type="dxa"/>
            <w:shd w:val="clear" w:color="auto" w:fill="FFFF66"/>
            <w:vAlign w:val="center"/>
          </w:tcPr>
          <w:p w14:paraId="746E4892" w14:textId="77777777" w:rsidR="000909EF" w:rsidRPr="009D5BD6" w:rsidRDefault="000909EF" w:rsidP="00D12761">
            <w:pPr>
              <w:spacing w:before="0" w:after="0" w:line="240" w:lineRule="auto"/>
              <w:jc w:val="left"/>
              <w:rPr>
                <w:rFonts w:cs="Arial"/>
              </w:rPr>
            </w:pPr>
            <w:bookmarkStart w:id="0" w:name="_Toc223361308"/>
            <w:r w:rsidRPr="009D5BD6">
              <w:rPr>
                <w:rFonts w:cs="Arial"/>
              </w:rPr>
              <w:lastRenderedPageBreak/>
              <w:t>Project title</w:t>
            </w:r>
          </w:p>
        </w:tc>
        <w:tc>
          <w:tcPr>
            <w:tcW w:w="6409" w:type="dxa"/>
            <w:vAlign w:val="center"/>
          </w:tcPr>
          <w:p w14:paraId="45E301D3" w14:textId="77777777" w:rsidR="000909EF" w:rsidRPr="009D5BD6" w:rsidRDefault="000909EF" w:rsidP="00D12761">
            <w:pPr>
              <w:spacing w:before="0" w:after="0" w:line="240" w:lineRule="auto"/>
              <w:jc w:val="left"/>
              <w:rPr>
                <w:rFonts w:cs="Arial"/>
              </w:rPr>
            </w:pPr>
            <w:r>
              <w:rPr>
                <w:rFonts w:eastAsia="Times New Roman"/>
                <w:lang w:val="en-GB"/>
              </w:rPr>
              <w:t>Identifying Marginal Lands in Europe and strengthening their contribution potentialities in a CO2 sequestration strategy</w:t>
            </w:r>
          </w:p>
        </w:tc>
      </w:tr>
      <w:tr w:rsidR="000909EF" w:rsidRPr="009D5BD6" w14:paraId="0DF382CA" w14:textId="77777777" w:rsidTr="00523EFA">
        <w:trPr>
          <w:trHeight w:val="567"/>
        </w:trPr>
        <w:tc>
          <w:tcPr>
            <w:tcW w:w="1978" w:type="dxa"/>
            <w:shd w:val="clear" w:color="auto" w:fill="FFFF66"/>
            <w:vAlign w:val="center"/>
          </w:tcPr>
          <w:p w14:paraId="48F0A161" w14:textId="77777777" w:rsidR="000909EF" w:rsidRPr="009D5BD6" w:rsidRDefault="000909EF" w:rsidP="00D12761">
            <w:pPr>
              <w:spacing w:before="0" w:after="0" w:line="240" w:lineRule="auto"/>
              <w:jc w:val="left"/>
              <w:rPr>
                <w:rFonts w:cs="Arial"/>
              </w:rPr>
            </w:pPr>
            <w:r w:rsidRPr="009D5BD6">
              <w:rPr>
                <w:rFonts w:cs="Arial"/>
              </w:rPr>
              <w:t>Call identifier</w:t>
            </w:r>
          </w:p>
        </w:tc>
        <w:tc>
          <w:tcPr>
            <w:tcW w:w="6409" w:type="dxa"/>
            <w:vAlign w:val="center"/>
          </w:tcPr>
          <w:p w14:paraId="526BD5BD" w14:textId="77777777" w:rsidR="000909EF" w:rsidRPr="009D5BD6" w:rsidRDefault="000909EF" w:rsidP="00D12761">
            <w:pPr>
              <w:spacing w:before="0" w:after="0" w:line="240" w:lineRule="auto"/>
              <w:jc w:val="left"/>
              <w:rPr>
                <w:rFonts w:cs="Arial"/>
              </w:rPr>
            </w:pPr>
            <w:r>
              <w:rPr>
                <w:sz w:val="20"/>
              </w:rPr>
              <w:t>H2020 MSCA RISE 2018</w:t>
            </w:r>
          </w:p>
        </w:tc>
      </w:tr>
      <w:tr w:rsidR="000909EF" w:rsidRPr="009D5BD6" w14:paraId="2B5A321B" w14:textId="77777777" w:rsidTr="00523EFA">
        <w:trPr>
          <w:trHeight w:val="567"/>
        </w:trPr>
        <w:tc>
          <w:tcPr>
            <w:tcW w:w="1978" w:type="dxa"/>
            <w:shd w:val="clear" w:color="auto" w:fill="FFFF66"/>
            <w:vAlign w:val="center"/>
          </w:tcPr>
          <w:p w14:paraId="51ED2BAA" w14:textId="77777777" w:rsidR="000909EF" w:rsidRPr="009D5BD6" w:rsidRDefault="000909EF" w:rsidP="00D12761">
            <w:pPr>
              <w:spacing w:before="0" w:after="0" w:line="240" w:lineRule="auto"/>
              <w:jc w:val="left"/>
              <w:rPr>
                <w:rFonts w:cs="Arial"/>
              </w:rPr>
            </w:pPr>
            <w:r w:rsidRPr="009D5BD6">
              <w:rPr>
                <w:rFonts w:cs="Arial"/>
              </w:rPr>
              <w:t>Project acronym</w:t>
            </w:r>
          </w:p>
        </w:tc>
        <w:tc>
          <w:tcPr>
            <w:tcW w:w="6409" w:type="dxa"/>
            <w:vAlign w:val="center"/>
          </w:tcPr>
          <w:p w14:paraId="12B10003" w14:textId="77777777" w:rsidR="000909EF" w:rsidRPr="009D5BD6" w:rsidRDefault="000909EF" w:rsidP="00D12761">
            <w:pPr>
              <w:spacing w:before="0" w:after="0" w:line="240" w:lineRule="auto"/>
              <w:jc w:val="left"/>
              <w:rPr>
                <w:rFonts w:cs="Arial"/>
              </w:rPr>
            </w:pPr>
            <w:r>
              <w:rPr>
                <w:rFonts w:cs="Arial"/>
              </w:rPr>
              <w:t>MAIL</w:t>
            </w:r>
          </w:p>
        </w:tc>
      </w:tr>
      <w:tr w:rsidR="000909EF" w:rsidRPr="009D5BD6" w14:paraId="2E7C83A9" w14:textId="77777777" w:rsidTr="00523EFA">
        <w:trPr>
          <w:trHeight w:val="567"/>
        </w:trPr>
        <w:tc>
          <w:tcPr>
            <w:tcW w:w="1978" w:type="dxa"/>
            <w:shd w:val="clear" w:color="auto" w:fill="FFFF66"/>
            <w:vAlign w:val="center"/>
          </w:tcPr>
          <w:p w14:paraId="3E41066F" w14:textId="77777777" w:rsidR="000909EF" w:rsidRPr="009D5BD6" w:rsidRDefault="000909EF" w:rsidP="00D12761">
            <w:pPr>
              <w:spacing w:before="0" w:after="0" w:line="240" w:lineRule="auto"/>
              <w:jc w:val="left"/>
              <w:rPr>
                <w:rFonts w:cs="Arial"/>
              </w:rPr>
            </w:pPr>
            <w:r w:rsidRPr="009D5BD6">
              <w:rPr>
                <w:rFonts w:cs="Arial"/>
              </w:rPr>
              <w:t>Starting date</w:t>
            </w:r>
          </w:p>
        </w:tc>
        <w:tc>
          <w:tcPr>
            <w:tcW w:w="6409" w:type="dxa"/>
            <w:vAlign w:val="center"/>
          </w:tcPr>
          <w:p w14:paraId="5FA094E2" w14:textId="77777777" w:rsidR="000909EF" w:rsidRPr="009D5BD6" w:rsidRDefault="000909EF" w:rsidP="00D12761">
            <w:pPr>
              <w:spacing w:before="0" w:after="0" w:line="240" w:lineRule="auto"/>
              <w:jc w:val="left"/>
              <w:rPr>
                <w:rFonts w:cs="Arial"/>
              </w:rPr>
            </w:pPr>
            <w:r w:rsidRPr="009D5BD6">
              <w:rPr>
                <w:rFonts w:cs="Arial"/>
              </w:rPr>
              <w:t>01.</w:t>
            </w:r>
            <w:r>
              <w:rPr>
                <w:rFonts w:cs="Arial"/>
              </w:rPr>
              <w:t>01.2019</w:t>
            </w:r>
          </w:p>
        </w:tc>
      </w:tr>
      <w:tr w:rsidR="000909EF" w:rsidRPr="009D5BD6" w14:paraId="46C73431" w14:textId="77777777" w:rsidTr="00523EFA">
        <w:trPr>
          <w:trHeight w:val="567"/>
        </w:trPr>
        <w:tc>
          <w:tcPr>
            <w:tcW w:w="1978" w:type="dxa"/>
            <w:shd w:val="clear" w:color="auto" w:fill="FFFF66"/>
            <w:vAlign w:val="center"/>
          </w:tcPr>
          <w:p w14:paraId="79D3B0E6" w14:textId="77777777" w:rsidR="000909EF" w:rsidRPr="009D5BD6" w:rsidRDefault="000909EF" w:rsidP="00D12761">
            <w:pPr>
              <w:spacing w:before="0" w:after="0" w:line="240" w:lineRule="auto"/>
              <w:jc w:val="left"/>
              <w:rPr>
                <w:rFonts w:cs="Arial"/>
              </w:rPr>
            </w:pPr>
            <w:r w:rsidRPr="009D5BD6">
              <w:rPr>
                <w:rFonts w:cs="Arial"/>
              </w:rPr>
              <w:t>End date</w:t>
            </w:r>
          </w:p>
        </w:tc>
        <w:tc>
          <w:tcPr>
            <w:tcW w:w="6409" w:type="dxa"/>
            <w:vAlign w:val="center"/>
          </w:tcPr>
          <w:p w14:paraId="493664D6" w14:textId="6AB0A63B" w:rsidR="000909EF" w:rsidRPr="009D5BD6" w:rsidRDefault="000909EF" w:rsidP="00D12761">
            <w:pPr>
              <w:spacing w:before="0" w:after="0" w:line="240" w:lineRule="auto"/>
              <w:jc w:val="left"/>
              <w:rPr>
                <w:rFonts w:cs="Arial"/>
              </w:rPr>
            </w:pPr>
            <w:r>
              <w:rPr>
                <w:rFonts w:cs="Arial"/>
              </w:rPr>
              <w:t>31.</w:t>
            </w:r>
            <w:r w:rsidR="004D6D9B">
              <w:rPr>
                <w:rFonts w:cs="Arial"/>
              </w:rPr>
              <w:t>12</w:t>
            </w:r>
            <w:r>
              <w:rPr>
                <w:rFonts w:cs="Arial"/>
              </w:rPr>
              <w:t>.2021</w:t>
            </w:r>
          </w:p>
        </w:tc>
      </w:tr>
      <w:tr w:rsidR="000909EF" w:rsidRPr="009D5BD6" w14:paraId="503D42B0" w14:textId="77777777" w:rsidTr="00523EFA">
        <w:trPr>
          <w:trHeight w:val="567"/>
        </w:trPr>
        <w:tc>
          <w:tcPr>
            <w:tcW w:w="1978" w:type="dxa"/>
            <w:shd w:val="clear" w:color="auto" w:fill="FFFF66"/>
            <w:vAlign w:val="center"/>
          </w:tcPr>
          <w:p w14:paraId="632A1C75" w14:textId="77777777" w:rsidR="000909EF" w:rsidRPr="009D5BD6" w:rsidRDefault="000909EF" w:rsidP="00D12761">
            <w:pPr>
              <w:spacing w:before="0" w:after="0" w:line="240" w:lineRule="auto"/>
              <w:jc w:val="left"/>
              <w:rPr>
                <w:rFonts w:cs="Arial"/>
              </w:rPr>
            </w:pPr>
            <w:r w:rsidRPr="009D5BD6">
              <w:rPr>
                <w:rFonts w:cs="Arial"/>
              </w:rPr>
              <w:t>Funding scheme</w:t>
            </w:r>
          </w:p>
        </w:tc>
        <w:tc>
          <w:tcPr>
            <w:tcW w:w="6409" w:type="dxa"/>
            <w:vAlign w:val="center"/>
          </w:tcPr>
          <w:p w14:paraId="61929A7B" w14:textId="77777777" w:rsidR="000909EF" w:rsidRPr="00523EFA" w:rsidRDefault="00523EFA" w:rsidP="00D12761">
            <w:pPr>
              <w:spacing w:before="0" w:after="0" w:line="240" w:lineRule="auto"/>
              <w:jc w:val="left"/>
              <w:rPr>
                <w:rFonts w:cs="Arial"/>
              </w:rPr>
            </w:pPr>
            <w:r w:rsidRPr="00523EFA">
              <w:rPr>
                <w:rFonts w:eastAsia="Calibri"/>
              </w:rPr>
              <w:t xml:space="preserve">Marie </w:t>
            </w:r>
            <w:proofErr w:type="spellStart"/>
            <w:r w:rsidRPr="00523EFA">
              <w:rPr>
                <w:rFonts w:eastAsia="Calibri"/>
              </w:rPr>
              <w:t>Skłodowska</w:t>
            </w:r>
            <w:proofErr w:type="spellEnd"/>
            <w:r w:rsidRPr="00523EFA">
              <w:rPr>
                <w:rFonts w:eastAsia="Calibri"/>
              </w:rPr>
              <w:t>-Curie</w:t>
            </w:r>
          </w:p>
        </w:tc>
      </w:tr>
      <w:tr w:rsidR="000909EF" w:rsidRPr="009D5BD6" w14:paraId="29083652" w14:textId="77777777" w:rsidTr="00523EFA">
        <w:trPr>
          <w:trHeight w:val="567"/>
        </w:trPr>
        <w:tc>
          <w:tcPr>
            <w:tcW w:w="1978" w:type="dxa"/>
            <w:shd w:val="clear" w:color="auto" w:fill="FFFF66"/>
            <w:vAlign w:val="center"/>
          </w:tcPr>
          <w:p w14:paraId="59344A41" w14:textId="77777777" w:rsidR="000909EF" w:rsidRPr="009D5BD6" w:rsidRDefault="000909EF" w:rsidP="00D12761">
            <w:pPr>
              <w:spacing w:before="0" w:after="0" w:line="240" w:lineRule="auto"/>
              <w:jc w:val="left"/>
              <w:rPr>
                <w:rFonts w:cs="Arial"/>
              </w:rPr>
            </w:pPr>
            <w:r w:rsidRPr="009D5BD6">
              <w:rPr>
                <w:rFonts w:cs="Arial"/>
              </w:rPr>
              <w:t>Contract no.</w:t>
            </w:r>
          </w:p>
        </w:tc>
        <w:tc>
          <w:tcPr>
            <w:tcW w:w="6409" w:type="dxa"/>
            <w:vAlign w:val="center"/>
          </w:tcPr>
          <w:p w14:paraId="4611842B" w14:textId="77777777" w:rsidR="000909EF" w:rsidRPr="00523EFA" w:rsidRDefault="00523EFA" w:rsidP="00D12761">
            <w:pPr>
              <w:spacing w:before="0" w:after="0" w:line="240" w:lineRule="auto"/>
              <w:jc w:val="left"/>
              <w:rPr>
                <w:rFonts w:cs="Arial"/>
              </w:rPr>
            </w:pPr>
            <w:r w:rsidRPr="00523EFA">
              <w:rPr>
                <w:rFonts w:eastAsia="Calibri"/>
              </w:rPr>
              <w:t>823805</w:t>
            </w:r>
          </w:p>
        </w:tc>
      </w:tr>
      <w:tr w:rsidR="000909EF" w:rsidRPr="009D5BD6" w14:paraId="3DA407DD" w14:textId="77777777" w:rsidTr="00523EFA">
        <w:trPr>
          <w:trHeight w:val="737"/>
        </w:trPr>
        <w:tc>
          <w:tcPr>
            <w:tcW w:w="8387" w:type="dxa"/>
            <w:gridSpan w:val="2"/>
            <w:shd w:val="clear" w:color="auto" w:fill="CC9900"/>
            <w:vAlign w:val="center"/>
          </w:tcPr>
          <w:p w14:paraId="3B18B351" w14:textId="77777777" w:rsidR="000909EF" w:rsidRPr="009D5BD6" w:rsidRDefault="000909EF" w:rsidP="00D12761">
            <w:pPr>
              <w:spacing w:before="0" w:after="0" w:line="240" w:lineRule="auto"/>
              <w:rPr>
                <w:rFonts w:cs="Arial"/>
              </w:rPr>
            </w:pPr>
          </w:p>
        </w:tc>
      </w:tr>
      <w:tr w:rsidR="000909EF" w:rsidRPr="009D5BD6" w14:paraId="00117AAA" w14:textId="77777777" w:rsidTr="00523EFA">
        <w:trPr>
          <w:trHeight w:val="567"/>
        </w:trPr>
        <w:tc>
          <w:tcPr>
            <w:tcW w:w="1978" w:type="dxa"/>
            <w:shd w:val="clear" w:color="auto" w:fill="FFFF66"/>
            <w:vAlign w:val="center"/>
          </w:tcPr>
          <w:p w14:paraId="58CE702B" w14:textId="77777777" w:rsidR="000909EF" w:rsidRPr="009D5BD6" w:rsidRDefault="000909EF" w:rsidP="00D12761">
            <w:pPr>
              <w:spacing w:before="0" w:after="0" w:line="240" w:lineRule="auto"/>
              <w:rPr>
                <w:rFonts w:cs="Arial"/>
              </w:rPr>
            </w:pPr>
            <w:r w:rsidRPr="009D5BD6">
              <w:rPr>
                <w:rFonts w:cs="Arial"/>
              </w:rPr>
              <w:t>Deliverable no.</w:t>
            </w:r>
          </w:p>
        </w:tc>
        <w:tc>
          <w:tcPr>
            <w:tcW w:w="6409" w:type="dxa"/>
            <w:vAlign w:val="center"/>
          </w:tcPr>
          <w:p w14:paraId="02B1F505" w14:textId="222FBEBF" w:rsidR="000909EF" w:rsidRPr="009D5BD6" w:rsidRDefault="000909EF" w:rsidP="00D12761">
            <w:pPr>
              <w:spacing w:before="0" w:after="0" w:line="240" w:lineRule="auto"/>
              <w:rPr>
                <w:rFonts w:cs="Arial"/>
              </w:rPr>
            </w:pPr>
            <w:r>
              <w:rPr>
                <w:rFonts w:cs="Arial"/>
              </w:rPr>
              <w:t>D</w:t>
            </w:r>
            <w:r w:rsidR="00662771">
              <w:rPr>
                <w:rFonts w:cs="Arial"/>
              </w:rPr>
              <w:t>2.7</w:t>
            </w:r>
          </w:p>
        </w:tc>
      </w:tr>
      <w:tr w:rsidR="000909EF" w:rsidRPr="009D5BD6" w14:paraId="72F8FB4C" w14:textId="77777777" w:rsidTr="00523EFA">
        <w:trPr>
          <w:trHeight w:val="567"/>
        </w:trPr>
        <w:tc>
          <w:tcPr>
            <w:tcW w:w="1978" w:type="dxa"/>
            <w:shd w:val="clear" w:color="auto" w:fill="FFFF66"/>
            <w:vAlign w:val="center"/>
          </w:tcPr>
          <w:p w14:paraId="399B87EE" w14:textId="77777777" w:rsidR="000909EF" w:rsidRPr="009D5BD6" w:rsidRDefault="000909EF" w:rsidP="00D12761">
            <w:pPr>
              <w:spacing w:before="0" w:after="0" w:line="240" w:lineRule="auto"/>
              <w:rPr>
                <w:rFonts w:cs="Arial"/>
              </w:rPr>
            </w:pPr>
            <w:r w:rsidRPr="009D5BD6">
              <w:rPr>
                <w:rFonts w:cs="Arial"/>
              </w:rPr>
              <w:t>Document name</w:t>
            </w:r>
          </w:p>
        </w:tc>
        <w:tc>
          <w:tcPr>
            <w:tcW w:w="6409" w:type="dxa"/>
            <w:vAlign w:val="center"/>
          </w:tcPr>
          <w:p w14:paraId="1EBA7A77" w14:textId="73F89E3E" w:rsidR="000909EF" w:rsidRPr="009D5BD6" w:rsidRDefault="00523EFA" w:rsidP="00D12761">
            <w:pPr>
              <w:spacing w:before="0" w:after="0" w:line="240" w:lineRule="auto"/>
              <w:rPr>
                <w:rFonts w:cs="Arial"/>
                <w:highlight w:val="yellow"/>
              </w:rPr>
            </w:pPr>
            <w:r>
              <w:rPr>
                <w:rFonts w:cs="Arial"/>
              </w:rPr>
              <w:t>MAIL_D</w:t>
            </w:r>
            <w:r w:rsidR="00662771">
              <w:rPr>
                <w:rFonts w:cs="Arial"/>
              </w:rPr>
              <w:t>2.7</w:t>
            </w:r>
            <w:r>
              <w:rPr>
                <w:rFonts w:cs="Arial"/>
              </w:rPr>
              <w:t>.pdf</w:t>
            </w:r>
          </w:p>
        </w:tc>
      </w:tr>
      <w:tr w:rsidR="000909EF" w:rsidRPr="009D5BD6" w14:paraId="59C51135" w14:textId="77777777" w:rsidTr="00523EFA">
        <w:trPr>
          <w:trHeight w:val="567"/>
        </w:trPr>
        <w:tc>
          <w:tcPr>
            <w:tcW w:w="1978" w:type="dxa"/>
            <w:shd w:val="clear" w:color="auto" w:fill="FFFF66"/>
            <w:vAlign w:val="center"/>
          </w:tcPr>
          <w:p w14:paraId="54CD8B2B" w14:textId="77777777" w:rsidR="000909EF" w:rsidRPr="009D5BD6" w:rsidRDefault="000909EF" w:rsidP="00D12761">
            <w:pPr>
              <w:spacing w:before="0" w:after="0" w:line="240" w:lineRule="auto"/>
              <w:rPr>
                <w:rFonts w:cs="Arial"/>
              </w:rPr>
            </w:pPr>
            <w:r w:rsidRPr="009D5BD6">
              <w:rPr>
                <w:rFonts w:cs="Arial"/>
              </w:rPr>
              <w:t>Deliverable name</w:t>
            </w:r>
          </w:p>
        </w:tc>
        <w:tc>
          <w:tcPr>
            <w:tcW w:w="6409" w:type="dxa"/>
            <w:vAlign w:val="center"/>
          </w:tcPr>
          <w:p w14:paraId="6C60D480" w14:textId="7DB5AD70" w:rsidR="000909EF" w:rsidRPr="009D5BD6" w:rsidRDefault="00662771" w:rsidP="00D12761">
            <w:pPr>
              <w:spacing w:before="0" w:after="0" w:line="240" w:lineRule="auto"/>
              <w:rPr>
                <w:rFonts w:cs="Arial"/>
              </w:rPr>
            </w:pPr>
            <w:r>
              <w:rPr>
                <w:rFonts w:cs="Arial"/>
              </w:rPr>
              <w:t>Report on Augmenting precision</w:t>
            </w:r>
          </w:p>
        </w:tc>
      </w:tr>
      <w:tr w:rsidR="000909EF" w:rsidRPr="009D5BD6" w14:paraId="1EBFCEA2" w14:textId="77777777" w:rsidTr="00523EFA">
        <w:trPr>
          <w:trHeight w:val="567"/>
        </w:trPr>
        <w:tc>
          <w:tcPr>
            <w:tcW w:w="1978" w:type="dxa"/>
            <w:shd w:val="clear" w:color="auto" w:fill="FFFF66"/>
            <w:vAlign w:val="center"/>
          </w:tcPr>
          <w:p w14:paraId="78320EDE" w14:textId="77777777" w:rsidR="000909EF" w:rsidRPr="009D5BD6" w:rsidRDefault="000909EF" w:rsidP="00D12761">
            <w:pPr>
              <w:spacing w:before="0" w:after="0" w:line="240" w:lineRule="auto"/>
              <w:rPr>
                <w:rFonts w:cs="Arial"/>
              </w:rPr>
            </w:pPr>
            <w:r w:rsidRPr="009D5BD6">
              <w:rPr>
                <w:rFonts w:cs="Arial"/>
              </w:rPr>
              <w:t>Work Package</w:t>
            </w:r>
          </w:p>
        </w:tc>
        <w:tc>
          <w:tcPr>
            <w:tcW w:w="6409" w:type="dxa"/>
            <w:vAlign w:val="center"/>
          </w:tcPr>
          <w:p w14:paraId="33715B14" w14:textId="5AD97FB1" w:rsidR="000909EF" w:rsidRPr="009D5BD6" w:rsidRDefault="00662771" w:rsidP="00D12761">
            <w:pPr>
              <w:spacing w:before="0" w:after="0" w:line="240" w:lineRule="auto"/>
              <w:rPr>
                <w:rFonts w:cs="Arial"/>
              </w:rPr>
            </w:pPr>
            <w:r>
              <w:rPr>
                <w:rFonts w:cs="Arial"/>
              </w:rPr>
              <w:t>WP2</w:t>
            </w:r>
          </w:p>
        </w:tc>
      </w:tr>
      <w:tr w:rsidR="000909EF" w:rsidRPr="009D5BD6" w14:paraId="0E285731" w14:textId="77777777" w:rsidTr="00523EFA">
        <w:trPr>
          <w:trHeight w:val="567"/>
        </w:trPr>
        <w:tc>
          <w:tcPr>
            <w:tcW w:w="1978" w:type="dxa"/>
            <w:shd w:val="clear" w:color="auto" w:fill="FFFF66"/>
            <w:vAlign w:val="center"/>
          </w:tcPr>
          <w:p w14:paraId="3F66D174" w14:textId="77777777" w:rsidR="000909EF" w:rsidRPr="009D5BD6" w:rsidRDefault="000909EF" w:rsidP="00D12761">
            <w:pPr>
              <w:spacing w:before="0" w:after="0" w:line="240" w:lineRule="auto"/>
              <w:rPr>
                <w:rFonts w:cs="Arial"/>
              </w:rPr>
            </w:pPr>
            <w:r w:rsidRPr="009D5BD6">
              <w:rPr>
                <w:rFonts w:cs="Arial"/>
              </w:rPr>
              <w:t>Nature</w:t>
            </w:r>
            <w:r w:rsidRPr="009D5BD6">
              <w:rPr>
                <w:rStyle w:val="FootnoteReference"/>
                <w:rFonts w:cs="Arial"/>
              </w:rPr>
              <w:footnoteReference w:id="2"/>
            </w:r>
          </w:p>
        </w:tc>
        <w:tc>
          <w:tcPr>
            <w:tcW w:w="6409" w:type="dxa"/>
            <w:vAlign w:val="center"/>
          </w:tcPr>
          <w:p w14:paraId="667E163F" w14:textId="65049AAA" w:rsidR="000909EF" w:rsidRPr="009D5BD6" w:rsidRDefault="00662771" w:rsidP="00D12761">
            <w:pPr>
              <w:spacing w:before="0" w:after="0" w:line="240" w:lineRule="auto"/>
              <w:rPr>
                <w:rFonts w:cs="Arial"/>
              </w:rPr>
            </w:pPr>
            <w:r>
              <w:rPr>
                <w:rFonts w:cs="Arial"/>
              </w:rPr>
              <w:t>R</w:t>
            </w:r>
          </w:p>
        </w:tc>
      </w:tr>
      <w:tr w:rsidR="000909EF" w:rsidRPr="009D5BD6" w14:paraId="3B9E6E5E" w14:textId="77777777" w:rsidTr="00523EFA">
        <w:trPr>
          <w:trHeight w:val="567"/>
        </w:trPr>
        <w:tc>
          <w:tcPr>
            <w:tcW w:w="1978" w:type="dxa"/>
            <w:shd w:val="clear" w:color="auto" w:fill="FFFF66"/>
            <w:vAlign w:val="center"/>
          </w:tcPr>
          <w:p w14:paraId="3CA5A048" w14:textId="77777777" w:rsidR="000909EF" w:rsidRPr="009D5BD6" w:rsidRDefault="000909EF" w:rsidP="00D12761">
            <w:pPr>
              <w:spacing w:before="0" w:after="0" w:line="240" w:lineRule="auto"/>
              <w:rPr>
                <w:rFonts w:cs="Arial"/>
              </w:rPr>
            </w:pPr>
            <w:r w:rsidRPr="009D5BD6">
              <w:rPr>
                <w:rFonts w:cs="Arial"/>
              </w:rPr>
              <w:t>Dissemination</w:t>
            </w:r>
            <w:r w:rsidRPr="009D5BD6">
              <w:rPr>
                <w:rStyle w:val="FootnoteReference"/>
                <w:rFonts w:cs="Arial"/>
              </w:rPr>
              <w:footnoteReference w:id="3"/>
            </w:r>
          </w:p>
        </w:tc>
        <w:tc>
          <w:tcPr>
            <w:tcW w:w="6409" w:type="dxa"/>
            <w:vAlign w:val="center"/>
          </w:tcPr>
          <w:p w14:paraId="3902CDD0" w14:textId="496AF9CF" w:rsidR="000909EF" w:rsidRPr="009D5BD6" w:rsidRDefault="00662771" w:rsidP="00D12761">
            <w:pPr>
              <w:spacing w:before="0" w:after="0" w:line="240" w:lineRule="auto"/>
              <w:rPr>
                <w:rFonts w:cs="Arial"/>
              </w:rPr>
            </w:pPr>
            <w:r>
              <w:rPr>
                <w:rFonts w:cs="Arial"/>
              </w:rPr>
              <w:t>PU</w:t>
            </w:r>
          </w:p>
        </w:tc>
      </w:tr>
      <w:tr w:rsidR="000909EF" w:rsidRPr="00895362" w14:paraId="14202039" w14:textId="77777777" w:rsidTr="00523EFA">
        <w:trPr>
          <w:trHeight w:val="567"/>
        </w:trPr>
        <w:tc>
          <w:tcPr>
            <w:tcW w:w="1978" w:type="dxa"/>
            <w:shd w:val="clear" w:color="auto" w:fill="FFFF66"/>
            <w:vAlign w:val="center"/>
          </w:tcPr>
          <w:p w14:paraId="47FCE2C4" w14:textId="77777777" w:rsidR="000909EF" w:rsidRPr="009D5BD6" w:rsidRDefault="000909EF" w:rsidP="00D12761">
            <w:pPr>
              <w:spacing w:before="0" w:after="0" w:line="240" w:lineRule="auto"/>
              <w:rPr>
                <w:rFonts w:cs="Arial"/>
              </w:rPr>
            </w:pPr>
            <w:r w:rsidRPr="009D5BD6">
              <w:rPr>
                <w:rFonts w:cs="Arial"/>
              </w:rPr>
              <w:t>Editor</w:t>
            </w:r>
          </w:p>
        </w:tc>
        <w:tc>
          <w:tcPr>
            <w:tcW w:w="6409" w:type="dxa"/>
            <w:vAlign w:val="center"/>
          </w:tcPr>
          <w:p w14:paraId="59F08B10" w14:textId="73AA398C" w:rsidR="000909EF" w:rsidRDefault="008819CB" w:rsidP="00D12761">
            <w:pPr>
              <w:spacing w:before="0" w:after="0" w:line="240" w:lineRule="auto"/>
              <w:rPr>
                <w:rFonts w:cs="Arial"/>
                <w:lang w:val="it-IT"/>
              </w:rPr>
            </w:pPr>
            <w:r>
              <w:rPr>
                <w:rFonts w:cs="Arial"/>
                <w:lang w:val="it-IT"/>
              </w:rPr>
              <w:t>Michal Krupinski</w:t>
            </w:r>
            <w:r w:rsidR="00F82193">
              <w:rPr>
                <w:rFonts w:cs="Arial"/>
                <w:lang w:val="it-IT"/>
              </w:rPr>
              <w:t xml:space="preserve"> (CBK PAN)</w:t>
            </w:r>
          </w:p>
          <w:p w14:paraId="6F8B4B70" w14:textId="77777777" w:rsidR="008819CB" w:rsidRDefault="00B2700E" w:rsidP="00D12761">
            <w:pPr>
              <w:spacing w:before="0" w:after="0" w:line="240" w:lineRule="auto"/>
              <w:rPr>
                <w:rFonts w:cs="Arial"/>
                <w:lang w:val="it-IT"/>
              </w:rPr>
            </w:pPr>
            <w:r>
              <w:rPr>
                <w:rFonts w:cs="Arial"/>
                <w:lang w:val="it-IT"/>
              </w:rPr>
              <w:t>Dzhaner Emin</w:t>
            </w:r>
            <w:r w:rsidR="00F82193">
              <w:rPr>
                <w:rFonts w:cs="Arial"/>
                <w:lang w:val="it-IT"/>
              </w:rPr>
              <w:t xml:space="preserve"> (IABG)</w:t>
            </w:r>
          </w:p>
          <w:p w14:paraId="4B945225" w14:textId="252C637D" w:rsidR="004D6D9B" w:rsidRPr="00506BBE" w:rsidRDefault="004D6D9B" w:rsidP="00D12761">
            <w:pPr>
              <w:spacing w:before="0" w:after="0" w:line="240" w:lineRule="auto"/>
              <w:rPr>
                <w:rFonts w:cs="Arial"/>
                <w:lang w:val="it-IT"/>
              </w:rPr>
            </w:pPr>
            <w:r>
              <w:rPr>
                <w:rFonts w:cs="Arial"/>
                <w:lang w:val="it-IT"/>
              </w:rPr>
              <w:t>Charalampos Georgiadis (AUTH)</w:t>
            </w:r>
          </w:p>
        </w:tc>
      </w:tr>
      <w:tr w:rsidR="000909EF" w:rsidRPr="00F935E5" w14:paraId="212B6F41" w14:textId="77777777" w:rsidTr="00523EFA">
        <w:trPr>
          <w:trHeight w:val="567"/>
        </w:trPr>
        <w:tc>
          <w:tcPr>
            <w:tcW w:w="1978" w:type="dxa"/>
            <w:shd w:val="clear" w:color="auto" w:fill="FFFF66"/>
            <w:vAlign w:val="center"/>
          </w:tcPr>
          <w:p w14:paraId="2F80E8D3" w14:textId="77777777" w:rsidR="000909EF" w:rsidRPr="009D5BD6" w:rsidRDefault="000909EF" w:rsidP="00D12761">
            <w:pPr>
              <w:spacing w:before="0" w:after="0" w:line="240" w:lineRule="auto"/>
              <w:rPr>
                <w:rFonts w:cs="Arial"/>
              </w:rPr>
            </w:pPr>
            <w:r>
              <w:rPr>
                <w:rFonts w:cs="Arial"/>
              </w:rPr>
              <w:t>Authors</w:t>
            </w:r>
          </w:p>
        </w:tc>
        <w:tc>
          <w:tcPr>
            <w:tcW w:w="6409" w:type="dxa"/>
            <w:vAlign w:val="center"/>
          </w:tcPr>
          <w:p w14:paraId="6B34B8CD" w14:textId="509E25A8" w:rsidR="000909EF" w:rsidRPr="00A746F8" w:rsidRDefault="00AE1C96" w:rsidP="00D12761">
            <w:pPr>
              <w:spacing w:before="0" w:after="0" w:line="240" w:lineRule="auto"/>
              <w:rPr>
                <w:rFonts w:cs="Arial"/>
              </w:rPr>
            </w:pPr>
            <w:r w:rsidRPr="00A746F8">
              <w:rPr>
                <w:rFonts w:cs="Arial"/>
              </w:rPr>
              <w:t>Georgios Spanos</w:t>
            </w:r>
            <w:r w:rsidR="00F82193">
              <w:rPr>
                <w:rFonts w:cs="Arial"/>
              </w:rPr>
              <w:t xml:space="preserve"> (AUTH)</w:t>
            </w:r>
          </w:p>
          <w:p w14:paraId="61788102" w14:textId="70A43C9F" w:rsidR="00B2700E" w:rsidRPr="00A746F8" w:rsidRDefault="00853343" w:rsidP="00D12761">
            <w:pPr>
              <w:spacing w:before="0" w:after="0" w:line="240" w:lineRule="auto"/>
              <w:rPr>
                <w:rFonts w:cs="Arial"/>
              </w:rPr>
            </w:pPr>
            <w:proofErr w:type="spellStart"/>
            <w:r w:rsidRPr="00A746F8">
              <w:rPr>
                <w:rFonts w:cs="Arial"/>
              </w:rPr>
              <w:t>Ewa</w:t>
            </w:r>
            <w:proofErr w:type="spellEnd"/>
            <w:r w:rsidRPr="00A746F8">
              <w:rPr>
                <w:rFonts w:cs="Arial"/>
              </w:rPr>
              <w:t xml:space="preserve"> </w:t>
            </w:r>
            <w:proofErr w:type="spellStart"/>
            <w:r w:rsidRPr="00A746F8">
              <w:rPr>
                <w:rFonts w:cs="Arial"/>
              </w:rPr>
              <w:t>Grom</w:t>
            </w:r>
            <w:r w:rsidR="006F6DC3" w:rsidRPr="00A746F8">
              <w:rPr>
                <w:rFonts w:cs="Arial"/>
              </w:rPr>
              <w:t>n</w:t>
            </w:r>
            <w:r w:rsidRPr="00A746F8">
              <w:rPr>
                <w:rFonts w:cs="Arial"/>
              </w:rPr>
              <w:t>y</w:t>
            </w:r>
            <w:proofErr w:type="spellEnd"/>
            <w:r w:rsidR="00F82193">
              <w:rPr>
                <w:rFonts w:cs="Arial"/>
              </w:rPr>
              <w:t xml:space="preserve"> (CBK PAN)</w:t>
            </w:r>
          </w:p>
          <w:p w14:paraId="7F70B061" w14:textId="7824F270" w:rsidR="004D6D9B" w:rsidRPr="00041C84" w:rsidRDefault="00E01D64" w:rsidP="00D12761">
            <w:pPr>
              <w:spacing w:before="0" w:after="0" w:line="240" w:lineRule="auto"/>
              <w:rPr>
                <w:rFonts w:cs="Arial"/>
              </w:rPr>
            </w:pPr>
            <w:r w:rsidRPr="00A746F8">
              <w:rPr>
                <w:rFonts w:cs="Arial"/>
              </w:rPr>
              <w:t xml:space="preserve">Michal </w:t>
            </w:r>
            <w:proofErr w:type="spellStart"/>
            <w:r w:rsidRPr="00A746F8">
              <w:rPr>
                <w:rFonts w:cs="Arial"/>
              </w:rPr>
              <w:t>Krupinski</w:t>
            </w:r>
            <w:proofErr w:type="spellEnd"/>
            <w:r w:rsidR="00F82193">
              <w:rPr>
                <w:rFonts w:cs="Arial"/>
              </w:rPr>
              <w:t xml:space="preserve"> (CBK PAN)</w:t>
            </w:r>
          </w:p>
        </w:tc>
      </w:tr>
      <w:tr w:rsidR="000909EF" w:rsidRPr="00F935E5" w14:paraId="04C5B120" w14:textId="77777777" w:rsidTr="00523EFA">
        <w:trPr>
          <w:trHeight w:val="567"/>
        </w:trPr>
        <w:tc>
          <w:tcPr>
            <w:tcW w:w="1978" w:type="dxa"/>
            <w:shd w:val="clear" w:color="auto" w:fill="FFFF66"/>
            <w:vAlign w:val="center"/>
          </w:tcPr>
          <w:p w14:paraId="1A57C763" w14:textId="77777777" w:rsidR="000909EF" w:rsidRPr="009D5BD6" w:rsidRDefault="000909EF" w:rsidP="00D12761">
            <w:pPr>
              <w:spacing w:before="0" w:after="0" w:line="240" w:lineRule="auto"/>
              <w:rPr>
                <w:rFonts w:cs="Arial"/>
              </w:rPr>
            </w:pPr>
            <w:r w:rsidRPr="009D5BD6">
              <w:rPr>
                <w:rFonts w:cs="Arial"/>
              </w:rPr>
              <w:t>Contributors</w:t>
            </w:r>
          </w:p>
        </w:tc>
        <w:tc>
          <w:tcPr>
            <w:tcW w:w="6409" w:type="dxa"/>
            <w:vAlign w:val="center"/>
          </w:tcPr>
          <w:p w14:paraId="3488F257" w14:textId="04055847" w:rsidR="000909EF" w:rsidRPr="00944F2E" w:rsidRDefault="000A293D" w:rsidP="00D12761">
            <w:pPr>
              <w:spacing w:before="0" w:after="0" w:line="240" w:lineRule="auto"/>
              <w:rPr>
                <w:rFonts w:cs="Arial"/>
              </w:rPr>
            </w:pPr>
            <w:r>
              <w:rPr>
                <w:rFonts w:cs="Arial"/>
              </w:rPr>
              <w:t>All project partners</w:t>
            </w:r>
          </w:p>
        </w:tc>
      </w:tr>
      <w:tr w:rsidR="000909EF" w:rsidRPr="009D5BD6" w14:paraId="44D2E22E" w14:textId="77777777" w:rsidTr="00523EFA">
        <w:trPr>
          <w:trHeight w:val="567"/>
        </w:trPr>
        <w:tc>
          <w:tcPr>
            <w:tcW w:w="1978" w:type="dxa"/>
            <w:shd w:val="clear" w:color="auto" w:fill="FFFF66"/>
            <w:vAlign w:val="center"/>
          </w:tcPr>
          <w:p w14:paraId="2F28D0F9" w14:textId="77777777" w:rsidR="000909EF" w:rsidRPr="009D5BD6" w:rsidRDefault="000909EF" w:rsidP="00D12761">
            <w:pPr>
              <w:spacing w:before="0" w:after="0" w:line="240" w:lineRule="auto"/>
              <w:rPr>
                <w:rFonts w:cs="Arial"/>
              </w:rPr>
            </w:pPr>
            <w:r w:rsidRPr="009D5BD6">
              <w:rPr>
                <w:rFonts w:cs="Arial"/>
              </w:rPr>
              <w:t>Date</w:t>
            </w:r>
          </w:p>
        </w:tc>
        <w:tc>
          <w:tcPr>
            <w:tcW w:w="6409" w:type="dxa"/>
            <w:vAlign w:val="center"/>
          </w:tcPr>
          <w:p w14:paraId="4BE5AAB6" w14:textId="324C5A66" w:rsidR="000909EF" w:rsidRPr="009D5BD6" w:rsidRDefault="004D6D9B" w:rsidP="00D12761">
            <w:pPr>
              <w:spacing w:before="0" w:after="0" w:line="240" w:lineRule="auto"/>
              <w:rPr>
                <w:rFonts w:cs="Arial"/>
              </w:rPr>
            </w:pPr>
            <w:r>
              <w:rPr>
                <w:rFonts w:cs="Arial"/>
              </w:rPr>
              <w:t>28.12.21</w:t>
            </w:r>
          </w:p>
        </w:tc>
      </w:tr>
    </w:tbl>
    <w:p w14:paraId="693BE549" w14:textId="77777777" w:rsidR="00523EFA" w:rsidRPr="009D5BD6" w:rsidRDefault="00523EFA" w:rsidP="00523EFA">
      <w:pPr>
        <w:pStyle w:val="Heading1"/>
        <w:numPr>
          <w:ilvl w:val="0"/>
          <w:numId w:val="0"/>
        </w:numPr>
      </w:pPr>
      <w:bookmarkStart w:id="1" w:name="_Toc382650060"/>
      <w:bookmarkStart w:id="2" w:name="_Toc91583659"/>
      <w:r>
        <w:lastRenderedPageBreak/>
        <w:t>MAIL</w:t>
      </w:r>
      <w:r w:rsidRPr="009D5BD6">
        <w:t xml:space="preserve"> Consortium</w:t>
      </w:r>
      <w:bookmarkEnd w:id="1"/>
      <w:bookmarkEnd w:id="2"/>
    </w:p>
    <w:tbl>
      <w:tblPr>
        <w:tblStyle w:val="TableGrid"/>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06"/>
        <w:gridCol w:w="4389"/>
      </w:tblGrid>
      <w:tr w:rsidR="00DF11E2" w14:paraId="4D8969B6" w14:textId="77777777" w:rsidTr="00D12761">
        <w:tc>
          <w:tcPr>
            <w:tcW w:w="4106" w:type="dxa"/>
            <w:vAlign w:val="bottom"/>
          </w:tcPr>
          <w:p w14:paraId="39D814E9" w14:textId="77777777" w:rsidR="00DF11E2" w:rsidRDefault="00DF11E2" w:rsidP="00D12761">
            <w:pPr>
              <w:spacing w:after="120" w:line="240" w:lineRule="auto"/>
              <w:jc w:val="center"/>
              <w:rPr>
                <w:lang w:val="en-GB"/>
              </w:rPr>
            </w:pPr>
            <w:r w:rsidRPr="00870446">
              <w:rPr>
                <w:noProof/>
                <w:lang w:val="en-GB" w:eastAsia="en-GB"/>
              </w:rPr>
              <w:drawing>
                <wp:inline distT="0" distB="0" distL="0" distR="0" wp14:anchorId="491AE6E1" wp14:editId="2818342F">
                  <wp:extent cx="647505" cy="619760"/>
                  <wp:effectExtent l="0" t="0" r="635" b="8890"/>
                  <wp:docPr id="23" name="Picture 5"/>
                  <wp:cNvGraphicFramePr/>
                  <a:graphic xmlns:a="http://schemas.openxmlformats.org/drawingml/2006/main">
                    <a:graphicData uri="http://schemas.openxmlformats.org/drawingml/2006/picture">
                      <pic:pic xmlns:pic="http://schemas.openxmlformats.org/drawingml/2006/picture">
                        <pic:nvPicPr>
                          <pic:cNvPr id="8282" name="Picture 15" descr="auth_logo_color"/>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651571" cy="623652"/>
                          </a:xfrm>
                          <a:prstGeom prst="rect">
                            <a:avLst/>
                          </a:prstGeom>
                          <a:noFill/>
                          <a:ln w="9525">
                            <a:noFill/>
                            <a:miter lim="800000"/>
                            <a:headEnd/>
                            <a:tailEnd/>
                          </a:ln>
                        </pic:spPr>
                      </pic:pic>
                    </a:graphicData>
                  </a:graphic>
                </wp:inline>
              </w:drawing>
            </w:r>
          </w:p>
          <w:p w14:paraId="31A6FDFF" w14:textId="77777777" w:rsidR="00DF11E2" w:rsidRDefault="00DF11E2" w:rsidP="00D12761">
            <w:pPr>
              <w:spacing w:after="120" w:line="240" w:lineRule="auto"/>
              <w:jc w:val="center"/>
              <w:rPr>
                <w:lang w:val="en-GB"/>
              </w:rPr>
            </w:pPr>
            <w:r>
              <w:rPr>
                <w:lang w:val="en-GB"/>
              </w:rPr>
              <w:t>Aristotle University of Thessaloniki (AUTH) Greece</w:t>
            </w:r>
          </w:p>
        </w:tc>
        <w:tc>
          <w:tcPr>
            <w:tcW w:w="4389" w:type="dxa"/>
            <w:vAlign w:val="bottom"/>
          </w:tcPr>
          <w:p w14:paraId="6E6AE0D2" w14:textId="77777777" w:rsidR="00DF11E2" w:rsidRDefault="00DF11E2" w:rsidP="00D12761">
            <w:pPr>
              <w:spacing w:after="120" w:line="240" w:lineRule="auto"/>
              <w:jc w:val="center"/>
              <w:rPr>
                <w:lang w:val="en-GB"/>
              </w:rPr>
            </w:pPr>
            <w:r w:rsidRPr="00870446">
              <w:rPr>
                <w:noProof/>
                <w:lang w:val="en-GB" w:eastAsia="en-GB"/>
              </w:rPr>
              <w:drawing>
                <wp:inline distT="0" distB="0" distL="0" distR="0" wp14:anchorId="4396BEDF" wp14:editId="09255C03">
                  <wp:extent cx="751967" cy="304800"/>
                  <wp:effectExtent l="0" t="0" r="0" b="0"/>
                  <wp:docPr id="22" name="Picture 22"/>
                  <wp:cNvGraphicFramePr/>
                  <a:graphic xmlns:a="http://schemas.openxmlformats.org/drawingml/2006/main">
                    <a:graphicData uri="http://schemas.openxmlformats.org/drawingml/2006/picture">
                      <pic:pic xmlns:pic="http://schemas.openxmlformats.org/drawingml/2006/picture">
                        <pic:nvPicPr>
                          <pic:cNvPr id="8285"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755831" cy="306366"/>
                          </a:xfrm>
                          <a:prstGeom prst="rect">
                            <a:avLst/>
                          </a:prstGeom>
                          <a:noFill/>
                          <a:ln w="9525">
                            <a:noFill/>
                            <a:miter lim="800000"/>
                            <a:headEnd/>
                            <a:tailEnd/>
                          </a:ln>
                        </pic:spPr>
                      </pic:pic>
                    </a:graphicData>
                  </a:graphic>
                </wp:inline>
              </w:drawing>
            </w:r>
          </w:p>
          <w:p w14:paraId="153FD98B" w14:textId="77777777" w:rsidR="00DF11E2" w:rsidRDefault="00DF11E2" w:rsidP="00D12761">
            <w:pPr>
              <w:spacing w:after="120" w:line="240" w:lineRule="auto"/>
              <w:jc w:val="center"/>
              <w:rPr>
                <w:lang w:val="en-GB"/>
              </w:rPr>
            </w:pPr>
            <w:proofErr w:type="spellStart"/>
            <w:r>
              <w:rPr>
                <w:lang w:val="en-GB"/>
              </w:rPr>
              <w:t>Industrieanlagen</w:t>
            </w:r>
            <w:proofErr w:type="spellEnd"/>
            <w:r>
              <w:rPr>
                <w:lang w:val="en-GB"/>
              </w:rPr>
              <w:t xml:space="preserve"> </w:t>
            </w:r>
            <w:proofErr w:type="spellStart"/>
            <w:r>
              <w:rPr>
                <w:lang w:val="en-GB"/>
              </w:rPr>
              <w:t>Betriebsgesellschaft</w:t>
            </w:r>
            <w:proofErr w:type="spellEnd"/>
            <w:r>
              <w:rPr>
                <w:lang w:val="en-GB"/>
              </w:rPr>
              <w:t xml:space="preserve"> MBH (IABG) Germany</w:t>
            </w:r>
          </w:p>
        </w:tc>
      </w:tr>
      <w:tr w:rsidR="00DF11E2" w14:paraId="0C5069B7" w14:textId="77777777" w:rsidTr="00D12761">
        <w:tc>
          <w:tcPr>
            <w:tcW w:w="4106" w:type="dxa"/>
            <w:vAlign w:val="center"/>
          </w:tcPr>
          <w:p w14:paraId="2BA93825" w14:textId="77777777" w:rsidR="00DF11E2" w:rsidRDefault="00DF11E2" w:rsidP="00D12761">
            <w:pPr>
              <w:spacing w:after="120" w:line="240" w:lineRule="auto"/>
              <w:jc w:val="center"/>
              <w:rPr>
                <w:lang w:val="en-GB"/>
              </w:rPr>
            </w:pPr>
            <w:r w:rsidRPr="00870446">
              <w:rPr>
                <w:noProof/>
                <w:lang w:val="en-GB" w:eastAsia="en-GB"/>
              </w:rPr>
              <w:drawing>
                <wp:inline distT="0" distB="0" distL="0" distR="0" wp14:anchorId="7947A140" wp14:editId="4C01FD00">
                  <wp:extent cx="411480" cy="462280"/>
                  <wp:effectExtent l="0" t="0" r="7620" b="0"/>
                  <wp:docPr id="21" name="Picture 21"/>
                  <wp:cNvGraphicFramePr/>
                  <a:graphic xmlns:a="http://schemas.openxmlformats.org/drawingml/2006/main">
                    <a:graphicData uri="http://schemas.openxmlformats.org/drawingml/2006/picture">
                      <pic:pic xmlns:pic="http://schemas.openxmlformats.org/drawingml/2006/picture">
                        <pic:nvPicPr>
                          <pic:cNvPr id="8284" name="Picture 18" descr="images.jpg"/>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412008" cy="462873"/>
                          </a:xfrm>
                          <a:prstGeom prst="rect">
                            <a:avLst/>
                          </a:prstGeom>
                          <a:noFill/>
                          <a:ln w="9525">
                            <a:noFill/>
                            <a:miter lim="800000"/>
                            <a:headEnd/>
                            <a:tailEnd/>
                          </a:ln>
                        </pic:spPr>
                      </pic:pic>
                    </a:graphicData>
                  </a:graphic>
                </wp:inline>
              </w:drawing>
            </w:r>
          </w:p>
          <w:p w14:paraId="15DBB2CB" w14:textId="77777777" w:rsidR="00DF11E2" w:rsidRDefault="00DF11E2" w:rsidP="00D12761">
            <w:pPr>
              <w:spacing w:after="120" w:line="240" w:lineRule="auto"/>
              <w:jc w:val="center"/>
              <w:rPr>
                <w:lang w:val="en-GB"/>
              </w:rPr>
            </w:pPr>
            <w:proofErr w:type="spellStart"/>
            <w:r>
              <w:rPr>
                <w:lang w:val="en-GB"/>
              </w:rPr>
              <w:t>Gounaris</w:t>
            </w:r>
            <w:proofErr w:type="spellEnd"/>
            <w:r>
              <w:rPr>
                <w:lang w:val="en-GB"/>
              </w:rPr>
              <w:t xml:space="preserve"> N. – </w:t>
            </w:r>
            <w:proofErr w:type="spellStart"/>
            <w:r>
              <w:rPr>
                <w:lang w:val="en-GB"/>
              </w:rPr>
              <w:t>Kontos</w:t>
            </w:r>
            <w:proofErr w:type="spellEnd"/>
            <w:r>
              <w:rPr>
                <w:lang w:val="en-GB"/>
              </w:rPr>
              <w:t xml:space="preserve"> K. OE (HOMEOTECH) Greece</w:t>
            </w:r>
          </w:p>
        </w:tc>
        <w:tc>
          <w:tcPr>
            <w:tcW w:w="4389" w:type="dxa"/>
            <w:vAlign w:val="center"/>
          </w:tcPr>
          <w:p w14:paraId="2866D6EF" w14:textId="77777777" w:rsidR="00DF11E2" w:rsidRDefault="00DF11E2" w:rsidP="00D12761">
            <w:pPr>
              <w:spacing w:after="120" w:line="240" w:lineRule="auto"/>
              <w:jc w:val="center"/>
              <w:rPr>
                <w:lang w:val="en-GB"/>
              </w:rPr>
            </w:pPr>
            <w:r w:rsidRPr="00870446">
              <w:rPr>
                <w:noProof/>
                <w:lang w:val="en-GB" w:eastAsia="en-GB"/>
              </w:rPr>
              <w:drawing>
                <wp:anchor distT="0" distB="0" distL="114300" distR="114300" simplePos="0" relativeHeight="251658240" behindDoc="0" locked="0" layoutInCell="1" allowOverlap="1" wp14:anchorId="0353C072" wp14:editId="3F0A87EB">
                  <wp:simplePos x="0" y="0"/>
                  <wp:positionH relativeFrom="column">
                    <wp:posOffset>1071880</wp:posOffset>
                  </wp:positionH>
                  <wp:positionV relativeFrom="paragraph">
                    <wp:posOffset>-427355</wp:posOffset>
                  </wp:positionV>
                  <wp:extent cx="682625" cy="404495"/>
                  <wp:effectExtent l="0" t="0" r="3175" b="0"/>
                  <wp:wrapTopAndBottom/>
                  <wp:docPr id="25" name="Picture 25"/>
                  <wp:cNvGraphicFramePr/>
                  <a:graphic xmlns:a="http://schemas.openxmlformats.org/drawingml/2006/main">
                    <a:graphicData uri="http://schemas.openxmlformats.org/drawingml/2006/picture">
                      <pic:pic xmlns:pic="http://schemas.openxmlformats.org/drawingml/2006/picture">
                        <pic:nvPicPr>
                          <pic:cNvPr id="8283" name="Picture 1" descr="cnr_iia"/>
                          <pic:cNvPicPr>
                            <a:picLocks noChangeAspect="1" noChangeArrowheads="1"/>
                          </pic:cNvPicPr>
                        </pic:nvPicPr>
                        <pic:blipFill>
                          <a:blip r:embed="rId12" cstate="print">
                            <a:extLst>
                              <a:ext uri="{28A0092B-C50C-407E-A947-70E740481C1C}">
                                <a14:useLocalDpi xmlns:a14="http://schemas.microsoft.com/office/drawing/2010/main" val="0"/>
                              </a:ext>
                            </a:extLst>
                          </a:blip>
                          <a:stretch>
                            <a:fillRect/>
                          </a:stretch>
                        </pic:blipFill>
                        <pic:spPr bwMode="auto">
                          <a:xfrm>
                            <a:off x="0" y="0"/>
                            <a:ext cx="682625" cy="40449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lang w:val="en-GB"/>
              </w:rPr>
              <w:t xml:space="preserve">Centrum Badan </w:t>
            </w:r>
            <w:proofErr w:type="spellStart"/>
            <w:r>
              <w:rPr>
                <w:lang w:val="en-GB"/>
              </w:rPr>
              <w:t>Kosmicznych</w:t>
            </w:r>
            <w:proofErr w:type="spellEnd"/>
            <w:r>
              <w:rPr>
                <w:lang w:val="en-GB"/>
              </w:rPr>
              <w:t xml:space="preserve"> </w:t>
            </w:r>
            <w:proofErr w:type="spellStart"/>
            <w:r>
              <w:rPr>
                <w:lang w:val="en-GB"/>
              </w:rPr>
              <w:t>Polskiej</w:t>
            </w:r>
            <w:proofErr w:type="spellEnd"/>
            <w:r>
              <w:rPr>
                <w:lang w:val="en-GB"/>
              </w:rPr>
              <w:t xml:space="preserve"> </w:t>
            </w:r>
            <w:proofErr w:type="spellStart"/>
            <w:r>
              <w:rPr>
                <w:lang w:val="en-GB"/>
              </w:rPr>
              <w:t>Akademii</w:t>
            </w:r>
            <w:proofErr w:type="spellEnd"/>
            <w:r>
              <w:rPr>
                <w:lang w:val="en-GB"/>
              </w:rPr>
              <w:t xml:space="preserve"> </w:t>
            </w:r>
            <w:proofErr w:type="spellStart"/>
            <w:r>
              <w:rPr>
                <w:lang w:val="en-GB"/>
              </w:rPr>
              <w:t>Nauk</w:t>
            </w:r>
            <w:proofErr w:type="spellEnd"/>
            <w:r>
              <w:rPr>
                <w:lang w:val="en-GB"/>
              </w:rPr>
              <w:t xml:space="preserve"> (CBK PAN) Poland</w:t>
            </w:r>
            <w:r w:rsidRPr="00870446">
              <w:rPr>
                <w:noProof/>
              </w:rPr>
              <w:t xml:space="preserve"> </w:t>
            </w:r>
          </w:p>
        </w:tc>
      </w:tr>
      <w:tr w:rsidR="00DF11E2" w14:paraId="13CD5B15" w14:textId="77777777" w:rsidTr="00D12761">
        <w:tc>
          <w:tcPr>
            <w:tcW w:w="4106" w:type="dxa"/>
            <w:vAlign w:val="center"/>
          </w:tcPr>
          <w:p w14:paraId="03F451A0" w14:textId="77777777" w:rsidR="00DF11E2" w:rsidRDefault="00DF11E2" w:rsidP="00D12761">
            <w:pPr>
              <w:spacing w:after="120" w:line="240" w:lineRule="auto"/>
              <w:jc w:val="center"/>
              <w:rPr>
                <w:lang w:val="en-GB"/>
              </w:rPr>
            </w:pPr>
            <w:r w:rsidRPr="00870446">
              <w:rPr>
                <w:noProof/>
                <w:lang w:val="en-GB" w:eastAsia="en-GB"/>
              </w:rPr>
              <w:drawing>
                <wp:inline distT="0" distB="0" distL="0" distR="0" wp14:anchorId="120D0630" wp14:editId="18B31251">
                  <wp:extent cx="1127095" cy="398376"/>
                  <wp:effectExtent l="0" t="0" r="0" b="190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87" name="Picture 17" descr="geo"/>
                          <pic:cNvPicPr>
                            <a:picLocks noChangeAspect="1" noChangeArrowheads="1"/>
                          </pic:cNvPicPr>
                        </pic:nvPicPr>
                        <pic:blipFill>
                          <a:blip r:embed="rId13" cstate="print">
                            <a:extLst>
                              <a:ext uri="{28A0092B-C50C-407E-A947-70E740481C1C}">
                                <a14:useLocalDpi xmlns:a14="http://schemas.microsoft.com/office/drawing/2010/main" val="0"/>
                              </a:ext>
                            </a:extLst>
                          </a:blip>
                          <a:stretch>
                            <a:fillRect/>
                          </a:stretch>
                        </pic:blipFill>
                        <pic:spPr bwMode="auto">
                          <a:xfrm>
                            <a:off x="0" y="0"/>
                            <a:ext cx="1127095" cy="398376"/>
                          </a:xfrm>
                          <a:prstGeom prst="rect">
                            <a:avLst/>
                          </a:prstGeom>
                          <a:noFill/>
                          <a:ln w="9525">
                            <a:noFill/>
                            <a:miter lim="800000"/>
                            <a:headEnd/>
                            <a:tailEnd/>
                          </a:ln>
                        </pic:spPr>
                      </pic:pic>
                    </a:graphicData>
                  </a:graphic>
                </wp:inline>
              </w:drawing>
            </w:r>
          </w:p>
          <w:p w14:paraId="4EEC06D2" w14:textId="77777777" w:rsidR="00DF11E2" w:rsidRDefault="00DF11E2" w:rsidP="00D12761">
            <w:pPr>
              <w:spacing w:after="120" w:line="240" w:lineRule="auto"/>
              <w:jc w:val="center"/>
              <w:rPr>
                <w:lang w:val="en-GB"/>
              </w:rPr>
            </w:pPr>
            <w:proofErr w:type="spellStart"/>
            <w:r>
              <w:rPr>
                <w:lang w:val="en-GB"/>
              </w:rPr>
              <w:t>Universitat</w:t>
            </w:r>
            <w:proofErr w:type="spellEnd"/>
            <w:r>
              <w:rPr>
                <w:lang w:val="en-GB"/>
              </w:rPr>
              <w:t xml:space="preserve"> </w:t>
            </w:r>
            <w:proofErr w:type="spellStart"/>
            <w:r>
              <w:rPr>
                <w:lang w:val="en-GB"/>
              </w:rPr>
              <w:t>Politecnica</w:t>
            </w:r>
            <w:proofErr w:type="spellEnd"/>
            <w:r>
              <w:rPr>
                <w:lang w:val="en-GB"/>
              </w:rPr>
              <w:t xml:space="preserve"> de Valencia (UPV) Spain</w:t>
            </w:r>
          </w:p>
        </w:tc>
        <w:tc>
          <w:tcPr>
            <w:tcW w:w="4389" w:type="dxa"/>
            <w:vAlign w:val="center"/>
          </w:tcPr>
          <w:p w14:paraId="4FCE79C2" w14:textId="77777777" w:rsidR="00DF11E2" w:rsidRDefault="00DF11E2" w:rsidP="00D12761">
            <w:pPr>
              <w:spacing w:after="120" w:line="240" w:lineRule="auto"/>
              <w:jc w:val="center"/>
              <w:rPr>
                <w:lang w:val="en-GB"/>
              </w:rPr>
            </w:pPr>
            <w:r w:rsidRPr="00870446">
              <w:rPr>
                <w:noProof/>
                <w:lang w:val="en-GB" w:eastAsia="en-GB"/>
              </w:rPr>
              <w:drawing>
                <wp:inline distT="0" distB="0" distL="0" distR="0" wp14:anchorId="28D26DB7" wp14:editId="2BC7D97A">
                  <wp:extent cx="892800" cy="374860"/>
                  <wp:effectExtent l="0" t="0" r="3175" b="635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86" name="Picture 6" descr="121008Logo HCP.jpg"/>
                          <pic:cNvPicPr>
                            <a:picLocks noChangeAspect="1" noChangeArrowheads="1"/>
                          </pic:cNvPicPr>
                        </pic:nvPicPr>
                        <pic:blipFill>
                          <a:blip r:embed="rId14" cstate="print">
                            <a:extLst>
                              <a:ext uri="{28A0092B-C50C-407E-A947-70E740481C1C}">
                                <a14:useLocalDpi xmlns:a14="http://schemas.microsoft.com/office/drawing/2010/main" val="0"/>
                              </a:ext>
                            </a:extLst>
                          </a:blip>
                          <a:stretch>
                            <a:fillRect/>
                          </a:stretch>
                        </pic:blipFill>
                        <pic:spPr bwMode="auto">
                          <a:xfrm>
                            <a:off x="0" y="0"/>
                            <a:ext cx="892800" cy="374860"/>
                          </a:xfrm>
                          <a:prstGeom prst="rect">
                            <a:avLst/>
                          </a:prstGeom>
                          <a:noFill/>
                          <a:ln w="9525">
                            <a:noFill/>
                            <a:miter lim="800000"/>
                            <a:headEnd/>
                            <a:tailEnd/>
                          </a:ln>
                        </pic:spPr>
                      </pic:pic>
                    </a:graphicData>
                  </a:graphic>
                </wp:inline>
              </w:drawing>
            </w:r>
          </w:p>
          <w:p w14:paraId="3F21EEA7" w14:textId="77777777" w:rsidR="00DF11E2" w:rsidRDefault="00DF11E2" w:rsidP="00D12761">
            <w:pPr>
              <w:spacing w:after="120" w:line="240" w:lineRule="auto"/>
              <w:jc w:val="center"/>
              <w:rPr>
                <w:lang w:val="en-GB"/>
              </w:rPr>
            </w:pPr>
            <w:proofErr w:type="spellStart"/>
            <w:r>
              <w:rPr>
                <w:lang w:val="en-GB"/>
              </w:rPr>
              <w:t>Fundacion</w:t>
            </w:r>
            <w:proofErr w:type="spellEnd"/>
            <w:r>
              <w:rPr>
                <w:lang w:val="en-GB"/>
              </w:rPr>
              <w:t xml:space="preserve"> Centro De </w:t>
            </w:r>
            <w:proofErr w:type="spellStart"/>
            <w:r>
              <w:rPr>
                <w:lang w:val="en-GB"/>
              </w:rPr>
              <w:t>Servicios</w:t>
            </w:r>
            <w:proofErr w:type="spellEnd"/>
            <w:r>
              <w:rPr>
                <w:lang w:val="en-GB"/>
              </w:rPr>
              <w:t xml:space="preserve"> Y </w:t>
            </w:r>
            <w:proofErr w:type="spellStart"/>
            <w:r>
              <w:rPr>
                <w:lang w:val="en-GB"/>
              </w:rPr>
              <w:t>Promocion</w:t>
            </w:r>
            <w:proofErr w:type="spellEnd"/>
            <w:r>
              <w:rPr>
                <w:lang w:val="en-GB"/>
              </w:rPr>
              <w:t xml:space="preserve"> </w:t>
            </w:r>
            <w:proofErr w:type="spellStart"/>
            <w:r>
              <w:rPr>
                <w:lang w:val="en-GB"/>
              </w:rPr>
              <w:t>FOrestral</w:t>
            </w:r>
            <w:proofErr w:type="spellEnd"/>
            <w:r>
              <w:rPr>
                <w:lang w:val="en-GB"/>
              </w:rPr>
              <w:t xml:space="preserve"> Y de </w:t>
            </w:r>
            <w:proofErr w:type="spellStart"/>
            <w:r>
              <w:rPr>
                <w:lang w:val="en-GB"/>
              </w:rPr>
              <w:t>su</w:t>
            </w:r>
            <w:proofErr w:type="spellEnd"/>
            <w:r>
              <w:rPr>
                <w:lang w:val="en-GB"/>
              </w:rPr>
              <w:t xml:space="preserve"> </w:t>
            </w:r>
            <w:proofErr w:type="spellStart"/>
            <w:r>
              <w:rPr>
                <w:lang w:val="en-GB"/>
              </w:rPr>
              <w:t>Industria</w:t>
            </w:r>
            <w:proofErr w:type="spellEnd"/>
            <w:r>
              <w:rPr>
                <w:lang w:val="en-GB"/>
              </w:rPr>
              <w:t xml:space="preserve"> De Castilla y Leon (CESEFOR) Spain</w:t>
            </w:r>
          </w:p>
        </w:tc>
      </w:tr>
    </w:tbl>
    <w:p w14:paraId="5B347B27" w14:textId="7AFD55C7" w:rsidR="007A60EB" w:rsidRDefault="007A60EB" w:rsidP="00523EFA">
      <w:pPr>
        <w:rPr>
          <w:lang w:val="en-GB"/>
        </w:rPr>
      </w:pPr>
    </w:p>
    <w:p w14:paraId="63D0A050" w14:textId="77777777" w:rsidR="007A60EB" w:rsidRDefault="007A60EB">
      <w:pPr>
        <w:spacing w:line="300" w:lineRule="exact"/>
        <w:jc w:val="left"/>
        <w:rPr>
          <w:lang w:val="en-GB"/>
        </w:rPr>
      </w:pPr>
      <w:r>
        <w:rPr>
          <w:lang w:val="en-GB"/>
        </w:rPr>
        <w:br w:type="page"/>
      </w:r>
    </w:p>
    <w:p w14:paraId="4CE1516B" w14:textId="77777777" w:rsidR="00523EFA" w:rsidRPr="00523EFA" w:rsidRDefault="00523EFA" w:rsidP="00523EFA">
      <w:pPr>
        <w:rPr>
          <w:lang w:val="en-GB"/>
        </w:rPr>
      </w:pPr>
    </w:p>
    <w:p w14:paraId="07656189" w14:textId="77777777" w:rsidR="009B3BE6" w:rsidRPr="00C60499" w:rsidRDefault="009B3BE6" w:rsidP="009B3BE6">
      <w:pPr>
        <w:pStyle w:val="Heading1"/>
        <w:numPr>
          <w:ilvl w:val="0"/>
          <w:numId w:val="0"/>
        </w:numPr>
        <w:rPr>
          <w:lang w:val="en-GB"/>
        </w:rPr>
      </w:pPr>
      <w:bookmarkStart w:id="3" w:name="_Toc91583660"/>
      <w:r w:rsidRPr="00C60499">
        <w:rPr>
          <w:lang w:val="en-GB"/>
        </w:rPr>
        <w:t>Abbreviations</w:t>
      </w:r>
      <w:bookmarkEnd w:id="0"/>
      <w:bookmarkEnd w:id="3"/>
    </w:p>
    <w:tbl>
      <w:tblPr>
        <w:tblW w:w="0" w:type="auto"/>
        <w:tblInd w:w="108" w:type="dxa"/>
        <w:tblLook w:val="04A0" w:firstRow="1" w:lastRow="0" w:firstColumn="1" w:lastColumn="0" w:noHBand="0" w:noVBand="1"/>
      </w:tblPr>
      <w:tblGrid>
        <w:gridCol w:w="2105"/>
        <w:gridCol w:w="6292"/>
      </w:tblGrid>
      <w:tr w:rsidR="009B3BE6" w:rsidRPr="00C60499" w14:paraId="52ADE20F" w14:textId="77777777" w:rsidTr="00D16776">
        <w:trPr>
          <w:trHeight w:hRule="exact" w:val="567"/>
        </w:trPr>
        <w:tc>
          <w:tcPr>
            <w:tcW w:w="2105" w:type="dxa"/>
            <w:tcBorders>
              <w:right w:val="single" w:sz="4" w:space="0" w:color="auto"/>
            </w:tcBorders>
            <w:shd w:val="clear" w:color="auto" w:fill="FFC000"/>
            <w:vAlign w:val="center"/>
          </w:tcPr>
          <w:p w14:paraId="575B7A7E" w14:textId="77777777" w:rsidR="009B3BE6" w:rsidRPr="00C60499" w:rsidRDefault="009B3BE6" w:rsidP="00D12761">
            <w:pPr>
              <w:spacing w:before="0" w:after="0" w:line="240" w:lineRule="auto"/>
              <w:jc w:val="center"/>
              <w:rPr>
                <w:rStyle w:val="Strong"/>
                <w:lang w:val="en-GB"/>
              </w:rPr>
            </w:pPr>
            <w:r w:rsidRPr="00C60499">
              <w:rPr>
                <w:rStyle w:val="Strong"/>
                <w:lang w:val="en-GB"/>
              </w:rPr>
              <w:t>Term</w:t>
            </w:r>
          </w:p>
        </w:tc>
        <w:tc>
          <w:tcPr>
            <w:tcW w:w="6292" w:type="dxa"/>
            <w:tcBorders>
              <w:left w:val="single" w:sz="4" w:space="0" w:color="auto"/>
            </w:tcBorders>
            <w:shd w:val="clear" w:color="auto" w:fill="FFC000"/>
            <w:vAlign w:val="center"/>
          </w:tcPr>
          <w:p w14:paraId="6B7716AD" w14:textId="77777777" w:rsidR="009B3BE6" w:rsidRPr="00C60499" w:rsidRDefault="009B3BE6" w:rsidP="00D12761">
            <w:pPr>
              <w:spacing w:before="0" w:after="0" w:line="240" w:lineRule="auto"/>
              <w:jc w:val="center"/>
              <w:rPr>
                <w:rStyle w:val="Strong"/>
                <w:lang w:val="en-GB"/>
              </w:rPr>
            </w:pPr>
            <w:r w:rsidRPr="00C60499">
              <w:rPr>
                <w:rStyle w:val="Strong"/>
                <w:lang w:val="en-GB"/>
              </w:rPr>
              <w:t>Explanation</w:t>
            </w:r>
          </w:p>
        </w:tc>
      </w:tr>
      <w:tr w:rsidR="008E4177" w:rsidRPr="00C60499" w14:paraId="67936B84" w14:textId="77777777" w:rsidTr="00D16776">
        <w:trPr>
          <w:trHeight w:hRule="exact" w:val="567"/>
        </w:trPr>
        <w:tc>
          <w:tcPr>
            <w:tcW w:w="2105" w:type="dxa"/>
            <w:shd w:val="clear" w:color="auto" w:fill="DBF6B9" w:themeFill="accent3" w:themeFillTint="66"/>
            <w:vAlign w:val="center"/>
          </w:tcPr>
          <w:p w14:paraId="787382E8" w14:textId="77777777" w:rsidR="008E4177" w:rsidRPr="00C60499" w:rsidRDefault="008E4177" w:rsidP="00D12761">
            <w:pPr>
              <w:spacing w:before="0" w:after="0" w:line="240" w:lineRule="auto"/>
              <w:jc w:val="left"/>
              <w:rPr>
                <w:lang w:val="en-GB"/>
              </w:rPr>
            </w:pPr>
            <w:r>
              <w:rPr>
                <w:lang w:val="en-GB"/>
              </w:rPr>
              <w:t>EVI</w:t>
            </w:r>
          </w:p>
        </w:tc>
        <w:tc>
          <w:tcPr>
            <w:tcW w:w="6292" w:type="dxa"/>
            <w:vAlign w:val="center"/>
          </w:tcPr>
          <w:p w14:paraId="0271ECBB" w14:textId="77777777" w:rsidR="008E4177" w:rsidRPr="00C60499" w:rsidRDefault="008E4177" w:rsidP="00D12761">
            <w:pPr>
              <w:spacing w:before="0" w:after="0" w:line="240" w:lineRule="auto"/>
              <w:jc w:val="left"/>
              <w:rPr>
                <w:lang w:val="en-GB"/>
              </w:rPr>
            </w:pPr>
            <w:r>
              <w:rPr>
                <w:lang w:val="en-GB"/>
              </w:rPr>
              <w:t>Enhanced Vegetation Index</w:t>
            </w:r>
          </w:p>
        </w:tc>
      </w:tr>
      <w:tr w:rsidR="008E4177" w:rsidRPr="00C60499" w14:paraId="116CAC30" w14:textId="77777777" w:rsidTr="00D16776">
        <w:trPr>
          <w:trHeight w:hRule="exact" w:val="567"/>
        </w:trPr>
        <w:tc>
          <w:tcPr>
            <w:tcW w:w="2105" w:type="dxa"/>
            <w:shd w:val="clear" w:color="auto" w:fill="DBF6B9" w:themeFill="accent3" w:themeFillTint="66"/>
            <w:vAlign w:val="center"/>
          </w:tcPr>
          <w:p w14:paraId="1D909FE4" w14:textId="77777777" w:rsidR="008E4177" w:rsidRPr="00C60499" w:rsidRDefault="008E4177" w:rsidP="00D12761">
            <w:pPr>
              <w:spacing w:before="0" w:after="0" w:line="240" w:lineRule="auto"/>
              <w:jc w:val="left"/>
              <w:rPr>
                <w:lang w:val="en-GB"/>
              </w:rPr>
            </w:pPr>
            <w:r>
              <w:rPr>
                <w:lang w:val="en-GB"/>
              </w:rPr>
              <w:t>GEE</w:t>
            </w:r>
          </w:p>
        </w:tc>
        <w:tc>
          <w:tcPr>
            <w:tcW w:w="6292" w:type="dxa"/>
            <w:vAlign w:val="center"/>
          </w:tcPr>
          <w:p w14:paraId="5052BEC0" w14:textId="77777777" w:rsidR="008E4177" w:rsidRPr="00C60499" w:rsidRDefault="008E4177" w:rsidP="00D12761">
            <w:pPr>
              <w:spacing w:before="0" w:after="0" w:line="240" w:lineRule="auto"/>
              <w:jc w:val="left"/>
              <w:rPr>
                <w:lang w:val="en-GB"/>
              </w:rPr>
            </w:pPr>
            <w:r>
              <w:rPr>
                <w:lang w:val="en-GB"/>
              </w:rPr>
              <w:t>Google Earth Engine</w:t>
            </w:r>
          </w:p>
        </w:tc>
      </w:tr>
      <w:tr w:rsidR="008E4177" w:rsidRPr="00C60499" w14:paraId="405B0165" w14:textId="77777777" w:rsidTr="00D16776">
        <w:trPr>
          <w:trHeight w:hRule="exact" w:val="567"/>
        </w:trPr>
        <w:tc>
          <w:tcPr>
            <w:tcW w:w="2105" w:type="dxa"/>
            <w:shd w:val="clear" w:color="auto" w:fill="DBF6B9" w:themeFill="accent3" w:themeFillTint="66"/>
            <w:vAlign w:val="center"/>
          </w:tcPr>
          <w:p w14:paraId="11165826" w14:textId="77777777" w:rsidR="008E4177" w:rsidRPr="00C60499" w:rsidRDefault="008E4177" w:rsidP="00D12761">
            <w:pPr>
              <w:spacing w:before="0" w:after="0" w:line="240" w:lineRule="auto"/>
              <w:jc w:val="left"/>
              <w:rPr>
                <w:lang w:val="en-GB"/>
              </w:rPr>
            </w:pPr>
            <w:r>
              <w:rPr>
                <w:lang w:val="en-GB"/>
              </w:rPr>
              <w:t>GRD</w:t>
            </w:r>
          </w:p>
        </w:tc>
        <w:tc>
          <w:tcPr>
            <w:tcW w:w="6292" w:type="dxa"/>
            <w:vAlign w:val="center"/>
          </w:tcPr>
          <w:p w14:paraId="214071D0" w14:textId="77777777" w:rsidR="008E4177" w:rsidRPr="00C60499" w:rsidRDefault="008E4177" w:rsidP="00D12761">
            <w:pPr>
              <w:spacing w:before="0" w:after="0" w:line="240" w:lineRule="auto"/>
              <w:jc w:val="left"/>
              <w:rPr>
                <w:lang w:val="en-GB"/>
              </w:rPr>
            </w:pPr>
            <w:r>
              <w:rPr>
                <w:lang w:val="en-GB"/>
              </w:rPr>
              <w:t>Ground Range Detected</w:t>
            </w:r>
          </w:p>
        </w:tc>
      </w:tr>
      <w:tr w:rsidR="008E4177" w:rsidRPr="00C60499" w14:paraId="508EF1BC" w14:textId="77777777" w:rsidTr="00D16776">
        <w:trPr>
          <w:trHeight w:hRule="exact" w:val="567"/>
        </w:trPr>
        <w:tc>
          <w:tcPr>
            <w:tcW w:w="2105" w:type="dxa"/>
            <w:shd w:val="clear" w:color="auto" w:fill="DBF6B9" w:themeFill="accent3" w:themeFillTint="66"/>
            <w:vAlign w:val="center"/>
          </w:tcPr>
          <w:p w14:paraId="7E514871" w14:textId="77777777" w:rsidR="008E4177" w:rsidRPr="00C60499" w:rsidRDefault="008E4177" w:rsidP="00D12761">
            <w:pPr>
              <w:spacing w:before="0" w:after="0" w:line="240" w:lineRule="auto"/>
              <w:jc w:val="left"/>
              <w:rPr>
                <w:lang w:val="en-GB"/>
              </w:rPr>
            </w:pPr>
            <w:r>
              <w:rPr>
                <w:lang w:val="en-GB"/>
              </w:rPr>
              <w:t>IW</w:t>
            </w:r>
          </w:p>
        </w:tc>
        <w:tc>
          <w:tcPr>
            <w:tcW w:w="6292" w:type="dxa"/>
            <w:vAlign w:val="center"/>
          </w:tcPr>
          <w:p w14:paraId="0F552591" w14:textId="77777777" w:rsidR="008E4177" w:rsidRPr="00C60499" w:rsidRDefault="008E4177" w:rsidP="00D12761">
            <w:pPr>
              <w:spacing w:before="0" w:after="0" w:line="240" w:lineRule="auto"/>
              <w:jc w:val="left"/>
              <w:rPr>
                <w:lang w:val="en-GB"/>
              </w:rPr>
            </w:pPr>
            <w:r>
              <w:rPr>
                <w:lang w:val="en-GB"/>
              </w:rPr>
              <w:t>Interferometric Wide Swath</w:t>
            </w:r>
          </w:p>
        </w:tc>
      </w:tr>
      <w:tr w:rsidR="008E4177" w:rsidRPr="00C60499" w14:paraId="7A60C1A5" w14:textId="77777777" w:rsidTr="00D16776">
        <w:trPr>
          <w:trHeight w:hRule="exact" w:val="567"/>
        </w:trPr>
        <w:tc>
          <w:tcPr>
            <w:tcW w:w="2105" w:type="dxa"/>
            <w:shd w:val="clear" w:color="auto" w:fill="DBF6B9" w:themeFill="accent3" w:themeFillTint="66"/>
            <w:vAlign w:val="center"/>
          </w:tcPr>
          <w:p w14:paraId="16DC8CC5" w14:textId="77777777" w:rsidR="008E4177" w:rsidRPr="00C60499" w:rsidRDefault="008E4177" w:rsidP="00D12761">
            <w:pPr>
              <w:spacing w:before="0" w:after="0" w:line="240" w:lineRule="auto"/>
              <w:jc w:val="left"/>
              <w:rPr>
                <w:lang w:val="en-GB"/>
              </w:rPr>
            </w:pPr>
            <w:r>
              <w:rPr>
                <w:lang w:val="en-GB"/>
              </w:rPr>
              <w:t>K</w:t>
            </w:r>
          </w:p>
        </w:tc>
        <w:tc>
          <w:tcPr>
            <w:tcW w:w="6292" w:type="dxa"/>
            <w:vAlign w:val="center"/>
          </w:tcPr>
          <w:p w14:paraId="26112262" w14:textId="77777777" w:rsidR="008E4177" w:rsidRPr="00C60499" w:rsidRDefault="008E4177" w:rsidP="00D12761">
            <w:pPr>
              <w:spacing w:before="0" w:after="0" w:line="240" w:lineRule="auto"/>
              <w:jc w:val="left"/>
              <w:rPr>
                <w:lang w:val="en-GB"/>
              </w:rPr>
            </w:pPr>
            <w:r>
              <w:rPr>
                <w:lang w:val="en-GB"/>
              </w:rPr>
              <w:t>Kappa</w:t>
            </w:r>
          </w:p>
        </w:tc>
      </w:tr>
      <w:tr w:rsidR="008E4177" w:rsidRPr="00C60499" w14:paraId="5E76894E" w14:textId="77777777" w:rsidTr="00D16776">
        <w:trPr>
          <w:trHeight w:hRule="exact" w:val="567"/>
        </w:trPr>
        <w:tc>
          <w:tcPr>
            <w:tcW w:w="2105" w:type="dxa"/>
            <w:shd w:val="clear" w:color="auto" w:fill="DBF6B9" w:themeFill="accent3" w:themeFillTint="66"/>
            <w:vAlign w:val="center"/>
          </w:tcPr>
          <w:p w14:paraId="6CF1D20C" w14:textId="77777777" w:rsidR="008E4177" w:rsidRPr="00C60499" w:rsidRDefault="008E4177" w:rsidP="00D12761">
            <w:pPr>
              <w:spacing w:before="0" w:after="0" w:line="240" w:lineRule="auto"/>
              <w:jc w:val="left"/>
              <w:rPr>
                <w:lang w:val="en-GB"/>
              </w:rPr>
            </w:pPr>
            <w:r>
              <w:rPr>
                <w:lang w:val="en-GB"/>
              </w:rPr>
              <w:t>LC</w:t>
            </w:r>
          </w:p>
        </w:tc>
        <w:tc>
          <w:tcPr>
            <w:tcW w:w="6292" w:type="dxa"/>
            <w:vAlign w:val="center"/>
          </w:tcPr>
          <w:p w14:paraId="141400FC" w14:textId="77777777" w:rsidR="008E4177" w:rsidRPr="00C60499" w:rsidRDefault="008E4177" w:rsidP="00D12761">
            <w:pPr>
              <w:spacing w:before="0" w:after="0" w:line="240" w:lineRule="auto"/>
              <w:jc w:val="left"/>
              <w:rPr>
                <w:lang w:val="en-GB"/>
              </w:rPr>
            </w:pPr>
            <w:r>
              <w:rPr>
                <w:lang w:val="en-GB"/>
              </w:rPr>
              <w:t>Land Cover</w:t>
            </w:r>
          </w:p>
        </w:tc>
      </w:tr>
      <w:tr w:rsidR="008E4177" w:rsidRPr="00C60499" w14:paraId="4228B031" w14:textId="77777777" w:rsidTr="00D16776">
        <w:trPr>
          <w:trHeight w:hRule="exact" w:val="567"/>
        </w:trPr>
        <w:tc>
          <w:tcPr>
            <w:tcW w:w="2105" w:type="dxa"/>
            <w:shd w:val="clear" w:color="auto" w:fill="DBF6B9" w:themeFill="accent3" w:themeFillTint="66"/>
            <w:vAlign w:val="center"/>
          </w:tcPr>
          <w:p w14:paraId="047E534D" w14:textId="77777777" w:rsidR="008E4177" w:rsidRPr="00C60499" w:rsidRDefault="008E4177" w:rsidP="00D12761">
            <w:pPr>
              <w:spacing w:before="0" w:after="0" w:line="240" w:lineRule="auto"/>
              <w:jc w:val="left"/>
              <w:rPr>
                <w:lang w:val="en-GB"/>
              </w:rPr>
            </w:pPr>
            <w:r>
              <w:rPr>
                <w:lang w:val="en-GB"/>
              </w:rPr>
              <w:t>ML</w:t>
            </w:r>
          </w:p>
        </w:tc>
        <w:tc>
          <w:tcPr>
            <w:tcW w:w="6292" w:type="dxa"/>
            <w:vAlign w:val="center"/>
          </w:tcPr>
          <w:p w14:paraId="7D4E5BE7" w14:textId="77777777" w:rsidR="008E4177" w:rsidRPr="00C60499" w:rsidRDefault="008E4177" w:rsidP="00D12761">
            <w:pPr>
              <w:spacing w:before="0" w:after="0" w:line="240" w:lineRule="auto"/>
              <w:jc w:val="left"/>
              <w:rPr>
                <w:lang w:val="en-GB"/>
              </w:rPr>
            </w:pPr>
            <w:r>
              <w:rPr>
                <w:lang w:val="en-GB"/>
              </w:rPr>
              <w:t>Marginal Land</w:t>
            </w:r>
          </w:p>
        </w:tc>
      </w:tr>
      <w:tr w:rsidR="008E4177" w:rsidRPr="00C60499" w14:paraId="13FEAD86" w14:textId="77777777" w:rsidTr="00D16776">
        <w:trPr>
          <w:trHeight w:hRule="exact" w:val="567"/>
        </w:trPr>
        <w:tc>
          <w:tcPr>
            <w:tcW w:w="2105" w:type="dxa"/>
            <w:shd w:val="clear" w:color="auto" w:fill="DBF6B9" w:themeFill="accent3" w:themeFillTint="66"/>
            <w:vAlign w:val="center"/>
          </w:tcPr>
          <w:p w14:paraId="2DFC2AA2" w14:textId="77777777" w:rsidR="008E4177" w:rsidRPr="00C60499" w:rsidRDefault="008E4177" w:rsidP="00D12761">
            <w:pPr>
              <w:spacing w:before="0" w:after="0" w:line="240" w:lineRule="auto"/>
              <w:jc w:val="left"/>
              <w:rPr>
                <w:lang w:val="en-GB"/>
              </w:rPr>
            </w:pPr>
            <w:r>
              <w:rPr>
                <w:lang w:val="en-GB"/>
              </w:rPr>
              <w:t>MSI</w:t>
            </w:r>
          </w:p>
        </w:tc>
        <w:tc>
          <w:tcPr>
            <w:tcW w:w="6292" w:type="dxa"/>
            <w:vAlign w:val="center"/>
          </w:tcPr>
          <w:p w14:paraId="3DFC52BB" w14:textId="77777777" w:rsidR="008E4177" w:rsidRPr="00C60499" w:rsidRDefault="008E4177" w:rsidP="00D12761">
            <w:pPr>
              <w:spacing w:before="0" w:after="0" w:line="240" w:lineRule="auto"/>
              <w:jc w:val="left"/>
              <w:rPr>
                <w:lang w:val="en-GB"/>
              </w:rPr>
            </w:pPr>
            <w:r>
              <w:rPr>
                <w:lang w:val="en-GB"/>
              </w:rPr>
              <w:t>Multispectral Instrument</w:t>
            </w:r>
          </w:p>
        </w:tc>
      </w:tr>
      <w:tr w:rsidR="008E4177" w:rsidRPr="00C60499" w14:paraId="09E2E69C" w14:textId="77777777" w:rsidTr="00D16776">
        <w:trPr>
          <w:trHeight w:hRule="exact" w:val="567"/>
        </w:trPr>
        <w:tc>
          <w:tcPr>
            <w:tcW w:w="2105" w:type="dxa"/>
            <w:shd w:val="clear" w:color="auto" w:fill="DBF6B9" w:themeFill="accent3" w:themeFillTint="66"/>
            <w:vAlign w:val="center"/>
          </w:tcPr>
          <w:p w14:paraId="2C539C23" w14:textId="77777777" w:rsidR="008E4177" w:rsidRPr="00C60499" w:rsidRDefault="008E4177" w:rsidP="00D12761">
            <w:pPr>
              <w:spacing w:before="0" w:after="0" w:line="240" w:lineRule="auto"/>
              <w:jc w:val="left"/>
              <w:rPr>
                <w:lang w:val="en-GB"/>
              </w:rPr>
            </w:pPr>
            <w:r>
              <w:rPr>
                <w:lang w:val="en-GB"/>
              </w:rPr>
              <w:t>NDTI</w:t>
            </w:r>
          </w:p>
        </w:tc>
        <w:tc>
          <w:tcPr>
            <w:tcW w:w="6292" w:type="dxa"/>
            <w:vAlign w:val="center"/>
          </w:tcPr>
          <w:p w14:paraId="1E99B5DF" w14:textId="77777777" w:rsidR="008E4177" w:rsidRPr="00C60499" w:rsidRDefault="008E4177" w:rsidP="00D12761">
            <w:pPr>
              <w:spacing w:before="0" w:after="0" w:line="240" w:lineRule="auto"/>
              <w:jc w:val="left"/>
              <w:rPr>
                <w:lang w:val="en-GB"/>
              </w:rPr>
            </w:pPr>
            <w:r w:rsidRPr="00D128CD">
              <w:t>Normalized Difference Tillage Index</w:t>
            </w:r>
          </w:p>
        </w:tc>
      </w:tr>
      <w:tr w:rsidR="008E4177" w:rsidRPr="00C60499" w14:paraId="0F8E044F" w14:textId="77777777" w:rsidTr="00D16776">
        <w:trPr>
          <w:trHeight w:hRule="exact" w:val="567"/>
        </w:trPr>
        <w:tc>
          <w:tcPr>
            <w:tcW w:w="2105" w:type="dxa"/>
            <w:shd w:val="clear" w:color="auto" w:fill="DBF6B9" w:themeFill="accent3" w:themeFillTint="66"/>
            <w:vAlign w:val="center"/>
          </w:tcPr>
          <w:p w14:paraId="60B5A3CB" w14:textId="77777777" w:rsidR="008E4177" w:rsidRPr="00C60499" w:rsidRDefault="008E4177" w:rsidP="00D12761">
            <w:pPr>
              <w:spacing w:before="0" w:after="0" w:line="240" w:lineRule="auto"/>
              <w:jc w:val="left"/>
              <w:rPr>
                <w:lang w:val="en-GB"/>
              </w:rPr>
            </w:pPr>
            <w:r>
              <w:rPr>
                <w:lang w:val="en-GB"/>
              </w:rPr>
              <w:t>NDVI</w:t>
            </w:r>
          </w:p>
        </w:tc>
        <w:tc>
          <w:tcPr>
            <w:tcW w:w="6292" w:type="dxa"/>
            <w:vAlign w:val="center"/>
          </w:tcPr>
          <w:p w14:paraId="33599AA2" w14:textId="77777777" w:rsidR="008E4177" w:rsidRPr="00C60499" w:rsidRDefault="008E4177" w:rsidP="00D12761">
            <w:pPr>
              <w:spacing w:before="0" w:after="0" w:line="240" w:lineRule="auto"/>
              <w:jc w:val="left"/>
              <w:rPr>
                <w:lang w:val="en-GB"/>
              </w:rPr>
            </w:pPr>
            <w:r>
              <w:t>N</w:t>
            </w:r>
            <w:r w:rsidRPr="00F44577">
              <w:t xml:space="preserve">ormalized </w:t>
            </w:r>
            <w:r>
              <w:t>D</w:t>
            </w:r>
            <w:r w:rsidRPr="00F44577">
              <w:t xml:space="preserve">ifference </w:t>
            </w:r>
            <w:r>
              <w:t>V</w:t>
            </w:r>
            <w:r w:rsidRPr="00F44577">
              <w:t xml:space="preserve">egetation </w:t>
            </w:r>
            <w:r>
              <w:t>I</w:t>
            </w:r>
            <w:r w:rsidRPr="00F44577">
              <w:t>ndex</w:t>
            </w:r>
          </w:p>
        </w:tc>
      </w:tr>
      <w:tr w:rsidR="008E4177" w:rsidRPr="00C60499" w14:paraId="5D34BA20" w14:textId="77777777" w:rsidTr="00D16776">
        <w:trPr>
          <w:trHeight w:hRule="exact" w:val="567"/>
        </w:trPr>
        <w:tc>
          <w:tcPr>
            <w:tcW w:w="2105" w:type="dxa"/>
            <w:shd w:val="clear" w:color="auto" w:fill="DBF6B9" w:themeFill="accent3" w:themeFillTint="66"/>
            <w:vAlign w:val="center"/>
          </w:tcPr>
          <w:p w14:paraId="5647FACD" w14:textId="77777777" w:rsidR="008E4177" w:rsidRPr="00C60499" w:rsidRDefault="008E4177" w:rsidP="00D12761">
            <w:pPr>
              <w:spacing w:before="0" w:after="0" w:line="240" w:lineRule="auto"/>
              <w:jc w:val="left"/>
              <w:rPr>
                <w:lang w:val="en-GB"/>
              </w:rPr>
            </w:pPr>
            <w:r>
              <w:rPr>
                <w:lang w:val="en-GB"/>
              </w:rPr>
              <w:t>NIR</w:t>
            </w:r>
          </w:p>
        </w:tc>
        <w:tc>
          <w:tcPr>
            <w:tcW w:w="6292" w:type="dxa"/>
            <w:vAlign w:val="center"/>
          </w:tcPr>
          <w:p w14:paraId="226D7BD7" w14:textId="77777777" w:rsidR="008E4177" w:rsidRPr="00C60499" w:rsidRDefault="008E4177" w:rsidP="00D12761">
            <w:pPr>
              <w:spacing w:before="0" w:after="0" w:line="240" w:lineRule="auto"/>
              <w:jc w:val="left"/>
              <w:rPr>
                <w:lang w:val="en-GB"/>
              </w:rPr>
            </w:pPr>
            <w:r>
              <w:rPr>
                <w:lang w:val="en-GB"/>
              </w:rPr>
              <w:t>Near Infra-Red</w:t>
            </w:r>
          </w:p>
        </w:tc>
      </w:tr>
      <w:tr w:rsidR="008E4177" w:rsidRPr="00C60499" w14:paraId="12478DE1" w14:textId="77777777" w:rsidTr="00D16776">
        <w:trPr>
          <w:trHeight w:hRule="exact" w:val="567"/>
        </w:trPr>
        <w:tc>
          <w:tcPr>
            <w:tcW w:w="2105" w:type="dxa"/>
            <w:shd w:val="clear" w:color="auto" w:fill="DBF6B9" w:themeFill="accent3" w:themeFillTint="66"/>
            <w:vAlign w:val="center"/>
          </w:tcPr>
          <w:p w14:paraId="4AD5415B" w14:textId="77777777" w:rsidR="008E4177" w:rsidRPr="00C60499" w:rsidRDefault="008E4177" w:rsidP="00D12761">
            <w:pPr>
              <w:spacing w:before="0" w:after="0" w:line="240" w:lineRule="auto"/>
              <w:jc w:val="left"/>
              <w:rPr>
                <w:lang w:val="en-GB"/>
              </w:rPr>
            </w:pPr>
            <w:proofErr w:type="spellStart"/>
            <w:r>
              <w:rPr>
                <w:lang w:val="en-GB"/>
              </w:rPr>
              <w:t>nML</w:t>
            </w:r>
            <w:proofErr w:type="spellEnd"/>
          </w:p>
        </w:tc>
        <w:tc>
          <w:tcPr>
            <w:tcW w:w="6292" w:type="dxa"/>
            <w:vAlign w:val="center"/>
          </w:tcPr>
          <w:p w14:paraId="723910D4" w14:textId="77777777" w:rsidR="008E4177" w:rsidRPr="00C60499" w:rsidRDefault="008E4177" w:rsidP="00D12761">
            <w:pPr>
              <w:spacing w:before="0" w:after="0" w:line="240" w:lineRule="auto"/>
              <w:jc w:val="left"/>
              <w:rPr>
                <w:lang w:val="en-GB"/>
              </w:rPr>
            </w:pPr>
            <w:r>
              <w:rPr>
                <w:lang w:val="en-GB"/>
              </w:rPr>
              <w:t>Non-Marginal Land</w:t>
            </w:r>
          </w:p>
        </w:tc>
      </w:tr>
      <w:tr w:rsidR="008E4177" w:rsidRPr="00C60499" w14:paraId="665E9BB6" w14:textId="77777777" w:rsidTr="00D16776">
        <w:trPr>
          <w:trHeight w:hRule="exact" w:val="567"/>
        </w:trPr>
        <w:tc>
          <w:tcPr>
            <w:tcW w:w="2105" w:type="dxa"/>
            <w:shd w:val="clear" w:color="auto" w:fill="DBF6B9" w:themeFill="accent3" w:themeFillTint="66"/>
            <w:vAlign w:val="center"/>
          </w:tcPr>
          <w:p w14:paraId="5E1AA3C3" w14:textId="77777777" w:rsidR="008E4177" w:rsidRPr="00C60499" w:rsidRDefault="008E4177" w:rsidP="00D12761">
            <w:pPr>
              <w:spacing w:before="0" w:after="0" w:line="240" w:lineRule="auto"/>
              <w:jc w:val="left"/>
              <w:rPr>
                <w:lang w:val="en-GB"/>
              </w:rPr>
            </w:pPr>
            <w:r>
              <w:rPr>
                <w:lang w:val="en-GB"/>
              </w:rPr>
              <w:t>OA</w:t>
            </w:r>
          </w:p>
        </w:tc>
        <w:tc>
          <w:tcPr>
            <w:tcW w:w="6292" w:type="dxa"/>
            <w:vAlign w:val="center"/>
          </w:tcPr>
          <w:p w14:paraId="3F09646E" w14:textId="77777777" w:rsidR="008E4177" w:rsidRPr="00C60499" w:rsidRDefault="008E4177" w:rsidP="00D12761">
            <w:pPr>
              <w:spacing w:before="0" w:after="0" w:line="240" w:lineRule="auto"/>
              <w:jc w:val="left"/>
              <w:rPr>
                <w:lang w:val="en-GB"/>
              </w:rPr>
            </w:pPr>
            <w:r>
              <w:rPr>
                <w:lang w:val="en-GB"/>
              </w:rPr>
              <w:t>Overall Accuracy</w:t>
            </w:r>
          </w:p>
        </w:tc>
      </w:tr>
      <w:tr w:rsidR="008E4177" w:rsidRPr="00C60499" w14:paraId="6E9ACE7B" w14:textId="77777777" w:rsidTr="00D16776">
        <w:trPr>
          <w:trHeight w:hRule="exact" w:val="567"/>
        </w:trPr>
        <w:tc>
          <w:tcPr>
            <w:tcW w:w="2105" w:type="dxa"/>
            <w:shd w:val="clear" w:color="auto" w:fill="DBF6B9" w:themeFill="accent3" w:themeFillTint="66"/>
            <w:vAlign w:val="center"/>
          </w:tcPr>
          <w:p w14:paraId="56888775" w14:textId="77777777" w:rsidR="008E4177" w:rsidRPr="00C60499" w:rsidRDefault="008E4177" w:rsidP="00D12761">
            <w:pPr>
              <w:spacing w:before="0" w:after="0" w:line="240" w:lineRule="auto"/>
              <w:jc w:val="left"/>
              <w:rPr>
                <w:lang w:val="en-GB"/>
              </w:rPr>
            </w:pPr>
            <w:r>
              <w:rPr>
                <w:lang w:val="en-GB"/>
              </w:rPr>
              <w:t>OOB</w:t>
            </w:r>
          </w:p>
        </w:tc>
        <w:tc>
          <w:tcPr>
            <w:tcW w:w="6292" w:type="dxa"/>
            <w:vAlign w:val="center"/>
          </w:tcPr>
          <w:p w14:paraId="4EC17463" w14:textId="77777777" w:rsidR="008E4177" w:rsidRPr="00C60499" w:rsidRDefault="008E4177" w:rsidP="00D12761">
            <w:pPr>
              <w:spacing w:before="0" w:after="0" w:line="240" w:lineRule="auto"/>
              <w:jc w:val="left"/>
              <w:rPr>
                <w:lang w:val="en-GB"/>
              </w:rPr>
            </w:pPr>
            <w:r>
              <w:rPr>
                <w:lang w:val="en-GB"/>
              </w:rPr>
              <w:t>Out-of-bag (error estimate)</w:t>
            </w:r>
          </w:p>
        </w:tc>
      </w:tr>
      <w:tr w:rsidR="008E4177" w:rsidRPr="00C60499" w14:paraId="454EF019" w14:textId="77777777" w:rsidTr="00D16776">
        <w:trPr>
          <w:trHeight w:hRule="exact" w:val="567"/>
        </w:trPr>
        <w:tc>
          <w:tcPr>
            <w:tcW w:w="2105" w:type="dxa"/>
            <w:shd w:val="clear" w:color="auto" w:fill="DBF6B9" w:themeFill="accent3" w:themeFillTint="66"/>
            <w:vAlign w:val="center"/>
          </w:tcPr>
          <w:p w14:paraId="43F040B1" w14:textId="77777777" w:rsidR="008E4177" w:rsidRPr="00C60499" w:rsidRDefault="008E4177" w:rsidP="00D12761">
            <w:pPr>
              <w:spacing w:before="0" w:after="0" w:line="240" w:lineRule="auto"/>
              <w:jc w:val="left"/>
              <w:rPr>
                <w:lang w:val="en-GB"/>
              </w:rPr>
            </w:pPr>
            <w:r>
              <w:rPr>
                <w:lang w:val="en-GB"/>
              </w:rPr>
              <w:t>PA</w:t>
            </w:r>
          </w:p>
        </w:tc>
        <w:tc>
          <w:tcPr>
            <w:tcW w:w="6292" w:type="dxa"/>
            <w:vAlign w:val="center"/>
          </w:tcPr>
          <w:p w14:paraId="72EE9173" w14:textId="77777777" w:rsidR="008E4177" w:rsidRPr="00C60499" w:rsidRDefault="008E4177" w:rsidP="00D12761">
            <w:pPr>
              <w:spacing w:before="0" w:after="0" w:line="240" w:lineRule="auto"/>
              <w:jc w:val="left"/>
              <w:rPr>
                <w:lang w:val="en-GB"/>
              </w:rPr>
            </w:pPr>
            <w:r>
              <w:rPr>
                <w:lang w:val="en-GB"/>
              </w:rPr>
              <w:t>Producer’s Accuracy</w:t>
            </w:r>
          </w:p>
        </w:tc>
      </w:tr>
      <w:tr w:rsidR="008E4177" w:rsidRPr="00C60499" w14:paraId="377B778D" w14:textId="77777777" w:rsidTr="00D16776">
        <w:trPr>
          <w:trHeight w:hRule="exact" w:val="567"/>
        </w:trPr>
        <w:tc>
          <w:tcPr>
            <w:tcW w:w="2105" w:type="dxa"/>
            <w:shd w:val="clear" w:color="auto" w:fill="DBF6B9" w:themeFill="accent3" w:themeFillTint="66"/>
            <w:vAlign w:val="center"/>
          </w:tcPr>
          <w:p w14:paraId="005DCAB9" w14:textId="77777777" w:rsidR="008E4177" w:rsidRDefault="008E4177" w:rsidP="00D12761">
            <w:pPr>
              <w:spacing w:before="0" w:after="0" w:line="240" w:lineRule="auto"/>
              <w:jc w:val="left"/>
              <w:rPr>
                <w:lang w:val="en-GB"/>
              </w:rPr>
            </w:pPr>
            <w:r>
              <w:rPr>
                <w:lang w:val="en-GB"/>
              </w:rPr>
              <w:t>RF</w:t>
            </w:r>
          </w:p>
        </w:tc>
        <w:tc>
          <w:tcPr>
            <w:tcW w:w="6292" w:type="dxa"/>
            <w:vAlign w:val="center"/>
          </w:tcPr>
          <w:p w14:paraId="2936D44E" w14:textId="77777777" w:rsidR="008E4177" w:rsidRDefault="008E4177" w:rsidP="00D12761">
            <w:pPr>
              <w:spacing w:before="0" w:after="0" w:line="240" w:lineRule="auto"/>
              <w:jc w:val="left"/>
              <w:rPr>
                <w:lang w:val="en-GB"/>
              </w:rPr>
            </w:pPr>
            <w:r>
              <w:rPr>
                <w:lang w:val="en-GB"/>
              </w:rPr>
              <w:t>Random Forest</w:t>
            </w:r>
          </w:p>
        </w:tc>
      </w:tr>
      <w:tr w:rsidR="008E4177" w:rsidRPr="00C60499" w14:paraId="0E89F841" w14:textId="77777777" w:rsidTr="00D16776">
        <w:trPr>
          <w:trHeight w:hRule="exact" w:val="567"/>
        </w:trPr>
        <w:tc>
          <w:tcPr>
            <w:tcW w:w="2105" w:type="dxa"/>
            <w:shd w:val="clear" w:color="auto" w:fill="DBF6B9" w:themeFill="accent3" w:themeFillTint="66"/>
            <w:vAlign w:val="center"/>
          </w:tcPr>
          <w:p w14:paraId="16A61B77" w14:textId="77777777" w:rsidR="008E4177" w:rsidRPr="00C60499" w:rsidRDefault="008E4177" w:rsidP="00D12761">
            <w:pPr>
              <w:spacing w:before="0" w:after="0" w:line="240" w:lineRule="auto"/>
              <w:jc w:val="left"/>
              <w:rPr>
                <w:lang w:val="en-GB"/>
              </w:rPr>
            </w:pPr>
            <w:r>
              <w:rPr>
                <w:lang w:val="en-GB"/>
              </w:rPr>
              <w:t>S2GLC</w:t>
            </w:r>
          </w:p>
        </w:tc>
        <w:tc>
          <w:tcPr>
            <w:tcW w:w="6292" w:type="dxa"/>
            <w:vAlign w:val="center"/>
          </w:tcPr>
          <w:p w14:paraId="7D786364" w14:textId="77777777" w:rsidR="008E4177" w:rsidRPr="00C60499" w:rsidRDefault="008E4177" w:rsidP="00D12761">
            <w:pPr>
              <w:spacing w:before="0" w:after="0" w:line="240" w:lineRule="auto"/>
              <w:jc w:val="left"/>
              <w:rPr>
                <w:lang w:val="en-GB"/>
              </w:rPr>
            </w:pPr>
            <w:r>
              <w:t>Sentinel-2 Global Land Cover</w:t>
            </w:r>
          </w:p>
        </w:tc>
      </w:tr>
      <w:tr w:rsidR="008E4177" w:rsidRPr="00C60499" w14:paraId="2A8DCDD0" w14:textId="77777777" w:rsidTr="00D16776">
        <w:trPr>
          <w:trHeight w:hRule="exact" w:val="567"/>
        </w:trPr>
        <w:tc>
          <w:tcPr>
            <w:tcW w:w="2105" w:type="dxa"/>
            <w:shd w:val="clear" w:color="auto" w:fill="DBF6B9" w:themeFill="accent3" w:themeFillTint="66"/>
            <w:vAlign w:val="center"/>
          </w:tcPr>
          <w:p w14:paraId="5E059214" w14:textId="77777777" w:rsidR="008E4177" w:rsidRPr="00C60499" w:rsidRDefault="008E4177" w:rsidP="00D12761">
            <w:pPr>
              <w:spacing w:before="0" w:after="0" w:line="240" w:lineRule="auto"/>
              <w:jc w:val="left"/>
              <w:rPr>
                <w:lang w:val="en-GB"/>
              </w:rPr>
            </w:pPr>
            <w:r>
              <w:rPr>
                <w:lang w:val="en-GB"/>
              </w:rPr>
              <w:t>SAR</w:t>
            </w:r>
          </w:p>
        </w:tc>
        <w:tc>
          <w:tcPr>
            <w:tcW w:w="6292" w:type="dxa"/>
            <w:vAlign w:val="center"/>
          </w:tcPr>
          <w:p w14:paraId="16C1F983" w14:textId="77777777" w:rsidR="008E4177" w:rsidRPr="00C60499" w:rsidRDefault="008E4177" w:rsidP="00D12761">
            <w:pPr>
              <w:spacing w:before="0" w:after="0" w:line="240" w:lineRule="auto"/>
              <w:jc w:val="left"/>
              <w:rPr>
                <w:lang w:val="en-GB"/>
              </w:rPr>
            </w:pPr>
            <w:r>
              <w:rPr>
                <w:lang w:val="en-GB"/>
              </w:rPr>
              <w:t>Synthetic Aperture Radar</w:t>
            </w:r>
          </w:p>
        </w:tc>
      </w:tr>
      <w:tr w:rsidR="008E4177" w:rsidRPr="00C60499" w14:paraId="6DBA2011" w14:textId="77777777" w:rsidTr="00D16776">
        <w:trPr>
          <w:trHeight w:hRule="exact" w:val="567"/>
        </w:trPr>
        <w:tc>
          <w:tcPr>
            <w:tcW w:w="2105" w:type="dxa"/>
            <w:shd w:val="clear" w:color="auto" w:fill="DBF6B9" w:themeFill="accent3" w:themeFillTint="66"/>
            <w:vAlign w:val="center"/>
          </w:tcPr>
          <w:p w14:paraId="1D1D7962" w14:textId="77777777" w:rsidR="008E4177" w:rsidRPr="00C60499" w:rsidRDefault="008E4177" w:rsidP="00D12761">
            <w:pPr>
              <w:spacing w:before="0" w:after="0" w:line="240" w:lineRule="auto"/>
              <w:jc w:val="left"/>
              <w:rPr>
                <w:lang w:val="en-GB"/>
              </w:rPr>
            </w:pPr>
            <w:r>
              <w:rPr>
                <w:lang w:val="en-GB"/>
              </w:rPr>
              <w:lastRenderedPageBreak/>
              <w:t>SAVI</w:t>
            </w:r>
          </w:p>
        </w:tc>
        <w:tc>
          <w:tcPr>
            <w:tcW w:w="6292" w:type="dxa"/>
            <w:vAlign w:val="center"/>
          </w:tcPr>
          <w:p w14:paraId="0EC66FC2" w14:textId="77777777" w:rsidR="008E4177" w:rsidRPr="00C60499" w:rsidRDefault="008E4177" w:rsidP="00D12761">
            <w:pPr>
              <w:spacing w:before="0" w:after="0" w:line="240" w:lineRule="auto"/>
              <w:jc w:val="left"/>
              <w:rPr>
                <w:lang w:val="en-GB"/>
              </w:rPr>
            </w:pPr>
            <w:r>
              <w:t>Soil Adjusted Vegetation Index</w:t>
            </w:r>
          </w:p>
        </w:tc>
      </w:tr>
      <w:tr w:rsidR="008E4177" w:rsidRPr="00C60499" w14:paraId="18BEFB81" w14:textId="77777777" w:rsidTr="00D16776">
        <w:trPr>
          <w:trHeight w:hRule="exact" w:val="567"/>
        </w:trPr>
        <w:tc>
          <w:tcPr>
            <w:tcW w:w="2105" w:type="dxa"/>
            <w:shd w:val="clear" w:color="auto" w:fill="DBF6B9" w:themeFill="accent3" w:themeFillTint="66"/>
            <w:vAlign w:val="center"/>
          </w:tcPr>
          <w:p w14:paraId="186D2E07" w14:textId="77777777" w:rsidR="008E4177" w:rsidRPr="00C60499" w:rsidRDefault="008E4177" w:rsidP="00D12761">
            <w:pPr>
              <w:spacing w:before="0" w:after="0" w:line="240" w:lineRule="auto"/>
              <w:jc w:val="left"/>
              <w:rPr>
                <w:lang w:val="en-GB"/>
              </w:rPr>
            </w:pPr>
            <w:r>
              <w:rPr>
                <w:lang w:val="en-GB"/>
              </w:rPr>
              <w:t>SR</w:t>
            </w:r>
          </w:p>
        </w:tc>
        <w:tc>
          <w:tcPr>
            <w:tcW w:w="6292" w:type="dxa"/>
            <w:vAlign w:val="center"/>
          </w:tcPr>
          <w:p w14:paraId="2F8B9424" w14:textId="77777777" w:rsidR="008E4177" w:rsidRPr="00C60499" w:rsidRDefault="008E4177" w:rsidP="00D12761">
            <w:pPr>
              <w:spacing w:before="0" w:after="0" w:line="240" w:lineRule="auto"/>
              <w:jc w:val="left"/>
              <w:rPr>
                <w:lang w:val="en-GB"/>
              </w:rPr>
            </w:pPr>
            <w:r>
              <w:rPr>
                <w:lang w:val="en-GB"/>
              </w:rPr>
              <w:t>Surface Reflectance</w:t>
            </w:r>
          </w:p>
        </w:tc>
      </w:tr>
      <w:tr w:rsidR="008E4177" w:rsidRPr="00C60499" w14:paraId="315DDE44" w14:textId="77777777" w:rsidTr="00D16776">
        <w:trPr>
          <w:trHeight w:hRule="exact" w:val="567"/>
        </w:trPr>
        <w:tc>
          <w:tcPr>
            <w:tcW w:w="2105" w:type="dxa"/>
            <w:shd w:val="clear" w:color="auto" w:fill="DBF6B9" w:themeFill="accent3" w:themeFillTint="66"/>
            <w:vAlign w:val="center"/>
          </w:tcPr>
          <w:p w14:paraId="71C32FD8" w14:textId="77777777" w:rsidR="008E4177" w:rsidRPr="00C60499" w:rsidRDefault="008E4177" w:rsidP="00D12761">
            <w:pPr>
              <w:spacing w:before="0" w:after="0" w:line="240" w:lineRule="auto"/>
              <w:jc w:val="left"/>
              <w:rPr>
                <w:lang w:val="en-GB"/>
              </w:rPr>
            </w:pPr>
            <w:r>
              <w:rPr>
                <w:lang w:val="en-GB"/>
              </w:rPr>
              <w:t>UA</w:t>
            </w:r>
          </w:p>
        </w:tc>
        <w:tc>
          <w:tcPr>
            <w:tcW w:w="6292" w:type="dxa"/>
            <w:vAlign w:val="center"/>
          </w:tcPr>
          <w:p w14:paraId="680F6335" w14:textId="77777777" w:rsidR="008E4177" w:rsidRPr="00C60499" w:rsidRDefault="008E4177" w:rsidP="00D12761">
            <w:pPr>
              <w:spacing w:before="0" w:after="0" w:line="240" w:lineRule="auto"/>
              <w:jc w:val="left"/>
              <w:rPr>
                <w:lang w:val="en-GB"/>
              </w:rPr>
            </w:pPr>
            <w:r>
              <w:rPr>
                <w:lang w:val="en-GB"/>
              </w:rPr>
              <w:t>User’s Accuracy</w:t>
            </w:r>
          </w:p>
        </w:tc>
      </w:tr>
    </w:tbl>
    <w:p w14:paraId="19609B62" w14:textId="77777777" w:rsidR="0056757E" w:rsidRDefault="0056757E">
      <w:pPr>
        <w:spacing w:line="300" w:lineRule="exact"/>
        <w:jc w:val="left"/>
        <w:rPr>
          <w:lang w:val="en-GB"/>
        </w:rPr>
      </w:pPr>
      <w:r>
        <w:rPr>
          <w:lang w:val="en-GB"/>
        </w:rPr>
        <w:br w:type="page"/>
      </w:r>
    </w:p>
    <w:sdt>
      <w:sdtPr>
        <w:rPr>
          <w:rFonts w:ascii="Tahoma" w:eastAsiaTheme="minorHAnsi" w:hAnsi="Tahoma" w:cs="Tahoma"/>
          <w:b w:val="0"/>
          <w:bCs w:val="0"/>
          <w:color w:val="auto"/>
          <w:sz w:val="22"/>
          <w:szCs w:val="22"/>
        </w:rPr>
        <w:id w:val="727306473"/>
        <w:docPartObj>
          <w:docPartGallery w:val="Table of Contents"/>
          <w:docPartUnique/>
        </w:docPartObj>
      </w:sdtPr>
      <w:sdtEndPr>
        <w:rPr>
          <w:rFonts w:ascii="Arial" w:hAnsi="Arial" w:cstheme="minorBidi"/>
        </w:rPr>
      </w:sdtEndPr>
      <w:sdtContent>
        <w:p w14:paraId="6C3395F3" w14:textId="77777777" w:rsidR="00976AF8" w:rsidRPr="00976AF8" w:rsidRDefault="00976AF8">
          <w:pPr>
            <w:pStyle w:val="TOCHeading"/>
            <w:rPr>
              <w:rFonts w:ascii="Tahoma" w:hAnsi="Tahoma" w:cs="Tahoma"/>
            </w:rPr>
          </w:pPr>
          <w:r w:rsidRPr="00976AF8">
            <w:rPr>
              <w:rFonts w:ascii="Tahoma" w:hAnsi="Tahoma" w:cs="Tahoma"/>
            </w:rPr>
            <w:t>Contents</w:t>
          </w:r>
        </w:p>
        <w:p w14:paraId="120C6F4F" w14:textId="77777777" w:rsidR="00976AF8" w:rsidRDefault="00976AF8" w:rsidP="00E01D64">
          <w:pPr>
            <w:pStyle w:val="TOC1"/>
          </w:pPr>
        </w:p>
        <w:p w14:paraId="5340CB23" w14:textId="4C3A0B1C" w:rsidR="002A71FB" w:rsidRDefault="00121AB0">
          <w:pPr>
            <w:pStyle w:val="TOC1"/>
            <w:rPr>
              <w:rFonts w:asciiTheme="minorHAnsi" w:eastAsiaTheme="minorEastAsia" w:hAnsiTheme="minorHAnsi"/>
              <w:noProof/>
              <w:lang w:val="el-GR" w:eastAsia="el-GR"/>
            </w:rPr>
          </w:pPr>
          <w:r>
            <w:fldChar w:fldCharType="begin"/>
          </w:r>
          <w:r w:rsidR="00976AF8">
            <w:instrText xml:space="preserve"> TOC \o "1-3" \h \z \u </w:instrText>
          </w:r>
          <w:r>
            <w:fldChar w:fldCharType="separate"/>
          </w:r>
          <w:hyperlink w:anchor="_Toc91583659" w:history="1">
            <w:r w:rsidR="002A71FB" w:rsidRPr="000D5062">
              <w:rPr>
                <w:rStyle w:val="Hyperlink"/>
                <w:noProof/>
              </w:rPr>
              <w:t>MAIL Consortium</w:t>
            </w:r>
            <w:r w:rsidR="002A71FB">
              <w:rPr>
                <w:noProof/>
                <w:webHidden/>
              </w:rPr>
              <w:tab/>
            </w:r>
            <w:r w:rsidR="002A71FB">
              <w:rPr>
                <w:noProof/>
                <w:webHidden/>
              </w:rPr>
              <w:fldChar w:fldCharType="begin"/>
            </w:r>
            <w:r w:rsidR="002A71FB">
              <w:rPr>
                <w:noProof/>
                <w:webHidden/>
              </w:rPr>
              <w:instrText xml:space="preserve"> PAGEREF _Toc91583659 \h </w:instrText>
            </w:r>
            <w:r w:rsidR="002A71FB">
              <w:rPr>
                <w:noProof/>
                <w:webHidden/>
              </w:rPr>
            </w:r>
            <w:r w:rsidR="002A71FB">
              <w:rPr>
                <w:noProof/>
                <w:webHidden/>
              </w:rPr>
              <w:fldChar w:fldCharType="separate"/>
            </w:r>
            <w:r w:rsidR="00D4790B">
              <w:rPr>
                <w:noProof/>
                <w:webHidden/>
              </w:rPr>
              <w:t>3</w:t>
            </w:r>
            <w:r w:rsidR="002A71FB">
              <w:rPr>
                <w:noProof/>
                <w:webHidden/>
              </w:rPr>
              <w:fldChar w:fldCharType="end"/>
            </w:r>
          </w:hyperlink>
        </w:p>
        <w:p w14:paraId="77BDD78D" w14:textId="0399F7DA" w:rsidR="002A71FB" w:rsidRDefault="002A71FB">
          <w:pPr>
            <w:pStyle w:val="TOC1"/>
            <w:rPr>
              <w:rFonts w:asciiTheme="minorHAnsi" w:eastAsiaTheme="minorEastAsia" w:hAnsiTheme="minorHAnsi"/>
              <w:noProof/>
              <w:lang w:val="el-GR" w:eastAsia="el-GR"/>
            </w:rPr>
          </w:pPr>
          <w:hyperlink w:anchor="_Toc91583660" w:history="1">
            <w:r w:rsidRPr="000D5062">
              <w:rPr>
                <w:rStyle w:val="Hyperlink"/>
                <w:noProof/>
                <w:lang w:val="en-GB"/>
              </w:rPr>
              <w:t>Abbreviations</w:t>
            </w:r>
            <w:r>
              <w:rPr>
                <w:noProof/>
                <w:webHidden/>
              </w:rPr>
              <w:tab/>
            </w:r>
            <w:r>
              <w:rPr>
                <w:noProof/>
                <w:webHidden/>
              </w:rPr>
              <w:fldChar w:fldCharType="begin"/>
            </w:r>
            <w:r>
              <w:rPr>
                <w:noProof/>
                <w:webHidden/>
              </w:rPr>
              <w:instrText xml:space="preserve"> PAGEREF _Toc91583660 \h </w:instrText>
            </w:r>
            <w:r>
              <w:rPr>
                <w:noProof/>
                <w:webHidden/>
              </w:rPr>
            </w:r>
            <w:r>
              <w:rPr>
                <w:noProof/>
                <w:webHidden/>
              </w:rPr>
              <w:fldChar w:fldCharType="separate"/>
            </w:r>
            <w:r w:rsidR="00D4790B">
              <w:rPr>
                <w:noProof/>
                <w:webHidden/>
              </w:rPr>
              <w:t>4</w:t>
            </w:r>
            <w:r>
              <w:rPr>
                <w:noProof/>
                <w:webHidden/>
              </w:rPr>
              <w:fldChar w:fldCharType="end"/>
            </w:r>
          </w:hyperlink>
        </w:p>
        <w:p w14:paraId="49033442" w14:textId="7CF0C2E1" w:rsidR="002A71FB" w:rsidRDefault="002A71FB">
          <w:pPr>
            <w:pStyle w:val="TOC1"/>
            <w:rPr>
              <w:rFonts w:asciiTheme="minorHAnsi" w:eastAsiaTheme="minorEastAsia" w:hAnsiTheme="minorHAnsi"/>
              <w:noProof/>
              <w:lang w:val="el-GR" w:eastAsia="el-GR"/>
            </w:rPr>
          </w:pPr>
          <w:hyperlink w:anchor="_Toc91583661" w:history="1">
            <w:r w:rsidRPr="000D5062">
              <w:rPr>
                <w:rStyle w:val="Hyperlink"/>
                <w:noProof/>
              </w:rPr>
              <w:t>Executive Summary</w:t>
            </w:r>
            <w:r>
              <w:rPr>
                <w:noProof/>
                <w:webHidden/>
              </w:rPr>
              <w:tab/>
            </w:r>
            <w:r>
              <w:rPr>
                <w:noProof/>
                <w:webHidden/>
              </w:rPr>
              <w:fldChar w:fldCharType="begin"/>
            </w:r>
            <w:r>
              <w:rPr>
                <w:noProof/>
                <w:webHidden/>
              </w:rPr>
              <w:instrText xml:space="preserve"> PAGEREF _Toc91583661 \h </w:instrText>
            </w:r>
            <w:r>
              <w:rPr>
                <w:noProof/>
                <w:webHidden/>
              </w:rPr>
            </w:r>
            <w:r>
              <w:rPr>
                <w:noProof/>
                <w:webHidden/>
              </w:rPr>
              <w:fldChar w:fldCharType="separate"/>
            </w:r>
            <w:r w:rsidR="00D4790B">
              <w:rPr>
                <w:noProof/>
                <w:webHidden/>
              </w:rPr>
              <w:t>7</w:t>
            </w:r>
            <w:r>
              <w:rPr>
                <w:noProof/>
                <w:webHidden/>
              </w:rPr>
              <w:fldChar w:fldCharType="end"/>
            </w:r>
          </w:hyperlink>
        </w:p>
        <w:p w14:paraId="1AF8A185" w14:textId="00C979F9" w:rsidR="002A71FB" w:rsidRDefault="002A71FB">
          <w:pPr>
            <w:pStyle w:val="TOC1"/>
            <w:rPr>
              <w:rFonts w:asciiTheme="minorHAnsi" w:eastAsiaTheme="minorEastAsia" w:hAnsiTheme="minorHAnsi"/>
              <w:noProof/>
              <w:lang w:val="el-GR" w:eastAsia="el-GR"/>
            </w:rPr>
          </w:pPr>
          <w:hyperlink w:anchor="_Toc91583662" w:history="1">
            <w:r w:rsidRPr="000D5062">
              <w:rPr>
                <w:rStyle w:val="Hyperlink"/>
                <w:noProof/>
                <w:lang w:val="en-GB"/>
              </w:rPr>
              <w:t>1.</w:t>
            </w:r>
            <w:r>
              <w:rPr>
                <w:rFonts w:asciiTheme="minorHAnsi" w:eastAsiaTheme="minorEastAsia" w:hAnsiTheme="minorHAnsi"/>
                <w:noProof/>
                <w:lang w:val="el-GR" w:eastAsia="el-GR"/>
              </w:rPr>
              <w:tab/>
            </w:r>
            <w:r w:rsidRPr="000D5062">
              <w:rPr>
                <w:rStyle w:val="Hyperlink"/>
                <w:noProof/>
                <w:lang w:val="en-GB"/>
              </w:rPr>
              <w:t>Introduction</w:t>
            </w:r>
            <w:r>
              <w:rPr>
                <w:noProof/>
                <w:webHidden/>
              </w:rPr>
              <w:tab/>
            </w:r>
            <w:r>
              <w:rPr>
                <w:noProof/>
                <w:webHidden/>
              </w:rPr>
              <w:fldChar w:fldCharType="begin"/>
            </w:r>
            <w:r>
              <w:rPr>
                <w:noProof/>
                <w:webHidden/>
              </w:rPr>
              <w:instrText xml:space="preserve"> PAGEREF _Toc91583662 \h </w:instrText>
            </w:r>
            <w:r>
              <w:rPr>
                <w:noProof/>
                <w:webHidden/>
              </w:rPr>
            </w:r>
            <w:r>
              <w:rPr>
                <w:noProof/>
                <w:webHidden/>
              </w:rPr>
              <w:fldChar w:fldCharType="separate"/>
            </w:r>
            <w:r w:rsidR="00D4790B">
              <w:rPr>
                <w:noProof/>
                <w:webHidden/>
              </w:rPr>
              <w:t>8</w:t>
            </w:r>
            <w:r>
              <w:rPr>
                <w:noProof/>
                <w:webHidden/>
              </w:rPr>
              <w:fldChar w:fldCharType="end"/>
            </w:r>
          </w:hyperlink>
        </w:p>
        <w:p w14:paraId="4F59211D" w14:textId="0DAE8ADA" w:rsidR="002A71FB" w:rsidRDefault="002A71FB">
          <w:pPr>
            <w:pStyle w:val="TOC1"/>
            <w:rPr>
              <w:rFonts w:asciiTheme="minorHAnsi" w:eastAsiaTheme="minorEastAsia" w:hAnsiTheme="minorHAnsi"/>
              <w:noProof/>
              <w:lang w:val="el-GR" w:eastAsia="el-GR"/>
            </w:rPr>
          </w:pPr>
          <w:hyperlink w:anchor="_Toc91583663" w:history="1">
            <w:r w:rsidRPr="000D5062">
              <w:rPr>
                <w:rStyle w:val="Hyperlink"/>
                <w:noProof/>
                <w:lang w:val="en-GB"/>
              </w:rPr>
              <w:t>2.</w:t>
            </w:r>
            <w:r>
              <w:rPr>
                <w:rFonts w:asciiTheme="minorHAnsi" w:eastAsiaTheme="minorEastAsia" w:hAnsiTheme="minorHAnsi"/>
                <w:noProof/>
                <w:lang w:val="el-GR" w:eastAsia="el-GR"/>
              </w:rPr>
              <w:tab/>
            </w:r>
            <w:r w:rsidRPr="000D5062">
              <w:rPr>
                <w:rStyle w:val="Hyperlink"/>
                <w:noProof/>
                <w:lang w:val="en-GB"/>
              </w:rPr>
              <w:t>Literature review</w:t>
            </w:r>
            <w:r>
              <w:rPr>
                <w:noProof/>
                <w:webHidden/>
              </w:rPr>
              <w:tab/>
            </w:r>
            <w:r>
              <w:rPr>
                <w:noProof/>
                <w:webHidden/>
              </w:rPr>
              <w:fldChar w:fldCharType="begin"/>
            </w:r>
            <w:r>
              <w:rPr>
                <w:noProof/>
                <w:webHidden/>
              </w:rPr>
              <w:instrText xml:space="preserve"> PAGEREF _Toc91583663 \h </w:instrText>
            </w:r>
            <w:r>
              <w:rPr>
                <w:noProof/>
                <w:webHidden/>
              </w:rPr>
            </w:r>
            <w:r>
              <w:rPr>
                <w:noProof/>
                <w:webHidden/>
              </w:rPr>
              <w:fldChar w:fldCharType="separate"/>
            </w:r>
            <w:r w:rsidR="00D4790B">
              <w:rPr>
                <w:noProof/>
                <w:webHidden/>
              </w:rPr>
              <w:t>10</w:t>
            </w:r>
            <w:r>
              <w:rPr>
                <w:noProof/>
                <w:webHidden/>
              </w:rPr>
              <w:fldChar w:fldCharType="end"/>
            </w:r>
          </w:hyperlink>
        </w:p>
        <w:p w14:paraId="29583F69" w14:textId="482B8504" w:rsidR="002A71FB" w:rsidRDefault="002A71FB">
          <w:pPr>
            <w:pStyle w:val="TOC1"/>
            <w:rPr>
              <w:rFonts w:asciiTheme="minorHAnsi" w:eastAsiaTheme="minorEastAsia" w:hAnsiTheme="minorHAnsi"/>
              <w:noProof/>
              <w:lang w:val="el-GR" w:eastAsia="el-GR"/>
            </w:rPr>
          </w:pPr>
          <w:hyperlink w:anchor="_Toc91583664" w:history="1">
            <w:r w:rsidRPr="000D5062">
              <w:rPr>
                <w:rStyle w:val="Hyperlink"/>
                <w:noProof/>
              </w:rPr>
              <w:t>3.</w:t>
            </w:r>
            <w:r>
              <w:rPr>
                <w:rFonts w:asciiTheme="minorHAnsi" w:eastAsiaTheme="minorEastAsia" w:hAnsiTheme="minorHAnsi"/>
                <w:noProof/>
                <w:lang w:val="el-GR" w:eastAsia="el-GR"/>
              </w:rPr>
              <w:tab/>
            </w:r>
            <w:r w:rsidRPr="000D5062">
              <w:rPr>
                <w:rStyle w:val="Hyperlink"/>
                <w:noProof/>
              </w:rPr>
              <w:t>Data acquisition</w:t>
            </w:r>
            <w:r>
              <w:rPr>
                <w:noProof/>
                <w:webHidden/>
              </w:rPr>
              <w:tab/>
            </w:r>
            <w:r>
              <w:rPr>
                <w:noProof/>
                <w:webHidden/>
              </w:rPr>
              <w:fldChar w:fldCharType="begin"/>
            </w:r>
            <w:r>
              <w:rPr>
                <w:noProof/>
                <w:webHidden/>
              </w:rPr>
              <w:instrText xml:space="preserve"> PAGEREF _Toc91583664 \h </w:instrText>
            </w:r>
            <w:r>
              <w:rPr>
                <w:noProof/>
                <w:webHidden/>
              </w:rPr>
            </w:r>
            <w:r>
              <w:rPr>
                <w:noProof/>
                <w:webHidden/>
              </w:rPr>
              <w:fldChar w:fldCharType="separate"/>
            </w:r>
            <w:r w:rsidR="00D4790B">
              <w:rPr>
                <w:noProof/>
                <w:webHidden/>
              </w:rPr>
              <w:t>11</w:t>
            </w:r>
            <w:r>
              <w:rPr>
                <w:noProof/>
                <w:webHidden/>
              </w:rPr>
              <w:fldChar w:fldCharType="end"/>
            </w:r>
          </w:hyperlink>
        </w:p>
        <w:p w14:paraId="39856BDF" w14:textId="74F33CB5" w:rsidR="002A71FB" w:rsidRDefault="002A71FB">
          <w:pPr>
            <w:pStyle w:val="TOC1"/>
            <w:rPr>
              <w:rFonts w:asciiTheme="minorHAnsi" w:eastAsiaTheme="minorEastAsia" w:hAnsiTheme="minorHAnsi"/>
              <w:noProof/>
              <w:lang w:val="el-GR" w:eastAsia="el-GR"/>
            </w:rPr>
          </w:pPr>
          <w:hyperlink w:anchor="_Toc91583665" w:history="1">
            <w:r w:rsidRPr="000D5062">
              <w:rPr>
                <w:rStyle w:val="Hyperlink"/>
                <w:noProof/>
                <w:lang w:val="en-GB"/>
              </w:rPr>
              <w:t>4.</w:t>
            </w:r>
            <w:r>
              <w:rPr>
                <w:rFonts w:asciiTheme="minorHAnsi" w:eastAsiaTheme="minorEastAsia" w:hAnsiTheme="minorHAnsi"/>
                <w:noProof/>
                <w:lang w:val="el-GR" w:eastAsia="el-GR"/>
              </w:rPr>
              <w:tab/>
            </w:r>
            <w:r w:rsidRPr="000D5062">
              <w:rPr>
                <w:rStyle w:val="Hyperlink"/>
                <w:noProof/>
                <w:lang w:val="en-GB"/>
              </w:rPr>
              <w:t>Workflow development</w:t>
            </w:r>
            <w:r>
              <w:rPr>
                <w:noProof/>
                <w:webHidden/>
              </w:rPr>
              <w:tab/>
            </w:r>
            <w:r>
              <w:rPr>
                <w:noProof/>
                <w:webHidden/>
              </w:rPr>
              <w:fldChar w:fldCharType="begin"/>
            </w:r>
            <w:r>
              <w:rPr>
                <w:noProof/>
                <w:webHidden/>
              </w:rPr>
              <w:instrText xml:space="preserve"> PAGEREF _Toc91583665 \h </w:instrText>
            </w:r>
            <w:r>
              <w:rPr>
                <w:noProof/>
                <w:webHidden/>
              </w:rPr>
            </w:r>
            <w:r>
              <w:rPr>
                <w:noProof/>
                <w:webHidden/>
              </w:rPr>
              <w:fldChar w:fldCharType="separate"/>
            </w:r>
            <w:r w:rsidR="00D4790B">
              <w:rPr>
                <w:noProof/>
                <w:webHidden/>
              </w:rPr>
              <w:t>14</w:t>
            </w:r>
            <w:r>
              <w:rPr>
                <w:noProof/>
                <w:webHidden/>
              </w:rPr>
              <w:fldChar w:fldCharType="end"/>
            </w:r>
          </w:hyperlink>
        </w:p>
        <w:p w14:paraId="4E8823DA" w14:textId="16ADB2E0" w:rsidR="002A71FB" w:rsidRDefault="002A71FB">
          <w:pPr>
            <w:pStyle w:val="TOC2"/>
            <w:rPr>
              <w:rFonts w:asciiTheme="minorHAnsi" w:eastAsiaTheme="minorEastAsia" w:hAnsiTheme="minorHAnsi"/>
              <w:noProof/>
              <w:lang w:val="el-GR" w:eastAsia="el-GR"/>
            </w:rPr>
          </w:pPr>
          <w:hyperlink w:anchor="_Toc91583666" w:history="1">
            <w:r w:rsidRPr="000D5062">
              <w:rPr>
                <w:rStyle w:val="Hyperlink"/>
                <w:noProof/>
              </w:rPr>
              <w:t>4.1</w:t>
            </w:r>
            <w:r>
              <w:rPr>
                <w:rFonts w:asciiTheme="minorHAnsi" w:eastAsiaTheme="minorEastAsia" w:hAnsiTheme="minorHAnsi"/>
                <w:noProof/>
                <w:lang w:val="el-GR" w:eastAsia="el-GR"/>
              </w:rPr>
              <w:tab/>
            </w:r>
            <w:r w:rsidRPr="000D5062">
              <w:rPr>
                <w:rStyle w:val="Hyperlink"/>
                <w:noProof/>
              </w:rPr>
              <w:t>Exploratory steps</w:t>
            </w:r>
            <w:r>
              <w:rPr>
                <w:noProof/>
                <w:webHidden/>
              </w:rPr>
              <w:tab/>
            </w:r>
            <w:r>
              <w:rPr>
                <w:noProof/>
                <w:webHidden/>
              </w:rPr>
              <w:fldChar w:fldCharType="begin"/>
            </w:r>
            <w:r>
              <w:rPr>
                <w:noProof/>
                <w:webHidden/>
              </w:rPr>
              <w:instrText xml:space="preserve"> PAGEREF _Toc91583666 \h </w:instrText>
            </w:r>
            <w:r>
              <w:rPr>
                <w:noProof/>
                <w:webHidden/>
              </w:rPr>
            </w:r>
            <w:r>
              <w:rPr>
                <w:noProof/>
                <w:webHidden/>
              </w:rPr>
              <w:fldChar w:fldCharType="separate"/>
            </w:r>
            <w:r w:rsidR="00D4790B">
              <w:rPr>
                <w:noProof/>
                <w:webHidden/>
              </w:rPr>
              <w:t>15</w:t>
            </w:r>
            <w:r>
              <w:rPr>
                <w:noProof/>
                <w:webHidden/>
              </w:rPr>
              <w:fldChar w:fldCharType="end"/>
            </w:r>
          </w:hyperlink>
        </w:p>
        <w:p w14:paraId="57D433DE" w14:textId="3437B7D7" w:rsidR="002A71FB" w:rsidRDefault="002A71FB">
          <w:pPr>
            <w:pStyle w:val="TOC2"/>
            <w:rPr>
              <w:rFonts w:asciiTheme="minorHAnsi" w:eastAsiaTheme="minorEastAsia" w:hAnsiTheme="minorHAnsi"/>
              <w:noProof/>
              <w:lang w:val="el-GR" w:eastAsia="el-GR"/>
            </w:rPr>
          </w:pPr>
          <w:hyperlink w:anchor="_Toc91583667" w:history="1">
            <w:r w:rsidRPr="000D5062">
              <w:rPr>
                <w:rStyle w:val="Hyperlink"/>
                <w:noProof/>
              </w:rPr>
              <w:t>4.2</w:t>
            </w:r>
            <w:r>
              <w:rPr>
                <w:rFonts w:asciiTheme="minorHAnsi" w:eastAsiaTheme="minorEastAsia" w:hAnsiTheme="minorHAnsi"/>
                <w:noProof/>
                <w:lang w:val="el-GR" w:eastAsia="el-GR"/>
              </w:rPr>
              <w:tab/>
            </w:r>
            <w:r w:rsidRPr="000D5062">
              <w:rPr>
                <w:rStyle w:val="Hyperlink"/>
                <w:noProof/>
              </w:rPr>
              <w:t>Classification Algorithm</w:t>
            </w:r>
            <w:r>
              <w:rPr>
                <w:noProof/>
                <w:webHidden/>
              </w:rPr>
              <w:tab/>
            </w:r>
            <w:r>
              <w:rPr>
                <w:noProof/>
                <w:webHidden/>
              </w:rPr>
              <w:fldChar w:fldCharType="begin"/>
            </w:r>
            <w:r>
              <w:rPr>
                <w:noProof/>
                <w:webHidden/>
              </w:rPr>
              <w:instrText xml:space="preserve"> PAGEREF _Toc91583667 \h </w:instrText>
            </w:r>
            <w:r>
              <w:rPr>
                <w:noProof/>
                <w:webHidden/>
              </w:rPr>
            </w:r>
            <w:r>
              <w:rPr>
                <w:noProof/>
                <w:webHidden/>
              </w:rPr>
              <w:fldChar w:fldCharType="separate"/>
            </w:r>
            <w:r w:rsidR="00D4790B">
              <w:rPr>
                <w:noProof/>
                <w:webHidden/>
              </w:rPr>
              <w:t>16</w:t>
            </w:r>
            <w:r>
              <w:rPr>
                <w:noProof/>
                <w:webHidden/>
              </w:rPr>
              <w:fldChar w:fldCharType="end"/>
            </w:r>
          </w:hyperlink>
        </w:p>
        <w:p w14:paraId="02D6A50B" w14:textId="5346B03C" w:rsidR="002A71FB" w:rsidRDefault="002A71FB">
          <w:pPr>
            <w:pStyle w:val="TOC2"/>
            <w:rPr>
              <w:rFonts w:asciiTheme="minorHAnsi" w:eastAsiaTheme="minorEastAsia" w:hAnsiTheme="minorHAnsi"/>
              <w:noProof/>
              <w:lang w:val="el-GR" w:eastAsia="el-GR"/>
            </w:rPr>
          </w:pPr>
          <w:hyperlink w:anchor="_Toc91583668" w:history="1">
            <w:r w:rsidRPr="000D5062">
              <w:rPr>
                <w:rStyle w:val="Hyperlink"/>
                <w:noProof/>
              </w:rPr>
              <w:t>4.3</w:t>
            </w:r>
            <w:r>
              <w:rPr>
                <w:rFonts w:asciiTheme="minorHAnsi" w:eastAsiaTheme="minorEastAsia" w:hAnsiTheme="minorHAnsi"/>
                <w:noProof/>
                <w:lang w:val="el-GR" w:eastAsia="el-GR"/>
              </w:rPr>
              <w:tab/>
            </w:r>
            <w:r w:rsidRPr="000D5062">
              <w:rPr>
                <w:rStyle w:val="Hyperlink"/>
                <w:noProof/>
              </w:rPr>
              <w:t>Training data</w:t>
            </w:r>
            <w:r>
              <w:rPr>
                <w:noProof/>
                <w:webHidden/>
              </w:rPr>
              <w:tab/>
            </w:r>
            <w:r>
              <w:rPr>
                <w:noProof/>
                <w:webHidden/>
              </w:rPr>
              <w:fldChar w:fldCharType="begin"/>
            </w:r>
            <w:r>
              <w:rPr>
                <w:noProof/>
                <w:webHidden/>
              </w:rPr>
              <w:instrText xml:space="preserve"> PAGEREF _Toc91583668 \h </w:instrText>
            </w:r>
            <w:r>
              <w:rPr>
                <w:noProof/>
                <w:webHidden/>
              </w:rPr>
            </w:r>
            <w:r>
              <w:rPr>
                <w:noProof/>
                <w:webHidden/>
              </w:rPr>
              <w:fldChar w:fldCharType="separate"/>
            </w:r>
            <w:r w:rsidR="00D4790B">
              <w:rPr>
                <w:noProof/>
                <w:webHidden/>
              </w:rPr>
              <w:t>17</w:t>
            </w:r>
            <w:r>
              <w:rPr>
                <w:noProof/>
                <w:webHidden/>
              </w:rPr>
              <w:fldChar w:fldCharType="end"/>
            </w:r>
          </w:hyperlink>
        </w:p>
        <w:p w14:paraId="7F863EDB" w14:textId="1500CC46" w:rsidR="002A71FB" w:rsidRDefault="002A71FB">
          <w:pPr>
            <w:pStyle w:val="TOC2"/>
            <w:rPr>
              <w:rFonts w:asciiTheme="minorHAnsi" w:eastAsiaTheme="minorEastAsia" w:hAnsiTheme="minorHAnsi"/>
              <w:noProof/>
              <w:lang w:val="el-GR" w:eastAsia="el-GR"/>
            </w:rPr>
          </w:pPr>
          <w:hyperlink w:anchor="_Toc91583669" w:history="1">
            <w:r w:rsidRPr="000D5062">
              <w:rPr>
                <w:rStyle w:val="Hyperlink"/>
                <w:noProof/>
              </w:rPr>
              <w:t>4.4</w:t>
            </w:r>
            <w:r>
              <w:rPr>
                <w:rFonts w:asciiTheme="minorHAnsi" w:eastAsiaTheme="minorEastAsia" w:hAnsiTheme="minorHAnsi"/>
                <w:noProof/>
                <w:lang w:val="el-GR" w:eastAsia="el-GR"/>
              </w:rPr>
              <w:tab/>
            </w:r>
            <w:r w:rsidRPr="000D5062">
              <w:rPr>
                <w:rStyle w:val="Hyperlink"/>
                <w:noProof/>
              </w:rPr>
              <w:t>Trials and Errors</w:t>
            </w:r>
            <w:r>
              <w:rPr>
                <w:noProof/>
                <w:webHidden/>
              </w:rPr>
              <w:tab/>
            </w:r>
            <w:r>
              <w:rPr>
                <w:noProof/>
                <w:webHidden/>
              </w:rPr>
              <w:fldChar w:fldCharType="begin"/>
            </w:r>
            <w:r>
              <w:rPr>
                <w:noProof/>
                <w:webHidden/>
              </w:rPr>
              <w:instrText xml:space="preserve"> PAGEREF _Toc91583669 \h </w:instrText>
            </w:r>
            <w:r>
              <w:rPr>
                <w:noProof/>
                <w:webHidden/>
              </w:rPr>
            </w:r>
            <w:r>
              <w:rPr>
                <w:noProof/>
                <w:webHidden/>
              </w:rPr>
              <w:fldChar w:fldCharType="separate"/>
            </w:r>
            <w:r w:rsidR="00D4790B">
              <w:rPr>
                <w:noProof/>
                <w:webHidden/>
              </w:rPr>
              <w:t>18</w:t>
            </w:r>
            <w:r>
              <w:rPr>
                <w:noProof/>
                <w:webHidden/>
              </w:rPr>
              <w:fldChar w:fldCharType="end"/>
            </w:r>
          </w:hyperlink>
        </w:p>
        <w:p w14:paraId="5C2649AD" w14:textId="2E343838" w:rsidR="002A71FB" w:rsidRDefault="002A71FB">
          <w:pPr>
            <w:pStyle w:val="TOC2"/>
            <w:rPr>
              <w:rFonts w:asciiTheme="minorHAnsi" w:eastAsiaTheme="minorEastAsia" w:hAnsiTheme="minorHAnsi"/>
              <w:noProof/>
              <w:lang w:val="el-GR" w:eastAsia="el-GR"/>
            </w:rPr>
          </w:pPr>
          <w:hyperlink w:anchor="_Toc91583670" w:history="1">
            <w:r w:rsidRPr="000D5062">
              <w:rPr>
                <w:rStyle w:val="Hyperlink"/>
                <w:noProof/>
                <w:lang w:val="en-GB"/>
              </w:rPr>
              <w:t>4.5</w:t>
            </w:r>
            <w:r>
              <w:rPr>
                <w:rFonts w:asciiTheme="minorHAnsi" w:eastAsiaTheme="minorEastAsia" w:hAnsiTheme="minorHAnsi"/>
                <w:noProof/>
                <w:lang w:val="el-GR" w:eastAsia="el-GR"/>
              </w:rPr>
              <w:tab/>
            </w:r>
            <w:r w:rsidRPr="000D5062">
              <w:rPr>
                <w:rStyle w:val="Hyperlink"/>
                <w:noProof/>
                <w:lang w:val="en-GB"/>
              </w:rPr>
              <w:t>European training image</w:t>
            </w:r>
            <w:r>
              <w:rPr>
                <w:noProof/>
                <w:webHidden/>
              </w:rPr>
              <w:tab/>
            </w:r>
            <w:r>
              <w:rPr>
                <w:noProof/>
                <w:webHidden/>
              </w:rPr>
              <w:fldChar w:fldCharType="begin"/>
            </w:r>
            <w:r>
              <w:rPr>
                <w:noProof/>
                <w:webHidden/>
              </w:rPr>
              <w:instrText xml:space="preserve"> PAGEREF _Toc91583670 \h </w:instrText>
            </w:r>
            <w:r>
              <w:rPr>
                <w:noProof/>
                <w:webHidden/>
              </w:rPr>
            </w:r>
            <w:r>
              <w:rPr>
                <w:noProof/>
                <w:webHidden/>
              </w:rPr>
              <w:fldChar w:fldCharType="separate"/>
            </w:r>
            <w:r w:rsidR="00D4790B">
              <w:rPr>
                <w:noProof/>
                <w:webHidden/>
              </w:rPr>
              <w:t>20</w:t>
            </w:r>
            <w:r>
              <w:rPr>
                <w:noProof/>
                <w:webHidden/>
              </w:rPr>
              <w:fldChar w:fldCharType="end"/>
            </w:r>
          </w:hyperlink>
        </w:p>
        <w:p w14:paraId="43E554D4" w14:textId="331B547C" w:rsidR="002A71FB" w:rsidRDefault="002A71FB">
          <w:pPr>
            <w:pStyle w:val="TOC2"/>
            <w:rPr>
              <w:rFonts w:asciiTheme="minorHAnsi" w:eastAsiaTheme="minorEastAsia" w:hAnsiTheme="minorHAnsi"/>
              <w:noProof/>
              <w:lang w:val="el-GR" w:eastAsia="el-GR"/>
            </w:rPr>
          </w:pPr>
          <w:hyperlink w:anchor="_Toc91583671" w:history="1">
            <w:r w:rsidRPr="000D5062">
              <w:rPr>
                <w:rStyle w:val="Hyperlink"/>
                <w:noProof/>
                <w:lang w:val="en-GB"/>
              </w:rPr>
              <w:t>4.6</w:t>
            </w:r>
            <w:r>
              <w:rPr>
                <w:rFonts w:asciiTheme="minorHAnsi" w:eastAsiaTheme="minorEastAsia" w:hAnsiTheme="minorHAnsi"/>
                <w:noProof/>
                <w:lang w:val="el-GR" w:eastAsia="el-GR"/>
              </w:rPr>
              <w:tab/>
            </w:r>
            <w:r w:rsidRPr="000D5062">
              <w:rPr>
                <w:rStyle w:val="Hyperlink"/>
                <w:noProof/>
                <w:lang w:val="en-GB"/>
              </w:rPr>
              <w:t>Classification Tool Development</w:t>
            </w:r>
            <w:r>
              <w:rPr>
                <w:noProof/>
                <w:webHidden/>
              </w:rPr>
              <w:tab/>
            </w:r>
            <w:r>
              <w:rPr>
                <w:noProof/>
                <w:webHidden/>
              </w:rPr>
              <w:fldChar w:fldCharType="begin"/>
            </w:r>
            <w:r>
              <w:rPr>
                <w:noProof/>
                <w:webHidden/>
              </w:rPr>
              <w:instrText xml:space="preserve"> PAGEREF _Toc91583671 \h </w:instrText>
            </w:r>
            <w:r>
              <w:rPr>
                <w:noProof/>
                <w:webHidden/>
              </w:rPr>
            </w:r>
            <w:r>
              <w:rPr>
                <w:noProof/>
                <w:webHidden/>
              </w:rPr>
              <w:fldChar w:fldCharType="separate"/>
            </w:r>
            <w:r w:rsidR="00D4790B">
              <w:rPr>
                <w:noProof/>
                <w:webHidden/>
              </w:rPr>
              <w:t>22</w:t>
            </w:r>
            <w:r>
              <w:rPr>
                <w:noProof/>
                <w:webHidden/>
              </w:rPr>
              <w:fldChar w:fldCharType="end"/>
            </w:r>
          </w:hyperlink>
        </w:p>
        <w:p w14:paraId="4FF420D5" w14:textId="15C08A2C" w:rsidR="002A71FB" w:rsidRDefault="002A71FB">
          <w:pPr>
            <w:pStyle w:val="TOC2"/>
            <w:rPr>
              <w:rFonts w:asciiTheme="minorHAnsi" w:eastAsiaTheme="minorEastAsia" w:hAnsiTheme="minorHAnsi"/>
              <w:noProof/>
              <w:lang w:val="el-GR" w:eastAsia="el-GR"/>
            </w:rPr>
          </w:pPr>
          <w:hyperlink w:anchor="_Toc91583672" w:history="1">
            <w:r w:rsidRPr="000D5062">
              <w:rPr>
                <w:rStyle w:val="Hyperlink"/>
                <w:noProof/>
                <w:lang w:val="en-GB"/>
              </w:rPr>
              <w:t>4.7</w:t>
            </w:r>
            <w:r>
              <w:rPr>
                <w:rFonts w:asciiTheme="minorHAnsi" w:eastAsiaTheme="minorEastAsia" w:hAnsiTheme="minorHAnsi"/>
                <w:noProof/>
                <w:lang w:val="el-GR" w:eastAsia="el-GR"/>
              </w:rPr>
              <w:tab/>
            </w:r>
            <w:r w:rsidRPr="000D5062">
              <w:rPr>
                <w:rStyle w:val="Hyperlink"/>
                <w:noProof/>
                <w:lang w:val="en-GB"/>
              </w:rPr>
              <w:t>Accuracy Assessment</w:t>
            </w:r>
            <w:r>
              <w:rPr>
                <w:noProof/>
                <w:webHidden/>
              </w:rPr>
              <w:tab/>
            </w:r>
            <w:r>
              <w:rPr>
                <w:noProof/>
                <w:webHidden/>
              </w:rPr>
              <w:fldChar w:fldCharType="begin"/>
            </w:r>
            <w:r>
              <w:rPr>
                <w:noProof/>
                <w:webHidden/>
              </w:rPr>
              <w:instrText xml:space="preserve"> PAGEREF _Toc91583672 \h </w:instrText>
            </w:r>
            <w:r>
              <w:rPr>
                <w:noProof/>
                <w:webHidden/>
              </w:rPr>
            </w:r>
            <w:r>
              <w:rPr>
                <w:noProof/>
                <w:webHidden/>
              </w:rPr>
              <w:fldChar w:fldCharType="separate"/>
            </w:r>
            <w:r w:rsidR="00D4790B">
              <w:rPr>
                <w:noProof/>
                <w:webHidden/>
              </w:rPr>
              <w:t>24</w:t>
            </w:r>
            <w:r>
              <w:rPr>
                <w:noProof/>
                <w:webHidden/>
              </w:rPr>
              <w:fldChar w:fldCharType="end"/>
            </w:r>
          </w:hyperlink>
        </w:p>
        <w:p w14:paraId="639C60B8" w14:textId="7DBE8022" w:rsidR="002A71FB" w:rsidRDefault="002A71FB">
          <w:pPr>
            <w:pStyle w:val="TOC1"/>
            <w:rPr>
              <w:rFonts w:asciiTheme="minorHAnsi" w:eastAsiaTheme="minorEastAsia" w:hAnsiTheme="minorHAnsi"/>
              <w:noProof/>
              <w:lang w:val="el-GR" w:eastAsia="el-GR"/>
            </w:rPr>
          </w:pPr>
          <w:hyperlink w:anchor="_Toc91583673" w:history="1">
            <w:r w:rsidRPr="000D5062">
              <w:rPr>
                <w:rStyle w:val="Hyperlink"/>
                <w:noProof/>
                <w:lang w:val="en-GB"/>
              </w:rPr>
              <w:t>5.</w:t>
            </w:r>
            <w:r>
              <w:rPr>
                <w:rFonts w:asciiTheme="minorHAnsi" w:eastAsiaTheme="minorEastAsia" w:hAnsiTheme="minorHAnsi"/>
                <w:noProof/>
                <w:lang w:val="el-GR" w:eastAsia="el-GR"/>
              </w:rPr>
              <w:tab/>
            </w:r>
            <w:r w:rsidRPr="000D5062">
              <w:rPr>
                <w:rStyle w:val="Hyperlink"/>
                <w:noProof/>
                <w:lang w:val="en-GB"/>
              </w:rPr>
              <w:t>Results</w:t>
            </w:r>
            <w:r>
              <w:rPr>
                <w:noProof/>
                <w:webHidden/>
              </w:rPr>
              <w:tab/>
            </w:r>
            <w:r>
              <w:rPr>
                <w:noProof/>
                <w:webHidden/>
              </w:rPr>
              <w:fldChar w:fldCharType="begin"/>
            </w:r>
            <w:r>
              <w:rPr>
                <w:noProof/>
                <w:webHidden/>
              </w:rPr>
              <w:instrText xml:space="preserve"> PAGEREF _Toc91583673 \h </w:instrText>
            </w:r>
            <w:r>
              <w:rPr>
                <w:noProof/>
                <w:webHidden/>
              </w:rPr>
            </w:r>
            <w:r>
              <w:rPr>
                <w:noProof/>
                <w:webHidden/>
              </w:rPr>
              <w:fldChar w:fldCharType="separate"/>
            </w:r>
            <w:r w:rsidR="00D4790B">
              <w:rPr>
                <w:noProof/>
                <w:webHidden/>
              </w:rPr>
              <w:t>27</w:t>
            </w:r>
            <w:r>
              <w:rPr>
                <w:noProof/>
                <w:webHidden/>
              </w:rPr>
              <w:fldChar w:fldCharType="end"/>
            </w:r>
          </w:hyperlink>
        </w:p>
        <w:p w14:paraId="01376EC8" w14:textId="7C4694B6" w:rsidR="002A71FB" w:rsidRDefault="002A71FB">
          <w:pPr>
            <w:pStyle w:val="TOC2"/>
            <w:rPr>
              <w:rFonts w:asciiTheme="minorHAnsi" w:eastAsiaTheme="minorEastAsia" w:hAnsiTheme="minorHAnsi"/>
              <w:noProof/>
              <w:lang w:val="el-GR" w:eastAsia="el-GR"/>
            </w:rPr>
          </w:pPr>
          <w:hyperlink w:anchor="_Toc91583674" w:history="1">
            <w:r w:rsidRPr="000D5062">
              <w:rPr>
                <w:rStyle w:val="Hyperlink"/>
                <w:noProof/>
                <w:lang w:val="en-GB"/>
              </w:rPr>
              <w:t>5.1</w:t>
            </w:r>
            <w:r>
              <w:rPr>
                <w:rFonts w:asciiTheme="minorHAnsi" w:eastAsiaTheme="minorEastAsia" w:hAnsiTheme="minorHAnsi"/>
                <w:noProof/>
                <w:lang w:val="el-GR" w:eastAsia="el-GR"/>
              </w:rPr>
              <w:tab/>
            </w:r>
            <w:r w:rsidRPr="000D5062">
              <w:rPr>
                <w:rStyle w:val="Hyperlink"/>
                <w:noProof/>
                <w:lang w:val="en-GB"/>
              </w:rPr>
              <w:t>Land Cover classification output</w:t>
            </w:r>
            <w:r>
              <w:rPr>
                <w:noProof/>
                <w:webHidden/>
              </w:rPr>
              <w:tab/>
            </w:r>
            <w:r>
              <w:rPr>
                <w:noProof/>
                <w:webHidden/>
              </w:rPr>
              <w:fldChar w:fldCharType="begin"/>
            </w:r>
            <w:r>
              <w:rPr>
                <w:noProof/>
                <w:webHidden/>
              </w:rPr>
              <w:instrText xml:space="preserve"> PAGEREF _Toc91583674 \h </w:instrText>
            </w:r>
            <w:r>
              <w:rPr>
                <w:noProof/>
                <w:webHidden/>
              </w:rPr>
            </w:r>
            <w:r>
              <w:rPr>
                <w:noProof/>
                <w:webHidden/>
              </w:rPr>
              <w:fldChar w:fldCharType="separate"/>
            </w:r>
            <w:r w:rsidR="00D4790B">
              <w:rPr>
                <w:noProof/>
                <w:webHidden/>
              </w:rPr>
              <w:t>27</w:t>
            </w:r>
            <w:r>
              <w:rPr>
                <w:noProof/>
                <w:webHidden/>
              </w:rPr>
              <w:fldChar w:fldCharType="end"/>
            </w:r>
          </w:hyperlink>
        </w:p>
        <w:p w14:paraId="46A18C67" w14:textId="0BF272F4" w:rsidR="002A71FB" w:rsidRDefault="002A71FB">
          <w:pPr>
            <w:pStyle w:val="TOC2"/>
            <w:rPr>
              <w:rFonts w:asciiTheme="minorHAnsi" w:eastAsiaTheme="minorEastAsia" w:hAnsiTheme="minorHAnsi"/>
              <w:noProof/>
              <w:lang w:val="el-GR" w:eastAsia="el-GR"/>
            </w:rPr>
          </w:pPr>
          <w:hyperlink w:anchor="_Toc91583675" w:history="1">
            <w:r w:rsidRPr="000D5062">
              <w:rPr>
                <w:rStyle w:val="Hyperlink"/>
                <w:noProof/>
                <w:lang w:val="en-GB"/>
              </w:rPr>
              <w:t>5.2</w:t>
            </w:r>
            <w:r>
              <w:rPr>
                <w:rFonts w:asciiTheme="minorHAnsi" w:eastAsiaTheme="minorEastAsia" w:hAnsiTheme="minorHAnsi"/>
                <w:noProof/>
                <w:lang w:val="el-GR" w:eastAsia="el-GR"/>
              </w:rPr>
              <w:tab/>
            </w:r>
            <w:r w:rsidRPr="000D5062">
              <w:rPr>
                <w:rStyle w:val="Hyperlink"/>
                <w:noProof/>
                <w:lang w:val="en-GB"/>
              </w:rPr>
              <w:t>MLs detection performance</w:t>
            </w:r>
            <w:r>
              <w:rPr>
                <w:noProof/>
                <w:webHidden/>
              </w:rPr>
              <w:tab/>
            </w:r>
            <w:r>
              <w:rPr>
                <w:noProof/>
                <w:webHidden/>
              </w:rPr>
              <w:fldChar w:fldCharType="begin"/>
            </w:r>
            <w:r>
              <w:rPr>
                <w:noProof/>
                <w:webHidden/>
              </w:rPr>
              <w:instrText xml:space="preserve"> PAGEREF _Toc91583675 \h </w:instrText>
            </w:r>
            <w:r>
              <w:rPr>
                <w:noProof/>
                <w:webHidden/>
              </w:rPr>
            </w:r>
            <w:r>
              <w:rPr>
                <w:noProof/>
                <w:webHidden/>
              </w:rPr>
              <w:fldChar w:fldCharType="separate"/>
            </w:r>
            <w:r w:rsidR="00D4790B">
              <w:rPr>
                <w:noProof/>
                <w:webHidden/>
              </w:rPr>
              <w:t>30</w:t>
            </w:r>
            <w:r>
              <w:rPr>
                <w:noProof/>
                <w:webHidden/>
              </w:rPr>
              <w:fldChar w:fldCharType="end"/>
            </w:r>
          </w:hyperlink>
        </w:p>
        <w:p w14:paraId="3E942988" w14:textId="3A04A187" w:rsidR="002A71FB" w:rsidRDefault="002A71FB">
          <w:pPr>
            <w:pStyle w:val="TOC1"/>
            <w:rPr>
              <w:rFonts w:asciiTheme="minorHAnsi" w:eastAsiaTheme="minorEastAsia" w:hAnsiTheme="minorHAnsi"/>
              <w:noProof/>
              <w:lang w:val="el-GR" w:eastAsia="el-GR"/>
            </w:rPr>
          </w:pPr>
          <w:hyperlink w:anchor="_Toc91583676" w:history="1">
            <w:r w:rsidRPr="000D5062">
              <w:rPr>
                <w:rStyle w:val="Hyperlink"/>
                <w:noProof/>
                <w:lang w:val="en-GB"/>
              </w:rPr>
              <w:t>6.</w:t>
            </w:r>
            <w:r>
              <w:rPr>
                <w:rFonts w:asciiTheme="minorHAnsi" w:eastAsiaTheme="minorEastAsia" w:hAnsiTheme="minorHAnsi"/>
                <w:noProof/>
                <w:lang w:val="el-GR" w:eastAsia="el-GR"/>
              </w:rPr>
              <w:tab/>
            </w:r>
            <w:r w:rsidRPr="000D5062">
              <w:rPr>
                <w:rStyle w:val="Hyperlink"/>
                <w:noProof/>
                <w:lang w:val="en-GB"/>
              </w:rPr>
              <w:t>Case study</w:t>
            </w:r>
            <w:r>
              <w:rPr>
                <w:noProof/>
                <w:webHidden/>
              </w:rPr>
              <w:tab/>
            </w:r>
            <w:r>
              <w:rPr>
                <w:noProof/>
                <w:webHidden/>
              </w:rPr>
              <w:fldChar w:fldCharType="begin"/>
            </w:r>
            <w:r>
              <w:rPr>
                <w:noProof/>
                <w:webHidden/>
              </w:rPr>
              <w:instrText xml:space="preserve"> PAGEREF _Toc91583676 \h </w:instrText>
            </w:r>
            <w:r>
              <w:rPr>
                <w:noProof/>
                <w:webHidden/>
              </w:rPr>
            </w:r>
            <w:r>
              <w:rPr>
                <w:noProof/>
                <w:webHidden/>
              </w:rPr>
              <w:fldChar w:fldCharType="separate"/>
            </w:r>
            <w:r w:rsidR="00D4790B">
              <w:rPr>
                <w:noProof/>
                <w:webHidden/>
              </w:rPr>
              <w:t>31</w:t>
            </w:r>
            <w:r>
              <w:rPr>
                <w:noProof/>
                <w:webHidden/>
              </w:rPr>
              <w:fldChar w:fldCharType="end"/>
            </w:r>
          </w:hyperlink>
        </w:p>
        <w:p w14:paraId="550A0ABD" w14:textId="758529F6" w:rsidR="002A71FB" w:rsidRDefault="002A71FB">
          <w:pPr>
            <w:pStyle w:val="TOC1"/>
            <w:rPr>
              <w:rFonts w:asciiTheme="minorHAnsi" w:eastAsiaTheme="minorEastAsia" w:hAnsiTheme="minorHAnsi"/>
              <w:noProof/>
              <w:lang w:val="el-GR" w:eastAsia="el-GR"/>
            </w:rPr>
          </w:pPr>
          <w:hyperlink w:anchor="_Toc91583677" w:history="1">
            <w:r w:rsidRPr="000D5062">
              <w:rPr>
                <w:rStyle w:val="Hyperlink"/>
                <w:noProof/>
              </w:rPr>
              <w:t>7.</w:t>
            </w:r>
            <w:r>
              <w:rPr>
                <w:rFonts w:asciiTheme="minorHAnsi" w:eastAsiaTheme="minorEastAsia" w:hAnsiTheme="minorHAnsi"/>
                <w:noProof/>
                <w:lang w:val="el-GR" w:eastAsia="el-GR"/>
              </w:rPr>
              <w:tab/>
            </w:r>
            <w:r w:rsidRPr="000D5062">
              <w:rPr>
                <w:rStyle w:val="Hyperlink"/>
                <w:noProof/>
              </w:rPr>
              <w:t>Conclusions</w:t>
            </w:r>
            <w:r>
              <w:rPr>
                <w:noProof/>
                <w:webHidden/>
              </w:rPr>
              <w:tab/>
            </w:r>
            <w:r>
              <w:rPr>
                <w:noProof/>
                <w:webHidden/>
              </w:rPr>
              <w:fldChar w:fldCharType="begin"/>
            </w:r>
            <w:r>
              <w:rPr>
                <w:noProof/>
                <w:webHidden/>
              </w:rPr>
              <w:instrText xml:space="preserve"> PAGEREF _Toc91583677 \h </w:instrText>
            </w:r>
            <w:r>
              <w:rPr>
                <w:noProof/>
                <w:webHidden/>
              </w:rPr>
            </w:r>
            <w:r>
              <w:rPr>
                <w:noProof/>
                <w:webHidden/>
              </w:rPr>
              <w:fldChar w:fldCharType="separate"/>
            </w:r>
            <w:r w:rsidR="00D4790B">
              <w:rPr>
                <w:noProof/>
                <w:webHidden/>
              </w:rPr>
              <w:t>33</w:t>
            </w:r>
            <w:r>
              <w:rPr>
                <w:noProof/>
                <w:webHidden/>
              </w:rPr>
              <w:fldChar w:fldCharType="end"/>
            </w:r>
          </w:hyperlink>
        </w:p>
        <w:p w14:paraId="7D4AE7AC" w14:textId="0E8FB069" w:rsidR="002A71FB" w:rsidRDefault="002A71FB">
          <w:pPr>
            <w:pStyle w:val="TOC1"/>
            <w:rPr>
              <w:rFonts w:asciiTheme="minorHAnsi" w:eastAsiaTheme="minorEastAsia" w:hAnsiTheme="minorHAnsi"/>
              <w:noProof/>
              <w:lang w:val="el-GR" w:eastAsia="el-GR"/>
            </w:rPr>
          </w:pPr>
          <w:hyperlink w:anchor="_Toc91583678" w:history="1">
            <w:r w:rsidRPr="000D5062">
              <w:rPr>
                <w:rStyle w:val="Hyperlink"/>
                <w:noProof/>
                <w:lang w:val="en-GB"/>
              </w:rPr>
              <w:t>References</w:t>
            </w:r>
            <w:r>
              <w:rPr>
                <w:noProof/>
                <w:webHidden/>
              </w:rPr>
              <w:tab/>
            </w:r>
            <w:r>
              <w:rPr>
                <w:noProof/>
                <w:webHidden/>
              </w:rPr>
              <w:fldChar w:fldCharType="begin"/>
            </w:r>
            <w:r>
              <w:rPr>
                <w:noProof/>
                <w:webHidden/>
              </w:rPr>
              <w:instrText xml:space="preserve"> PAGEREF _Toc91583678 \h </w:instrText>
            </w:r>
            <w:r>
              <w:rPr>
                <w:noProof/>
                <w:webHidden/>
              </w:rPr>
            </w:r>
            <w:r>
              <w:rPr>
                <w:noProof/>
                <w:webHidden/>
              </w:rPr>
              <w:fldChar w:fldCharType="separate"/>
            </w:r>
            <w:r w:rsidR="00D4790B">
              <w:rPr>
                <w:noProof/>
                <w:webHidden/>
              </w:rPr>
              <w:t>34</w:t>
            </w:r>
            <w:r>
              <w:rPr>
                <w:noProof/>
                <w:webHidden/>
              </w:rPr>
              <w:fldChar w:fldCharType="end"/>
            </w:r>
          </w:hyperlink>
        </w:p>
        <w:p w14:paraId="3DA6AAB8" w14:textId="01B9BCAB" w:rsidR="002A71FB" w:rsidRDefault="002A71FB">
          <w:pPr>
            <w:pStyle w:val="TOC1"/>
            <w:rPr>
              <w:rFonts w:asciiTheme="minorHAnsi" w:eastAsiaTheme="minorEastAsia" w:hAnsiTheme="minorHAnsi"/>
              <w:noProof/>
              <w:lang w:val="el-GR" w:eastAsia="el-GR"/>
            </w:rPr>
          </w:pPr>
          <w:hyperlink w:anchor="_Toc91583679" w:history="1">
            <w:r w:rsidRPr="000D5062">
              <w:rPr>
                <w:rStyle w:val="Hyperlink"/>
                <w:noProof/>
                <w:lang w:val="en-GB"/>
              </w:rPr>
              <w:t>Annex II: Table of figures</w:t>
            </w:r>
            <w:r>
              <w:rPr>
                <w:noProof/>
                <w:webHidden/>
              </w:rPr>
              <w:tab/>
            </w:r>
            <w:r>
              <w:rPr>
                <w:noProof/>
                <w:webHidden/>
              </w:rPr>
              <w:fldChar w:fldCharType="begin"/>
            </w:r>
            <w:r>
              <w:rPr>
                <w:noProof/>
                <w:webHidden/>
              </w:rPr>
              <w:instrText xml:space="preserve"> PAGEREF _Toc91583679 \h </w:instrText>
            </w:r>
            <w:r>
              <w:rPr>
                <w:noProof/>
                <w:webHidden/>
              </w:rPr>
            </w:r>
            <w:r>
              <w:rPr>
                <w:noProof/>
                <w:webHidden/>
              </w:rPr>
              <w:fldChar w:fldCharType="separate"/>
            </w:r>
            <w:r w:rsidR="00D4790B">
              <w:rPr>
                <w:noProof/>
                <w:webHidden/>
              </w:rPr>
              <w:t>39</w:t>
            </w:r>
            <w:r>
              <w:rPr>
                <w:noProof/>
                <w:webHidden/>
              </w:rPr>
              <w:fldChar w:fldCharType="end"/>
            </w:r>
          </w:hyperlink>
        </w:p>
        <w:p w14:paraId="3DF02AC9" w14:textId="683BD428" w:rsidR="002A71FB" w:rsidRDefault="002A71FB">
          <w:pPr>
            <w:pStyle w:val="TOC1"/>
            <w:rPr>
              <w:rFonts w:asciiTheme="minorHAnsi" w:eastAsiaTheme="minorEastAsia" w:hAnsiTheme="minorHAnsi"/>
              <w:noProof/>
              <w:lang w:val="el-GR" w:eastAsia="el-GR"/>
            </w:rPr>
          </w:pPr>
          <w:hyperlink w:anchor="_Toc91583680" w:history="1">
            <w:r w:rsidRPr="000D5062">
              <w:rPr>
                <w:rStyle w:val="Hyperlink"/>
                <w:noProof/>
              </w:rPr>
              <w:t>Annex III: List of Tables</w:t>
            </w:r>
            <w:r>
              <w:rPr>
                <w:noProof/>
                <w:webHidden/>
              </w:rPr>
              <w:tab/>
            </w:r>
            <w:r>
              <w:rPr>
                <w:noProof/>
                <w:webHidden/>
              </w:rPr>
              <w:fldChar w:fldCharType="begin"/>
            </w:r>
            <w:r>
              <w:rPr>
                <w:noProof/>
                <w:webHidden/>
              </w:rPr>
              <w:instrText xml:space="preserve"> PAGEREF _Toc91583680 \h </w:instrText>
            </w:r>
            <w:r>
              <w:rPr>
                <w:noProof/>
                <w:webHidden/>
              </w:rPr>
            </w:r>
            <w:r>
              <w:rPr>
                <w:noProof/>
                <w:webHidden/>
              </w:rPr>
              <w:fldChar w:fldCharType="separate"/>
            </w:r>
            <w:r w:rsidR="00D4790B">
              <w:rPr>
                <w:noProof/>
                <w:webHidden/>
              </w:rPr>
              <w:t>39</w:t>
            </w:r>
            <w:r>
              <w:rPr>
                <w:noProof/>
                <w:webHidden/>
              </w:rPr>
              <w:fldChar w:fldCharType="end"/>
            </w:r>
          </w:hyperlink>
        </w:p>
        <w:p w14:paraId="5B11AE95" w14:textId="41A647F9" w:rsidR="009B3BE6" w:rsidRPr="00595D64" w:rsidRDefault="00121AB0" w:rsidP="00D21C20">
          <w:r>
            <w:fldChar w:fldCharType="end"/>
          </w:r>
        </w:p>
      </w:sdtContent>
    </w:sdt>
    <w:p w14:paraId="6B84D5A2" w14:textId="28B04D48" w:rsidR="00595D64" w:rsidRDefault="00595D64" w:rsidP="00D21C20">
      <w:pPr>
        <w:rPr>
          <w:lang w:val="en-GB"/>
        </w:rPr>
      </w:pPr>
      <w:r>
        <w:rPr>
          <w:lang w:val="en-GB"/>
        </w:rPr>
        <w:br w:type="page"/>
      </w:r>
    </w:p>
    <w:p w14:paraId="62BF2BBC" w14:textId="67B3DB33" w:rsidR="00DA19D9" w:rsidRDefault="00DA19D9" w:rsidP="004346D4">
      <w:pPr>
        <w:pStyle w:val="Heading1"/>
        <w:numPr>
          <w:ilvl w:val="0"/>
          <w:numId w:val="0"/>
        </w:numPr>
      </w:pPr>
      <w:bookmarkStart w:id="4" w:name="_Toc223361310"/>
      <w:bookmarkStart w:id="5" w:name="_Toc91583661"/>
      <w:r w:rsidRPr="009D5BD6">
        <w:lastRenderedPageBreak/>
        <w:t>Executive Summary</w:t>
      </w:r>
      <w:bookmarkEnd w:id="5"/>
    </w:p>
    <w:p w14:paraId="4FA47168" w14:textId="1592C774" w:rsidR="0070094F" w:rsidRDefault="00F63AF3" w:rsidP="0070094F">
      <w:r>
        <w:t xml:space="preserve">The methodology that was developed in Task 2.3 of the </w:t>
      </w:r>
      <w:r w:rsidRPr="00944F2E">
        <w:rPr>
          <w:b/>
          <w:i/>
          <w:iCs/>
          <w:color w:val="31479E" w:themeColor="accent1" w:themeShade="BF"/>
        </w:rPr>
        <w:t>MAIL</w:t>
      </w:r>
      <w:r>
        <w:t xml:space="preserve"> project for the detection of </w:t>
      </w:r>
      <w:r w:rsidR="00465F96">
        <w:t>potential marginal lands (ML)</w:t>
      </w:r>
      <w:r>
        <w:t xml:space="preserve"> involv</w:t>
      </w:r>
      <w:r w:rsidR="00180CE6">
        <w:t>es</w:t>
      </w:r>
      <w:r>
        <w:t xml:space="preserve"> the </w:t>
      </w:r>
      <w:r w:rsidR="00180CE6">
        <w:t>search, acquisition</w:t>
      </w:r>
      <w:r w:rsidR="008239BC">
        <w:t>,</w:t>
      </w:r>
      <w:r w:rsidR="00180CE6">
        <w:t xml:space="preserve"> </w:t>
      </w:r>
      <w:r w:rsidR="00177797">
        <w:t xml:space="preserve">and processing of 36 </w:t>
      </w:r>
      <w:r w:rsidR="0036206E">
        <w:t>environmental</w:t>
      </w:r>
      <w:r w:rsidR="005E091C">
        <w:t xml:space="preserve"> and socio-economic </w:t>
      </w:r>
      <w:r w:rsidR="00177797">
        <w:t>factors/layers from various sources</w:t>
      </w:r>
      <w:r w:rsidR="005E091C">
        <w:t>. Additionally,</w:t>
      </w:r>
      <w:r w:rsidR="00E04C00">
        <w:t xml:space="preserve"> </w:t>
      </w:r>
      <w:r w:rsidR="00F46A34">
        <w:t>this analysis was based on 2017-’18 data and</w:t>
      </w:r>
      <w:r w:rsidR="005E091C">
        <w:t xml:space="preserve"> each of these products is updated </w:t>
      </w:r>
      <w:r w:rsidR="00F677B0">
        <w:t>with</w:t>
      </w:r>
      <w:r w:rsidR="00812483">
        <w:t xml:space="preserve"> different frequency</w:t>
      </w:r>
      <w:r w:rsidR="00F677B0">
        <w:t xml:space="preserve">, which can vary from yearly to </w:t>
      </w:r>
      <w:r w:rsidR="00E04C00">
        <w:t>every 5 or 10 years, depending on the scale of the product.</w:t>
      </w:r>
      <w:r w:rsidR="008239BC">
        <w:t xml:space="preserve"> </w:t>
      </w:r>
      <w:r w:rsidR="001C385F">
        <w:t>The s</w:t>
      </w:r>
      <w:r w:rsidR="006925B2">
        <w:t xml:space="preserve">cope of this Task is to develop a methodology for the detection of MLs with freely available satellite imagery, by harnessing </w:t>
      </w:r>
      <w:r w:rsidR="00787492">
        <w:t>the high spatial and temporal resolution of these missions</w:t>
      </w:r>
      <w:r w:rsidR="00A81D71">
        <w:t>.</w:t>
      </w:r>
    </w:p>
    <w:p w14:paraId="0BB66B5B" w14:textId="1387AD9E" w:rsidR="00B37905" w:rsidRDefault="00A81D71" w:rsidP="0070094F">
      <w:r>
        <w:t xml:space="preserve">Therefore, </w:t>
      </w:r>
      <w:r w:rsidR="00142BC1">
        <w:t>a new tool was developed</w:t>
      </w:r>
      <w:r w:rsidR="00B57C25">
        <w:t xml:space="preserve"> on </w:t>
      </w:r>
      <w:r w:rsidR="00C97152">
        <w:t xml:space="preserve">the </w:t>
      </w:r>
      <w:r w:rsidR="00B57C25">
        <w:t>Google Earth Engine</w:t>
      </w:r>
      <w:r w:rsidR="00142BC1">
        <w:t xml:space="preserve"> for the purposes of the Task 2.8 “Augment precision in MLs detection”</w:t>
      </w:r>
      <w:r w:rsidR="00C97152">
        <w:t xml:space="preserve">, which is essentially a </w:t>
      </w:r>
      <w:r w:rsidR="00F05475">
        <w:t>supervised classification algorithm. The classifier utilized for this study is the Random Forest supervised classifier</w:t>
      </w:r>
      <w:r w:rsidR="00C07A6D">
        <w:t>, and the methodology exploits the Sentinel-1 (GRD) and Sentinel-2 (SR</w:t>
      </w:r>
      <w:r w:rsidR="000B54FB">
        <w:t>, L2A) image collections as well as some Hard Layers developed in previous Tasks</w:t>
      </w:r>
      <w:r w:rsidR="00A9001A">
        <w:t>.</w:t>
      </w:r>
      <w:r w:rsidR="00080289">
        <w:t xml:space="preserve"> A</w:t>
      </w:r>
      <w:r w:rsidR="007F798D">
        <w:t xml:space="preserve"> similar with the Task 2.4</w:t>
      </w:r>
      <w:r w:rsidR="00074200">
        <w:t xml:space="preserve"> accuracy assessment workflow was also developed for this </w:t>
      </w:r>
      <w:proofErr w:type="gramStart"/>
      <w:r w:rsidR="00074200">
        <w:t>Task, since</w:t>
      </w:r>
      <w:proofErr w:type="gramEnd"/>
      <w:r w:rsidR="00074200">
        <w:t xml:space="preserve"> a direct comparison with the outcome</w:t>
      </w:r>
      <w:r w:rsidR="00CE2AFA">
        <w:t xml:space="preserve"> of 2.3 would take place</w:t>
      </w:r>
      <w:r w:rsidR="00FB2201">
        <w:t xml:space="preserve"> to validate the performance of the tool</w:t>
      </w:r>
      <w:r w:rsidR="001B113B">
        <w:t xml:space="preserve">. </w:t>
      </w:r>
    </w:p>
    <w:p w14:paraId="3398646F" w14:textId="316AC9CE" w:rsidR="00A81D71" w:rsidRPr="0070094F" w:rsidRDefault="001B113B" w:rsidP="00944F2E">
      <w:r>
        <w:t xml:space="preserve">The “Enhanced Classification” tool </w:t>
      </w:r>
      <w:r w:rsidR="00245A2F">
        <w:t xml:space="preserve">manifested a comparable accuracy with the results of Task 2.3, </w:t>
      </w:r>
      <w:r w:rsidR="00B37905">
        <w:t xml:space="preserve">although </w:t>
      </w:r>
      <w:r w:rsidR="00842809">
        <w:t xml:space="preserve">it did not manage to surpass it in terms of </w:t>
      </w:r>
      <w:r w:rsidR="007F798D">
        <w:t xml:space="preserve">the </w:t>
      </w:r>
      <w:r w:rsidR="00842809">
        <w:t>accuracy metrics</w:t>
      </w:r>
      <w:r w:rsidR="007F798D">
        <w:t xml:space="preserve"> that were computed</w:t>
      </w:r>
      <w:r w:rsidR="007C12B9">
        <w:t xml:space="preserve">. </w:t>
      </w:r>
      <w:r w:rsidR="00520901">
        <w:t xml:space="preserve">This </w:t>
      </w:r>
      <w:r w:rsidR="00167CF3">
        <w:t>inferiority</w:t>
      </w:r>
      <w:r w:rsidR="00520901">
        <w:t xml:space="preserve"> was hypothesized </w:t>
      </w:r>
      <w:r w:rsidR="00E109E8">
        <w:t xml:space="preserve">to be due to the quality of the </w:t>
      </w:r>
      <w:r w:rsidR="00465F96">
        <w:t xml:space="preserve">training </w:t>
      </w:r>
      <w:r w:rsidR="00E109E8">
        <w:t xml:space="preserve">sampling data for the ML class. </w:t>
      </w:r>
      <w:r w:rsidR="004601D6">
        <w:t xml:space="preserve">Thus, a case study was performed deploying </w:t>
      </w:r>
      <w:r w:rsidR="006059D4">
        <w:t xml:space="preserve">a portion of </w:t>
      </w:r>
      <w:r w:rsidR="004601D6">
        <w:t>the reference data of Task 2.4</w:t>
      </w:r>
      <w:r w:rsidR="006059D4">
        <w:t xml:space="preserve"> for training and the rest for </w:t>
      </w:r>
      <w:r w:rsidR="005A4DC0">
        <w:t>validation in the accuracy assessment. The accurac</w:t>
      </w:r>
      <w:r w:rsidR="00A32D72">
        <w:t xml:space="preserve">y assessment manifested a clear increase in </w:t>
      </w:r>
      <w:proofErr w:type="gramStart"/>
      <w:r w:rsidR="00A32D72">
        <w:t>all of</w:t>
      </w:r>
      <w:proofErr w:type="gramEnd"/>
      <w:r w:rsidR="00A32D72">
        <w:t xml:space="preserve"> the in</w:t>
      </w:r>
      <w:r w:rsidR="00BA4E39">
        <w:t>vestigated metrics, revealing that the “Enhanced classification” tool</w:t>
      </w:r>
      <w:r w:rsidR="0031338B">
        <w:t xml:space="preserve"> is </w:t>
      </w:r>
      <w:r w:rsidR="001C385F">
        <w:t xml:space="preserve">a </w:t>
      </w:r>
      <w:r w:rsidR="0031338B">
        <w:t>reliable tool for the</w:t>
      </w:r>
      <w:r w:rsidR="00D01541">
        <w:t xml:space="preserve"> detection of MLs, </w:t>
      </w:r>
      <w:r w:rsidR="00465F96">
        <w:t xml:space="preserve">if training </w:t>
      </w:r>
      <w:r w:rsidR="00D01541">
        <w:t xml:space="preserve">data of high quality </w:t>
      </w:r>
      <w:r w:rsidR="00465F96">
        <w:t>is</w:t>
      </w:r>
      <w:r w:rsidR="00D01541">
        <w:t xml:space="preserve"> provided</w:t>
      </w:r>
      <w:r w:rsidR="00830D24">
        <w:t>.</w:t>
      </w:r>
      <w:r w:rsidR="00D01541">
        <w:t xml:space="preserve"> </w:t>
      </w:r>
      <w:r w:rsidR="00830D24">
        <w:t>M</w:t>
      </w:r>
      <w:r w:rsidR="00D01541">
        <w:t>ost importantly</w:t>
      </w:r>
      <w:r w:rsidR="00830D24">
        <w:t xml:space="preserve"> though</w:t>
      </w:r>
      <w:r w:rsidR="00D01541">
        <w:t>, i</w:t>
      </w:r>
      <w:r w:rsidR="00657491">
        <w:t>t is a tool that extends the functionality of the detection methodology developed in Task 2.3 only for 2017-</w:t>
      </w:r>
      <w:r w:rsidR="00A806D3">
        <w:t xml:space="preserve">’18, to any point in time from 2017 onwards without </w:t>
      </w:r>
      <w:r w:rsidR="0013075D">
        <w:t>the tedious process of acquiring a bundle of</w:t>
      </w:r>
      <w:r w:rsidR="00FC442B">
        <w:t xml:space="preserve"> bulky</w:t>
      </w:r>
      <w:r w:rsidR="0013075D">
        <w:t xml:space="preserve"> data</w:t>
      </w:r>
      <w:r w:rsidR="00830D24">
        <w:t>.</w:t>
      </w:r>
    </w:p>
    <w:p w14:paraId="7E66E395" w14:textId="77777777" w:rsidR="0070094F" w:rsidRDefault="0070094F">
      <w:pPr>
        <w:spacing w:line="300" w:lineRule="exact"/>
        <w:jc w:val="left"/>
      </w:pPr>
      <w:r>
        <w:br w:type="page"/>
      </w:r>
    </w:p>
    <w:p w14:paraId="2ECB7C01" w14:textId="46ADF561" w:rsidR="00A65557" w:rsidRPr="00E74778" w:rsidRDefault="00662771" w:rsidP="00A65557">
      <w:pPr>
        <w:pStyle w:val="Heading1"/>
        <w:rPr>
          <w:lang w:val="en-GB"/>
        </w:rPr>
      </w:pPr>
      <w:bookmarkStart w:id="6" w:name="_Toc91583662"/>
      <w:bookmarkEnd w:id="4"/>
      <w:r w:rsidRPr="00E74778">
        <w:rPr>
          <w:lang w:val="en-GB"/>
        </w:rPr>
        <w:lastRenderedPageBreak/>
        <w:t>Introduction</w:t>
      </w:r>
      <w:bookmarkStart w:id="7" w:name="_Ref207622618"/>
      <w:bookmarkEnd w:id="6"/>
    </w:p>
    <w:p w14:paraId="4045BE8B" w14:textId="4E06ACC2" w:rsidR="006F0530" w:rsidRDefault="006F0530" w:rsidP="006F0530">
      <w:r>
        <w:t xml:space="preserve">The definition of marginality, or more precisely marginal land, differs according to the final goal of the study. In monetary terms marginal lands are those lands which have a negative economic output, </w:t>
      </w:r>
      <w:proofErr w:type="gramStart"/>
      <w:r>
        <w:t>e.g.</w:t>
      </w:r>
      <w:proofErr w:type="gramEnd"/>
      <w:r>
        <w:t xml:space="preserve"> the investment of resources into the land is higher than expected monetary gain. Ecological definitions on the other hand define marginal lands in terms of their biophysical resource composition (often the scarcity thereof). (D2.1 “Literature review and existing models report” and D2.3 “Report on Methodology development”)</w:t>
      </w:r>
      <w:r w:rsidR="00CE2B97">
        <w:t>.</w:t>
      </w:r>
      <w:r>
        <w:t xml:space="preserve"> Because of the big variation</w:t>
      </w:r>
      <w:r w:rsidR="00223B35">
        <w:t>s</w:t>
      </w:r>
      <w:r>
        <w:t xml:space="preserve"> in </w:t>
      </w:r>
      <w:r w:rsidR="00223B35">
        <w:t xml:space="preserve">its </w:t>
      </w:r>
      <w:r>
        <w:t>definition</w:t>
      </w:r>
      <w:r w:rsidR="00CE2B97">
        <w:t>,</w:t>
      </w:r>
      <w:r>
        <w:t xml:space="preserve"> more than 130 </w:t>
      </w:r>
      <w:r w:rsidR="009F58F8">
        <w:t>different</w:t>
      </w:r>
      <w:r>
        <w:t xml:space="preserve"> factors (variables) have been related to the identification of MLs. For the development of the detection methodology for MLs in Task 2.3, more than 30 distinct layers acquired from various sources across Europe were deemed crucial for the identification of MLs.  These layers were used either as “hard” or as “soft” constraints inside a ML classification procedure. Each factor was given a specific weight based on its perceived or estimated importance for the definition of marginality. The entire marginal land mapping methodology can be seen in </w:t>
      </w:r>
      <w:r w:rsidR="00CE2B97">
        <w:t xml:space="preserve">Deliverable </w:t>
      </w:r>
      <w:r>
        <w:t xml:space="preserve">2.3. It was developed based solely on fixed in time data, for the year 2017-2018. </w:t>
      </w:r>
    </w:p>
    <w:p w14:paraId="4EABA5F3" w14:textId="77777777" w:rsidR="006F0530" w:rsidRDefault="006F0530" w:rsidP="006F0530">
      <w:r>
        <w:t xml:space="preserve">The scope of this Task is to develop a methodology to augment the precision of marginal lands map by combining the outcomes of the Tasks 2.3 and 2.4. Nevertheless, one key difference of the methodology that will be followed in Task 2.8 compared to the one followed in Task 2.3, is the source of data; instead of acquiring data from various sources only freely available satellite data will be used. Consequently, instead of the tedious process of acquiring a large volume of specialized and sophisticated data for the whole Europe, which also come with separate inherent uncertainties and are updated in sparse and unequal intervals, only the readily available satellite imagery will be acquired. Thus, only a single source of uncertainty is introduced in the analysis, which is also typically documented for each of these products. More importantly though, the competitive superiority of this methodology is the ability to harness the temporal capabilities of satellites, providing up-to-date thematic maps for any point in time, instead of a fixed point in time. </w:t>
      </w:r>
    </w:p>
    <w:p w14:paraId="2A0A31BF" w14:textId="77777777" w:rsidR="006F0530" w:rsidRDefault="006F0530" w:rsidP="006F0530">
      <w:r>
        <w:t>Having said that, the aim of this Task is to augment the precision of the detection of MLs by utilizing publicly available satellite data. More specifically the objectives of this study are to:</w:t>
      </w:r>
    </w:p>
    <w:p w14:paraId="64233763" w14:textId="651794D0" w:rsidR="006F0530" w:rsidRDefault="006F0530" w:rsidP="006F0530">
      <w:pPr>
        <w:numPr>
          <w:ilvl w:val="0"/>
          <w:numId w:val="27"/>
        </w:numPr>
        <w:pBdr>
          <w:top w:val="nil"/>
          <w:left w:val="nil"/>
          <w:bottom w:val="nil"/>
          <w:right w:val="nil"/>
          <w:between w:val="nil"/>
        </w:pBdr>
        <w:spacing w:after="0"/>
        <w:rPr>
          <w:color w:val="000000"/>
        </w:rPr>
      </w:pPr>
      <w:r>
        <w:rPr>
          <w:rFonts w:eastAsia="Arial" w:cs="Arial"/>
          <w:color w:val="000000"/>
        </w:rPr>
        <w:lastRenderedPageBreak/>
        <w:t xml:space="preserve">Develop a methodology for </w:t>
      </w:r>
      <w:r w:rsidR="00C2581A">
        <w:rPr>
          <w:rFonts w:eastAsia="Arial" w:cs="Arial"/>
          <w:color w:val="000000"/>
        </w:rPr>
        <w:t xml:space="preserve">an “on-the-fly” </w:t>
      </w:r>
      <w:r>
        <w:rPr>
          <w:rFonts w:eastAsia="Arial" w:cs="Arial"/>
          <w:color w:val="000000"/>
        </w:rPr>
        <w:t>detection of MLs applying a time series analysis based on satellite imagery on the Google Earth Engine platform,</w:t>
      </w:r>
    </w:p>
    <w:p w14:paraId="3610CA59" w14:textId="77777777" w:rsidR="006F0530" w:rsidRDefault="006F0530" w:rsidP="006F0530">
      <w:pPr>
        <w:numPr>
          <w:ilvl w:val="0"/>
          <w:numId w:val="27"/>
        </w:numPr>
        <w:pBdr>
          <w:top w:val="nil"/>
          <w:left w:val="nil"/>
          <w:bottom w:val="nil"/>
          <w:right w:val="nil"/>
          <w:between w:val="nil"/>
        </w:pBdr>
        <w:spacing w:before="0" w:after="0"/>
        <w:rPr>
          <w:color w:val="000000"/>
        </w:rPr>
      </w:pPr>
      <w:r>
        <w:rPr>
          <w:rFonts w:eastAsia="Arial" w:cs="Arial"/>
          <w:color w:val="000000"/>
        </w:rPr>
        <w:t>Assess the performance of the algorithm by deploying the validation polygons of Task 2.4, and</w:t>
      </w:r>
    </w:p>
    <w:p w14:paraId="3D2F9C10" w14:textId="503EDD4B" w:rsidR="006F0530" w:rsidRDefault="006F0530" w:rsidP="006F0530">
      <w:pPr>
        <w:numPr>
          <w:ilvl w:val="0"/>
          <w:numId w:val="27"/>
        </w:numPr>
        <w:pBdr>
          <w:top w:val="nil"/>
          <w:left w:val="nil"/>
          <w:bottom w:val="nil"/>
          <w:right w:val="nil"/>
          <w:between w:val="nil"/>
        </w:pBdr>
        <w:spacing w:before="0"/>
        <w:rPr>
          <w:color w:val="000000"/>
        </w:rPr>
        <w:sectPr w:rsidR="006F0530">
          <w:headerReference w:type="default" r:id="rId15"/>
          <w:footerReference w:type="default" r:id="rId16"/>
          <w:headerReference w:type="first" r:id="rId17"/>
          <w:footerReference w:type="first" r:id="rId18"/>
          <w:pgSz w:w="11907" w:h="16839"/>
          <w:pgMar w:top="1701" w:right="1701" w:bottom="1701" w:left="1701" w:header="850" w:footer="567" w:gutter="0"/>
          <w:pgNumType w:start="1"/>
          <w:cols w:space="720"/>
          <w:titlePg/>
        </w:sectPr>
      </w:pPr>
      <w:r>
        <w:rPr>
          <w:rFonts w:eastAsia="Arial" w:cs="Arial"/>
          <w:color w:val="000000"/>
        </w:rPr>
        <w:t>Evaluate the potential of the algorithm in a case study using input</w:t>
      </w:r>
      <w:r w:rsidR="00E74853">
        <w:rPr>
          <w:rFonts w:eastAsia="Arial" w:cs="Arial"/>
          <w:color w:val="000000"/>
        </w:rPr>
        <w:t xml:space="preserve"> (training)</w:t>
      </w:r>
      <w:r>
        <w:rPr>
          <w:rFonts w:eastAsia="Arial" w:cs="Arial"/>
          <w:color w:val="000000"/>
        </w:rPr>
        <w:t xml:space="preserve"> data of higher quality.</w:t>
      </w:r>
    </w:p>
    <w:p w14:paraId="250387B8" w14:textId="207006EC" w:rsidR="009B3BE6" w:rsidRPr="00C60499" w:rsidRDefault="00662771" w:rsidP="009B3BE6">
      <w:pPr>
        <w:pStyle w:val="Heading1"/>
        <w:rPr>
          <w:lang w:val="en-GB"/>
        </w:rPr>
      </w:pPr>
      <w:bookmarkStart w:id="8" w:name="_Toc91583663"/>
      <w:bookmarkEnd w:id="7"/>
      <w:r>
        <w:rPr>
          <w:lang w:val="en-GB"/>
        </w:rPr>
        <w:lastRenderedPageBreak/>
        <w:t>Literature review</w:t>
      </w:r>
      <w:bookmarkEnd w:id="8"/>
    </w:p>
    <w:p w14:paraId="2EC8623D" w14:textId="67C4F94D" w:rsidR="009B3BE6" w:rsidRDefault="00E74853" w:rsidP="00662771">
      <w:pPr>
        <w:pStyle w:val="ListBullet2"/>
        <w:numPr>
          <w:ilvl w:val="0"/>
          <w:numId w:val="0"/>
        </w:numPr>
        <w:ind w:left="283"/>
      </w:pPr>
      <w:r>
        <w:t xml:space="preserve">To identify the most robust methods for identification of marginal lands using satellite imagery, </w:t>
      </w:r>
      <w:r w:rsidR="00C65B41">
        <w:t xml:space="preserve">a </w:t>
      </w:r>
      <w:r>
        <w:t>detailed literature review was performed.</w:t>
      </w:r>
      <w:r w:rsidR="00F42939">
        <w:t xml:space="preserve"> Most of the research focused on national level (e.g. </w:t>
      </w:r>
      <w:r w:rsidR="00F42939" w:rsidRPr="00D75928">
        <w:fldChar w:fldCharType="begin" w:fldLock="1"/>
      </w:r>
      <w:r w:rsidR="00F42939">
        <w:instrText>ADDIN CSL_CITATION {"citationItems":[{"id":"ITEM-1","itemData":{"DOI":"10.1016/S0169-2046(98)00058-9","ISSN":"01692046","abstract":"During the 1990s, the largest changes in land use in the Baltic states occurred in the agricultural land sector. The changes can be summarised as the abandonment of arable land and the overgrowing of grasslands with shrubs. Both types of formerly agricultural land become successional oldfields. A national land-use map of Estonia is currently not available. Multitemporal Landsat Multispectral Scanner scenes combining winter, spring and summer data were used to classify land use in Estonia in 1990 and 1993. Satellite data discriminated 'arable land' and 'other,' but failed to differentiate 'grasslands currently in use' from 'successional oldfields'. One-third of the arable land in use in Estonia in 1990 had been abandoned by 1993.","author":[{"dropping-particle":"","family":"Peterson","given":"Urmas","non-dropping-particle":"","parse-names":false,"suffix":""},{"dropping-particle":"","family":"Aunap","given":"Raivo","non-dropping-particle":"","parse-names":false,"suffix":""}],"container-title":"Landscape and Urban Planning","id":"ITEM-1","issue":"3-4","issued":{"date-parts":[["1998"]]},"page":"193-201","title":"Changes in agricultural land use in Estonia in the 1990s detected with multitemporal Landsat MSS imagery","type":"article-journal","volume":"41"},"uris":["http://www.mendeley.com/documents/?uuid=6b579385-e7a1-4887-a899-a24af6339bd1","http://www.mendeley.com/documents/?uuid=849af216-ac01-425f-964d-c5fb2385700e"]}],"mendeley":{"formattedCitation":"(Peterson &amp; Aunap, 1998)","plainTextFormattedCitation":"(Peterson &amp; Aunap, 1998)","previouslyFormattedCitation":"(Peterson &amp; Aunap, 1998)"},"properties":{"noteIndex":0},"schema":"https://github.com/citation-style-language/schema/raw/master/csl-citation.json"}</w:instrText>
      </w:r>
      <w:r w:rsidR="00F42939" w:rsidRPr="00D75928">
        <w:fldChar w:fldCharType="separate"/>
      </w:r>
      <w:r w:rsidR="00F42939" w:rsidRPr="00D75928">
        <w:rPr>
          <w:noProof/>
        </w:rPr>
        <w:t>(Peterson &amp; Aunap, 1998)</w:t>
      </w:r>
      <w:r w:rsidR="00F42939" w:rsidRPr="00D75928">
        <w:fldChar w:fldCharType="end"/>
      </w:r>
      <w:r w:rsidR="00F42939">
        <w:t xml:space="preserve">, </w:t>
      </w:r>
      <w:r w:rsidR="00F42939" w:rsidRPr="00D75928">
        <w:fldChar w:fldCharType="begin" w:fldLock="1"/>
      </w:r>
      <w:r w:rsidR="00F42939">
        <w:instrText>ADDIN CSL_CITATION {"citationItems":[{"id":"ITEM-1","itemData":{"DOI":"10.1016/j.apgeog.2015.05.009","ISSN":"01436228","abstract":"In many regions worldwide, cropland abandonment is growing, which has strong and known environmental and socio-economic consequences. Yet, spatially explicit information on the spatial pattern of abandonment is sparse, particularly in post-Soviet countries of Central Asia. When thriving reaching for key Millennium Development Goals such as food security and poverty reduction, the issue of cropland abandonment is critical and therefore must be monitored and limited, or land use transformed into an alternative one. Central Asia experienced large changes of its agricultural system after the collapse of the Soviet Union in 1991. Land degradation, which started already before independence, and cropland abandonment is growing in extent, but their spatial pattern remains ill-understood. The objective of this study was to map and analyse agricultural land use in the irrigated areas of Kyzyl-Orda, southern Kazakhstan, Central Asia. For mapping land use and identifying abandoned agricultural land, an object-based classification approach was applied. Random forest (RF) and support vector machines (SVM) algorithms permitted classifying Landsat and RapidEye data from 2009 to 2014. Overlaying these maps with information about irrigated land parcels, installed during the Soviet period, allowed indicating abandoned fields. Fusing the results of the two approaches, RF and SVM, resulted in classification accuracies of up to 97%. This was statistically significantly higher than with RF or SVM alone. Through the analysis of the land use trajectories, abandoned agricultural fields and a clear indication of abandoned land were identified on almost 50% of all fields in Kyzyl-Orda with an accuracy of approximately 80%. The outputs of this study may provide valuable information for planners, policy- and decision-makers to support better-informed decision-making like reducing possible environmental impacts of land abandonment, or identifying areas for sustainable intensification or re-cultivation.","author":[{"dropping-particle":"","family":"Löw","given":"Fabian","non-dropping-particle":"","parse-names":false,"suffix":""},{"dropping-particle":"","family":"Fliemann","given":"Elisabeth","non-dropping-particle":"","parse-names":false,"suffix":""},{"dropping-particle":"","family":"Abdullaev","given":"Iskandar","non-dropping-particle":"","parse-names":false,"suffix":""},{"dropping-particle":"","family":"Conrad","given":"Christopher","non-dropping-particle":"","parse-names":false,"suffix":""},{"dropping-particle":"","family":"Lamers","given":"John P.A.","non-dropping-particle":"","parse-names":false,"suffix":""}],"container-title":"Applied Geography","id":"ITEM-1","issued":{"date-parts":[["2015"]]},"page":"377-390","title":"Mapping abandoned agricultural land in Kyzyl-Orda, Kazakhstan using satellite remote sensing","type":"article-journal","volume":"62"},"uris":["http://www.mendeley.com/documents/?uuid=0e8a6b10-0e4e-4037-86fb-e80d40555606","http://www.mendeley.com/documents/?uuid=22099d46-12c2-4473-99a5-e2afc64fe1ed"]}],"mendeley":{"formattedCitation":"(Löw et al., 2015)","plainTextFormattedCitation":"(Löw et al., 2015)","previouslyFormattedCitation":"(Löw et al., 2015)"},"properties":{"noteIndex":0},"schema":"https://github.com/citation-style-language/schema/raw/master/csl-citation.json"}</w:instrText>
      </w:r>
      <w:r w:rsidR="00F42939" w:rsidRPr="00D75928">
        <w:fldChar w:fldCharType="separate"/>
      </w:r>
      <w:r w:rsidR="00F42939" w:rsidRPr="00D75928">
        <w:rPr>
          <w:noProof/>
        </w:rPr>
        <w:t>(Löw et al., 2015)</w:t>
      </w:r>
      <w:r w:rsidR="00F42939" w:rsidRPr="00D75928">
        <w:fldChar w:fldCharType="end"/>
      </w:r>
      <w:r w:rsidR="00F42939">
        <w:t xml:space="preserve">, </w:t>
      </w:r>
      <w:r w:rsidR="00F42939" w:rsidRPr="00D75928">
        <w:fldChar w:fldCharType="begin" w:fldLock="1"/>
      </w:r>
      <w:r w:rsidR="00F42939">
        <w:instrText>ADDIN CSL_CITATION {"citationItems":[{"id":"ITEM-1","itemData":{"DOI":"10.1016/j.rse.2021.112340","ISSN":"00344257","abstract":"Substantial land surface greening has been observed globally over the last few decades. This greening has been primarily attributed to climate change and CO2 concentrations, but recent research studies have emphasized the large role of human land use in this process, especially agricultural land abandonment (ALA). The aim of this study was to investigate whether long-term gradual greening of agricultural land can aid in mapping abandoned land across Poland. Trend estimation and temporal segmentation were applied to the 1986–2019 annual Landsat-derived Normalized Difference Vegetation Index (NDVI) time series to detect periods of long-term greening and to assess its relationship with actual information on ALA. The results show that long-term greening is widespread in Poland (covering up to 60% of its territory), regardless of former and current land uses, most of which has stemmed from modifications within stable land use classes (as they cover 91% of Poland). The highest greening rates and intensities were observed due to conversions from agricultural to non-agricultural land use, which strongly suggests land abandonment and the proceeding succession. However, some proportion of managed agricultural land has also experienced high-intensity greening, and a large proportion of abandoned agricultural land is not greening intensively. Thus, setting an exact greening intensity threshold allowing to clearly distinguish the status of land was not possible. This study also presents the consistency of the Landsat annual time series and its good performance for long-term greening detection, indicating that temporal segmentation may better capture ALA patterns than trend estimation","author":[{"dropping-particle":"","family":"Kolecka","given":"Natalia","non-dropping-particle":"","parse-names":false,"suffix":""}],"container-title":"Remote Sensing of Environment","id":"ITEM-1","issue":"January","issued":{"date-parts":[["2021"]]},"page":"112340","publisher":"Elsevier Inc.","title":"Greening trends and their relationship with agricultural land abandonment across Poland","type":"article-journal","volume":"257"},"uris":["http://www.mendeley.com/documents/?uuid=0f41ad83-bf38-438b-8230-b4e0f4db9857","http://www.mendeley.com/documents/?uuid=b6815c44-4da6-4357-a010-de14d1a6afc2"]}],"mendeley":{"formattedCitation":"(Kolecka, 2021)","plainTextFormattedCitation":"(Kolecka, 2021)","previouslyFormattedCitation":"(Kolecka, 2021)"},"properties":{"noteIndex":0},"schema":"https://github.com/citation-style-language/schema/raw/master/csl-citation.json"}</w:instrText>
      </w:r>
      <w:r w:rsidR="00F42939" w:rsidRPr="00D75928">
        <w:fldChar w:fldCharType="separate"/>
      </w:r>
      <w:r w:rsidR="00F42939" w:rsidRPr="00D75928">
        <w:rPr>
          <w:noProof/>
        </w:rPr>
        <w:t>(Kolecka, 2021)</w:t>
      </w:r>
      <w:r w:rsidR="00F42939" w:rsidRPr="00D75928">
        <w:fldChar w:fldCharType="end"/>
      </w:r>
      <w:r w:rsidR="00F42939">
        <w:t xml:space="preserve">) and high resolution satellite imagery delivered by Landsat satellites (e.g. </w:t>
      </w:r>
      <w:r w:rsidR="00F42939" w:rsidRPr="00D75928">
        <w:fldChar w:fldCharType="begin" w:fldLock="1"/>
      </w:r>
      <w:r w:rsidR="00F42939">
        <w:instrText>ADDIN CSL_CITATION {"citationItems":[{"id":"ITEM-1","itemData":{"DOI":"10.1016/S0169-2046(98)00058-9","ISSN":"01692046","abstract":"During the 1990s, the largest changes in land use in the Baltic states occurred in the agricultural land sector. The changes can be summarised as the abandonment of arable land and the overgrowing of grasslands with shrubs. Both types of formerly agricultural land become successional oldfields. A national land-use map of Estonia is currently not available. Multitemporal Landsat Multispectral Scanner scenes combining winter, spring and summer data were used to classify land use in Estonia in 1990 and 1993. Satellite data discriminated 'arable land' and 'other,' but failed to differentiate 'grasslands currently in use' from 'successional oldfields'. One-third of the arable land in use in Estonia in 1990 had been abandoned by 1993.","author":[{"dropping-particle":"","family":"Peterson","given":"Urmas","non-dropping-particle":"","parse-names":false,"suffix":""},{"dropping-particle":"","family":"Aunap","given":"Raivo","non-dropping-particle":"","parse-names":false,"suffix":""}],"container-title":"Landscape and Urban Planning","id":"ITEM-1","issue":"3-4","issued":{"date-parts":[["1998"]]},"page":"193-201","title":"Changes in agricultural land use in Estonia in the 1990s detected with multitemporal Landsat MSS imagery","type":"article-journal","volume":"41"},"uris":["http://www.mendeley.com/documents/?uuid=6b579385-e7a1-4887-a899-a24af6339bd1","http://www.mendeley.com/documents/?uuid=849af216-ac01-425f-964d-c5fb2385700e"]}],"mendeley":{"formattedCitation":"(Peterson &amp; Aunap, 1998)","plainTextFormattedCitation":"(Peterson &amp; Aunap, 1998)","previouslyFormattedCitation":"(Peterson &amp; Aunap, 1998)"},"properties":{"noteIndex":0},"schema":"https://github.com/citation-style-language/schema/raw/master/csl-citation.json"}</w:instrText>
      </w:r>
      <w:r w:rsidR="00F42939" w:rsidRPr="00D75928">
        <w:fldChar w:fldCharType="separate"/>
      </w:r>
      <w:r w:rsidR="00F42939" w:rsidRPr="00D75928">
        <w:rPr>
          <w:noProof/>
        </w:rPr>
        <w:t>(Peterson &amp; Aunap, 1998)</w:t>
      </w:r>
      <w:r w:rsidR="00F42939" w:rsidRPr="00D75928">
        <w:fldChar w:fldCharType="end"/>
      </w:r>
      <w:r w:rsidR="00F42939">
        <w:t xml:space="preserve">, </w:t>
      </w:r>
      <w:r w:rsidR="00603386">
        <w:fldChar w:fldCharType="begin" w:fldLock="1"/>
      </w:r>
      <w:r w:rsidR="001C4BE7">
        <w:instrText>ADDIN CSL_CITATION {"citationItems":[{"id":"ITEM-1","itemData":{"DOI":"10.1016/j.rse.2018.05.005","ISSN":"00344257","abstract":"Much of the world's temperate grasslands have been converted to croplands, yet these trends can reverse in some regions. This is the case for the steppes of northern Kazakhstan, where the breakdown of the Soviet Union led to widespread cropland abandonment, creating restoration opportunities. Understanding when abandonment happened and whether it persists is important for making use of these opportunities. We developed a trajectory-based change detection approach to identify cropland abandonment between 1988 and 2013 and recultivation between 1991 and 2013. Our approach is based on annual time series of cropland probabilities derived from Landsat imagery and resulted in reliable maps (89% overall accuracy), with abandonment being detected more accurately (user's accuracy of 93%) than recultivation (73%). Most of the remaining uncertainty in our maps was due to low image availability during the mid-1990s, leading to abandonment in the 1990s sometimes only being detected in the 2000s. Our results suggest that of the ~4.7 million ha of cropland in our study area in 1985, roughly 40% had been abandoned by 2013. Knowing the timing of abandonment allowed for deeper insights into what drives these dynamics: recultivation after 2007 happened preferentially on those lands that had been abandoned most recently, suggesting that the most productive croplands were abandoned last and recultivated first. Likewise, knowing the timing of abandonment allowed for more precise estimates of the environmental impacts of abandonment (e.g., soil organic carbon sequestration estimated at 16.3 Mt. C compared to 24.0 Mt. C when assuming all abandonment happened right after the breakdown of the Soviet Union, with the uncertainty around emission estimates decreasing by 63%). Overall, our study emphasizes the value of the Landsat archive for understanding agricultural land-use dynamics, and the opportunities of trajectory-based approaches for mapping these dynamics.","author":[{"dropping-particle":"","family":"Dara","given":"Andrey","non-dropping-particle":"","parse-names":false,"suffix":""},{"dropping-particle":"","family":"Baumann","given":"Matthias","non-dropping-particle":"","parse-names":false,"suffix":""},{"dropping-particle":"","family":"Kuemmerle","given":"Tobias","non-dropping-particle":"","parse-names":false,"suffix":""},{"dropping-particle":"","family":"Pflugmacher","given":"Dirk","non-dropping-particle":"","parse-names":false,"suffix":""},{"dropping-particle":"","family":"Rabe","given":"Andreas","non-dropping-particle":"","parse-names":false,"suffix":""},{"dropping-particle":"","family":"Griffiths","given":"Patrick","non-dropping-particle":"","parse-names":false,"suffix":""},{"dropping-particle":"","family":"Hölzel","given":"Norbert","non-dropping-particle":"","parse-names":false,"suffix":""},{"dropping-particle":"","family":"Kamp","given":"Johannes","non-dropping-particle":"","parse-names":false,"suffix":""},{"dropping-particle":"","family":"Freitag","given":"Martin","non-dropping-particle":"","parse-names":false,"suffix":""},{"dropping-particle":"","family":"Hostert","given":"Patrick","non-dropping-particle":"","parse-names":false,"suffix":""}],"container-title":"Remote Sensing of Environment","id":"ITEM-1","issue":"May","issued":{"date-parts":[["2018"]]},"page":"49-60","title":"Mapping the timing of cropland abandonment and recultivation in northern Kazakhstan using annual Landsat time series","type":"article-journal","volume":"213"},"uris":["http://www.mendeley.com/documents/?uuid=1548c00f-fe65-45ae-a4ed-d4f792ac1363"]}],"mendeley":{"formattedCitation":"(Dara et al., 2018)","plainTextFormattedCitation":"(Dara et al., 2018)","previouslyFormattedCitation":"(Dara et al., 2018)"},"properties":{"noteIndex":0},"schema":"https://github.com/citation-style-language/schema/raw/master/csl-citation.json"}</w:instrText>
      </w:r>
      <w:r w:rsidR="00603386">
        <w:fldChar w:fldCharType="separate"/>
      </w:r>
      <w:r w:rsidR="00603386" w:rsidRPr="00603386">
        <w:rPr>
          <w:noProof/>
        </w:rPr>
        <w:t>(Dara et al., 2018)</w:t>
      </w:r>
      <w:r w:rsidR="00603386">
        <w:fldChar w:fldCharType="end"/>
      </w:r>
      <w:r w:rsidR="00F42939">
        <w:t>,</w:t>
      </w:r>
      <w:r w:rsidR="001C4BE7">
        <w:t xml:space="preserve"> </w:t>
      </w:r>
      <w:r w:rsidR="001C4BE7">
        <w:fldChar w:fldCharType="begin" w:fldLock="1"/>
      </w:r>
      <w:r w:rsidR="000D001D">
        <w:instrText>ADDIN CSL_CITATION {"citationItems":[{"id":"ITEM-1","itemData":{"DOI":"10.1016/j.rse.2018.02.050","ISSN":"00344257","abstract":"Agricultural land abandonment is a common land-use change, making the accurate mapping of both location and timing when agricultural land abandonment occurred important to understand its environmental and social outcomes. However, it is challenging to distinguish agricultural abandonment from transitional classes such as fallow land at high spatial resolutions due to the complexity of change process. To date, no robust approach exists to detect when agricultural land abandonment occurred based on 30-m Landsat images. Our goal here was to develop a new approach to detect the extent and the exact timing of agricultural land abandonment using spatial and temporal segments derived from Landsat time series. We tested our approach for one Landsat footprint in the Caucasus, covering parts of Russia and Georgia, where agricultural land abandonment is widespread. First, we generated agricultural land image objects from multi-date Landsat imagery using a multi-resolution segmentation approach. Second, we estimated the probability for each object that agricultural land was used each year based on Landsat temporal-spectral metrics and a random forest model. Third, we applied temporal segmentation of the resulting agricultural land probability time series to identify change classes and detect when abandonment occurred. We found that our approach was able to accurately separate agricultural abandonment from active agricultural lands, fallow land, and re-cultivation. Our spatial and temporal segmentation approach captured the changes at the object level well (overall mapping accuracy = 97 ± 1%), and performed substantially better than pixel-level change detection (overall accuracy = 82 ± 3%). We found strong spatial and temporal variations in agricultural land abandonment rates in our study area, likely a consequence of regional wars after the collapse of the Soviet Union. In summary, the combination of spatial and temporal segmentation approaches of time-series is a robust method to track agricultural land abandonment and may be relevant for other land-use changes as well.","author":[{"dropping-particle":"","family":"Yin","given":"He","non-dropping-particle":"","parse-names":false,"suffix":""},{"dropping-particle":"V.","family":"Prishchepov","given":"Alexander","non-dropping-particle":"","parse-names":false,"suffix":""},{"dropping-particle":"","family":"Kuemmerle","given":"Tobias","non-dropping-particle":"","parse-names":false,"suffix":""},{"dropping-particle":"","family":"Bleyhl","given":"Benjamin","non-dropping-particle":"","parse-names":false,"suffix":""},{"dropping-particle":"","family":"Buchner","given":"Johanna","non-dropping-particle":"","parse-names":false,"suffix":""},{"dropping-particle":"","family":"Radeloff","given":"Volker C.","non-dropping-particle":"","parse-names":false,"suffix":""}],"container-title":"Remote Sensing of Environment","id":"ITEM-1","issue":"January","issued":{"date-parts":[["2018"]]},"page":"12-24","title":"Mapping agricultural land abandonment from spatial and temporal segmentation of Landsat time series","type":"article-journal","volume":"210"},"uris":["http://www.mendeley.com/documents/?uuid=bebdb691-5bc5-4ddb-b5a3-24853a4520ac"]}],"mendeley":{"formattedCitation":"(Yin et al., 2018)","plainTextFormattedCitation":"(Yin et al., 2018)","previouslyFormattedCitation":"(Yin et al., 2018)"},"properties":{"noteIndex":0},"schema":"https://github.com/citation-style-language/schema/raw/master/csl-citation.json"}</w:instrText>
      </w:r>
      <w:r w:rsidR="001C4BE7">
        <w:fldChar w:fldCharType="separate"/>
      </w:r>
      <w:r w:rsidR="001C4BE7" w:rsidRPr="001C4BE7">
        <w:rPr>
          <w:noProof/>
        </w:rPr>
        <w:t>(Yin et al., 2018)</w:t>
      </w:r>
      <w:r w:rsidR="001C4BE7">
        <w:fldChar w:fldCharType="end"/>
      </w:r>
      <w:r w:rsidR="00F42939">
        <w:t xml:space="preserve">). </w:t>
      </w:r>
      <w:r w:rsidR="006955F6">
        <w:t xml:space="preserve">In most of </w:t>
      </w:r>
      <w:r w:rsidR="00C65B41">
        <w:t xml:space="preserve">the </w:t>
      </w:r>
      <w:r w:rsidR="006955F6">
        <w:t xml:space="preserve">analysed research papers, time series of NDVI were used to identify classes related with land </w:t>
      </w:r>
      <w:proofErr w:type="gramStart"/>
      <w:r w:rsidR="006955F6">
        <w:t>abandonment;</w:t>
      </w:r>
      <w:proofErr w:type="gramEnd"/>
      <w:r w:rsidR="006955F6">
        <w:t xml:space="preserve"> mostly from agricultural lands.</w:t>
      </w:r>
      <w:r w:rsidR="003E76C9">
        <w:t xml:space="preserve"> Sensors, locations</w:t>
      </w:r>
      <w:r w:rsidR="00C65B41">
        <w:t>,</w:t>
      </w:r>
      <w:r w:rsidR="003E76C9">
        <w:t xml:space="preserve"> and algorithms applied are summarized in </w:t>
      </w:r>
      <w:r w:rsidR="00D900A7">
        <w:fldChar w:fldCharType="begin"/>
      </w:r>
      <w:r w:rsidR="00D900A7">
        <w:instrText xml:space="preserve"> REF _Ref91514752 \h </w:instrText>
      </w:r>
      <w:r w:rsidR="00D900A7">
        <w:fldChar w:fldCharType="separate"/>
      </w:r>
      <w:r w:rsidR="00D4790B">
        <w:t xml:space="preserve">Table </w:t>
      </w:r>
      <w:r w:rsidR="00D4790B">
        <w:rPr>
          <w:noProof/>
        </w:rPr>
        <w:t>1</w:t>
      </w:r>
      <w:r w:rsidR="00D900A7">
        <w:fldChar w:fldCharType="end"/>
      </w:r>
      <w:r w:rsidR="003E76C9">
        <w:t>.</w:t>
      </w:r>
    </w:p>
    <w:p w14:paraId="33AFB2A8" w14:textId="1BA1BC3B" w:rsidR="003049BA" w:rsidRDefault="006400E5" w:rsidP="00A746F8">
      <w:pPr>
        <w:pStyle w:val="Caption"/>
      </w:pPr>
      <w:bookmarkStart w:id="9" w:name="_Ref91514752"/>
      <w:bookmarkStart w:id="10" w:name="_Toc91583689"/>
      <w:r>
        <w:t xml:space="preserve">Table </w:t>
      </w:r>
      <w:r>
        <w:fldChar w:fldCharType="begin"/>
      </w:r>
      <w:r>
        <w:instrText xml:space="preserve"> SEQ Table \* ARABIC </w:instrText>
      </w:r>
      <w:r>
        <w:fldChar w:fldCharType="separate"/>
      </w:r>
      <w:r w:rsidR="00D4790B">
        <w:rPr>
          <w:noProof/>
        </w:rPr>
        <w:t>1</w:t>
      </w:r>
      <w:r>
        <w:fldChar w:fldCharType="end"/>
      </w:r>
      <w:bookmarkEnd w:id="9"/>
      <w:r>
        <w:t>. The summary of literature review about marginal lands detection using satellite imagery.</w:t>
      </w:r>
      <w:bookmarkEnd w:id="10"/>
    </w:p>
    <w:tbl>
      <w:tblPr>
        <w:tblW w:w="8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75"/>
        <w:gridCol w:w="1130"/>
        <w:gridCol w:w="1276"/>
        <w:gridCol w:w="5107"/>
      </w:tblGrid>
      <w:tr w:rsidR="003049BA" w:rsidRPr="00C60499" w14:paraId="59C53451" w14:textId="77777777" w:rsidTr="00D5796D">
        <w:trPr>
          <w:trHeight w:val="850"/>
          <w:jc w:val="center"/>
        </w:trPr>
        <w:tc>
          <w:tcPr>
            <w:tcW w:w="1275" w:type="dxa"/>
            <w:shd w:val="clear" w:color="auto" w:fill="DBE0F4" w:themeFill="accent1" w:themeFillTint="33"/>
            <w:vAlign w:val="center"/>
          </w:tcPr>
          <w:p w14:paraId="0FB5A291" w14:textId="48EBCE1F" w:rsidR="003049BA" w:rsidRPr="00C60499" w:rsidRDefault="003049BA" w:rsidP="00C65B41">
            <w:pPr>
              <w:spacing w:before="0" w:after="0" w:line="240" w:lineRule="auto"/>
              <w:contextualSpacing/>
              <w:jc w:val="center"/>
              <w:rPr>
                <w:rStyle w:val="Strong"/>
                <w:lang w:val="en-GB"/>
              </w:rPr>
            </w:pPr>
            <w:r>
              <w:rPr>
                <w:rStyle w:val="Strong"/>
                <w:lang w:val="en-GB"/>
              </w:rPr>
              <w:t>Paper</w:t>
            </w:r>
          </w:p>
        </w:tc>
        <w:tc>
          <w:tcPr>
            <w:tcW w:w="1130" w:type="dxa"/>
            <w:shd w:val="clear" w:color="auto" w:fill="DBE0F4" w:themeFill="accent1" w:themeFillTint="33"/>
            <w:vAlign w:val="center"/>
          </w:tcPr>
          <w:p w14:paraId="462A3FFC" w14:textId="1BEF79DC" w:rsidR="003049BA" w:rsidRPr="00A746F8" w:rsidRDefault="003049BA" w:rsidP="00C65B41">
            <w:pPr>
              <w:spacing w:before="0" w:after="0" w:line="240" w:lineRule="auto"/>
              <w:contextualSpacing/>
              <w:jc w:val="center"/>
              <w:rPr>
                <w:rStyle w:val="Strong"/>
                <w:bCs w:val="0"/>
                <w:lang w:val="en-GB"/>
              </w:rPr>
            </w:pPr>
            <w:r w:rsidRPr="00A746F8">
              <w:rPr>
                <w:rStyle w:val="Strong"/>
                <w:bCs w:val="0"/>
                <w:lang w:val="en-GB"/>
              </w:rPr>
              <w:t>Satellite data</w:t>
            </w:r>
          </w:p>
        </w:tc>
        <w:tc>
          <w:tcPr>
            <w:tcW w:w="1276" w:type="dxa"/>
            <w:shd w:val="clear" w:color="auto" w:fill="DBE0F4" w:themeFill="accent1" w:themeFillTint="33"/>
            <w:vAlign w:val="center"/>
          </w:tcPr>
          <w:p w14:paraId="5DE57FEF" w14:textId="1A6C46F0" w:rsidR="003049BA" w:rsidRPr="00A746F8" w:rsidRDefault="003049BA" w:rsidP="00C65B41">
            <w:pPr>
              <w:spacing w:before="0" w:after="0" w:line="240" w:lineRule="auto"/>
              <w:contextualSpacing/>
              <w:jc w:val="center"/>
              <w:rPr>
                <w:rStyle w:val="Strong"/>
                <w:bCs w:val="0"/>
                <w:lang w:val="en-GB"/>
              </w:rPr>
            </w:pPr>
            <w:r w:rsidRPr="00A746F8">
              <w:rPr>
                <w:rStyle w:val="Strong"/>
                <w:bCs w:val="0"/>
                <w:lang w:val="en-GB"/>
              </w:rPr>
              <w:t>Are</w:t>
            </w:r>
            <w:r w:rsidR="00D5796D">
              <w:rPr>
                <w:rStyle w:val="Strong"/>
                <w:bCs w:val="0"/>
                <w:lang w:val="en-GB"/>
              </w:rPr>
              <w:t>a</w:t>
            </w:r>
            <w:r w:rsidRPr="00A746F8">
              <w:rPr>
                <w:rStyle w:val="Strong"/>
                <w:bCs w:val="0"/>
                <w:lang w:val="en-GB"/>
              </w:rPr>
              <w:t xml:space="preserve"> of interest</w:t>
            </w:r>
          </w:p>
        </w:tc>
        <w:tc>
          <w:tcPr>
            <w:tcW w:w="5107" w:type="dxa"/>
            <w:shd w:val="clear" w:color="auto" w:fill="DBE0F4" w:themeFill="accent1" w:themeFillTint="33"/>
            <w:vAlign w:val="center"/>
          </w:tcPr>
          <w:p w14:paraId="4869E86A" w14:textId="6B5354CB" w:rsidR="003049BA" w:rsidRPr="00A746F8" w:rsidRDefault="003049BA" w:rsidP="00C65B41">
            <w:pPr>
              <w:spacing w:before="0" w:after="0" w:line="240" w:lineRule="auto"/>
              <w:contextualSpacing/>
              <w:jc w:val="center"/>
              <w:rPr>
                <w:rStyle w:val="Strong"/>
                <w:bCs w:val="0"/>
                <w:lang w:val="en-GB"/>
              </w:rPr>
            </w:pPr>
            <w:r w:rsidRPr="00A746F8">
              <w:rPr>
                <w:rStyle w:val="Strong"/>
                <w:bCs w:val="0"/>
                <w:lang w:val="en-GB"/>
              </w:rPr>
              <w:t>Summary</w:t>
            </w:r>
          </w:p>
        </w:tc>
      </w:tr>
      <w:tr w:rsidR="003049BA" w:rsidRPr="00C60499" w14:paraId="4DC3022A" w14:textId="77777777" w:rsidTr="00D5796D">
        <w:trPr>
          <w:trHeight w:val="397"/>
          <w:jc w:val="center"/>
        </w:trPr>
        <w:tc>
          <w:tcPr>
            <w:tcW w:w="1275" w:type="dxa"/>
            <w:vAlign w:val="center"/>
          </w:tcPr>
          <w:p w14:paraId="7D74E84E" w14:textId="75A26A66" w:rsidR="003049BA" w:rsidRPr="00AE1A89" w:rsidRDefault="0093471C" w:rsidP="00C65B41">
            <w:pPr>
              <w:spacing w:before="0" w:after="0" w:line="240" w:lineRule="auto"/>
              <w:contextualSpacing/>
              <w:jc w:val="left"/>
              <w:rPr>
                <w:b/>
                <w:bCs/>
                <w:lang w:val="en-GB"/>
              </w:rPr>
            </w:pPr>
            <w:r w:rsidRPr="00D75928">
              <w:rPr>
                <w:lang w:val="en-GB"/>
              </w:rPr>
              <w:fldChar w:fldCharType="begin" w:fldLock="1"/>
            </w:r>
            <w:r>
              <w:rPr>
                <w:lang w:val="en-GB"/>
              </w:rPr>
              <w:instrText>ADDIN CSL_CITATION {"citationItems":[{"id":"ITEM-1","itemData":{"DOI":"10.1016/S0169-2046(98)00058-9","ISSN":"01692046","abstract":"During the 1990s, the largest changes in land use in the Baltic states occurred in the agricultural land sector. The changes can be summarised as the abandonment of arable land and the overgrowing of grasslands with shrubs. Both types of formerly agricultural land become successional oldfields. A national land-use map of Estonia is currently not available. Multitemporal Landsat Multispectral Scanner scenes combining winter, spring and summer data were used to classify land use in Estonia in 1990 and 1993. Satellite data discriminated 'arable land' and 'other,' but failed to differentiate 'grasslands currently in use' from 'successional oldfields'. One-third of the arable land in use in Estonia in 1990 had been abandoned by 1993.","author":[{"dropping-particle":"","family":"Peterson","given":"Urmas","non-dropping-particle":"","parse-names":false,"suffix":""},{"dropping-particle":"","family":"Aunap","given":"Raivo","non-dropping-particle":"","parse-names":false,"suffix":""}],"container-title":"Landscape and Urban Planning","id":"ITEM-1","issue":"3-4","issued":{"date-parts":[["1998"]]},"page":"193-201","title":"Changes in agricultural land use in Estonia in the 1990s detected with multitemporal Landsat MSS imagery","type":"article-journal","volume":"41"},"uris":["http://www.mendeley.com/documents/?uuid=6b579385-e7a1-4887-a899-a24af6339bd1","http://www.mendeley.com/documents/?uuid=849af216-ac01-425f-964d-c5fb2385700e"]}],"mendeley":{"formattedCitation":"(Peterson &amp; Aunap, 1998)","plainTextFormattedCitation":"(Peterson &amp; Aunap, 1998)","previouslyFormattedCitation":"(Peterson &amp; Aunap, 1998)"},"properties":{"noteIndex":0},"schema":"https://github.com/citation-style-language/schema/raw/master/csl-citation.json"}</w:instrText>
            </w:r>
            <w:r w:rsidRPr="00D75928">
              <w:rPr>
                <w:lang w:val="en-GB"/>
              </w:rPr>
              <w:fldChar w:fldCharType="separate"/>
            </w:r>
            <w:r w:rsidRPr="00D75928">
              <w:rPr>
                <w:noProof/>
                <w:lang w:val="en-GB"/>
              </w:rPr>
              <w:t>(Peterson &amp; Aunap, 1998)</w:t>
            </w:r>
            <w:r w:rsidRPr="00D75928">
              <w:rPr>
                <w:lang w:val="en-GB"/>
              </w:rPr>
              <w:fldChar w:fldCharType="end"/>
            </w:r>
          </w:p>
        </w:tc>
        <w:tc>
          <w:tcPr>
            <w:tcW w:w="1130" w:type="dxa"/>
            <w:vAlign w:val="center"/>
          </w:tcPr>
          <w:p w14:paraId="0900F339" w14:textId="50A09B2B" w:rsidR="003049BA" w:rsidRPr="00C60499" w:rsidRDefault="0093471C" w:rsidP="00C65B41">
            <w:pPr>
              <w:spacing w:before="0" w:after="0" w:line="240" w:lineRule="auto"/>
              <w:contextualSpacing/>
              <w:jc w:val="center"/>
              <w:rPr>
                <w:lang w:val="en-GB"/>
              </w:rPr>
            </w:pPr>
            <w:r>
              <w:rPr>
                <w:lang w:val="en-GB"/>
              </w:rPr>
              <w:t>Landsat</w:t>
            </w:r>
          </w:p>
        </w:tc>
        <w:tc>
          <w:tcPr>
            <w:tcW w:w="1276" w:type="dxa"/>
            <w:vAlign w:val="center"/>
          </w:tcPr>
          <w:p w14:paraId="047F80FE" w14:textId="4D6864CB" w:rsidR="003049BA" w:rsidRPr="00C60499" w:rsidRDefault="0093471C" w:rsidP="00C65B41">
            <w:pPr>
              <w:spacing w:before="0" w:after="0" w:line="240" w:lineRule="auto"/>
              <w:contextualSpacing/>
              <w:jc w:val="center"/>
              <w:rPr>
                <w:lang w:val="en-GB"/>
              </w:rPr>
            </w:pPr>
            <w:r>
              <w:rPr>
                <w:lang w:val="en-GB"/>
              </w:rPr>
              <w:t>Estonia</w:t>
            </w:r>
          </w:p>
        </w:tc>
        <w:tc>
          <w:tcPr>
            <w:tcW w:w="5107" w:type="dxa"/>
            <w:vAlign w:val="center"/>
          </w:tcPr>
          <w:p w14:paraId="2A8434FD" w14:textId="22A74D3B" w:rsidR="003049BA" w:rsidRPr="00C60499" w:rsidRDefault="00D44869" w:rsidP="00C65B41">
            <w:pPr>
              <w:spacing w:before="0" w:after="0" w:line="240" w:lineRule="auto"/>
              <w:contextualSpacing/>
              <w:rPr>
                <w:lang w:val="en-GB"/>
              </w:rPr>
            </w:pPr>
            <w:r>
              <w:rPr>
                <w:lang w:val="en-GB"/>
              </w:rPr>
              <w:t xml:space="preserve">Knowledge based, step by step, classification approach. Starting from classification into land and water, </w:t>
            </w:r>
            <w:proofErr w:type="gramStart"/>
            <w:r>
              <w:rPr>
                <w:lang w:val="en-GB"/>
              </w:rPr>
              <w:t>forest</w:t>
            </w:r>
            <w:proofErr w:type="gramEnd"/>
            <w:r>
              <w:rPr>
                <w:lang w:val="en-GB"/>
              </w:rPr>
              <w:t xml:space="preserve"> and no forest, masking out wetlands, urban areas and mines. Result presents difference in area of arable lands on district level between to moments in time: 1990 and 1993.</w:t>
            </w:r>
          </w:p>
        </w:tc>
      </w:tr>
      <w:tr w:rsidR="003049BA" w:rsidRPr="00C60499" w14:paraId="52A68A00" w14:textId="77777777" w:rsidTr="00D5796D">
        <w:trPr>
          <w:trHeight w:val="397"/>
          <w:jc w:val="center"/>
        </w:trPr>
        <w:tc>
          <w:tcPr>
            <w:tcW w:w="1275" w:type="dxa"/>
            <w:vAlign w:val="center"/>
          </w:tcPr>
          <w:p w14:paraId="4D36D668" w14:textId="46440EEB" w:rsidR="003049BA" w:rsidRPr="00A746F8" w:rsidRDefault="000D001D" w:rsidP="00C65B41">
            <w:pPr>
              <w:spacing w:before="0" w:after="0" w:line="240" w:lineRule="auto"/>
              <w:contextualSpacing/>
              <w:jc w:val="left"/>
              <w:rPr>
                <w:bCs/>
                <w:lang w:val="en-GB"/>
              </w:rPr>
            </w:pPr>
            <w:r>
              <w:rPr>
                <w:bCs/>
                <w:lang w:val="en-GB"/>
              </w:rPr>
              <w:fldChar w:fldCharType="begin" w:fldLock="1"/>
            </w:r>
            <w:r w:rsidR="00013BCB">
              <w:rPr>
                <w:bCs/>
                <w:lang w:val="en-GB"/>
              </w:rPr>
              <w:instrText>ADDIN CSL_CITATION {"citationItems":[{"id":"ITEM-1","itemData":{"DOI":"10.1007/s10021-008-9146-z","ISSN":"14329840","abstract":"Agricultural areas are declining in many areas of the world, often because socio-economic and political changes make agriculture less profitable. The transition from centralized to market-oriented economies in Eastern Europe and the former Soviet Union after 1989 represented major economic and political changes, yet the resulting rates and spatial pattern of post-socialist farmland abandonment remain largely unknown. Remote sensing offers unique opportunities to map farmland abandonment, but automated assessments are challenging because phenology and crop types often vary substantially. We developed a change detection method based on support vector machines (SVM) to map farmland abandonment in the border triangle of Poland, Slovakia, and Ukraine in the Carpathians from Landsat TM/ETM+ images from 1986, 1988, and 2000. Our SVM-based approach yielded an accurate change map (overall accuracy = 90.9%; kappa = 0.82), underpinning the potential of SVM to map complex land-use change processes such as farmland abandonment. Farmland abandonment was widespread in the study area (16.1% of the farmland used in socialist times), likely due to decreasing profitability of agriculture after 1989. We also found substantial differences in abandonment among the countries (13.9% in Poland, 20.7% in Slovakia, and 13.3% in Ukraine), and between previously collectivized farmland and farmland that remained private during socialism in Poland. These differences are likely due to differences in socialist land ownership patterns, post-socialist land reform strategies, and rural population density. © 2008 Springer Science+Business Media, LLC.","author":[{"dropping-particle":"","family":"Kuemmerle","given":"Tobias","non-dropping-particle":"","parse-names":false,"suffix":""},{"dropping-particle":"","family":"Hostert","given":"Patrick","non-dropping-particle":"","parse-names":false,"suffix":""},{"dropping-particle":"","family":"Radeloff","given":"Volker C.","non-dropping-particle":"","parse-names":false,"suffix":""},{"dropping-particle":"","family":"Linden","given":"Sebastian","non-dropping-particle":"Van Der","parse-names":false,"suffix":""},{"dropping-particle":"","family":"Perzanowski","given":"Kajetan","non-dropping-particle":"","parse-names":false,"suffix":""},{"dropping-particle":"","family":"Kruhlov","given":"Ivan","non-dropping-particle":"","parse-names":false,"suffix":""}],"container-title":"Ecosystems","id":"ITEM-1","issue":"4","issued":{"date-parts":[["2008"]]},"page":"614-628","title":"Cross-border comparison of post-socialist farmland abandonment in the Carpathians","type":"article-journal","volume":"11"},"uris":["http://www.mendeley.com/documents/?uuid=164feda5-12bd-4df4-9229-28a43f3ee3aa"]}],"mendeley":{"formattedCitation":"(Kuemmerle et al., 2008)","plainTextFormattedCitation":"(Kuemmerle et al., 2008)","previouslyFormattedCitation":"(Kuemmerle et al., 2008)"},"properties":{"noteIndex":0},"schema":"https://github.com/citation-style-language/schema/raw/master/csl-citation.json"}</w:instrText>
            </w:r>
            <w:r>
              <w:rPr>
                <w:bCs/>
                <w:lang w:val="en-GB"/>
              </w:rPr>
              <w:fldChar w:fldCharType="separate"/>
            </w:r>
            <w:r w:rsidRPr="000D001D">
              <w:rPr>
                <w:bCs/>
                <w:noProof/>
                <w:lang w:val="en-GB"/>
              </w:rPr>
              <w:t>(Kuemmerle et al., 2008)</w:t>
            </w:r>
            <w:r>
              <w:rPr>
                <w:bCs/>
                <w:lang w:val="en-GB"/>
              </w:rPr>
              <w:fldChar w:fldCharType="end"/>
            </w:r>
          </w:p>
        </w:tc>
        <w:tc>
          <w:tcPr>
            <w:tcW w:w="1130" w:type="dxa"/>
            <w:vAlign w:val="center"/>
          </w:tcPr>
          <w:p w14:paraId="4BCC22C1" w14:textId="7832425E" w:rsidR="003049BA" w:rsidRPr="00C60499" w:rsidRDefault="0093471C" w:rsidP="00C65B41">
            <w:pPr>
              <w:spacing w:before="0" w:after="0" w:line="240" w:lineRule="auto"/>
              <w:contextualSpacing/>
              <w:jc w:val="center"/>
              <w:rPr>
                <w:lang w:val="en-GB"/>
              </w:rPr>
            </w:pPr>
            <w:r>
              <w:rPr>
                <w:lang w:val="en-GB"/>
              </w:rPr>
              <w:t>Landsat</w:t>
            </w:r>
          </w:p>
        </w:tc>
        <w:tc>
          <w:tcPr>
            <w:tcW w:w="1276" w:type="dxa"/>
            <w:vAlign w:val="center"/>
          </w:tcPr>
          <w:p w14:paraId="715E312F" w14:textId="5EC35F4B" w:rsidR="003049BA" w:rsidRPr="00C60499" w:rsidRDefault="0093471C" w:rsidP="00C65B41">
            <w:pPr>
              <w:spacing w:before="0" w:after="0" w:line="240" w:lineRule="auto"/>
              <w:contextualSpacing/>
              <w:jc w:val="center"/>
              <w:rPr>
                <w:lang w:val="en-GB"/>
              </w:rPr>
            </w:pPr>
            <w:r w:rsidRPr="0093471C">
              <w:rPr>
                <w:lang w:val="en-GB"/>
              </w:rPr>
              <w:t>Poland, Slovakia, Ukraine</w:t>
            </w:r>
          </w:p>
        </w:tc>
        <w:tc>
          <w:tcPr>
            <w:tcW w:w="5107" w:type="dxa"/>
            <w:vAlign w:val="center"/>
          </w:tcPr>
          <w:p w14:paraId="4591C791" w14:textId="17E6EB67" w:rsidR="003049BA" w:rsidRPr="00C60499" w:rsidRDefault="00184D22" w:rsidP="00C65B41">
            <w:pPr>
              <w:spacing w:before="0" w:after="0" w:line="240" w:lineRule="auto"/>
              <w:contextualSpacing/>
              <w:rPr>
                <w:lang w:val="en-GB"/>
              </w:rPr>
            </w:pPr>
            <w:r>
              <w:rPr>
                <w:lang w:val="en-GB"/>
              </w:rPr>
              <w:t xml:space="preserve">Firstly forest, water and built-up areas are masked out. Secondly, </w:t>
            </w:r>
            <w:r w:rsidR="00FF4CB8">
              <w:rPr>
                <w:lang w:val="en-GB"/>
              </w:rPr>
              <w:t>s</w:t>
            </w:r>
            <w:r>
              <w:rPr>
                <w:lang w:val="en-GB"/>
              </w:rPr>
              <w:t xml:space="preserve">upervised change detection algorithm based on SVM is applied on three classes: </w:t>
            </w:r>
            <w:r w:rsidRPr="00184D22">
              <w:rPr>
                <w:lang w:val="en-GB"/>
              </w:rPr>
              <w:t>unchanged areas, fallow land, afforestation areas</w:t>
            </w:r>
            <w:r w:rsidR="00FF4CB8">
              <w:rPr>
                <w:lang w:val="en-GB"/>
              </w:rPr>
              <w:t>. Overall accuracy reached 91%.</w:t>
            </w:r>
          </w:p>
        </w:tc>
      </w:tr>
      <w:tr w:rsidR="003049BA" w:rsidRPr="00C60499" w14:paraId="4E028429" w14:textId="77777777" w:rsidTr="00D5796D">
        <w:trPr>
          <w:trHeight w:val="397"/>
          <w:jc w:val="center"/>
        </w:trPr>
        <w:tc>
          <w:tcPr>
            <w:tcW w:w="1275" w:type="dxa"/>
            <w:vAlign w:val="center"/>
          </w:tcPr>
          <w:p w14:paraId="5A090FC5" w14:textId="44791E68" w:rsidR="003049BA" w:rsidRPr="00AE1A89" w:rsidRDefault="0093471C" w:rsidP="00C65B41">
            <w:pPr>
              <w:spacing w:before="0" w:after="0" w:line="240" w:lineRule="auto"/>
              <w:contextualSpacing/>
              <w:jc w:val="left"/>
              <w:rPr>
                <w:b/>
                <w:bCs/>
                <w:lang w:val="en-GB"/>
              </w:rPr>
            </w:pPr>
            <w:r w:rsidRPr="00D75928">
              <w:rPr>
                <w:lang w:val="en-GB"/>
              </w:rPr>
              <w:fldChar w:fldCharType="begin" w:fldLock="1"/>
            </w:r>
            <w:r>
              <w:rPr>
                <w:lang w:val="en-GB"/>
              </w:rPr>
              <w:instrText>ADDIN CSL_CITATION {"citationItems":[{"id":"ITEM-1","itemData":{"author":[{"dropping-particle":"","family":"Bai","given":"Z. G.","non-dropping-particle":"","parse-names":false,"suffix":""},{"dropping-particle":"","family":"Dent","given":"D. L.","non-dropping-particle":"","parse-names":false,"suffix":""},{"dropping-particle":"","family":"Olsson","given":"L.","non-dropping-particle":"","parse-names":false,"suffix":""},{"dropping-particle":"","family":"Schaepman","given":"M. E.","non-dropping-particle":"","parse-names":false,"suffix":""}],"container-title":"GLADA Report 5","id":"ITEM-1","issued":{"date-parts":[["2008"]]},"title":"Global Assessment of Land Degradation and Improvement 1. Identification by remote sensing","type":"chapter"},"uris":["http://www.mendeley.com/documents/?uuid=1e042583-5dd9-4ee1-b682-6384df6f2e36","http://www.mendeley.com/documents/?uuid=df120a32-ac0e-4f13-b3a0-f83220777e1c"]}],"mendeley":{"formattedCitation":"(Bai et al., 2008)","plainTextFormattedCitation":"(Bai et al., 2008)","previouslyFormattedCitation":"(Bai et al., 2008)"},"properties":{"noteIndex":0},"schema":"https://github.com/citation-style-language/schema/raw/master/csl-citation.json"}</w:instrText>
            </w:r>
            <w:r w:rsidRPr="00D75928">
              <w:rPr>
                <w:lang w:val="en-GB"/>
              </w:rPr>
              <w:fldChar w:fldCharType="separate"/>
            </w:r>
            <w:r w:rsidRPr="00D75928">
              <w:rPr>
                <w:noProof/>
                <w:lang w:val="en-GB"/>
              </w:rPr>
              <w:t>(Bai et al., 2008)</w:t>
            </w:r>
            <w:r w:rsidRPr="00D75928">
              <w:rPr>
                <w:lang w:val="en-GB"/>
              </w:rPr>
              <w:fldChar w:fldCharType="end"/>
            </w:r>
          </w:p>
        </w:tc>
        <w:tc>
          <w:tcPr>
            <w:tcW w:w="1130" w:type="dxa"/>
            <w:vAlign w:val="center"/>
          </w:tcPr>
          <w:p w14:paraId="28AED661" w14:textId="75A7D8A8" w:rsidR="003049BA" w:rsidRPr="00C60499" w:rsidRDefault="0093471C" w:rsidP="00C65B41">
            <w:pPr>
              <w:spacing w:before="0" w:after="0" w:line="240" w:lineRule="auto"/>
              <w:contextualSpacing/>
              <w:jc w:val="center"/>
              <w:rPr>
                <w:lang w:val="en-GB"/>
              </w:rPr>
            </w:pPr>
            <w:r>
              <w:rPr>
                <w:lang w:val="en-GB"/>
              </w:rPr>
              <w:t>AVHRR</w:t>
            </w:r>
          </w:p>
        </w:tc>
        <w:tc>
          <w:tcPr>
            <w:tcW w:w="1276" w:type="dxa"/>
            <w:vAlign w:val="center"/>
          </w:tcPr>
          <w:p w14:paraId="56630A99" w14:textId="27E55F7A" w:rsidR="003049BA" w:rsidRPr="00C60499" w:rsidRDefault="004A0966" w:rsidP="00C65B41">
            <w:pPr>
              <w:spacing w:before="0" w:after="0" w:line="240" w:lineRule="auto"/>
              <w:contextualSpacing/>
              <w:jc w:val="center"/>
              <w:rPr>
                <w:lang w:val="en-GB"/>
              </w:rPr>
            </w:pPr>
            <w:r w:rsidRPr="004A0966">
              <w:rPr>
                <w:lang w:val="en-GB"/>
              </w:rPr>
              <w:t>Argentina, China, Cuba, Senegal, South Africa, and Tunisia</w:t>
            </w:r>
          </w:p>
        </w:tc>
        <w:tc>
          <w:tcPr>
            <w:tcW w:w="5107" w:type="dxa"/>
            <w:vAlign w:val="center"/>
          </w:tcPr>
          <w:p w14:paraId="309A74BD" w14:textId="6DA856AE" w:rsidR="003049BA" w:rsidRPr="00C60499" w:rsidRDefault="00B0460A" w:rsidP="00C65B41">
            <w:pPr>
              <w:spacing w:before="0" w:after="0" w:line="240" w:lineRule="auto"/>
              <w:contextualSpacing/>
              <w:rPr>
                <w:lang w:val="en-GB"/>
              </w:rPr>
            </w:pPr>
            <w:r>
              <w:rPr>
                <w:lang w:val="en-GB"/>
              </w:rPr>
              <w:t>Analyse of NDVI time series, adjusted with the rainfall. Land degradation is indicated by a declining trend of climate-adjusted net primary productivity.</w:t>
            </w:r>
          </w:p>
        </w:tc>
      </w:tr>
      <w:tr w:rsidR="003049BA" w:rsidRPr="00C60499" w14:paraId="6171BCD1" w14:textId="77777777" w:rsidTr="00D5796D">
        <w:trPr>
          <w:trHeight w:val="397"/>
          <w:jc w:val="center"/>
        </w:trPr>
        <w:tc>
          <w:tcPr>
            <w:tcW w:w="1275" w:type="dxa"/>
            <w:vAlign w:val="center"/>
          </w:tcPr>
          <w:p w14:paraId="5194F954" w14:textId="2D44296D" w:rsidR="003049BA" w:rsidRPr="00AE1A89" w:rsidRDefault="004A0966" w:rsidP="00C65B41">
            <w:pPr>
              <w:spacing w:before="0" w:after="0" w:line="240" w:lineRule="auto"/>
              <w:contextualSpacing/>
              <w:jc w:val="left"/>
              <w:rPr>
                <w:b/>
                <w:bCs/>
                <w:lang w:val="en-GB"/>
              </w:rPr>
            </w:pPr>
            <w:r w:rsidRPr="00D75928">
              <w:rPr>
                <w:lang w:val="en-GB"/>
              </w:rPr>
              <w:fldChar w:fldCharType="begin" w:fldLock="1"/>
            </w:r>
            <w:r>
              <w:rPr>
                <w:lang w:val="en-GB"/>
              </w:rPr>
              <w:instrText>ADDIN CSL_CITATION {"citationItems":[{"id":"ITEM-1","itemData":{"DOI":"10.1088/1748-9326/8/3/035035","ISSN":"17489326","abstract":"The demand for agricultural products continues to grow rapidly, but further agricultural expansion entails substantial environmental costs, making recultivating currently unused farmland an interesting alternative. The collapse of the Soviet Union in 1991 led to widespread abandonment of agricultural lands, but the extent and spatial patterns of abandonment are unclear. We quantified the extent of abandoned farmland, both croplands and pastures, across the region using MODIS NDVI satellite image time series from 2004 to 2006 and support vector machine classifications. Abandoned farmland was widespread, totaling 52.5 Mha, particularly in temperate European Russia (32 Mha), northern and western Ukraine, and Belarus. Differences in abandonment rates among countries were striking, suggesting that institutional and socio-economic factors were more important in determining the amount of abandonment than biophysical conditions. Indeed, much abandoned farmland occurred in areas without major constraints for agriculture. Our map provides a basis for assessing the potential of Central and Eastern Europe's abandoned agricultural lands to contribute to food or bioenergy production, or carbon storage, as well as the environmental trade-offs and social constraints of recultivation. © 2013 IOP Publishing Ltd.","author":[{"dropping-particle":"","family":"Alcantara","given":"Camilo","non-dropping-particle":"","parse-names":false,"suffix":""},{"dropping-particle":"","family":"Kuemmerle","given":"Tobias","non-dropping-particle":"","parse-names":false,"suffix":""},{"dropping-particle":"","family":"Baumann","given":"Matthias","non-dropping-particle":"","parse-names":false,"suffix":""},{"dropping-particle":"V.","family":"Bragina","given":"Eugenia","non-dropping-particle":"","parse-names":false,"suffix":""},{"dropping-particle":"","family":"Griffiths","given":"Patrick","non-dropping-particle":"","parse-names":false,"suffix":""},{"dropping-particle":"","family":"Hostert","given":"Patrick","non-dropping-particle":"","parse-names":false,"suffix":""},{"dropping-particle":"","family":"Knorn","given":"Jan","non-dropping-particle":"","parse-names":false,"suffix":""},{"dropping-particle":"","family":"Müller","given":"Daniel","non-dropping-particle":"","parse-names":false,"suffix":""},{"dropping-particle":"V.","family":"Prishchepov","given":"Alexander","non-dropping-particle":"","parse-names":false,"suffix":""},{"dropping-particle":"","family":"Schierhorn","given":"Florian","non-dropping-particle":"","parse-names":false,"suffix":""},{"dropping-particle":"","family":"Sieber","given":"Anika","non-dropping-particle":"","parse-names":false,"suffix":""},{"dropping-particle":"","family":"Radeloff","given":"Volker C.","non-dropping-particle":"","parse-names":false,"suffix":""}],"container-title":"Environmental Research Letters","id":"ITEM-1","issue":"3","issued":{"date-parts":[["2013"]]},"title":"Mapping the extent of abandoned farmland in Central and Eastern Europe using MODIS time series satellite data","type":"article-journal","volume":"8"},"uris":["http://www.mendeley.com/documents/?uuid=de4131ef-2c39-4c3b-b6e8-1d640961c133","http://www.mendeley.com/documents/?uuid=3033a505-444d-4602-a7fd-f9e41afb0038"]}],"mendeley":{"formattedCitation":"(Alcantara et al., 2013)","plainTextFormattedCitation":"(Alcantara et al., 2013)","previouslyFormattedCitation":"(Alcantara et al., 2013)"},"properties":{"noteIndex":0},"schema":"https://github.com/citation-style-language/schema/raw/master/csl-citation.json"}</w:instrText>
            </w:r>
            <w:r w:rsidRPr="00D75928">
              <w:rPr>
                <w:lang w:val="en-GB"/>
              </w:rPr>
              <w:fldChar w:fldCharType="separate"/>
            </w:r>
            <w:r w:rsidRPr="00D75928">
              <w:rPr>
                <w:noProof/>
                <w:lang w:val="en-GB"/>
              </w:rPr>
              <w:t>(Alcantara et al., 2013)</w:t>
            </w:r>
            <w:r w:rsidRPr="00D75928">
              <w:rPr>
                <w:lang w:val="en-GB"/>
              </w:rPr>
              <w:fldChar w:fldCharType="end"/>
            </w:r>
          </w:p>
        </w:tc>
        <w:tc>
          <w:tcPr>
            <w:tcW w:w="1130" w:type="dxa"/>
            <w:vAlign w:val="center"/>
          </w:tcPr>
          <w:p w14:paraId="5B2DDC96" w14:textId="0EFB1A46" w:rsidR="003049BA" w:rsidRPr="00C60499" w:rsidRDefault="004A0966" w:rsidP="00C65B41">
            <w:pPr>
              <w:spacing w:before="0" w:after="0" w:line="240" w:lineRule="auto"/>
              <w:contextualSpacing/>
              <w:jc w:val="center"/>
              <w:rPr>
                <w:lang w:val="en-GB"/>
              </w:rPr>
            </w:pPr>
            <w:r>
              <w:rPr>
                <w:lang w:val="en-GB"/>
              </w:rPr>
              <w:t>MODIS</w:t>
            </w:r>
          </w:p>
        </w:tc>
        <w:tc>
          <w:tcPr>
            <w:tcW w:w="1276" w:type="dxa"/>
            <w:vAlign w:val="center"/>
          </w:tcPr>
          <w:p w14:paraId="097454DD" w14:textId="75A0653E" w:rsidR="003049BA" w:rsidRPr="00C60499" w:rsidRDefault="004A0966" w:rsidP="00C65B41">
            <w:pPr>
              <w:spacing w:before="0" w:after="0" w:line="240" w:lineRule="auto"/>
              <w:contextualSpacing/>
              <w:jc w:val="center"/>
              <w:rPr>
                <w:lang w:val="en-GB"/>
              </w:rPr>
            </w:pPr>
            <w:r>
              <w:rPr>
                <w:lang w:val="en-GB"/>
              </w:rPr>
              <w:t>Eastern Europe</w:t>
            </w:r>
          </w:p>
        </w:tc>
        <w:tc>
          <w:tcPr>
            <w:tcW w:w="5107" w:type="dxa"/>
            <w:vAlign w:val="center"/>
          </w:tcPr>
          <w:p w14:paraId="4EE86B1D" w14:textId="41FBEBC7" w:rsidR="003049BA" w:rsidRPr="00C60499" w:rsidRDefault="00B95537" w:rsidP="00C65B41">
            <w:pPr>
              <w:spacing w:before="0" w:after="0" w:line="240" w:lineRule="auto"/>
              <w:contextualSpacing/>
              <w:rPr>
                <w:lang w:val="en-GB"/>
              </w:rPr>
            </w:pPr>
            <w:r>
              <w:rPr>
                <w:lang w:val="en-GB"/>
              </w:rPr>
              <w:t xml:space="preserve">Supervised SVM-based algorithm applied on NDVI product (8-days composites) and four classes: </w:t>
            </w:r>
            <w:r w:rsidRPr="00B95537">
              <w:rPr>
                <w:lang w:val="en-GB"/>
              </w:rPr>
              <w:t>active agriculture, forest, abandoned agriculture, other</w:t>
            </w:r>
            <w:r>
              <w:rPr>
                <w:lang w:val="en-GB"/>
              </w:rPr>
              <w:t xml:space="preserve">. </w:t>
            </w:r>
            <w:r w:rsidR="00695E70">
              <w:rPr>
                <w:lang w:val="en-GB"/>
              </w:rPr>
              <w:t>Overall accuracy reached 49%.</w:t>
            </w:r>
          </w:p>
        </w:tc>
      </w:tr>
      <w:tr w:rsidR="0016788A" w:rsidRPr="00C60499" w14:paraId="16B27D78" w14:textId="77777777" w:rsidTr="00D5796D">
        <w:trPr>
          <w:trHeight w:val="397"/>
          <w:jc w:val="center"/>
        </w:trPr>
        <w:tc>
          <w:tcPr>
            <w:tcW w:w="1275" w:type="dxa"/>
            <w:vAlign w:val="center"/>
          </w:tcPr>
          <w:p w14:paraId="437880CE" w14:textId="3BFD38D2" w:rsidR="0016788A" w:rsidRPr="00D75928" w:rsidRDefault="00013BCB" w:rsidP="00C65B41">
            <w:pPr>
              <w:spacing w:before="0" w:after="0" w:line="240" w:lineRule="auto"/>
              <w:contextualSpacing/>
              <w:jc w:val="left"/>
              <w:rPr>
                <w:lang w:val="en-GB"/>
              </w:rPr>
            </w:pPr>
            <w:r>
              <w:rPr>
                <w:lang w:val="en-GB"/>
              </w:rPr>
              <w:fldChar w:fldCharType="begin" w:fldLock="1"/>
            </w:r>
            <w:r>
              <w:rPr>
                <w:lang w:val="en-GB"/>
              </w:rPr>
              <w:instrText>ADDIN CSL_CITATION {"citationItems":[{"id":"ITEM-1","itemData":{"DOI":"10.3390/rs71013233","ISSN":"20724292","abstract":"Changes in vegetation activity are driven by multiple natural and anthropogenic factors, which can be reflected by Normalized Difference Vegetation Index (NDVI) derived from satellites. In this paper, NDVI trends from 1982 to 2012 are first estimated by the Theil-Sen median slope method to explore their spatial and temporal patterns. Then, the impact of climate variables and human activity on the observed NDVI trends is analyzed. Our results show that on average, NDVI increased by 0.46 × 10-3 per year from 1982 to 2012 globally with decadal variations. For most regions of the world, a greening (increasing)-browning (decreasing)-greening (G-B-G) trend is observed over the periods 1982-2004, 1995-2004, and 2005-2012, respectively. A positive partial correlation of NDVI and temperature is observed in the first period but it decreases and occasionally becomes negative in the following periods, especially in the Humid Temperate and Dry Domain Regions. This suggests a weakened effect of temperature on vegetation growth. Precipitation, on the other hand, is found to have a positive impact on the NDVI trend. This effect becomes stronger in the third period of 1995-2004, especially in the Dry Domain Region. Anthropogenic effects and human activities, derived here from the Human Footprint Dataset and the associated Human Influence Index (HII), have varied impacts on the magnitude (absolute value) of the NDVI trends across continents. Significant positive effects are found in Asia, Africa, and Europe, suggesting that intensive human activity could accelerate the change in NDVI and vegetation. A more accurate attribution of vegetation change to specific climatic and anthropogenic factors is instrumental to understand vegetation dynamics and requires further research.","author":[{"dropping-particle":"","family":"Liu","given":"Ya","non-dropping-particle":"","parse-names":false,"suffix":""},{"dropping-particle":"","family":"Li","given":"Yan","non-dropping-particle":"","parse-names":false,"suffix":""},{"dropping-particle":"","family":"Li","given":"Shuangcheng","non-dropping-particle":"","parse-names":false,"suffix":""},{"dropping-particle":"","family":"Motesharrei","given":"Safa","non-dropping-particle":"","parse-names":false,"suffix":""}],"container-title":"Remote Sensing","id":"ITEM-1","issue":"10","issued":{"date-parts":[["2015"]]},"page":"13233-13250","title":"Spatial and temporal patterns of global NDVI trends: Correlations with climate and human factors","type":"article-journal","volume":"7"},"uris":["http://www.mendeley.com/documents/?uuid=e6fb213a-2db3-4a79-9ca3-4004b1881810"]}],"mendeley":{"formattedCitation":"(Liu et al., 2015)","plainTextFormattedCitation":"(Liu et al., 2015)","previouslyFormattedCitation":"(Liu et al., 2015)"},"properties":{"noteIndex":0},"schema":"https://github.com/citation-style-language/schema/raw/master/csl-citation.json"}</w:instrText>
            </w:r>
            <w:r>
              <w:rPr>
                <w:lang w:val="en-GB"/>
              </w:rPr>
              <w:fldChar w:fldCharType="separate"/>
            </w:r>
            <w:r w:rsidRPr="00013BCB">
              <w:rPr>
                <w:noProof/>
                <w:lang w:val="en-GB"/>
              </w:rPr>
              <w:t>(Liu et al., 2015)</w:t>
            </w:r>
            <w:r>
              <w:rPr>
                <w:lang w:val="en-GB"/>
              </w:rPr>
              <w:fldChar w:fldCharType="end"/>
            </w:r>
          </w:p>
        </w:tc>
        <w:tc>
          <w:tcPr>
            <w:tcW w:w="1130" w:type="dxa"/>
            <w:vAlign w:val="center"/>
          </w:tcPr>
          <w:p w14:paraId="00F233E2" w14:textId="7FF0FFBC" w:rsidR="0016788A" w:rsidRDefault="0016788A" w:rsidP="00C65B41">
            <w:pPr>
              <w:spacing w:before="0" w:after="0" w:line="240" w:lineRule="auto"/>
              <w:contextualSpacing/>
              <w:jc w:val="center"/>
              <w:rPr>
                <w:lang w:val="en-GB"/>
              </w:rPr>
            </w:pPr>
            <w:r w:rsidRPr="0016788A">
              <w:rPr>
                <w:lang w:val="en-GB"/>
              </w:rPr>
              <w:t>NOAA, GIMMS NDVI3g</w:t>
            </w:r>
          </w:p>
        </w:tc>
        <w:tc>
          <w:tcPr>
            <w:tcW w:w="1276" w:type="dxa"/>
            <w:vAlign w:val="center"/>
          </w:tcPr>
          <w:p w14:paraId="66BD1ECB" w14:textId="019D08A9" w:rsidR="0016788A" w:rsidRDefault="0016788A" w:rsidP="00C65B41">
            <w:pPr>
              <w:spacing w:before="0" w:after="0" w:line="240" w:lineRule="auto"/>
              <w:contextualSpacing/>
              <w:jc w:val="center"/>
              <w:rPr>
                <w:lang w:val="en-GB"/>
              </w:rPr>
            </w:pPr>
            <w:r>
              <w:rPr>
                <w:lang w:val="en-GB"/>
              </w:rPr>
              <w:t>Earth</w:t>
            </w:r>
          </w:p>
        </w:tc>
        <w:tc>
          <w:tcPr>
            <w:tcW w:w="5107" w:type="dxa"/>
            <w:vAlign w:val="center"/>
          </w:tcPr>
          <w:p w14:paraId="00534CB5" w14:textId="3512494B" w:rsidR="0016788A" w:rsidRPr="00C60499" w:rsidRDefault="00507130" w:rsidP="00C65B41">
            <w:pPr>
              <w:spacing w:before="0" w:after="0" w:line="240" w:lineRule="auto"/>
              <w:contextualSpacing/>
              <w:rPr>
                <w:lang w:val="en-GB"/>
              </w:rPr>
            </w:pPr>
            <w:r>
              <w:rPr>
                <w:lang w:val="en-GB"/>
              </w:rPr>
              <w:t>Analysis of greening and browning trends on global scale, divided into three periods of time (</w:t>
            </w:r>
            <w:r w:rsidRPr="00507130">
              <w:rPr>
                <w:lang w:val="en-GB"/>
              </w:rPr>
              <w:t>1982–1994, 1995–2004 and 2005–2012</w:t>
            </w:r>
            <w:r>
              <w:rPr>
                <w:lang w:val="en-GB"/>
              </w:rPr>
              <w:t xml:space="preserve">). </w:t>
            </w:r>
          </w:p>
        </w:tc>
      </w:tr>
      <w:tr w:rsidR="0016788A" w:rsidRPr="00C60499" w14:paraId="781369A3" w14:textId="77777777" w:rsidTr="00D5796D">
        <w:trPr>
          <w:trHeight w:val="397"/>
          <w:jc w:val="center"/>
        </w:trPr>
        <w:tc>
          <w:tcPr>
            <w:tcW w:w="1275" w:type="dxa"/>
            <w:vAlign w:val="center"/>
          </w:tcPr>
          <w:p w14:paraId="435CD604" w14:textId="445AFA29" w:rsidR="0016788A" w:rsidRDefault="0016788A" w:rsidP="00C65B41">
            <w:pPr>
              <w:spacing w:before="0" w:after="0" w:line="240" w:lineRule="auto"/>
              <w:contextualSpacing/>
              <w:jc w:val="left"/>
              <w:rPr>
                <w:lang w:val="en-GB"/>
              </w:rPr>
            </w:pPr>
            <w:r w:rsidRPr="00D75928">
              <w:rPr>
                <w:lang w:val="en-GB"/>
              </w:rPr>
              <w:lastRenderedPageBreak/>
              <w:fldChar w:fldCharType="begin" w:fldLock="1"/>
            </w:r>
            <w:r>
              <w:rPr>
                <w:lang w:val="en-GB"/>
              </w:rPr>
              <w:instrText>ADDIN CSL_CITATION {"citationItems":[{"id":"ITEM-1","itemData":{"DOI":"10.1016/j.apgeog.2015.05.009","ISSN":"01436228","abstract":"In many regions worldwide, cropland abandonment is growing, which has strong and known environmental and socio-economic consequences. Yet, spatially explicit information on the spatial pattern of abandonment is sparse, particularly in post-Soviet countries of Central Asia. When thriving reaching for key Millennium Development Goals such as food security and poverty reduction, the issue of cropland abandonment is critical and therefore must be monitored and limited, or land use transformed into an alternative one. Central Asia experienced large changes of its agricultural system after the collapse of the Soviet Union in 1991. Land degradation, which started already before independence, and cropland abandonment is growing in extent, but their spatial pattern remains ill-understood. The objective of this study was to map and analyse agricultural land use in the irrigated areas of Kyzyl-Orda, southern Kazakhstan, Central Asia. For mapping land use and identifying abandoned agricultural land, an object-based classification approach was applied. Random forest (RF) and support vector machines (SVM) algorithms permitted classifying Landsat and RapidEye data from 2009 to 2014. Overlaying these maps with information about irrigated land parcels, installed during the Soviet period, allowed indicating abandoned fields. Fusing the results of the two approaches, RF and SVM, resulted in classification accuracies of up to 97%. This was statistically significantly higher than with RF or SVM alone. Through the analysis of the land use trajectories, abandoned agricultural fields and a clear indication of abandoned land were identified on almost 50% of all fields in Kyzyl-Orda with an accuracy of approximately 80%. The outputs of this study may provide valuable information for planners, policy- and decision-makers to support better-informed decision-making like reducing possible environmental impacts of land abandonment, or identifying areas for sustainable intensification or re-cultivation.","author":[{"dropping-particle":"","family":"Löw","given":"Fabian","non-dropping-particle":"","parse-names":false,"suffix":""},{"dropping-particle":"","family":"Fliemann","given":"Elisabeth","non-dropping-particle":"","parse-names":false,"suffix":""},{"dropping-particle":"","family":"Abdullaev","given":"Iskandar","non-dropping-particle":"","parse-names":false,"suffix":""},{"dropping-particle":"","family":"Conrad","given":"Christopher","non-dropping-particle":"","parse-names":false,"suffix":""},{"dropping-particle":"","family":"Lamers","given":"John P.A.","non-dropping-particle":"","parse-names":false,"suffix":""}],"container-title":"Applied Geography","id":"ITEM-1","issued":{"date-parts":[["2015"]]},"page":"377-390","title":"Mapping abandoned agricultural land in Kyzyl-Orda, Kazakhstan using satellite remote sensing","type":"article-journal","volume":"62"},"uris":["http://www.mendeley.com/documents/?uuid=0e8a6b10-0e4e-4037-86fb-e80d40555606","http://www.mendeley.com/documents/?uuid=22099d46-12c2-4473-99a5-e2afc64fe1ed"]}],"mendeley":{"formattedCitation":"(Löw et al., 2015)","plainTextFormattedCitation":"(Löw et al., 2015)","previouslyFormattedCitation":"(Löw et al., 2015)"},"properties":{"noteIndex":0},"schema":"https://github.com/citation-style-language/schema/raw/master/csl-citation.json"}</w:instrText>
            </w:r>
            <w:r w:rsidRPr="00D75928">
              <w:rPr>
                <w:lang w:val="en-GB"/>
              </w:rPr>
              <w:fldChar w:fldCharType="separate"/>
            </w:r>
            <w:r w:rsidRPr="00D75928">
              <w:rPr>
                <w:noProof/>
                <w:lang w:val="en-GB"/>
              </w:rPr>
              <w:t>(Löw et al., 2015)</w:t>
            </w:r>
            <w:r w:rsidRPr="00D75928">
              <w:rPr>
                <w:lang w:val="en-GB"/>
              </w:rPr>
              <w:fldChar w:fldCharType="end"/>
            </w:r>
          </w:p>
        </w:tc>
        <w:tc>
          <w:tcPr>
            <w:tcW w:w="1130" w:type="dxa"/>
            <w:vAlign w:val="center"/>
          </w:tcPr>
          <w:p w14:paraId="5B8B2B39" w14:textId="11E32BF4" w:rsidR="0016788A" w:rsidRDefault="0016788A" w:rsidP="00C65B41">
            <w:pPr>
              <w:spacing w:before="0" w:after="0" w:line="240" w:lineRule="auto"/>
              <w:contextualSpacing/>
              <w:jc w:val="center"/>
              <w:rPr>
                <w:lang w:val="en-GB"/>
              </w:rPr>
            </w:pPr>
            <w:r>
              <w:rPr>
                <w:lang w:val="en-GB"/>
              </w:rPr>
              <w:t>Landsat</w:t>
            </w:r>
          </w:p>
        </w:tc>
        <w:tc>
          <w:tcPr>
            <w:tcW w:w="1276" w:type="dxa"/>
            <w:vAlign w:val="center"/>
          </w:tcPr>
          <w:p w14:paraId="05060666" w14:textId="7DC1BB05" w:rsidR="0016788A" w:rsidRDefault="0016788A" w:rsidP="00C65B41">
            <w:pPr>
              <w:spacing w:before="0" w:after="0" w:line="240" w:lineRule="auto"/>
              <w:contextualSpacing/>
              <w:jc w:val="center"/>
              <w:rPr>
                <w:lang w:val="en-GB"/>
              </w:rPr>
            </w:pPr>
            <w:r w:rsidRPr="0016788A">
              <w:rPr>
                <w:lang w:val="en-GB"/>
              </w:rPr>
              <w:t>Kazakhstan</w:t>
            </w:r>
          </w:p>
        </w:tc>
        <w:tc>
          <w:tcPr>
            <w:tcW w:w="5107" w:type="dxa"/>
            <w:vAlign w:val="center"/>
          </w:tcPr>
          <w:p w14:paraId="371D8921" w14:textId="77777777" w:rsidR="00055C7C" w:rsidRDefault="00F757F9" w:rsidP="00C65B41">
            <w:pPr>
              <w:spacing w:before="0" w:after="0" w:line="240" w:lineRule="auto"/>
              <w:contextualSpacing/>
              <w:rPr>
                <w:lang w:val="en-GB"/>
              </w:rPr>
            </w:pPr>
            <w:r>
              <w:rPr>
                <w:lang w:val="en-GB"/>
              </w:rPr>
              <w:t>Annual classifications for period 2009-2014. Analysis of trajectory of changes to detect crop abandonment</w:t>
            </w:r>
            <w:r w:rsidR="00055C7C">
              <w:rPr>
                <w:lang w:val="en-GB"/>
              </w:rPr>
              <w:t xml:space="preserve"> into 3 classes:</w:t>
            </w:r>
          </w:p>
          <w:p w14:paraId="57ED6FAA" w14:textId="0865C4DD" w:rsidR="00055C7C" w:rsidRDefault="00055C7C" w:rsidP="00C65B41">
            <w:pPr>
              <w:pStyle w:val="ListParagraph"/>
              <w:numPr>
                <w:ilvl w:val="0"/>
                <w:numId w:val="28"/>
              </w:numPr>
              <w:spacing w:before="0" w:after="0" w:line="240" w:lineRule="auto"/>
              <w:ind w:left="256" w:hanging="270"/>
              <w:rPr>
                <w:lang w:val="en-GB"/>
              </w:rPr>
            </w:pPr>
            <w:proofErr w:type="gramStart"/>
            <w:r w:rsidRPr="00055C7C">
              <w:rPr>
                <w:lang w:val="en-GB"/>
              </w:rPr>
              <w:t>five year</w:t>
            </w:r>
            <w:proofErr w:type="gramEnd"/>
            <w:r w:rsidRPr="00055C7C">
              <w:rPr>
                <w:lang w:val="en-GB"/>
              </w:rPr>
              <w:t xml:space="preserve"> lastin</w:t>
            </w:r>
            <w:r>
              <w:rPr>
                <w:lang w:val="en-GB"/>
              </w:rPr>
              <w:t>g cover of shrubs or bare soil;</w:t>
            </w:r>
          </w:p>
          <w:p w14:paraId="0E2B08BC" w14:textId="5ADCEDEF" w:rsidR="00055C7C" w:rsidRDefault="00055C7C" w:rsidP="00C65B41">
            <w:pPr>
              <w:pStyle w:val="ListParagraph"/>
              <w:numPr>
                <w:ilvl w:val="0"/>
                <w:numId w:val="28"/>
              </w:numPr>
              <w:spacing w:before="0" w:after="0" w:line="240" w:lineRule="auto"/>
              <w:ind w:left="256" w:hanging="270"/>
              <w:rPr>
                <w:lang w:val="en-GB"/>
              </w:rPr>
            </w:pPr>
            <w:r w:rsidRPr="00055C7C">
              <w:rPr>
                <w:lang w:val="en-GB"/>
              </w:rPr>
              <w:t>transitions of bare soil</w:t>
            </w:r>
            <w:r>
              <w:rPr>
                <w:lang w:val="en-GB"/>
              </w:rPr>
              <w:t xml:space="preserve"> to herbaceous vegetation</w:t>
            </w:r>
          </w:p>
          <w:p w14:paraId="53301E9E" w14:textId="0A7A151E" w:rsidR="0016788A" w:rsidRDefault="00055C7C" w:rsidP="00C65B41">
            <w:pPr>
              <w:pStyle w:val="ListParagraph"/>
              <w:numPr>
                <w:ilvl w:val="0"/>
                <w:numId w:val="28"/>
              </w:numPr>
              <w:spacing w:before="0" w:after="0" w:line="240" w:lineRule="auto"/>
              <w:ind w:left="256" w:hanging="270"/>
              <w:rPr>
                <w:lang w:val="en-GB"/>
              </w:rPr>
            </w:pPr>
            <w:r w:rsidRPr="00055C7C">
              <w:rPr>
                <w:lang w:val="en-GB"/>
              </w:rPr>
              <w:t>transitions from herbaceous vegetation to shrub (both assumed to indicate different stages of an on-going succession of vegetation on abandoned fields</w:t>
            </w:r>
            <w:r w:rsidR="00534FEF">
              <w:rPr>
                <w:lang w:val="en-GB"/>
              </w:rPr>
              <w:t>.</w:t>
            </w:r>
          </w:p>
        </w:tc>
      </w:tr>
      <w:tr w:rsidR="0016788A" w:rsidRPr="00C60499" w14:paraId="1035CAEE" w14:textId="77777777" w:rsidTr="00D5796D">
        <w:trPr>
          <w:trHeight w:val="397"/>
          <w:jc w:val="center"/>
        </w:trPr>
        <w:tc>
          <w:tcPr>
            <w:tcW w:w="1275" w:type="dxa"/>
            <w:vAlign w:val="center"/>
          </w:tcPr>
          <w:p w14:paraId="27250BC0" w14:textId="7C7995E5" w:rsidR="0016788A" w:rsidRDefault="00013BCB" w:rsidP="00C65B41">
            <w:pPr>
              <w:spacing w:before="0" w:after="0" w:line="240" w:lineRule="auto"/>
              <w:contextualSpacing/>
              <w:jc w:val="left"/>
              <w:rPr>
                <w:lang w:val="en-GB"/>
              </w:rPr>
            </w:pPr>
            <w:r>
              <w:rPr>
                <w:lang w:val="en-GB"/>
              </w:rPr>
              <w:fldChar w:fldCharType="begin" w:fldLock="1"/>
            </w:r>
            <w:r w:rsidR="00CC318E">
              <w:rPr>
                <w:lang w:val="en-GB"/>
              </w:rPr>
              <w:instrText>ADDIN CSL_CITATION {"citationItems":[{"id":"ITEM-1","itemData":{"DOI":"10.1088/1748-9326/aa84bd","ISSN":"17489326","abstract":"We combined imagery from multiple sources (MODIS, Landsat-5, 7, 8) with land cover data to test for long-term (1984-2015) greening or browning trends of vegetation in a temperate alpine area, the Ecrins National Park, in the context of recent climate change and domestic grazing practices. We showed that over half (56%) of the Ecrins National Park displayed significant increases in peak normalized difference vegetation index (NDVImax) over the last 16 years (2000-2015). Importantly, the highest proportional increases in NDVImax occurred in rocky habitats at high elevations (&gt; 2500 m a.s.l.). While spatial agreement in the direction of change in NDVImax as detected by MODIS and Landsat was high (76% overlap), correlations between log-response ratio values were of moderate strength (approx. 0.3). In the context of above treeline habitats, we found that proportional increases in NDVImax were higher between 1984 and 2000 than between 2000 and 2015, suggesting a slowing of greening dynamics during the recent decade. The timing of accelerated greening prior to 2000 coincided with a pronounced increase in the amount of snow-free growing degree-days that occurred during the 1980s and 1990s. In the case of grasslands and low-shrub habitats, we did not find evidence for a negative effect of grazing on greening trends, possibly due to the low grazing intensity typically found in the study area. We propose that the emergence of a longer and warmer growing season enabled high-elevation plant communities to produce more biomass, and also allowed for plant colonization of habitats previously characterized by long-lasting snow cover. Increasing plant productivity in an alpine context has potential implications for biodiversity trajectories and for ecosystem services in mountain landscapes. The presented evidence for long-term greening trends in a representative region of the European Alps provides the basis for further research on mechanisms of greening in alpine landscapes.","author":[{"dropping-particle":"","family":"Carlson","given":"Bradley Z.","non-dropping-particle":"","parse-names":false,"suffix":""},{"dropping-particle":"","family":"Corona","given":"Monica C.","non-dropping-particle":"","parse-names":false,"suffix":""},{"dropping-particle":"","family":"Dentant","given":"Cédric","non-dropping-particle":"","parse-names":false,"suffix":""},{"dropping-particle":"","family":"Bonet","given":"Richard","non-dropping-particle":"","parse-names":false,"suffix":""},{"dropping-particle":"","family":"Thuiller","given":"Wilfried","non-dropping-particle":"","parse-names":false,"suffix":""},{"dropping-particle":"","family":"Choler","given":"Philippe","non-dropping-particle":"","parse-names":false,"suffix":""}],"container-title":"Environmental Research Letters","id":"ITEM-1","issue":"11","issued":{"date-parts":[["2017"]]},"title":"Observed long-term greening of alpine vegetation - A case study in the French Alps","type":"article-journal","volume":"12"},"uris":["http://www.mendeley.com/documents/?uuid=6920fe23-7505-4b2a-8101-cb3cc112d5bb"]}],"mendeley":{"formattedCitation":"(Carlson et al., 2017)","plainTextFormattedCitation":"(Carlson et al., 2017)","previouslyFormattedCitation":"(Carlson et al., 2017)"},"properties":{"noteIndex":0},"schema":"https://github.com/citation-style-language/schema/raw/master/csl-citation.json"}</w:instrText>
            </w:r>
            <w:r>
              <w:rPr>
                <w:lang w:val="en-GB"/>
              </w:rPr>
              <w:fldChar w:fldCharType="separate"/>
            </w:r>
            <w:r w:rsidRPr="00013BCB">
              <w:rPr>
                <w:noProof/>
                <w:lang w:val="en-GB"/>
              </w:rPr>
              <w:t>(Carlson et al., 2017)</w:t>
            </w:r>
            <w:r>
              <w:rPr>
                <w:lang w:val="en-GB"/>
              </w:rPr>
              <w:fldChar w:fldCharType="end"/>
            </w:r>
          </w:p>
        </w:tc>
        <w:tc>
          <w:tcPr>
            <w:tcW w:w="1130" w:type="dxa"/>
            <w:vAlign w:val="center"/>
          </w:tcPr>
          <w:p w14:paraId="53408650" w14:textId="1F93F60F" w:rsidR="0016788A" w:rsidRDefault="0016788A" w:rsidP="00C65B41">
            <w:pPr>
              <w:spacing w:before="0" w:after="0" w:line="240" w:lineRule="auto"/>
              <w:contextualSpacing/>
              <w:jc w:val="center"/>
              <w:rPr>
                <w:lang w:val="en-GB"/>
              </w:rPr>
            </w:pPr>
            <w:r>
              <w:rPr>
                <w:lang w:val="en-GB"/>
              </w:rPr>
              <w:t>MODIS, Landsat</w:t>
            </w:r>
          </w:p>
        </w:tc>
        <w:tc>
          <w:tcPr>
            <w:tcW w:w="1276" w:type="dxa"/>
            <w:vAlign w:val="center"/>
          </w:tcPr>
          <w:p w14:paraId="6D6D826D" w14:textId="044F8E74" w:rsidR="0016788A" w:rsidRDefault="0016788A" w:rsidP="00C65B41">
            <w:pPr>
              <w:spacing w:before="0" w:after="0" w:line="240" w:lineRule="auto"/>
              <w:contextualSpacing/>
              <w:jc w:val="center"/>
              <w:rPr>
                <w:lang w:val="en-GB"/>
              </w:rPr>
            </w:pPr>
            <w:proofErr w:type="spellStart"/>
            <w:r w:rsidRPr="0016788A">
              <w:rPr>
                <w:lang w:val="en-GB"/>
              </w:rPr>
              <w:t>Ecrins</w:t>
            </w:r>
            <w:proofErr w:type="spellEnd"/>
            <w:r w:rsidRPr="0016788A">
              <w:rPr>
                <w:lang w:val="en-GB"/>
              </w:rPr>
              <w:t xml:space="preserve"> National Park </w:t>
            </w:r>
            <w:r>
              <w:rPr>
                <w:lang w:val="en-GB"/>
              </w:rPr>
              <w:t>(</w:t>
            </w:r>
            <w:r w:rsidRPr="0016788A">
              <w:rPr>
                <w:lang w:val="en-GB"/>
              </w:rPr>
              <w:t>French Alps</w:t>
            </w:r>
            <w:r>
              <w:rPr>
                <w:lang w:val="en-GB"/>
              </w:rPr>
              <w:t>)</w:t>
            </w:r>
          </w:p>
        </w:tc>
        <w:tc>
          <w:tcPr>
            <w:tcW w:w="5107" w:type="dxa"/>
            <w:vAlign w:val="center"/>
          </w:tcPr>
          <w:p w14:paraId="1D3187DC" w14:textId="1D97B3EE" w:rsidR="0016788A" w:rsidRDefault="00534FEF" w:rsidP="00C65B41">
            <w:pPr>
              <w:spacing w:before="0" w:after="0" w:line="240" w:lineRule="auto"/>
              <w:contextualSpacing/>
              <w:rPr>
                <w:lang w:val="en-GB"/>
              </w:rPr>
            </w:pPr>
            <w:r>
              <w:rPr>
                <w:lang w:val="en-GB"/>
              </w:rPr>
              <w:t>Identification of greening trends on a small area in high Alps based on maximum NDVI trend estimations.</w:t>
            </w:r>
          </w:p>
        </w:tc>
      </w:tr>
      <w:tr w:rsidR="0016788A" w:rsidRPr="00C60499" w14:paraId="2D1BD761" w14:textId="77777777" w:rsidTr="00D5796D">
        <w:trPr>
          <w:trHeight w:val="397"/>
          <w:jc w:val="center"/>
        </w:trPr>
        <w:tc>
          <w:tcPr>
            <w:tcW w:w="1275" w:type="dxa"/>
            <w:vAlign w:val="center"/>
          </w:tcPr>
          <w:p w14:paraId="051715D9" w14:textId="5F786894" w:rsidR="0016788A" w:rsidRDefault="00CC318E" w:rsidP="00C65B41">
            <w:pPr>
              <w:spacing w:before="0" w:after="0" w:line="240" w:lineRule="auto"/>
              <w:contextualSpacing/>
              <w:jc w:val="left"/>
              <w:rPr>
                <w:lang w:val="en-GB"/>
              </w:rPr>
            </w:pPr>
            <w:r>
              <w:rPr>
                <w:lang w:val="en-GB"/>
              </w:rPr>
              <w:fldChar w:fldCharType="begin" w:fldLock="1"/>
            </w:r>
            <w:r>
              <w:rPr>
                <w:lang w:val="en-GB"/>
              </w:rPr>
              <w:instrText>ADDIN CSL_CITATION {"citationItems":[{"id":"ITEM-1","itemData":{"DOI":"10.1016/j.rse.2018.05.005","ISSN":"00344257","abstract":"Much of the world's temperate grasslands have been converted to croplands, yet these trends can reverse in some regions. This is the case for the steppes of northern Kazakhstan, where the breakdown of the Soviet Union led to widespread cropland abandonment, creating restoration opportunities. Understanding when abandonment happened and whether it persists is important for making use of these opportunities. We developed a trajectory-based change detection approach to identify cropland abandonment between 1988 and 2013 and recultivation between 1991 and 2013. Our approach is based on annual time series of cropland probabilities derived from Landsat imagery and resulted in reliable maps (89% overall accuracy), with abandonment being detected more accurately (user's accuracy of 93%) than recultivation (73%). Most of the remaining uncertainty in our maps was due to low image availability during the mid-1990s, leading to abandonment in the 1990s sometimes only being detected in the 2000s. Our results suggest that of the ~4.7 million ha of cropland in our study area in 1985, roughly 40% had been abandoned by 2013. Knowing the timing of abandonment allowed for deeper insights into what drives these dynamics: recultivation after 2007 happened preferentially on those lands that had been abandoned most recently, suggesting that the most productive croplands were abandoned last and recultivated first. Likewise, knowing the timing of abandonment allowed for more precise estimates of the environmental impacts of abandonment (e.g., soil organic carbon sequestration estimated at 16.3 Mt. C compared to 24.0 Mt. C when assuming all abandonment happened right after the breakdown of the Soviet Union, with the uncertainty around emission estimates decreasing by 63%). Overall, our study emphasizes the value of the Landsat archive for understanding agricultural land-use dynamics, and the opportunities of trajectory-based approaches for mapping these dynamics.","author":[{"dropping-particle":"","family":"Dara","given":"Andrey","non-dropping-particle":"","parse-names":false,"suffix":""},{"dropping-particle":"","family":"Baumann","given":"Matthias","non-dropping-particle":"","parse-names":false,"suffix":""},{"dropping-particle":"","family":"Kuemmerle","given":"Tobias","non-dropping-particle":"","parse-names":false,"suffix":""},{"dropping-particle":"","family":"Pflugmacher","given":"Dirk","non-dropping-particle":"","parse-names":false,"suffix":""},{"dropping-particle":"","family":"Rabe","given":"Andreas","non-dropping-particle":"","parse-names":false,"suffix":""},{"dropping-particle":"","family":"Griffiths","given":"Patrick","non-dropping-particle":"","parse-names":false,"suffix":""},{"dropping-particle":"","family":"Hölzel","given":"Norbert","non-dropping-particle":"","parse-names":false,"suffix":""},{"dropping-particle":"","family":"Kamp","given":"Johannes","non-dropping-particle":"","parse-names":false,"suffix":""},{"dropping-particle":"","family":"Freitag","given":"Martin","non-dropping-particle":"","parse-names":false,"suffix":""},{"dropping-particle":"","family":"Hostert","given":"Patrick","non-dropping-particle":"","parse-names":false,"suffix":""}],"container-title":"Remote Sensing of Environment","id":"ITEM-1","issue":"May","issued":{"date-parts":[["2018"]]},"page":"49-60","title":"Mapping the timing of cropland abandonment and recultivation in northern Kazakhstan using annual Landsat time series","type":"article-journal","volume":"213"},"uris":["http://www.mendeley.com/documents/?uuid=1548c00f-fe65-45ae-a4ed-d4f792ac1363"]}],"mendeley":{"formattedCitation":"(Dara et al., 2018)","plainTextFormattedCitation":"(Dara et al., 2018)","previouslyFormattedCitation":"(Dara et al., 2018)"},"properties":{"noteIndex":0},"schema":"https://github.com/citation-style-language/schema/raw/master/csl-citation.json"}</w:instrText>
            </w:r>
            <w:r>
              <w:rPr>
                <w:lang w:val="en-GB"/>
              </w:rPr>
              <w:fldChar w:fldCharType="separate"/>
            </w:r>
            <w:r w:rsidRPr="00CC318E">
              <w:rPr>
                <w:noProof/>
                <w:lang w:val="en-GB"/>
              </w:rPr>
              <w:t>(Dara et al., 2018)</w:t>
            </w:r>
            <w:r>
              <w:rPr>
                <w:lang w:val="en-GB"/>
              </w:rPr>
              <w:fldChar w:fldCharType="end"/>
            </w:r>
          </w:p>
        </w:tc>
        <w:tc>
          <w:tcPr>
            <w:tcW w:w="1130" w:type="dxa"/>
            <w:vAlign w:val="center"/>
          </w:tcPr>
          <w:p w14:paraId="61ADCF6A" w14:textId="2D6A3D47" w:rsidR="0016788A" w:rsidRDefault="0054214C" w:rsidP="00C65B41">
            <w:pPr>
              <w:spacing w:before="0" w:after="0" w:line="240" w:lineRule="auto"/>
              <w:contextualSpacing/>
              <w:jc w:val="center"/>
              <w:rPr>
                <w:lang w:val="en-GB"/>
              </w:rPr>
            </w:pPr>
            <w:r>
              <w:rPr>
                <w:lang w:val="en-GB"/>
              </w:rPr>
              <w:t>Landsat</w:t>
            </w:r>
          </w:p>
        </w:tc>
        <w:tc>
          <w:tcPr>
            <w:tcW w:w="1276" w:type="dxa"/>
            <w:vAlign w:val="center"/>
          </w:tcPr>
          <w:p w14:paraId="63FB0E71" w14:textId="59AC1241" w:rsidR="0016788A" w:rsidRDefault="0054214C" w:rsidP="00C65B41">
            <w:pPr>
              <w:spacing w:before="0" w:after="0" w:line="240" w:lineRule="auto"/>
              <w:contextualSpacing/>
              <w:jc w:val="center"/>
              <w:rPr>
                <w:lang w:val="en-GB"/>
              </w:rPr>
            </w:pPr>
            <w:r>
              <w:rPr>
                <w:lang w:val="en-GB"/>
              </w:rPr>
              <w:t>Northern Kazakhstan</w:t>
            </w:r>
          </w:p>
        </w:tc>
        <w:tc>
          <w:tcPr>
            <w:tcW w:w="5107" w:type="dxa"/>
            <w:vAlign w:val="center"/>
          </w:tcPr>
          <w:p w14:paraId="3165E556" w14:textId="0AF497F8" w:rsidR="0016788A" w:rsidRDefault="008D758C" w:rsidP="00C65B41">
            <w:pPr>
              <w:spacing w:before="0" w:after="0" w:line="240" w:lineRule="auto"/>
              <w:contextualSpacing/>
              <w:rPr>
                <w:lang w:val="en-GB"/>
              </w:rPr>
            </w:pPr>
            <w:r>
              <w:rPr>
                <w:lang w:val="en-GB"/>
              </w:rPr>
              <w:t xml:space="preserve">Investigation of cropland and non-cropland classes, based on Random Forest classifier and temporal segmentation of </w:t>
            </w:r>
            <w:proofErr w:type="spellStart"/>
            <w:r>
              <w:rPr>
                <w:lang w:val="en-GB"/>
              </w:rPr>
              <w:t>LandTrend</w:t>
            </w:r>
            <w:proofErr w:type="spellEnd"/>
            <w:r>
              <w:rPr>
                <w:lang w:val="en-GB"/>
              </w:rPr>
              <w:t xml:space="preserve"> with annual time series of probabilities.</w:t>
            </w:r>
          </w:p>
        </w:tc>
      </w:tr>
      <w:tr w:rsidR="0016788A" w:rsidRPr="00C60499" w14:paraId="7A6CDF81" w14:textId="77777777" w:rsidTr="00D5796D">
        <w:trPr>
          <w:trHeight w:val="397"/>
          <w:jc w:val="center"/>
        </w:trPr>
        <w:tc>
          <w:tcPr>
            <w:tcW w:w="1275" w:type="dxa"/>
            <w:vAlign w:val="center"/>
          </w:tcPr>
          <w:p w14:paraId="63CCDF81" w14:textId="2950CF4F" w:rsidR="0016788A" w:rsidRDefault="00CC318E" w:rsidP="00C65B41">
            <w:pPr>
              <w:spacing w:before="0" w:after="0" w:line="240" w:lineRule="auto"/>
              <w:contextualSpacing/>
              <w:jc w:val="left"/>
              <w:rPr>
                <w:lang w:val="en-GB"/>
              </w:rPr>
            </w:pPr>
            <w:r>
              <w:rPr>
                <w:lang w:val="en-GB"/>
              </w:rPr>
              <w:fldChar w:fldCharType="begin" w:fldLock="1"/>
            </w:r>
            <w:r w:rsidR="0080583C">
              <w:rPr>
                <w:lang w:val="en-GB"/>
              </w:rPr>
              <w:instrText>ADDIN CSL_CITATION {"citationItems":[{"id":"ITEM-1","itemData":{"DOI":"10.1016/j.rse.2018.02.050","ISSN":"00344257","abstract":"Agricultural land abandonment is a common land-use change, making the accurate mapping of both location and timing when agricultural land abandonment occurred important to understand its environmental and social outcomes. However, it is challenging to distinguish agricultural abandonment from transitional classes such as fallow land at high spatial resolutions due to the complexity of change process. To date, no robust approach exists to detect when agricultural land abandonment occurred based on 30-m Landsat images. Our goal here was to develop a new approach to detect the extent and the exact timing of agricultural land abandonment using spatial and temporal segments derived from Landsat time series. We tested our approach for one Landsat footprint in the Caucasus, covering parts of Russia and Georgia, where agricultural land abandonment is widespread. First, we generated agricultural land image objects from multi-date Landsat imagery using a multi-resolution segmentation approach. Second, we estimated the probability for each object that agricultural land was used each year based on Landsat temporal-spectral metrics and a random forest model. Third, we applied temporal segmentation of the resulting agricultural land probability time series to identify change classes and detect when abandonment occurred. We found that our approach was able to accurately separate agricultural abandonment from active agricultural lands, fallow land, and re-cultivation. Our spatial and temporal segmentation approach captured the changes at the object level well (overall mapping accuracy = 97 ± 1%), and performed substantially better than pixel-level change detection (overall accuracy = 82 ± 3%). We found strong spatial and temporal variations in agricultural land abandonment rates in our study area, likely a consequence of regional wars after the collapse of the Soviet Union. In summary, the combination of spatial and temporal segmentation approaches of time-series is a robust method to track agricultural land abandonment and may be relevant for other land-use changes as well.","author":[{"dropping-particle":"","family":"Yin","given":"He","non-dropping-particle":"","parse-names":false,"suffix":""},{"dropping-particle":"V.","family":"Prishchepov","given":"Alexander","non-dropping-particle":"","parse-names":false,"suffix":""},{"dropping-particle":"","family":"Kuemmerle","given":"Tobias","non-dropping-particle":"","parse-names":false,"suffix":""},{"dropping-particle":"","family":"Bleyhl","given":"Benjamin","non-dropping-particle":"","parse-names":false,"suffix":""},{"dropping-particle":"","family":"Buchner","given":"Johanna","non-dropping-particle":"","parse-names":false,"suffix":""},{"dropping-particle":"","family":"Radeloff","given":"Volker C.","non-dropping-particle":"","parse-names":false,"suffix":""}],"container-title":"Remote Sensing of Environment","id":"ITEM-1","issue":"January","issued":{"date-parts":[["2018"]]},"page":"12-24","title":"Mapping agricultural land abandonment from spatial and temporal segmentation of Landsat time series","type":"article-journal","volume":"210"},"uris":["http://www.mendeley.com/documents/?uuid=bebdb691-5bc5-4ddb-b5a3-24853a4520ac"]}],"mendeley":{"formattedCitation":"(Yin et al., 2018)","plainTextFormattedCitation":"(Yin et al., 2018)","previouslyFormattedCitation":"(Yin et al., 2018)"},"properties":{"noteIndex":0},"schema":"https://github.com/citation-style-language/schema/raw/master/csl-citation.json"}</w:instrText>
            </w:r>
            <w:r>
              <w:rPr>
                <w:lang w:val="en-GB"/>
              </w:rPr>
              <w:fldChar w:fldCharType="separate"/>
            </w:r>
            <w:r w:rsidRPr="00CC318E">
              <w:rPr>
                <w:noProof/>
                <w:lang w:val="en-GB"/>
              </w:rPr>
              <w:t>(Yin et al., 2018)</w:t>
            </w:r>
            <w:r>
              <w:rPr>
                <w:lang w:val="en-GB"/>
              </w:rPr>
              <w:fldChar w:fldCharType="end"/>
            </w:r>
          </w:p>
        </w:tc>
        <w:tc>
          <w:tcPr>
            <w:tcW w:w="1130" w:type="dxa"/>
            <w:vAlign w:val="center"/>
          </w:tcPr>
          <w:p w14:paraId="45A741BD" w14:textId="33569A13" w:rsidR="0016788A" w:rsidRDefault="00182AE9" w:rsidP="00C65B41">
            <w:pPr>
              <w:spacing w:before="0" w:after="0" w:line="240" w:lineRule="auto"/>
              <w:contextualSpacing/>
              <w:jc w:val="center"/>
              <w:rPr>
                <w:lang w:val="en-GB"/>
              </w:rPr>
            </w:pPr>
            <w:r>
              <w:rPr>
                <w:lang w:val="en-GB"/>
              </w:rPr>
              <w:t>Landsat</w:t>
            </w:r>
          </w:p>
        </w:tc>
        <w:tc>
          <w:tcPr>
            <w:tcW w:w="1276" w:type="dxa"/>
            <w:vAlign w:val="center"/>
          </w:tcPr>
          <w:p w14:paraId="3C91BC63" w14:textId="0B1C0E08" w:rsidR="0016788A" w:rsidRDefault="00182AE9" w:rsidP="00C65B41">
            <w:pPr>
              <w:spacing w:before="0" w:after="0" w:line="240" w:lineRule="auto"/>
              <w:contextualSpacing/>
              <w:jc w:val="center"/>
              <w:rPr>
                <w:lang w:val="en-GB"/>
              </w:rPr>
            </w:pPr>
            <w:r w:rsidRPr="00182AE9">
              <w:rPr>
                <w:lang w:val="en-GB"/>
              </w:rPr>
              <w:t>Georgia and the North Caucasian Federal District of Russia</w:t>
            </w:r>
          </w:p>
        </w:tc>
        <w:tc>
          <w:tcPr>
            <w:tcW w:w="5107" w:type="dxa"/>
            <w:vAlign w:val="center"/>
          </w:tcPr>
          <w:p w14:paraId="3DF4FBCE" w14:textId="22B072AA" w:rsidR="0016788A" w:rsidRDefault="00AA1987" w:rsidP="00C65B41">
            <w:pPr>
              <w:spacing w:before="0" w:after="0" w:line="240" w:lineRule="auto"/>
              <w:contextualSpacing/>
              <w:rPr>
                <w:lang w:val="en-GB"/>
              </w:rPr>
            </w:pPr>
            <w:r>
              <w:rPr>
                <w:lang w:val="en-GB"/>
              </w:rPr>
              <w:t xml:space="preserve">Spatial (in </w:t>
            </w:r>
            <w:proofErr w:type="spellStart"/>
            <w:r>
              <w:rPr>
                <w:lang w:val="en-GB"/>
              </w:rPr>
              <w:t>eCogniition</w:t>
            </w:r>
            <w:proofErr w:type="spellEnd"/>
            <w:r>
              <w:rPr>
                <w:lang w:val="en-GB"/>
              </w:rPr>
              <w:t>) and temporal (</w:t>
            </w:r>
            <w:proofErr w:type="spellStart"/>
            <w:r>
              <w:rPr>
                <w:lang w:val="en-GB"/>
              </w:rPr>
              <w:t>LandTrend</w:t>
            </w:r>
            <w:proofErr w:type="spellEnd"/>
            <w:r>
              <w:rPr>
                <w:lang w:val="en-GB"/>
              </w:rPr>
              <w:t xml:space="preserve">) segmentation used to estimate the probability of agricultural land calculated from Random Forest based model. Identified classes included: </w:t>
            </w:r>
            <w:r w:rsidRPr="00AA1987">
              <w:rPr>
                <w:lang w:val="en-GB"/>
              </w:rPr>
              <w:t xml:space="preserve">agricultural land abandonment, stable agricultural land, </w:t>
            </w:r>
            <w:proofErr w:type="gramStart"/>
            <w:r w:rsidRPr="00AA1987">
              <w:rPr>
                <w:lang w:val="en-GB"/>
              </w:rPr>
              <w:t>fallow</w:t>
            </w:r>
            <w:proofErr w:type="gramEnd"/>
            <w:r w:rsidRPr="00AA1987">
              <w:rPr>
                <w:lang w:val="en-GB"/>
              </w:rPr>
              <w:t xml:space="preserve"> and re-cultivation</w:t>
            </w:r>
            <w:r>
              <w:rPr>
                <w:lang w:val="en-GB"/>
              </w:rPr>
              <w:t>.</w:t>
            </w:r>
          </w:p>
        </w:tc>
      </w:tr>
      <w:tr w:rsidR="0016788A" w:rsidRPr="00C60499" w14:paraId="1B813C26" w14:textId="77777777" w:rsidTr="00D5796D">
        <w:trPr>
          <w:trHeight w:val="397"/>
          <w:jc w:val="center"/>
        </w:trPr>
        <w:tc>
          <w:tcPr>
            <w:tcW w:w="1275" w:type="dxa"/>
            <w:vAlign w:val="center"/>
          </w:tcPr>
          <w:p w14:paraId="0DDB1C41" w14:textId="559C91D1" w:rsidR="0016788A" w:rsidRDefault="00182AE9" w:rsidP="00C65B41">
            <w:pPr>
              <w:spacing w:before="0" w:after="0" w:line="240" w:lineRule="auto"/>
              <w:contextualSpacing/>
              <w:jc w:val="left"/>
              <w:rPr>
                <w:lang w:val="en-GB"/>
              </w:rPr>
            </w:pPr>
            <w:r w:rsidRPr="00D75928">
              <w:rPr>
                <w:lang w:val="en-GB"/>
              </w:rPr>
              <w:fldChar w:fldCharType="begin" w:fldLock="1"/>
            </w:r>
            <w:r>
              <w:rPr>
                <w:lang w:val="en-GB"/>
              </w:rPr>
              <w:instrText>ADDIN CSL_CITATION {"citationItems":[{"id":"ITEM-1","itemData":{"DOI":"10.1016/j.rse.2021.112340","ISSN":"00344257","abstract":"Substantial land surface greening has been observed globally over the last few decades. This greening has been primarily attributed to climate change and CO2 concentrations, but recent research studies have emphasized the large role of human land use in this process, especially agricultural land abandonment (ALA). The aim of this study was to investigate whether long-term gradual greening of agricultural land can aid in mapping abandoned land across Poland. Trend estimation and temporal segmentation were applied to the 1986–2019 annual Landsat-derived Normalized Difference Vegetation Index (NDVI) time series to detect periods of long-term greening and to assess its relationship with actual information on ALA. The results show that long-term greening is widespread in Poland (covering up to 60% of its territory), regardless of former and current land uses, most of which has stemmed from modifications within stable land use classes (as they cover 91% of Poland). The highest greening rates and intensities were observed due to conversions from agricultural to non-agricultural land use, which strongly suggests land abandonment and the proceeding succession. However, some proportion of managed agricultural land has also experienced high-intensity greening, and a large proportion of abandoned agricultural land is not greening intensively. Thus, setting an exact greening intensity threshold allowing to clearly distinguish the status of land was not possible. This study also presents the consistency of the Landsat annual time series and its good performance for long-term greening detection, indicating that temporal segmentation may better capture ALA patterns than trend estimation","author":[{"dropping-particle":"","family":"Kolecka","given":"Natalia","non-dropping-particle":"","parse-names":false,"suffix":""}],"container-title":"Remote Sensing of Environment","id":"ITEM-1","issue":"January","issued":{"date-parts":[["2021"]]},"page":"112340","publisher":"Elsevier Inc.","title":"Greening trends and their relationship with agricultural land abandonment across Poland","type":"article-journal","volume":"257"},"uris":["http://www.mendeley.com/documents/?uuid=0f41ad83-bf38-438b-8230-b4e0f4db9857","http://www.mendeley.com/documents/?uuid=b6815c44-4da6-4357-a010-de14d1a6afc2"]}],"mendeley":{"formattedCitation":"(Kolecka, 2021)","plainTextFormattedCitation":"(Kolecka, 2021)","previouslyFormattedCitation":"(Kolecka, 2021)"},"properties":{"noteIndex":0},"schema":"https://github.com/citation-style-language/schema/raw/master/csl-citation.json"}</w:instrText>
            </w:r>
            <w:r w:rsidRPr="00D75928">
              <w:rPr>
                <w:lang w:val="en-GB"/>
              </w:rPr>
              <w:fldChar w:fldCharType="separate"/>
            </w:r>
            <w:r w:rsidRPr="00D75928">
              <w:rPr>
                <w:noProof/>
                <w:lang w:val="en-GB"/>
              </w:rPr>
              <w:t>(Kolecka, 2021)</w:t>
            </w:r>
            <w:r w:rsidRPr="00D75928">
              <w:rPr>
                <w:lang w:val="en-GB"/>
              </w:rPr>
              <w:fldChar w:fldCharType="end"/>
            </w:r>
          </w:p>
        </w:tc>
        <w:tc>
          <w:tcPr>
            <w:tcW w:w="1130" w:type="dxa"/>
            <w:vAlign w:val="center"/>
          </w:tcPr>
          <w:p w14:paraId="29D79FB7" w14:textId="0A1624FB" w:rsidR="0016788A" w:rsidRDefault="00182AE9" w:rsidP="00C65B41">
            <w:pPr>
              <w:spacing w:before="0" w:after="0" w:line="240" w:lineRule="auto"/>
              <w:contextualSpacing/>
              <w:jc w:val="center"/>
              <w:rPr>
                <w:lang w:val="en-GB"/>
              </w:rPr>
            </w:pPr>
            <w:r>
              <w:rPr>
                <w:lang w:val="en-GB"/>
              </w:rPr>
              <w:t>Landsat</w:t>
            </w:r>
          </w:p>
        </w:tc>
        <w:tc>
          <w:tcPr>
            <w:tcW w:w="1276" w:type="dxa"/>
            <w:vAlign w:val="center"/>
          </w:tcPr>
          <w:p w14:paraId="5016E880" w14:textId="6A5EAE53" w:rsidR="0016788A" w:rsidRDefault="00182AE9" w:rsidP="00C65B41">
            <w:pPr>
              <w:spacing w:before="0" w:after="0" w:line="240" w:lineRule="auto"/>
              <w:contextualSpacing/>
              <w:jc w:val="center"/>
              <w:rPr>
                <w:lang w:val="en-GB"/>
              </w:rPr>
            </w:pPr>
            <w:r>
              <w:rPr>
                <w:lang w:val="en-GB"/>
              </w:rPr>
              <w:t>Poland</w:t>
            </w:r>
          </w:p>
        </w:tc>
        <w:tc>
          <w:tcPr>
            <w:tcW w:w="5107" w:type="dxa"/>
            <w:vAlign w:val="center"/>
          </w:tcPr>
          <w:p w14:paraId="19E2591C" w14:textId="51829928" w:rsidR="0016788A" w:rsidRDefault="0085711B" w:rsidP="00C65B41">
            <w:pPr>
              <w:spacing w:before="0" w:after="0" w:line="240" w:lineRule="auto"/>
              <w:contextualSpacing/>
              <w:rPr>
                <w:lang w:val="en-GB"/>
              </w:rPr>
            </w:pPr>
            <w:r>
              <w:rPr>
                <w:lang w:val="en-GB"/>
              </w:rPr>
              <w:t xml:space="preserve">Greening as an indicator of agricultural land abandonment. Classification based on </w:t>
            </w:r>
            <w:proofErr w:type="spellStart"/>
            <w:r>
              <w:rPr>
                <w:lang w:val="en-GB"/>
              </w:rPr>
              <w:t>LandTrend</w:t>
            </w:r>
            <w:proofErr w:type="spellEnd"/>
            <w:r>
              <w:rPr>
                <w:lang w:val="en-GB"/>
              </w:rPr>
              <w:t xml:space="preserve"> and aggregated annual and seasonal spectral indices.</w:t>
            </w:r>
          </w:p>
        </w:tc>
      </w:tr>
    </w:tbl>
    <w:p w14:paraId="586D9CF1" w14:textId="50901AC2" w:rsidR="009B3BE6" w:rsidRPr="00E74778" w:rsidRDefault="00662771" w:rsidP="00AE1A89">
      <w:pPr>
        <w:pStyle w:val="MAIL1"/>
      </w:pPr>
      <w:bookmarkStart w:id="11" w:name="_Toc91583664"/>
      <w:r w:rsidRPr="00E74778">
        <w:t>Data acquisition</w:t>
      </w:r>
      <w:bookmarkEnd w:id="11"/>
    </w:p>
    <w:p w14:paraId="49C4DFCA" w14:textId="397DB471" w:rsidR="009E4B0E" w:rsidRDefault="0052099B" w:rsidP="00D75928">
      <w:pPr>
        <w:rPr>
          <w:lang w:val="en-GB"/>
        </w:rPr>
      </w:pPr>
      <w:r>
        <w:rPr>
          <w:lang w:val="en-GB"/>
        </w:rPr>
        <w:t xml:space="preserve">One of the </w:t>
      </w:r>
      <w:r w:rsidR="00FE36A5">
        <w:rPr>
          <w:lang w:val="en-GB"/>
        </w:rPr>
        <w:t xml:space="preserve">outcomes of the </w:t>
      </w:r>
      <w:r w:rsidR="00FE36A5" w:rsidRPr="00CE78FA">
        <w:rPr>
          <w:b/>
          <w:i/>
          <w:iCs/>
          <w:color w:val="31479E" w:themeColor="accent1" w:themeShade="BF"/>
        </w:rPr>
        <w:t>MAIL</w:t>
      </w:r>
      <w:r w:rsidR="00FE36A5">
        <w:rPr>
          <w:lang w:val="en-GB"/>
        </w:rPr>
        <w:t xml:space="preserve"> project </w:t>
      </w:r>
      <w:r w:rsidR="004D71F9">
        <w:rPr>
          <w:lang w:val="en-GB"/>
        </w:rPr>
        <w:t>is</w:t>
      </w:r>
      <w:r w:rsidR="00FE36A5">
        <w:rPr>
          <w:lang w:val="en-GB"/>
        </w:rPr>
        <w:t xml:space="preserve"> </w:t>
      </w:r>
      <w:proofErr w:type="gramStart"/>
      <w:r w:rsidR="00FE36A5">
        <w:rPr>
          <w:lang w:val="en-GB"/>
        </w:rPr>
        <w:t xml:space="preserve">the </w:t>
      </w:r>
      <w:r w:rsidR="00596A53">
        <w:rPr>
          <w:lang w:val="en-GB"/>
        </w:rPr>
        <w:t>a</w:t>
      </w:r>
      <w:proofErr w:type="gramEnd"/>
      <w:r w:rsidR="00FE36A5">
        <w:rPr>
          <w:lang w:val="en-GB"/>
        </w:rPr>
        <w:t xml:space="preserve"> web-application</w:t>
      </w:r>
      <w:r w:rsidR="00306F4A">
        <w:rPr>
          <w:lang w:val="en-GB"/>
        </w:rPr>
        <w:t xml:space="preserve"> (MAIL Map Portal)</w:t>
      </w:r>
      <w:r w:rsidR="00D74DD8">
        <w:rPr>
          <w:lang w:val="en-GB"/>
        </w:rPr>
        <w:t>, encompassing all the tools that have been developed for the purposes of this project</w:t>
      </w:r>
      <w:r w:rsidR="00CE78FA">
        <w:rPr>
          <w:lang w:val="en-GB"/>
        </w:rPr>
        <w:t xml:space="preserve">, in </w:t>
      </w:r>
      <w:r w:rsidR="002F3068">
        <w:rPr>
          <w:lang w:val="en-GB"/>
        </w:rPr>
        <w:t>the form of thematic maps</w:t>
      </w:r>
      <w:r w:rsidR="00986852">
        <w:rPr>
          <w:lang w:val="en-GB"/>
        </w:rPr>
        <w:t xml:space="preserve"> and tools</w:t>
      </w:r>
      <w:r w:rsidR="002F3068">
        <w:rPr>
          <w:lang w:val="en-GB"/>
        </w:rPr>
        <w:t xml:space="preserve">. </w:t>
      </w:r>
      <w:r w:rsidR="00A6149C">
        <w:rPr>
          <w:lang w:val="en-GB"/>
        </w:rPr>
        <w:t xml:space="preserve">For the objectives of </w:t>
      </w:r>
      <w:r w:rsidR="009E4B0E">
        <w:rPr>
          <w:lang w:val="en-GB"/>
        </w:rPr>
        <w:t>such a project dealing with</w:t>
      </w:r>
      <w:r w:rsidR="00D97595">
        <w:rPr>
          <w:lang w:val="en-GB"/>
        </w:rPr>
        <w:t xml:space="preserve"> Pan-European</w:t>
      </w:r>
      <w:r w:rsidR="009E4B0E">
        <w:rPr>
          <w:lang w:val="en-GB"/>
        </w:rPr>
        <w:t xml:space="preserve"> GIS and Earth Observation </w:t>
      </w:r>
      <w:r w:rsidR="00D97595">
        <w:rPr>
          <w:lang w:val="en-GB"/>
        </w:rPr>
        <w:t xml:space="preserve">data, the </w:t>
      </w:r>
      <w:r w:rsidR="00D97595" w:rsidRPr="0031622D">
        <w:rPr>
          <w:i/>
          <w:iCs/>
          <w:lang w:val="en-GB"/>
        </w:rPr>
        <w:t>Google Earth Engine</w:t>
      </w:r>
      <w:r w:rsidR="00D97595">
        <w:rPr>
          <w:lang w:val="en-GB"/>
        </w:rPr>
        <w:t xml:space="preserve"> was deemed as the </w:t>
      </w:r>
      <w:r w:rsidR="00EB15D0">
        <w:rPr>
          <w:lang w:val="en-GB"/>
        </w:rPr>
        <w:t xml:space="preserve">most appropriate platform for </w:t>
      </w:r>
      <w:r w:rsidR="00984FF3">
        <w:rPr>
          <w:lang w:val="en-GB"/>
        </w:rPr>
        <w:t>a set of reasons.</w:t>
      </w:r>
    </w:p>
    <w:p w14:paraId="7A2D2457" w14:textId="12AFB032" w:rsidR="00CE087B" w:rsidRDefault="5F5AC512" w:rsidP="00D75928">
      <w:r w:rsidRPr="5F5AC512">
        <w:rPr>
          <w:lang w:val="en-GB"/>
        </w:rPr>
        <w:t>Google Earth Engine (GEE) is a cloud-based platform designed to make planetary-scale geospatial analysis</w:t>
      </w:r>
      <w:r>
        <w:t xml:space="preserve"> possible not only for remote sensing experts, but also for a much broader audience that lacks the technical background required to deploy supercomputers or large-scale cloud computing services. By utilizing Google’s massive computational capabilities, researchers are able to work on large-scale investigations that have a high impact on the society and environmental management like </w:t>
      </w:r>
      <w:r>
        <w:lastRenderedPageBreak/>
        <w:t xml:space="preserve">deforestation, drought, natural disasters, diseases, water management, climate monitoring, etc. </w:t>
      </w:r>
      <w:r w:rsidR="00DB419C">
        <w:fldChar w:fldCharType="begin" w:fldLock="1"/>
      </w:r>
      <w:r w:rsidR="00DB419C">
        <w:instrText>ADDIN CSL_CITATION {"citationItems":[{"id":"ITEM-1","itemData":{"DOI":"10.1016/j.rse.2017.06.031","ISSN":"00344257","author":[{"dropping-particle":"","family":"Gorelick","given":"Noel","non-dropping-particle":"","parse-names":false,"suffix":""},{"dropping-particle":"","family":"Hancher","given":"Matt","non-dropping-particle":"","parse-names":false,"suffix":""},{"dropping-particle":"","family":"Dixon","given":"Mike","non-dropping-particle":"","parse-names":false,"suffix":""},{"dropping-particle":"","family":"Ilyushchenko","given":"Simon","non-dropping-particle":"","parse-names":false,"suffix":""},{"dropping-particle":"","family":"Thau","given":"David","non-dropping-particle":"","parse-names":false,"suffix":""},{"dropping-particle":"","family":"Moore","given":"Rebecca","non-dropping-particle":"","parse-names":false,"suffix":""}],"container-title":"Remote Sensing of Environment","id":"ITEM-1","issued":{"date-parts":[["2017","12"]]},"page":"18-27","title":"Google Earth Engine: Planetary-scale geospatial analysis for everyone","type":"article-journal","volume":"202"},"uris":["http://www.mendeley.com/documents/?uuid=3d8c13a6-7358-4ba1-95f3-7b2c6ecf27b4"]}],"mendeley":{"formattedCitation":"(Gorelick et al., 2017)","plainTextFormattedCitation":"(Gorelick et al., 2017)","previouslyFormattedCitation":"(Gorelick et al., 2017)"},"properties":{"noteIndex":0},"schema":"https://github.com/citation-style-language/schema/raw/master/csl-citation.json"}</w:instrText>
      </w:r>
      <w:r w:rsidR="00DB419C">
        <w:fldChar w:fldCharType="separate"/>
      </w:r>
      <w:r w:rsidRPr="5F5AC512">
        <w:rPr>
          <w:noProof/>
        </w:rPr>
        <w:t>(Gorelick et al., 2017)</w:t>
      </w:r>
      <w:r w:rsidR="00DB419C">
        <w:fldChar w:fldCharType="end"/>
      </w:r>
      <w:r>
        <w:t>.</w:t>
      </w:r>
    </w:p>
    <w:p w14:paraId="4B3657B8" w14:textId="772C81CA" w:rsidR="001E6B26" w:rsidRDefault="00744259" w:rsidP="00D75928">
      <w:pPr>
        <w:rPr>
          <w:lang w:val="en-GB"/>
        </w:rPr>
      </w:pPr>
      <w:r>
        <w:t xml:space="preserve">Therefore, the methodology </w:t>
      </w:r>
      <w:r w:rsidR="001E16F2">
        <w:t xml:space="preserve">for the task of </w:t>
      </w:r>
      <w:r w:rsidR="00B95054">
        <w:t>“</w:t>
      </w:r>
      <w:r w:rsidR="001E16F2">
        <w:t xml:space="preserve">Augmenting precision </w:t>
      </w:r>
      <w:r w:rsidR="002D5527">
        <w:t xml:space="preserve">in the detection of MLs” was developed </w:t>
      </w:r>
      <w:r w:rsidR="00D87C83">
        <w:t xml:space="preserve">on the GEE. </w:t>
      </w:r>
      <w:r w:rsidR="00010EB9">
        <w:t>The data catalog of Earth Engine</w:t>
      </w:r>
      <w:r w:rsidR="00044452">
        <w:t xml:space="preserve"> entails an exhaustive repository</w:t>
      </w:r>
      <w:r w:rsidR="00B56A32">
        <w:t xml:space="preserve"> of publicly available geospatial datasets</w:t>
      </w:r>
      <w:r w:rsidR="00661901">
        <w:t xml:space="preserve">, including </w:t>
      </w:r>
      <w:r w:rsidR="00C43F93">
        <w:t>collections from satellite and aerial imaging systems</w:t>
      </w:r>
      <w:r w:rsidR="00A007BC">
        <w:t xml:space="preserve">, as well as environmental, </w:t>
      </w:r>
      <w:r w:rsidR="00D1479B">
        <w:t>climatic,</w:t>
      </w:r>
      <w:r w:rsidR="00A007BC">
        <w:t xml:space="preserve"> and </w:t>
      </w:r>
      <w:r w:rsidR="004323F3">
        <w:t>socio-economic variables.</w:t>
      </w:r>
      <w:r w:rsidR="00B63E85">
        <w:t xml:space="preserve"> </w:t>
      </w:r>
      <w:r w:rsidR="00FE04F5">
        <w:t xml:space="preserve">Since one of the objectives of this study is to </w:t>
      </w:r>
      <w:r w:rsidR="00336C23">
        <w:rPr>
          <w:lang w:val="en-GB"/>
        </w:rPr>
        <w:t xml:space="preserve">develop a methodology for the detection of MLs </w:t>
      </w:r>
      <w:r w:rsidR="002B16F7">
        <w:rPr>
          <w:lang w:val="en-GB"/>
        </w:rPr>
        <w:t>by utilizing freely available</w:t>
      </w:r>
      <w:r w:rsidR="00336C23">
        <w:rPr>
          <w:lang w:val="en-GB"/>
        </w:rPr>
        <w:t xml:space="preserve"> satellite imagery</w:t>
      </w:r>
      <w:r w:rsidR="002B16F7">
        <w:rPr>
          <w:lang w:val="en-GB"/>
        </w:rPr>
        <w:t xml:space="preserve">, </w:t>
      </w:r>
      <w:r w:rsidR="001C3BFA">
        <w:rPr>
          <w:lang w:val="en-GB"/>
        </w:rPr>
        <w:t xml:space="preserve">the products of two </w:t>
      </w:r>
      <w:r w:rsidR="00AA6F2D">
        <w:rPr>
          <w:lang w:val="en-GB"/>
        </w:rPr>
        <w:t>Copernicus missions will be exploited</w:t>
      </w:r>
      <w:r w:rsidR="00A70BB8">
        <w:rPr>
          <w:lang w:val="en-GB"/>
        </w:rPr>
        <w:t xml:space="preserve">; the </w:t>
      </w:r>
      <w:r w:rsidR="00A70BB8" w:rsidRPr="0031622D">
        <w:rPr>
          <w:i/>
          <w:iCs/>
          <w:lang w:val="en-GB"/>
        </w:rPr>
        <w:t>Sentinel-1</w:t>
      </w:r>
      <w:r w:rsidR="00A70BB8">
        <w:rPr>
          <w:lang w:val="en-GB"/>
        </w:rPr>
        <w:t xml:space="preserve"> and the </w:t>
      </w:r>
      <w:r w:rsidR="00A70BB8" w:rsidRPr="0031622D">
        <w:rPr>
          <w:i/>
          <w:iCs/>
          <w:lang w:val="en-GB"/>
        </w:rPr>
        <w:t>Sentinel-2</w:t>
      </w:r>
      <w:r w:rsidR="00A70BB8">
        <w:rPr>
          <w:lang w:val="en-GB"/>
        </w:rPr>
        <w:t xml:space="preserve"> image collections</w:t>
      </w:r>
      <w:r w:rsidR="00A4669E">
        <w:rPr>
          <w:lang w:val="en-GB"/>
        </w:rPr>
        <w:t xml:space="preserve">, readily available </w:t>
      </w:r>
      <w:r w:rsidR="0080525C">
        <w:rPr>
          <w:lang w:val="en-GB"/>
        </w:rPr>
        <w:t>in</w:t>
      </w:r>
      <w:r w:rsidR="00A4669E">
        <w:rPr>
          <w:lang w:val="en-GB"/>
        </w:rPr>
        <w:t xml:space="preserve"> the GEE platform</w:t>
      </w:r>
      <w:r w:rsidR="00C763C9">
        <w:rPr>
          <w:lang w:val="en-GB"/>
        </w:rPr>
        <w:t xml:space="preserve">, that </w:t>
      </w:r>
      <w:r w:rsidR="009B296F">
        <w:rPr>
          <w:lang w:val="en-GB"/>
        </w:rPr>
        <w:t xml:space="preserve">have already been successfully deployed in numerous </w:t>
      </w:r>
      <w:r w:rsidR="004147C4">
        <w:rPr>
          <w:lang w:val="en-GB"/>
        </w:rPr>
        <w:t xml:space="preserve">land cover and time series studies </w:t>
      </w:r>
      <w:r w:rsidR="00914828">
        <w:rPr>
          <w:lang w:val="en-GB"/>
        </w:rPr>
        <w:fldChar w:fldCharType="begin" w:fldLock="1"/>
      </w:r>
      <w:r w:rsidR="007E7451">
        <w:rPr>
          <w:lang w:val="en-GB"/>
        </w:rPr>
        <w:instrText>ADDIN CSL_CITATION {"citationItems":[{"id":"ITEM-1","itemData":{"DOI":"10.3390/jmse8010009","ISSN":"2077-1312","abstract":"Coastal environments are facing constant changes over time due to their dynamic nature and geological, geomorphological, hydrodynamic, biological, climatic and anthropogenic factors. For these reasons, the monitoring of these areas is crucial for the safeguarding of the cultural heritage and the populations living there. The focus of this paper is shoreline extraction by means of an experimental algorithm, called J-Net Dynamic (Semeion Research Center of Sciences of Communication, Rome, Italy). It was tested on two types of image: a very high resolution (VHR) multispectral image (WorldView-2) and a high resolution (HR) radar synthetic aperture radar (SAR) image (Sentinel-1). The extracted shorelines were compared with those manually digitized for both images independently. The results obtained with the J-Net Dynamic algorithm were also compared with common algorithms, widely used in the literature, including the WorldView water index and the Canny edge detector. The results show that the experimental algorithm is more effective than the others, as it improves shoreline extraction accuracy both in the optical and SAR images.","author":[{"dropping-particle":"","family":"Zollini","given":"Sara","non-dropping-particle":"","parse-names":false,"suffix":""},{"dropping-particle":"","family":"Alicandro","given":"Maria","non-dropping-particle":"","parse-names":false,"suffix":""},{"dropping-particle":"","family":"Cuevas-González","given":"María","non-dropping-particle":"","parse-names":false,"suffix":""},{"dropping-particle":"","family":"Baiocchi","given":"Valerio","non-dropping-particle":"","parse-names":false,"suffix":""},{"dropping-particle":"","family":"Dominici","given":"Donatella","non-dropping-particle":"","parse-names":false,"suffix":""},{"dropping-particle":"","family":"Buscema","given":"Paolo Massimo","non-dropping-particle":"","parse-names":false,"suffix":""}],"container-title":"Journal of Marine Science and Engineering","id":"ITEM-1","issue":"1","issued":{"date-parts":[["2019"]]},"note":"fusion, opt, WorldView 2, SAR, Sentinel 1, edge detection","page":"9","title":"Shoreline Extraction Based on an Active Connection Matrix (ACM) Image Enhancement Strategy","type":"article-journal","volume":"8"},"uris":["http://www.mendeley.com/documents/?uuid=616f2df2-d46a-472e-bb7e-10a4ba8112fb"]},{"id":"ITEM-2","itemData":{"DOI":"10.1109/UKRCON.2017.8100381","ISBN":"9781509030064","abstract":"For many applied problems in agricultural monitoring and food security, it is important to provide reliable crop classification maps. In this paper, we aim to compare performance of different filters available in ESA SNAP toolbox and compare them with our approach with applying to reduce speckle in multitemporal synthetic-aperture radar (SAR) Sentinel-1 imagery. For this, we evaluate an impact of SAR data filtering on crop classification accuracy. We have found that overall classification accuracy without any filtering is 82.6% whilst the use of different despeckling methods achieves gain of crop map accuracy from +3.2% to +5.1% compared to classification of original data. The most accurate crop map has been obtained for SAR images pre-processed by DCT-based filter.","author":[{"dropping-particle":"","family":"Lavreniuk","given":"M.","non-dropping-particle":"","parse-names":false,"suffix":""},{"dropping-particle":"","family":"Kussul","given":"N.","non-dropping-particle":"","parse-names":false,"suffix":""},{"dropping-particle":"","family":"Meretsky","given":"M.","non-dropping-particle":"","parse-names":false,"suffix":""},{"dropping-particle":"","family":"Lukin","given":"V.","non-dropping-particle":"","parse-names":false,"suffix":""},{"dropping-particle":"","family":"Abramov","given":"S.","non-dropping-particle":"","parse-names":false,"suffix":""},{"dropping-particle":"","family":"Rubel","given":"O.","non-dropping-particle":"","parse-names":false,"suffix":""}],"container-title":"2017 IEEE 1st Ukraine Conference on Electrical and Computer Engineering, UKRCON 2017 - Proceedings","id":"ITEM-2","issued":{"date-parts":[["2017"]]},"note":"SAR, filters, Lee Sigma","page":"912-917","title":"Impact of SAR data filtering on crop classification accuracy","type":"article-journal"},"uris":["http://www.mendeley.com/documents/?uuid=05d03c1a-cc43-40be-bb01-42861bf1cc6a"]},{"id":"ITEM-3","itemData":{"DOI":"10.3390/RS11030345","ISSN":"20724292","abstract":"In this research work, a multi-index-based support vector machine (SVM) classification approach has been proposed to determine the complex and morphologically heterogeneous land cover/use (LCU) patterns of cities, with a special focus on separating bare lands and built-up regions, using Istanbul, Turkey as the main study region, and Ankara and Konya (in Turkey) as the independent test regions. The multi-index approach was constructed using three-band combinations of spectral indices, where each index represents one of the three major land cover categories, green areas, water bodies, and built-up regions. Additionally, a shortwave infrared-based index, the Normalized Difference Tillage Index (NDTI), was proposed as an alternative to existing built-up indices. All possible index combinations and the original ten-band Sentinel-2A image were classified with the SVM algorithm, to map seven LCU classes, and an accuracy assessment was performed to determine the multi-index combination that provided the highest performance. The SVM classification results revealed that the multi-index combination of the normalized difference tillage index (NDTI), the red-edge-based normalized vegetation index (NDVIre), and the modified normalized difference water index (MNDWI) improved the mapping accuracy of the heterogeneous urban areas and provided an effective separation of bare land from built-up areas. This combination showed an outstanding overall performance with a 93% accuracy and a 0.91 kappa value for all LCU classes. The results of the test regions provided similar findings and the same index combination clearly outperformed the other approaches, with 92% accuracy and a 0.90 kappa value for Ankara, and an 84% accuracy and a 0.79 kappa value for Konya. The multi-index combination of the normalized difference built-up index (NDBI), the NDVIre, and the MNDWI, ranked second in the assessment, with similar accuracies to that of the ten-band image classification.","author":[{"dropping-particle":"","family":"Osgouei","given":"Paria Ettehadi","non-dropping-particle":"","parse-names":false,"suffix":""},{"dropping-particle":"","family":"Kaya","given":"Sinasi","non-dropping-particle":"","parse-names":false,"suffix":""},{"dropping-particle":"","family":"Sertel","given":"Elif","non-dropping-particle":"","parse-names":false,"suffix":""},{"dropping-particle":"","family":"Alganci","given":"Ugur","non-dropping-particle":"","parse-names":false,"suffix":""}],"container-title":"Remote Sensing 2019, Vol. 11, Page 345","id":"ITEM-3","issue":"3","issued":{"date-parts":[["2019","2","10"]]},"page":"345","publisher":"Multidisciplinary Digital Publishing Institute","title":"Separating Built-Up Areas from Bare Land in Mediterranean Cities Using Sentinel-2A Imagery","type":"article-journal","volume":"11"},"uris":["http://www.mendeley.com/documents/?uuid=e3cd0a5b-2ee3-3302-bd30-44a394f48c05"]},{"id":"ITEM-4","itemData":{"DOI":"10.5194/isprs-archives-XLII-1-W2-43-2019","abstract":"Nowadays there is need to take the action to find out the innovative solutions to reduce the negative effects of climate change in urban areas. Cities face multiple challenges in water management and flood protection at local scale, especially given an uncertain future climate and a rapidly growing population. The density of impervious surfaces (roofs and pavement) is a key element in evaluating hydrologic processes and occurring the surface runoff-the major component of water cycle in urban catchment. Satellite imagery are powerful and up-to-date data for estimation human impact on urban space. It is also highlighted the possibility of using those results in urban development studies according to adaptation cities to climate change. The Copernicus SENTINEL constellation brings out the potential to provide high quality and free of charge satellites images that enable to estimate parameters related to urban structure and imperviousness. Multitemporal Sentinel-2 data are widely used to calculate the indices for urban sprawl. The normalized difference built-up index (NDBI) and normalized difference vegetation index (NDVI), indicators providing information on urban heat Island effect, are useful for change detection of imperviousness percentage in urban areas. The main objective of this research is fusion of multi-temporal and multi-resolution SENTINEL-2 MSI data for developing a new, innovative approach for improving water management in urban catchments at local scale provide valuable input data for hydrological model. The results obtained were compared by quantitative comparison with Imperviousness HRL of Copernicus Program, visual comparison with OpenStreetMap data as well as qualitative comparison with the high resolution Planet's.","author":[{"dropping-particle":"","family":"Kuc","given":"G","non-dropping-particle":"","parse-names":false,"suffix":""},{"dropping-particle":"","family":"Chormański","given":"J","non-dropping-particle":"","parse-names":false,"suffix":""}],"container-title":"The International Archives of the Photogrammetry, Remote Sensing and Spatial Information Sciences","id":"ITEM-4","issue":"Evaluation and Benchmarking Sensors, Systems and Geospatial Data in Photogrammetry and Remote Sensing","issued":{"date-parts":[["2019","9"]]},"page":"43-47","title":"Sentinel-2 Imagery for Mapping and Monitoring Imperviousness in Urban Areas","type":"article-journal","volume":"XLII-1/W2"},"uris":["http://www.mendeley.com/documents/?uuid=41c6e414-5ed7-30d6-acc2-e31adb9b63b8"]},{"id":"ITEM-5","itemData":{"DOI":"10.1007/s11852-020-00758-4","ISSN":"18747841","abstract":"Regular detection and timely monitoring of shoreline evolution are essentially needed in order to identify areas that require further investigation and protection. Possibilities for regular monitoring of shoreline changes are better facilitated now with high-frequency revisit times of Landsat-Sentinel-2 virtual constellation. Accordingly, this study aimed at investigating the performance of Landsat 8 and Sentinel-2A satellite imagery in mapping shoreline changes. The specific objectives were to 1) create reference data of shoreline erosion, accretion and seafilling using very high spatial resolution data, 2) compare the results of shoreline changes by using Landsat 8 and Sentinel-2A imagery respectively, and 3) complete the inventory of shoreline changes between 1962 and 2016. A Quickbird panchromatic imagery (0.6 m) of 2010 was employed in combination with aerial photography (0.5 m) from 1962 for the generation of reference data using a traditional photo-interpretation method. Then, geographic object-based image analysis (GEOBIA) was employed to map changes in the shoreline between 1962 (i.e., reference shoreline) and 2016 using Sentinel-2A (10 m) and Landsat 8 panchromatic band (15 m) imagery, consecutively. The use of Sentinel-2A image provided slightly better accuracy results when compared with those from the Landsat 8 image. Accordingly, an inventory of Lebanese shoreline evolution between 1962 and 2016 was completed using the Sentinel-2A classification results. The combined use of Landsat-Sentinel-2 imagery is expected to generate reliable data records for continuous monitoring of shoreline changes.","author":[{"dropping-particle":"","family":"Mitri","given":"George","non-dropping-particle":"","parse-names":false,"suffix":""},{"dropping-particle":"","family":"Nader","given":"Manal","non-dropping-particle":"","parse-names":false,"suffix":""},{"dropping-particle":"","family":"Abou Dagher","given":"Manale","non-dropping-particle":"","parse-names":false,"suffix":""},{"dropping-particle":"","family":"Gebrael","given":"Karen","non-dropping-particle":"","parse-names":false,"suffix":""}],"container-title":"Journal of Coastal Conservation","id":"ITEM-5","issue":"3","issued":{"date-parts":[["2020"]]},"note":"fusion, Opt, aerial photographs, QuickBird, Landsat, Sentinel 2, object based classification","publisher":"Journal of Coastal Conservation","title":"Investigating the performance of sentinel-2A and Landsat 8 imagery in mapping shoreline changes","type":"article-journal","volume":"24"},"uris":["http://www.mendeley.com/documents/?uuid=fe1faf1a-04d6-4e91-8902-b6bb856ac1df"]},{"id":"ITEM-6","itemData":{"DOI":"10.3390/rs8100873","ISSN":"20724292","abstract":"Biomass burning is a global phenomenon and systematic burned area mapping is of increasing importance for science and applications. With high spatial resolution and novelty in band design, the recently launched Sentinel-2A satellite provides a new opportunity for moderate spatial resolution burned area mapping. This study examines the performance of the Sentinel-2A Multi Spectral Instrument (MSI) bands and derived spectral indices to differentiate between unburned and burned areas. For this purpose, five pairs of pre-fire and post-fire top of atmosphere (TOA reflectance) and atmospherically corrected (surface reflectance) images were studied. The pixel values of locations that were unburned in the first image and burned in the second image, as well as the values of locations that were unburned in both images which served as a control, were compared and the discrimination of individual bands and spectral indices were evaluated using parametric (transformed divergence) and non-parametric (decision tree) approaches. Based on the results, the most suitable MSI bands to detect burned areas are the 20 m near-infrared, short wave infrared and red-edge bands, while the performance of the spectral indices varied with location. The atmospheric correction only significantly influenced the separability of the visible wavelength bands. The results provide insights that are useful for developing Sentinel-2 burned area mapping algorithms.","author":[{"dropping-particle":"","family":"Huang","given":"Haiyan","non-dropping-particle":"","parse-names":false,"suffix":""},{"dropping-particle":"","family":"Roy","given":"David P.","non-dropping-particle":"","parse-names":false,"suffix":""},{"dropping-particle":"","family":"Boschetti","given":"Luigi","non-dropping-particle":"","parse-names":false,"suffix":""},{"dropping-particle":"","family":"Zhang","given":"Hankui K.","non-dropping-particle":"","parse-names":false,"suffix":""},{"dropping-particle":"","family":"Yan","given":"Lin","non-dropping-particle":"","parse-names":false,"suffix":""},{"dropping-particle":"","family":"Kumar","given":"Sanath Sathyachandran","non-dropping-particle":"","parse-names":false,"suffix":""},{"dropping-particle":"","family":"Gomez-Dans","given":"Jose","non-dropping-particle":"","parse-names":false,"suffix":""},{"dropping-particle":"","family":"Li","given":"Jian","non-dropping-particle":"","parse-names":false,"suffix":""}],"container-title":"Remote Sensing","id":"ITEM-6","issue":"10","issued":{"date-parts":[["2016"]]},"title":"Separability analysis of Sentinel-2A Multi-Spectral Instrument (MSI) data for burned area discrimination","type":"article-journal","volume":"8"},"uris":["http://www.mendeley.com/documents/?uuid=a3565916-a693-4fcf-918a-e2db8c9cabb1"]},{"id":"ITEM-7","itemData":{"DOI":"10.5194/isprs-annals-IV-4-W4-63-2017","ISSN":"21949050","author":[{"dropping-particle":"","family":"Al-Nahmi","given":"F.","non-dropping-particle":"","parse-names":false,"suffix":""},{"dropping-particle":"","family":"Saddiqi","given":"O.","non-dropping-particle":"","parse-names":false,"suffix":""},{"dropping-particle":"","family":"Hilali","given":"A.","non-dropping-particle":"","parse-names":false,"suffix":""},{"dropping-particle":"","family":"Rhinane","given":"H.","non-dropping-particle":"","parse-names":false,"suffix":""},{"dropping-particle":"","family":"Baidder","given":"L.","non-dropping-particle":"","parse-names":false,"suffix":""},{"dropping-particle":"","family":"Arabi","given":"H.","non-dropping-particle":"El","parse-names":false,"suffix":""},{"dropping-particle":"","family":"Khanbari","given":"K.","non-dropping-particle":"","parse-names":false,"suffix":""}],"container-title":"ISPRS Annals of the Photogrammetry, Remote Sensing and Spatial Information Sciences","id":"ITEM-7","issue":"4W4","issued":{"date-parts":[["2017"]]},"page":"63-71","title":"APPLICATION of REMOTE SENSING in GEOLOGICAL MAPPING, CASE STUDY Al MAGHRABAH AREA - HAJJAH REGION, YEMEN","type":"article-journal","volume":"4"},"uris":["http://www.mendeley.com/documents/?uuid=34095409-8198-411e-84ee-3fd38cd215b3"]}],"mendeley":{"formattedCitation":"(Al-Nahmi et al., 2017; Huang et al., 2016; Kuc &amp; Chormański, 2019; Lavreniuk et al., 2017; Mitri et al., 2020; Osgouei et al., 2019; Zollini et al., 2019)","plainTextFormattedCitation":"(Al-Nahmi et al., 2017; Huang et al., 2016; Kuc &amp; Chormański, 2019; Lavreniuk et al., 2017; Mitri et al., 2020; Osgouei et al., 2019; Zollini et al., 2019)","previouslyFormattedCitation":"(Al-Nahmi et al., 2017; Huang et al., 2016; Kuc &amp; Chormański, 2019; Lavreniuk et al., 2017; Mitri et al., 2020; Osgouei et al., 2019; Zollini et al., 2019)"},"properties":{"noteIndex":0},"schema":"https://github.com/citation-style-language/schema/raw/master/csl-citation.json"}</w:instrText>
      </w:r>
      <w:r w:rsidR="00914828">
        <w:rPr>
          <w:lang w:val="en-GB"/>
        </w:rPr>
        <w:fldChar w:fldCharType="separate"/>
      </w:r>
      <w:r w:rsidR="00FC2A96" w:rsidRPr="00FC2A96">
        <w:rPr>
          <w:noProof/>
          <w:lang w:val="en-GB"/>
        </w:rPr>
        <w:t>(Al-Nahmi et al., 2017; Huang et al., 2016; Kuc &amp; Chormański, 2019; Lavreniuk et al., 2017; Mitri et al., 2020; Osgouei et al., 2019; Zollini et al., 2019)</w:t>
      </w:r>
      <w:r w:rsidR="00914828">
        <w:rPr>
          <w:lang w:val="en-GB"/>
        </w:rPr>
        <w:fldChar w:fldCharType="end"/>
      </w:r>
      <w:r w:rsidR="0080525C">
        <w:rPr>
          <w:lang w:val="en-GB"/>
        </w:rPr>
        <w:t>.</w:t>
      </w:r>
    </w:p>
    <w:p w14:paraId="03BBB7AF" w14:textId="4D98C6FE" w:rsidR="00D15114" w:rsidRDefault="00D15114" w:rsidP="00D15114">
      <w:r>
        <w:t>The Sentinel-1 mission is a constellation of two sun-synchronous, polar-orbiting satellites, Sentinel-1A and Sentinel-1B, launched on the 3</w:t>
      </w:r>
      <w:r w:rsidRPr="00AE2F20">
        <w:rPr>
          <w:vertAlign w:val="superscript"/>
        </w:rPr>
        <w:t>rd</w:t>
      </w:r>
      <w:r>
        <w:t xml:space="preserve"> of April 2014 and 25</w:t>
      </w:r>
      <w:r w:rsidRPr="00AE2F20">
        <w:rPr>
          <w:vertAlign w:val="superscript"/>
        </w:rPr>
        <w:t>th</w:t>
      </w:r>
      <w:r>
        <w:t xml:space="preserve"> of April 2016, respectively. Bearing an active C-band Synthetic Aperture Radar (SAR) sensor, fixed at a 5.405 GHz frequency (corresponding to a wavelength of ~5.546 cm), they gain the advantage of being able to acquire imagery day and night, regardless of weather conditions </w:t>
      </w:r>
      <w:r>
        <w:fldChar w:fldCharType="begin" w:fldLock="1"/>
      </w:r>
      <w:r w:rsidR="00D81633">
        <w:instrText>ADDIN CSL_CITATION {"citationItems":[{"id":"ITEM-1","itemData":{"DOI":"10.1109/IGARSS.2014.6946711","ISBN":"978-1-4799-5775-0","author":[{"dropping-particle":"","family":"Geudtner","given":"Dirk","non-dropping-particle":"","parse-names":false,"suffix":""},{"dropping-particle":"","family":"Torres","given":"Ramon","non-dropping-particle":"","parse-names":false,"suffix":""},{"dropping-particle":"","family":"Snoeij","given":"Paul","non-dropping-particle":"","parse-names":false,"suffix":""},{"dropping-particle":"","family":"Davidson","given":"Malcolm","non-dropping-particle":"","parse-names":false,"suffix":""},{"dropping-particle":"","family":"Rommen","given":"Bjorn","non-dropping-particle":"","parse-names":false,"suffix":""}],"container-title":"2014 IEEE Geoscience and Remote Sensing Symposium","id":"ITEM-1","issued":{"date-parts":[["2014","7"]]},"page":"1457-1460","publisher":"IEEE","title":"Sentinel-1 System capabilities and applications","type":"paper-conference"},"uris":["http://www.mendeley.com/documents/?uuid=1dd48a7e-bda2-4185-b832-983534c69be0"]}],"mendeley":{"formattedCitation":"(Geudtner et al., 2014)","plainTextFormattedCitation":"(Geudtner et al., 2014)","previouslyFormattedCitation":"(Geudtner et al., 2014)"},"properties":{"noteIndex":0},"schema":"https://github.com/citation-style-language/schema/raw/master/csl-citation.json"}</w:instrText>
      </w:r>
      <w:r>
        <w:fldChar w:fldCharType="separate"/>
      </w:r>
      <w:r w:rsidRPr="00CA51AB">
        <w:rPr>
          <w:noProof/>
        </w:rPr>
        <w:t>(Geudtner et al., 2014)</w:t>
      </w:r>
      <w:r>
        <w:fldChar w:fldCharType="end"/>
      </w:r>
      <w:r>
        <w:t>. Sentinel-1 operates in four exclusive acquisition modes and</w:t>
      </w:r>
      <w:r w:rsidRPr="00A70284">
        <w:t xml:space="preserve"> </w:t>
      </w:r>
      <w:r>
        <w:t xml:space="preserve">supports operation either in single (HH or VV) or dual (HH + HV or VV + VH) polarization. However, the </w:t>
      </w:r>
      <w:bookmarkStart w:id="12" w:name="_Hlk63181085"/>
      <w:r>
        <w:t>Interferometric Wide swath</w:t>
      </w:r>
      <w:bookmarkEnd w:id="12"/>
      <w:r>
        <w:t xml:space="preserve"> (IW) mode, with VV + VH polarization, is the main operational mode, offering a balance between consistent and efficient performance and decreasing operational costs. The spatial resolution in the IW mode of Sentinel-1 is 20 m and the revisit time of the constellation is six days at the Equator </w:t>
      </w:r>
      <w:r>
        <w:fldChar w:fldCharType="begin" w:fldLock="1"/>
      </w:r>
      <w:r>
        <w:instrText>ADDIN CSL_CITATION {"citationItems":[{"id":"ITEM-1","itemData":{"URL":"https://sentinel.esa.int/web/sentinel/missions/sentinel-1","accessed":{"date-parts":[["2021","2","2"]]},"author":[{"dropping-particle":"","family":"ESA","given":"","non-dropping-particle":"","parse-names":false,"suffix":""}],"container-title":"Sentinel Online","id":"ITEM-1","issued":{"date-parts":[["2020"]]},"title":"Missions - Sentinel-1 ","type":"webpage"},"uris":["http://www.mendeley.com/documents/?uuid=4f68ea18-24e2-3cba-a91c-e536f63bb059"]}],"mendeley":{"formattedCitation":"(ESA, 2020a)","plainTextFormattedCitation":"(ESA, 2020a)","previouslyFormattedCitation":"(ESA, 2020a)"},"properties":{"noteIndex":0},"schema":"https://github.com/citation-style-language/schema/raw/master/csl-citation.json"}</w:instrText>
      </w:r>
      <w:r>
        <w:fldChar w:fldCharType="separate"/>
      </w:r>
      <w:r w:rsidRPr="002156A8">
        <w:rPr>
          <w:noProof/>
        </w:rPr>
        <w:t>(ESA, 2020a)</w:t>
      </w:r>
      <w:r>
        <w:fldChar w:fldCharType="end"/>
      </w:r>
      <w:r>
        <w:t>.</w:t>
      </w:r>
    </w:p>
    <w:p w14:paraId="5382795C" w14:textId="35D524A1" w:rsidR="00D15114" w:rsidRDefault="00D15114" w:rsidP="00D15114">
      <w:r>
        <w:t>The Sentinel-2 mission is also a constellation of two sun-synchronous, polar-orbiting satellites, Sentinel-2A and Sentinel-2B, launched on the 23</w:t>
      </w:r>
      <w:r w:rsidRPr="00896A87">
        <w:rPr>
          <w:vertAlign w:val="superscript"/>
        </w:rPr>
        <w:t>rd</w:t>
      </w:r>
      <w:r>
        <w:t xml:space="preserve"> of June 2015 and on the 7</w:t>
      </w:r>
      <w:r w:rsidRPr="00896A87">
        <w:rPr>
          <w:vertAlign w:val="superscript"/>
        </w:rPr>
        <w:t>th</w:t>
      </w:r>
      <w:r>
        <w:t xml:space="preserve"> of March 2017, respectively. Sentinel</w:t>
      </w:r>
      <w:r w:rsidRPr="00896A87">
        <w:t xml:space="preserve">-2 </w:t>
      </w:r>
      <w:r>
        <w:t>is equipped with</w:t>
      </w:r>
      <w:r w:rsidRPr="00896A87">
        <w:t xml:space="preserve"> an optical</w:t>
      </w:r>
      <w:r>
        <w:t xml:space="preserve"> </w:t>
      </w:r>
      <w:r w:rsidR="00E967D4">
        <w:t>Multispectral</w:t>
      </w:r>
      <w:r>
        <w:t xml:space="preserve"> Instrument (MSI)</w:t>
      </w:r>
      <w:r w:rsidRPr="00896A87">
        <w:t xml:space="preserve"> </w:t>
      </w:r>
      <w:r>
        <w:t>acquiring imag</w:t>
      </w:r>
      <w:r w:rsidRPr="00896A87">
        <w:t>es</w:t>
      </w:r>
      <w:r>
        <w:t xml:space="preserve"> in</w:t>
      </w:r>
      <w:r w:rsidRPr="00896A87">
        <w:t xml:space="preserve"> 13 spectral bands: four bands at 10 m, six bands at 20 m and three bands at 60 m spatial resolution.</w:t>
      </w:r>
      <w:r>
        <w:t xml:space="preserve"> The full mission of the twin satellites is designed in a way that they will be able to offer global coverage and a revisiting time of five days at the Equator </w:t>
      </w:r>
      <w:r>
        <w:fldChar w:fldCharType="begin" w:fldLock="1"/>
      </w:r>
      <w:r>
        <w:instrText>ADDIN CSL_CITATION {"citationItems":[{"id":"ITEM-1","itemData":{"URL":"https://sentinel.esa.int/web/sentinel/missions/sentinel-2","accessed":{"date-parts":[["2021","1","30"]]},"author":[{"dropping-particle":"","family":"ESA","given":"","non-dropping-particle":"","parse-names":false,"suffix":""}],"container-title":"Sentinel Online","id":"ITEM-1","issued":{"date-parts":[["2020"]]},"title":"Missions - Sentinel-2","type":"webpage"},"uris":["http://www.mendeley.com/documents/?uuid=0bc439be-b64a-3f77-a7f1-80b315aa76cf"]}],"mendeley":{"formattedCitation":"(ESA, 2020b)","plainTextFormattedCitation":"(ESA, 2020b)","previouslyFormattedCitation":"(ESA, 2020b)"},"properties":{"noteIndex":0},"schema":"https://github.com/citation-style-language/schema/raw/master/csl-citation.json"}</w:instrText>
      </w:r>
      <w:r>
        <w:fldChar w:fldCharType="separate"/>
      </w:r>
      <w:r w:rsidRPr="002156A8">
        <w:rPr>
          <w:noProof/>
        </w:rPr>
        <w:t>(ESA, 2020b)</w:t>
      </w:r>
      <w:r>
        <w:fldChar w:fldCharType="end"/>
      </w:r>
      <w:r>
        <w:t xml:space="preserve">. </w:t>
      </w:r>
    </w:p>
    <w:p w14:paraId="710FAF6E" w14:textId="4DC1017F" w:rsidR="0005700E" w:rsidRDefault="0005700E" w:rsidP="00D15114">
      <w:r>
        <w:t xml:space="preserve">These missions provide image products of </w:t>
      </w:r>
      <w:r w:rsidR="00D75415">
        <w:t xml:space="preserve">different levels of processing. </w:t>
      </w:r>
      <w:r w:rsidR="00345FC9">
        <w:t>Regarding the Sentinel-1 mission,</w:t>
      </w:r>
      <w:r w:rsidR="00BE28F2">
        <w:t xml:space="preserve"> the</w:t>
      </w:r>
      <w:r w:rsidR="00345FC9">
        <w:t xml:space="preserve"> Level-1 </w:t>
      </w:r>
      <w:r w:rsidR="00BE28F2" w:rsidRPr="00BE28F2">
        <w:t>processing Ground Range Detected (GRD) products</w:t>
      </w:r>
      <w:r w:rsidR="009E1C19">
        <w:t xml:space="preserve"> </w:t>
      </w:r>
      <w:r w:rsidR="009E1C19">
        <w:lastRenderedPageBreak/>
        <w:t>were utilized</w:t>
      </w:r>
      <w:r w:rsidR="009B2D2C">
        <w:t xml:space="preserve"> in this </w:t>
      </w:r>
      <w:r w:rsidR="00FE7DFB">
        <w:t>task</w:t>
      </w:r>
      <w:r w:rsidR="009E1C19">
        <w:t xml:space="preserve">, which </w:t>
      </w:r>
      <w:r w:rsidR="0015271F" w:rsidRPr="0015271F">
        <w:t>consist of focused SAR data that have been detected, multi-looked and projected to ground range using the Earth ellipsoid model WGS 84 (ESA, 2020c).</w:t>
      </w:r>
      <w:r w:rsidR="004A19E1">
        <w:t xml:space="preserve"> </w:t>
      </w:r>
      <w:r w:rsidR="00F53BE2">
        <w:t xml:space="preserve">The image collection in GEE is updated daily and new </w:t>
      </w:r>
      <w:r w:rsidR="00F53BE2" w:rsidRPr="00F53BE2">
        <w:t>assets are ingested within two days after they become available.</w:t>
      </w:r>
      <w:r w:rsidR="00F53BE2">
        <w:t xml:space="preserve"> </w:t>
      </w:r>
      <w:r w:rsidR="00FB742C">
        <w:t xml:space="preserve">Earth Engine </w:t>
      </w:r>
      <w:r w:rsidR="00E86B43">
        <w:t xml:space="preserve">further </w:t>
      </w:r>
      <w:r w:rsidR="00FB742C">
        <w:t>applies the following pre-proce</w:t>
      </w:r>
      <w:r w:rsidR="008569E4">
        <w:t xml:space="preserve">ssing steps for each </w:t>
      </w:r>
      <w:r w:rsidR="00A96D41">
        <w:t>scene</w:t>
      </w:r>
      <w:r w:rsidR="0080018D">
        <w:t xml:space="preserve">: </w:t>
      </w:r>
      <w:r w:rsidR="0080018D" w:rsidRPr="00E86B43">
        <w:rPr>
          <w:i/>
          <w:iCs/>
        </w:rPr>
        <w:t xml:space="preserve">Apply orbit file, </w:t>
      </w:r>
      <w:r w:rsidR="00414B08" w:rsidRPr="00E86B43">
        <w:rPr>
          <w:i/>
          <w:iCs/>
        </w:rPr>
        <w:t>GRD border noise removal, Thermal noise removal, Radiometric calibration,</w:t>
      </w:r>
      <w:r w:rsidR="00643CF8" w:rsidRPr="00E86B43">
        <w:rPr>
          <w:i/>
          <w:iCs/>
        </w:rPr>
        <w:t xml:space="preserve"> </w:t>
      </w:r>
      <w:r w:rsidR="00643CF8" w:rsidRPr="00E86B43">
        <w:t>and</w:t>
      </w:r>
      <w:r w:rsidR="00414B08" w:rsidRPr="00E86B43">
        <w:rPr>
          <w:i/>
          <w:iCs/>
        </w:rPr>
        <w:t xml:space="preserve"> Terrain correction</w:t>
      </w:r>
      <w:r w:rsidR="00643CF8">
        <w:t xml:space="preserve">. </w:t>
      </w:r>
      <w:r w:rsidR="00643CF8" w:rsidRPr="00643CF8">
        <w:t xml:space="preserve">The </w:t>
      </w:r>
      <w:r w:rsidR="00062FDC">
        <w:t>latter</w:t>
      </w:r>
      <w:r w:rsidR="00643CF8" w:rsidRPr="00643CF8">
        <w:t xml:space="preserve"> terrain-corrected values are </w:t>
      </w:r>
      <w:r w:rsidR="00062FDC">
        <w:t xml:space="preserve">finally </w:t>
      </w:r>
      <w:r w:rsidR="00643CF8" w:rsidRPr="00643CF8">
        <w:t>converted to decibels via log scaling (10*log10(x))</w:t>
      </w:r>
      <w:r w:rsidR="00D81633">
        <w:t xml:space="preserve"> </w:t>
      </w:r>
      <w:r w:rsidR="00D81633">
        <w:fldChar w:fldCharType="begin" w:fldLock="1"/>
      </w:r>
      <w:r w:rsidR="00A42118">
        <w:instrText>ADDIN CSL_CITATION {"citationItems":[{"id":"ITEM-1","itemData":{"URL":"https://developers.google.com/earth-engine/guides/sentinel1","accessed":{"date-parts":[["2021","11","15"]]},"author":[{"dropping-particle":"","family":"Google developers","given":"","non-dropping-particle":"","parse-names":false,"suffix":""}],"container-title":"Google Earth Engine","id":"ITEM-1","issued":{"date-parts":[["2021"]]},"title":"Sentinel-1 Algorithms","type":"webpage"},"uris":["http://www.mendeley.com/documents/?uuid=729f9534-cb67-381e-bd68-5e793bdc1928"]}],"mendeley":{"formattedCitation":"(Google developers, 2021)","plainTextFormattedCitation":"(Google developers, 2021)","previouslyFormattedCitation":"(Google developers, 2021)"},"properties":{"noteIndex":0},"schema":"https://github.com/citation-style-language/schema/raw/master/csl-citation.json"}</w:instrText>
      </w:r>
      <w:r w:rsidR="00D81633">
        <w:fldChar w:fldCharType="separate"/>
      </w:r>
      <w:r w:rsidR="00CD10E8" w:rsidRPr="00CD10E8">
        <w:rPr>
          <w:noProof/>
        </w:rPr>
        <w:t>(Google developers, 2021)</w:t>
      </w:r>
      <w:r w:rsidR="00D81633">
        <w:fldChar w:fldCharType="end"/>
      </w:r>
      <w:r w:rsidR="00D81633">
        <w:t>.</w:t>
      </w:r>
      <w:r w:rsidR="00653888">
        <w:t xml:space="preserve"> </w:t>
      </w:r>
      <w:r w:rsidR="00CA4C0D">
        <w:t>For Sentinel-2</w:t>
      </w:r>
      <w:r w:rsidR="00F9651A">
        <w:t xml:space="preserve">, two datasets </w:t>
      </w:r>
      <w:r w:rsidR="000160C3">
        <w:t xml:space="preserve">can be found in the catalog </w:t>
      </w:r>
      <w:r w:rsidR="00186665">
        <w:t xml:space="preserve">of </w:t>
      </w:r>
      <w:r w:rsidR="004D71F9">
        <w:t xml:space="preserve">Google </w:t>
      </w:r>
      <w:r w:rsidR="00186665">
        <w:t xml:space="preserve">Earth </w:t>
      </w:r>
      <w:r w:rsidR="00DA72B9">
        <w:t>Engine:</w:t>
      </w:r>
      <w:r w:rsidR="00186665">
        <w:t xml:space="preserve"> </w:t>
      </w:r>
      <w:r w:rsidR="00C50FC3">
        <w:t>The</w:t>
      </w:r>
      <w:r w:rsidR="006E266F">
        <w:t xml:space="preserve"> </w:t>
      </w:r>
      <w:r w:rsidR="006E266F" w:rsidRPr="006E266F">
        <w:t>Level-1C orthorectified top-of-atmosphere reflectance</w:t>
      </w:r>
      <w:r w:rsidR="00394B60">
        <w:t xml:space="preserve"> and the </w:t>
      </w:r>
      <w:r w:rsidR="00394B60" w:rsidRPr="00394B60">
        <w:t>Level-2A orthorectified atmospherically corrected surface reflectance.</w:t>
      </w:r>
      <w:r w:rsidR="00394B60">
        <w:t xml:space="preserve"> </w:t>
      </w:r>
      <w:proofErr w:type="gramStart"/>
      <w:r w:rsidR="00494E49">
        <w:t xml:space="preserve">In </w:t>
      </w:r>
      <w:r w:rsidR="00A30D05">
        <w:t>order to</w:t>
      </w:r>
      <w:proofErr w:type="gramEnd"/>
      <w:r w:rsidR="00A30D05">
        <w:t xml:space="preserve"> </w:t>
      </w:r>
      <w:r w:rsidR="003A17F4">
        <w:t>minimize</w:t>
      </w:r>
      <w:r w:rsidR="009F552F">
        <w:t xml:space="preserve"> the </w:t>
      </w:r>
      <w:r w:rsidR="003A17F4">
        <w:t xml:space="preserve">atmosphere’s </w:t>
      </w:r>
      <w:r w:rsidR="009F552F">
        <w:t xml:space="preserve">scattering and absorption effects </w:t>
      </w:r>
      <w:r w:rsidR="003A17F4">
        <w:t xml:space="preserve">from the </w:t>
      </w:r>
      <w:r w:rsidR="00C6342D">
        <w:t>scenes, the Sentinel-2</w:t>
      </w:r>
      <w:r w:rsidR="00DA72B9">
        <w:t xml:space="preserve"> </w:t>
      </w:r>
      <w:r w:rsidR="00C50FC3">
        <w:t xml:space="preserve">Surface Reflectance </w:t>
      </w:r>
      <w:r w:rsidR="00273053">
        <w:t xml:space="preserve">(SR) </w:t>
      </w:r>
      <w:r w:rsidR="00DA72B9">
        <w:t xml:space="preserve">image collection </w:t>
      </w:r>
      <w:r w:rsidR="004D71F9">
        <w:t>was</w:t>
      </w:r>
      <w:r w:rsidR="00DA72B9">
        <w:t xml:space="preserve"> used</w:t>
      </w:r>
      <w:r w:rsidR="00ED553A">
        <w:t>.</w:t>
      </w:r>
    </w:p>
    <w:p w14:paraId="063425A8" w14:textId="67E2E9BB" w:rsidR="0080525C" w:rsidRDefault="00B82F3D" w:rsidP="00D75928">
      <w:r>
        <w:t xml:space="preserve">Another product that </w:t>
      </w:r>
      <w:r w:rsidR="004D71F9">
        <w:t>was</w:t>
      </w:r>
      <w:r>
        <w:t xml:space="preserve"> </w:t>
      </w:r>
      <w:r w:rsidR="008A2F51">
        <w:t>deployed in this study is the</w:t>
      </w:r>
      <w:r w:rsidR="00CF2C32">
        <w:t xml:space="preserve"> </w:t>
      </w:r>
      <w:r w:rsidR="00CF2C32" w:rsidRPr="00CF2C32">
        <w:t>Land Cover Map of Europe 2017</w:t>
      </w:r>
      <w:r w:rsidR="00CF2C32">
        <w:t>, which</w:t>
      </w:r>
      <w:r w:rsidR="00CF2C32" w:rsidRPr="00CF2C32">
        <w:t xml:space="preserve"> is a product resulting from the Phase 2 of the</w:t>
      </w:r>
      <w:r w:rsidR="008A2F51">
        <w:t xml:space="preserve"> </w:t>
      </w:r>
      <w:r w:rsidR="00886901">
        <w:t>Sentinel-2 Global Land Cover</w:t>
      </w:r>
      <w:r w:rsidR="00C70B25">
        <w:t xml:space="preserve"> (S2GLC) 2017 </w:t>
      </w:r>
      <w:r w:rsidR="00E2292C">
        <w:t>project</w:t>
      </w:r>
      <w:r w:rsidR="00C70B25">
        <w:t>.</w:t>
      </w:r>
      <w:r w:rsidR="00271E5F">
        <w:t xml:space="preserve"> </w:t>
      </w:r>
      <w:r w:rsidR="00121E81" w:rsidRPr="00121E81">
        <w:t xml:space="preserve">The S2GLC 2017 product </w:t>
      </w:r>
      <w:r w:rsidR="00DB4A63">
        <w:t>demonstrates the</w:t>
      </w:r>
      <w:r w:rsidR="00121E81" w:rsidRPr="00121E81">
        <w:t xml:space="preserve"> land cover classification of </w:t>
      </w:r>
      <w:r w:rsidR="00DB4A63">
        <w:t>most</w:t>
      </w:r>
      <w:r w:rsidR="00121E81" w:rsidRPr="00121E81">
        <w:t xml:space="preserve"> of the European continent. The classification </w:t>
      </w:r>
      <w:r w:rsidR="00246D22">
        <w:t>was</w:t>
      </w:r>
      <w:r w:rsidR="00121E81" w:rsidRPr="00121E81">
        <w:t xml:space="preserve"> performed using multi-temporal Sentinel-2 data collected during the year 2017 </w:t>
      </w:r>
      <w:r w:rsidR="00C90CB9">
        <w:t xml:space="preserve">by applying </w:t>
      </w:r>
      <w:r w:rsidR="00271E5F">
        <w:t>the</w:t>
      </w:r>
      <w:r w:rsidR="00C90CB9" w:rsidRPr="00C90CB9">
        <w:t xml:space="preserve"> random forest classifier and existing land cover/use databases as the source of training samples</w:t>
      </w:r>
      <w:r w:rsidR="00121E81" w:rsidRPr="00121E81">
        <w:t>. The S2GLC 2017 dataset is delivered with 10 m spatial resolution with</w:t>
      </w:r>
      <w:r w:rsidR="004D71F9">
        <w:t xml:space="preserve"> a</w:t>
      </w:r>
      <w:r w:rsidR="00121E81" w:rsidRPr="00121E81">
        <w:t xml:space="preserve"> thematic legend composed of 13 land cover classes</w:t>
      </w:r>
      <w:r w:rsidR="001A0110">
        <w:t xml:space="preserve"> and </w:t>
      </w:r>
      <w:r w:rsidR="005D2F4A">
        <w:t xml:space="preserve">a thematic overall accuracy of 86.1% on a </w:t>
      </w:r>
      <w:r w:rsidR="00772E76">
        <w:t>continental scale</w:t>
      </w:r>
      <w:r w:rsidR="00271E5F">
        <w:t xml:space="preserve"> </w:t>
      </w:r>
      <w:r w:rsidR="00A42118">
        <w:fldChar w:fldCharType="begin" w:fldLock="1"/>
      </w:r>
      <w:r w:rsidR="00FD35BE">
        <w:instrText>ADDIN CSL_CITATION {"citationItems":[{"id":"ITEM-1","itemData":{"author":[{"dropping-particle":"","family":"Malinowski","given":"Radek","non-dropping-particle":"","parse-names":false,"suffix":""},{"dropping-particle":"","family":"Lewiński","given":"Stanisław","non-dropping-particle":"","parse-names":false,"suffix":""},{"dropping-particle":"","family":"Rybicki","given":"Marcin","non-dropping-particle":"","parse-names":false,"suffix":""},{"dropping-particle":"","family":"Gromny","given":"Ewa","non-dropping-particle":"","parse-names":false,"suffix":""},{"dropping-particle":"","family":"Jenerowicz","given":"Małgorzata","non-dropping-particle":"","parse-names":false,"suffix":""},{"dropping-particle":"","family":"Krupiński","given":"Michał","non-dropping-particle":"","parse-names":false,"suffix":""},{"dropping-particle":"","family":"Nowakowski","given":"Artur","non-dropping-particle":"","parse-names":false,"suffix":""},{"dropping-particle":"","family":"Wojtkowski","given":"Cezary","non-dropping-particle":"","parse-names":false,"suffix":""},{"dropping-particle":"","family":"Krupiński","given":"Marcin","non-dropping-particle":"","parse-names":false,"suffix":""},{"dropping-particle":"","family":"Krätzschmar","given":"Elke","non-dropping-particle":"","parse-names":false,"suffix":""}],"container-title":"Remote Sensing","id":"ITEM-1","issue":"21","issued":{"date-parts":[["2020"]]},"page":"3523","publisher":"Multidisciplinary Digital Publishing Institute","title":"Automated Production of a Land Cover/Use Map of Europe Based on Sentinel-2 Imagery","type":"article-journal","volume":"12"},"uris":["http://www.mendeley.com/documents/?uuid=0e89325d-614d-40ca-a240-274cd154d072"]}],"mendeley":{"formattedCitation":"(Malinowski et al., 2020)","plainTextFormattedCitation":"(Malinowski et al., 2020)","previouslyFormattedCitation":"(Malinowski et al., 2020)"},"properties":{"noteIndex":0},"schema":"https://github.com/citation-style-language/schema/raw/master/csl-citation.json"}</w:instrText>
      </w:r>
      <w:r w:rsidR="00A42118">
        <w:fldChar w:fldCharType="separate"/>
      </w:r>
      <w:r w:rsidR="00A42118" w:rsidRPr="00A42118">
        <w:rPr>
          <w:noProof/>
        </w:rPr>
        <w:t>(Malinowski et al., 2020)</w:t>
      </w:r>
      <w:r w:rsidR="00A42118">
        <w:fldChar w:fldCharType="end"/>
      </w:r>
      <w:r w:rsidR="00A42118">
        <w:t>.</w:t>
      </w:r>
    </w:p>
    <w:p w14:paraId="4B9845FB" w14:textId="54C52CDC" w:rsidR="00C0559D" w:rsidRDefault="5F5AC512" w:rsidP="00F33D01">
      <w:r>
        <w:t>In addition, one of the outcomes of the Task 2.3 is going to be integrated in this methodology, the binary mask with 2 classes (Marginal Lands and No Marginal Lands), called as “</w:t>
      </w:r>
      <w:proofErr w:type="spellStart"/>
      <w:r>
        <w:t>ML_Hard</w:t>
      </w:r>
      <w:proofErr w:type="spellEnd"/>
      <w:r>
        <w:t xml:space="preserve"> thresholds” layer in D2.3</w:t>
      </w:r>
      <w:r w:rsidR="00AC35A7">
        <w:t xml:space="preserve"> </w:t>
      </w:r>
      <w:r w:rsidR="00AC35A7">
        <w:fldChar w:fldCharType="begin" w:fldLock="1"/>
      </w:r>
      <w:r w:rsidR="009F6F4C">
        <w:instrText>ADDIN CSL_CITATION {"citationItems":[{"id":"ITEM-1","itemData":{"author":[{"dropping-particle":"","family":"Conejo","given":"Gómez Rodrigo","non-dropping-particle":"","parse-names":false,"suffix":""},{"dropping-particle":"","family":"Verde","given":"Natalia","non-dropping-particle":"","parse-names":false,"suffix":""},{"dropping-particle":"","family":"Georgiadis","given":"Charalampos","non-dropping-particle":"","parse-names":false,"suffix":""},{"dropping-particle":"","family":"Tassopoulou","given":"Maria","non-dropping-particle":"","parse-names":false,"suffix":""},{"dropping-particle":"","family":"Krupinski","given":"Michal","non-dropping-particle":"","parse-names":false,"suffix":""},{"dropping-particle":"","family":"Grommy","given":"Ewa","non-dropping-particle":"","parse-names":false,"suffix":""},{"dropping-particle":"","family":"Aleksandrowicz","given":"Sebastian","non-dropping-particle":"","parse-names":false,"suffix":""},{"dropping-particle":"","family":"Pérez","given":"Torralba Jesús","non-dropping-particle":"","parse-names":false,"suffix":""}],"container-title":"MAIL: Identifying Marginal Lands in Europe and strengthening their contribution potentialities in a CO2 sequestration strategy","id":"ITEM-1","issued":{"date-parts":[["2021"]]},"number-of-pages":"1-168","title":"D2.3 | Report on Methodology development","type":"report"},"uris":["http://www.mendeley.com/documents/?uuid=f48d3030-ab4a-43a1-98d0-61da0e9033db"]}],"mendeley":{"formattedCitation":"(Conejo et al., 2021)","manualFormatting":"Conejo et al., (2021)","plainTextFormattedCitation":"(Conejo et al., 2021)","previouslyFormattedCitation":"(Conejo et al., 2021)"},"properties":{"noteIndex":0},"schema":"https://github.com/citation-style-language/schema/raw/master/csl-citation.json"}</w:instrText>
      </w:r>
      <w:r w:rsidR="00AC35A7">
        <w:fldChar w:fldCharType="separate"/>
      </w:r>
      <w:r w:rsidR="00AC35A7" w:rsidRPr="00AC35A7">
        <w:rPr>
          <w:noProof/>
        </w:rPr>
        <w:t xml:space="preserve">Conejo et al., </w:t>
      </w:r>
      <w:r w:rsidR="00483DB9">
        <w:rPr>
          <w:noProof/>
        </w:rPr>
        <w:t>(</w:t>
      </w:r>
      <w:r w:rsidR="00AC35A7" w:rsidRPr="00AC35A7">
        <w:rPr>
          <w:noProof/>
        </w:rPr>
        <w:t>2021)</w:t>
      </w:r>
      <w:r w:rsidR="00AC35A7">
        <w:fldChar w:fldCharType="end"/>
      </w:r>
      <w:r>
        <w:t>. Starting from the whole European area, areas that do not meet the requirements of the definition of Marginal Lands are incrementally excluded based on land cover type (i.e., urban areas, protected areas, water and forest areas, areas covered with snow, and more). The outcome of this procedure is the “</w:t>
      </w:r>
      <w:proofErr w:type="spellStart"/>
      <w:r>
        <w:t>ML_Hard</w:t>
      </w:r>
      <w:proofErr w:type="spellEnd"/>
      <w:r>
        <w:t xml:space="preserve"> thresholds” layer, entailing all the potentially suitable for plantation MLs. The accuracy assessment performed on the Task 2.4 for the </w:t>
      </w:r>
      <w:proofErr w:type="gramStart"/>
      <w:r>
        <w:t>aforementioned layer</w:t>
      </w:r>
      <w:proofErr w:type="gramEnd"/>
      <w:r>
        <w:t xml:space="preserve"> manifested an overall accuracy of 67.73% for all the testing sites merged.</w:t>
      </w:r>
    </w:p>
    <w:p w14:paraId="7B6CCA0C" w14:textId="125AB1BE" w:rsidR="00A83A24" w:rsidRDefault="00A83A24" w:rsidP="00F33D01">
      <w:r>
        <w:t>Finally</w:t>
      </w:r>
      <w:r w:rsidR="00DC5AB9">
        <w:t xml:space="preserve">, </w:t>
      </w:r>
      <w:proofErr w:type="gramStart"/>
      <w:r w:rsidR="00DC5AB9">
        <w:t xml:space="preserve">in order </w:t>
      </w:r>
      <w:r w:rsidR="00062353">
        <w:t>to</w:t>
      </w:r>
      <w:proofErr w:type="gramEnd"/>
      <w:r w:rsidR="00062353">
        <w:t xml:space="preserve"> be able to compare the </w:t>
      </w:r>
      <w:r w:rsidR="00647FA2">
        <w:t>performance</w:t>
      </w:r>
      <w:r w:rsidR="00062353">
        <w:t xml:space="preserve"> of this methodology with the </w:t>
      </w:r>
      <w:r w:rsidR="00647FA2">
        <w:t>one followed in the Task 2.3</w:t>
      </w:r>
      <w:r w:rsidR="00EC0D6B">
        <w:t xml:space="preserve">, the </w:t>
      </w:r>
      <w:r w:rsidR="00D9242F">
        <w:t xml:space="preserve">ML and </w:t>
      </w:r>
      <w:proofErr w:type="spellStart"/>
      <w:r w:rsidR="00D9242F">
        <w:t>nML</w:t>
      </w:r>
      <w:proofErr w:type="spellEnd"/>
      <w:r w:rsidR="00EC0D6B">
        <w:t xml:space="preserve"> validation polygons provided for the scope of </w:t>
      </w:r>
      <w:r w:rsidR="00EC0D6B">
        <w:lastRenderedPageBreak/>
        <w:t>the</w:t>
      </w:r>
      <w:r w:rsidR="003A406A">
        <w:t xml:space="preserve"> Accuracy Assessment on Task 2.4 will be </w:t>
      </w:r>
      <w:r w:rsidR="00580A4F">
        <w:t>utilized.</w:t>
      </w:r>
      <w:r w:rsidR="00F53A01">
        <w:t xml:space="preserve"> This dataset will also be </w:t>
      </w:r>
      <w:proofErr w:type="gramStart"/>
      <w:r w:rsidR="00473AA2">
        <w:t>a valuable asset</w:t>
      </w:r>
      <w:proofErr w:type="gramEnd"/>
      <w:r w:rsidR="00473AA2">
        <w:t xml:space="preserve"> </w:t>
      </w:r>
      <w:r w:rsidR="00534492">
        <w:t>for the Case Study</w:t>
      </w:r>
      <w:r w:rsidR="00B119A9">
        <w:t xml:space="preserve"> </w:t>
      </w:r>
      <w:r w:rsidR="00736895">
        <w:t>described in detail in</w:t>
      </w:r>
      <w:r w:rsidR="00CD5BB9">
        <w:t xml:space="preserve"> Chapter </w:t>
      </w:r>
      <w:r w:rsidR="00CD5BB9">
        <w:fldChar w:fldCharType="begin"/>
      </w:r>
      <w:r w:rsidR="00CD5BB9">
        <w:instrText xml:space="preserve"> REF _Ref90841659 \r \h </w:instrText>
      </w:r>
      <w:r w:rsidR="00CD5BB9">
        <w:fldChar w:fldCharType="separate"/>
      </w:r>
      <w:r w:rsidR="00D4790B">
        <w:t>6</w:t>
      </w:r>
      <w:r w:rsidR="00CD5BB9">
        <w:fldChar w:fldCharType="end"/>
      </w:r>
      <w:r w:rsidR="00CD5BB9">
        <w:t xml:space="preserve"> “</w:t>
      </w:r>
      <w:r w:rsidR="00CD5BB9">
        <w:fldChar w:fldCharType="begin"/>
      </w:r>
      <w:r w:rsidR="00CD5BB9">
        <w:instrText xml:space="preserve"> REF _Ref90841662 \h </w:instrText>
      </w:r>
      <w:r w:rsidR="00CD5BB9">
        <w:fldChar w:fldCharType="separate"/>
      </w:r>
      <w:r w:rsidR="00D4790B">
        <w:rPr>
          <w:lang w:val="en-GB"/>
        </w:rPr>
        <w:t>Case study</w:t>
      </w:r>
      <w:r w:rsidR="00CD5BB9">
        <w:fldChar w:fldCharType="end"/>
      </w:r>
      <w:r w:rsidR="003E3E4A">
        <w:t>”</w:t>
      </w:r>
      <w:r w:rsidR="00736895">
        <w:t>.</w:t>
      </w:r>
    </w:p>
    <w:p w14:paraId="36808583" w14:textId="18A71870" w:rsidR="009B3BE6" w:rsidRDefault="00662771" w:rsidP="00C25F91">
      <w:pPr>
        <w:pStyle w:val="Heading1"/>
        <w:rPr>
          <w:lang w:val="en-GB"/>
        </w:rPr>
      </w:pPr>
      <w:bookmarkStart w:id="13" w:name="_Toc89270291"/>
      <w:bookmarkStart w:id="14" w:name="_Toc89270292"/>
      <w:bookmarkStart w:id="15" w:name="_Toc89270293"/>
      <w:bookmarkStart w:id="16" w:name="_Toc89270294"/>
      <w:bookmarkStart w:id="17" w:name="_Toc89270295"/>
      <w:bookmarkStart w:id="18" w:name="_Toc89270296"/>
      <w:bookmarkStart w:id="19" w:name="_Toc89270297"/>
      <w:bookmarkStart w:id="20" w:name="_Toc91583665"/>
      <w:bookmarkEnd w:id="13"/>
      <w:bookmarkEnd w:id="14"/>
      <w:bookmarkEnd w:id="15"/>
      <w:bookmarkEnd w:id="16"/>
      <w:bookmarkEnd w:id="17"/>
      <w:bookmarkEnd w:id="18"/>
      <w:bookmarkEnd w:id="19"/>
      <w:r>
        <w:rPr>
          <w:lang w:val="en-GB"/>
        </w:rPr>
        <w:t>Workflow development</w:t>
      </w:r>
      <w:bookmarkEnd w:id="20"/>
    </w:p>
    <w:p w14:paraId="66AF9D27" w14:textId="5CFF2146" w:rsidR="007A15D7" w:rsidRDefault="00571FB0" w:rsidP="007A15D7">
      <w:pPr>
        <w:tabs>
          <w:tab w:val="left" w:pos="2707"/>
        </w:tabs>
        <w:rPr>
          <w:lang w:val="en-GB"/>
        </w:rPr>
      </w:pPr>
      <w:r>
        <w:rPr>
          <w:lang w:val="en-GB"/>
        </w:rPr>
        <w:t>In this Chapter</w:t>
      </w:r>
      <w:r w:rsidR="00A878B1">
        <w:rPr>
          <w:lang w:val="en-GB"/>
        </w:rPr>
        <w:t xml:space="preserve">, the steps that were followed for the </w:t>
      </w:r>
      <w:r w:rsidR="008B764B">
        <w:rPr>
          <w:lang w:val="en-GB"/>
        </w:rPr>
        <w:t>development of the MLs detection algorithm will be described</w:t>
      </w:r>
      <w:r w:rsidR="005A02D2">
        <w:rPr>
          <w:lang w:val="en-GB"/>
        </w:rPr>
        <w:t xml:space="preserve">. </w:t>
      </w:r>
      <w:r w:rsidR="008C4ED9">
        <w:rPr>
          <w:lang w:val="en-GB"/>
        </w:rPr>
        <w:t>This however proved</w:t>
      </w:r>
      <w:r w:rsidR="008A6069">
        <w:rPr>
          <w:lang w:val="en-GB"/>
        </w:rPr>
        <w:t xml:space="preserve"> to be a</w:t>
      </w:r>
      <w:r w:rsidR="008C4ED9">
        <w:rPr>
          <w:lang w:val="en-GB"/>
        </w:rPr>
        <w:t xml:space="preserve"> </w:t>
      </w:r>
      <w:r w:rsidR="00AB45AA">
        <w:rPr>
          <w:lang w:val="en-GB"/>
        </w:rPr>
        <w:t xml:space="preserve">challenging </w:t>
      </w:r>
      <w:r w:rsidR="008A6069">
        <w:rPr>
          <w:lang w:val="en-GB"/>
        </w:rPr>
        <w:t xml:space="preserve">task, </w:t>
      </w:r>
      <w:r w:rsidR="0097401F">
        <w:rPr>
          <w:lang w:val="en-GB"/>
        </w:rPr>
        <w:t>since</w:t>
      </w:r>
      <w:r w:rsidR="008A6069">
        <w:rPr>
          <w:lang w:val="en-GB"/>
        </w:rPr>
        <w:t xml:space="preserve"> the definition of </w:t>
      </w:r>
      <w:r w:rsidR="005F511C">
        <w:rPr>
          <w:lang w:val="en-GB"/>
        </w:rPr>
        <w:t>marginality is a complex matter</w:t>
      </w:r>
      <w:r w:rsidR="007E7451">
        <w:rPr>
          <w:lang w:val="en-GB"/>
        </w:rPr>
        <w:t xml:space="preserve"> </w:t>
      </w:r>
      <w:r w:rsidR="007E7451">
        <w:rPr>
          <w:lang w:val="en-GB"/>
        </w:rPr>
        <w:fldChar w:fldCharType="begin" w:fldLock="1"/>
      </w:r>
      <w:r w:rsidR="00F84F5C">
        <w:rPr>
          <w:lang w:val="en-GB"/>
        </w:rPr>
        <w:instrText>ADDIN CSL_CITATION {"citationItems":[{"id":"ITEM-1","itemData":{"DOI":"10.1080/24694452.2017.1403877","ISSN":"2469-4452","author":[{"dropping-particle":"","family":"Peter","given":"Brad G.","non-dropping-particle":"","parse-names":false,"suffix":""},{"dropping-particle":"","family":"Messina","given":"Joseph P.","non-dropping-particle":"","parse-names":false,"suffix":""},{"dropping-particle":"","family":"Snapp","given":"Sieglinde S.","non-dropping-particle":"","parse-names":false,"suffix":""}],"container-title":"Annals of the American Association of Geographers","id":"ITEM-1","issue":"4","issued":{"date-parts":[["2018","7","4"]]},"page":"989-1005","title":"A Multiscalar Approach to Mapping Marginal Agricultural Land: Smallholder Agriculture in Malawi","type":"article-journal","volume":"108"},"uris":["http://www.mendeley.com/documents/?uuid=deb0a10e-40b8-4afe-80ae-8f1d9e988113"]}],"mendeley":{"formattedCitation":"(Peter et al., 2018)","plainTextFormattedCitation":"(Peter et al., 2018)","previouslyFormattedCitation":"(Peter et al., 2018)"},"properties":{"noteIndex":0},"schema":"https://github.com/citation-style-language/schema/raw/master/csl-citation.json"}</w:instrText>
      </w:r>
      <w:r w:rsidR="007E7451">
        <w:rPr>
          <w:lang w:val="en-GB"/>
        </w:rPr>
        <w:fldChar w:fldCharType="separate"/>
      </w:r>
      <w:r w:rsidR="007E7451" w:rsidRPr="007E7451">
        <w:rPr>
          <w:noProof/>
          <w:lang w:val="en-GB"/>
        </w:rPr>
        <w:t>(Peter et al., 2018)</w:t>
      </w:r>
      <w:r w:rsidR="007E7451">
        <w:rPr>
          <w:lang w:val="en-GB"/>
        </w:rPr>
        <w:fldChar w:fldCharType="end"/>
      </w:r>
      <w:r w:rsidR="00DF0DEA" w:rsidRPr="00331508">
        <w:rPr>
          <w:lang w:val="en-GB"/>
        </w:rPr>
        <w:t>.</w:t>
      </w:r>
      <w:r w:rsidR="00DF0DEA">
        <w:rPr>
          <w:lang w:val="en-GB"/>
        </w:rPr>
        <w:t xml:space="preserve"> </w:t>
      </w:r>
      <w:r w:rsidR="00DF0DEA" w:rsidRPr="00331508">
        <w:rPr>
          <w:lang w:val="en-GB"/>
        </w:rPr>
        <w:t>For instance, land classified as marginal in a given place or time might be</w:t>
      </w:r>
      <w:r w:rsidR="00DF0DEA">
        <w:rPr>
          <w:lang w:val="en-GB"/>
        </w:rPr>
        <w:t xml:space="preserve"> </w:t>
      </w:r>
      <w:r w:rsidR="00DF0DEA" w:rsidRPr="00331508">
        <w:rPr>
          <w:lang w:val="en-GB"/>
        </w:rPr>
        <w:t xml:space="preserve">considered as productive (non-marginal) in </w:t>
      </w:r>
      <w:r w:rsidR="009B4C31">
        <w:rPr>
          <w:lang w:val="en-GB"/>
        </w:rPr>
        <w:t>the other</w:t>
      </w:r>
      <w:r w:rsidR="00DF0DEA" w:rsidRPr="00331508">
        <w:rPr>
          <w:lang w:val="en-GB"/>
        </w:rPr>
        <w:t xml:space="preserve"> spatiotemporal context</w:t>
      </w:r>
      <w:r w:rsidR="00DF0DEA">
        <w:rPr>
          <w:lang w:val="en-GB"/>
        </w:rPr>
        <w:t xml:space="preserve"> </w:t>
      </w:r>
      <w:r w:rsidR="00F84F5C">
        <w:rPr>
          <w:lang w:val="en-GB"/>
        </w:rPr>
        <w:fldChar w:fldCharType="begin" w:fldLock="1"/>
      </w:r>
      <w:r w:rsidR="008C454C">
        <w:rPr>
          <w:lang w:val="en-GB"/>
        </w:rPr>
        <w:instrText>ADDIN CSL_CITATION {"citationItems":[{"id":"ITEM-1","itemData":{"DOI":"10.1016/j.landusepol.2018.02.033","ISSN":"02648377","author":[{"dropping-particle":"","family":"Sallustio","given":"Lorenzo","non-dropping-particle":"","parse-names":false,"suffix":""},{"dropping-particle":"","family":"Pettenella","given":"Davide","non-dropping-particle":"","parse-names":false,"suffix":""},{"dropping-particle":"","family":"Merlini","given":"Paolo","non-dropping-particle":"","parse-names":false,"suffix":""},{"dropping-particle":"","family":"Romano","given":"Raoul","non-dropping-particle":"","parse-names":false,"suffix":""},{"dropping-particle":"","family":"Salvati","given":"Luca","non-dropping-particle":"","parse-names":false,"suffix":""},{"dropping-particle":"","family":"Marchetti","given":"Marco","non-dropping-particle":"","parse-names":false,"suffix":""},{"dropping-particle":"","family":"Corona","given":"Piermaria","non-dropping-particle":"","parse-names":false,"suffix":""}],"container-title":"Land Use Policy","id":"ITEM-1","issued":{"date-parts":[["2018","7"]]},"page":"526-534","title":"Assessing the economic marginality of agricultural lands in Italy to support land use planning","type":"article-journal","volume":"76"},"uris":["http://www.mendeley.com/documents/?uuid=29b25524-4bef-446d-a7a3-934324ce6642"]},{"id":"ITEM-2","itemData":{"DOI":"10.3390/su11071833","ISSN":"2071-1050","abstract":"The cultivation of bioenergy crops could be considered as sustainable; however, its use in fertile lands could conflict with food production. The general purpose of this study is to identify areas where traditional food crops are not economically sustainable, but where they could be substituted by energy crops without changing the land use in Spain. We studied the profit margin of the main crops of the country, which are wheat (Triticum aestivum L.) and barley (Hordeum vulgare L.), the spatial location of the growing areas, and the biophysical constraints. Spain has an extended area of 9.93 million hectares, with biophysical and/or economic constraints in rainfed arable areas. Grain yields ≤1.5 Mg ha−1 are not profitable; low organic matter content is the principal biophysical constraint. The average results showed a potential of 83.33 GJ ha−1 using triticale (x Triticosecale) and 174.85 GJ ha−1 using cardoon (Cynara cardunculus L.) in arable marginal lands. The production of biomass in this area would serve to cover between 3%–5% of primary energy needs in Spain for triticale or cardoon. In this respect, establishing energy crops in marginal lands could be an instrument to enhance rural development, boost the bio-economy, and reach environmental targets.","author":[{"dropping-particle":"","family":"Ciria","given":"Carlos","non-dropping-particle":"","parse-names":false,"suffix":""},{"dropping-particle":"","family":"Sanz","given":"Marina","non-dropping-particle":"","parse-names":false,"suffix":""},{"dropping-particle":"","family":"Carrasco","given":"Juan","non-dropping-particle":"","parse-names":false,"suffix":""},{"dropping-particle":"","family":"Ciria","given":"Pilar","non-dropping-particle":"","parse-names":false,"suffix":""}],"container-title":"Sustainability","id":"ITEM-2","issue":"7","issued":{"date-parts":[["2019","3","27"]]},"page":"1833","title":"Identification of Arable Marginal Lands under Rainfed Conditions for Bioenergy Purposes in Spain","type":"article-journal","volume":"11"},"uris":["http://www.mendeley.com/documents/?uuid=275e4be4-c6fc-4e9a-a2ce-3546b4021c7a"]}],"mendeley":{"formattedCitation":"(Ciria et al., 2019; Sallustio et al., 2018)","plainTextFormattedCitation":"(Ciria et al., 2019; Sallustio et al., 2018)","previouslyFormattedCitation":"(Ciria et al., 2019; Sallustio et al., 2018)"},"properties":{"noteIndex":0},"schema":"https://github.com/citation-style-language/schema/raw/master/csl-citation.json"}</w:instrText>
      </w:r>
      <w:r w:rsidR="00F84F5C">
        <w:rPr>
          <w:lang w:val="en-GB"/>
        </w:rPr>
        <w:fldChar w:fldCharType="separate"/>
      </w:r>
      <w:r w:rsidR="0028618E" w:rsidRPr="0028618E">
        <w:rPr>
          <w:noProof/>
          <w:lang w:val="en-GB"/>
        </w:rPr>
        <w:t>(Ciria et al., 2019; Sallustio et al., 2018)</w:t>
      </w:r>
      <w:r w:rsidR="00F84F5C">
        <w:rPr>
          <w:lang w:val="en-GB"/>
        </w:rPr>
        <w:fldChar w:fldCharType="end"/>
      </w:r>
      <w:r w:rsidR="00493012">
        <w:rPr>
          <w:lang w:val="en-GB"/>
        </w:rPr>
        <w:t xml:space="preserve">. Hence, marginality is always relative to a certain use e.g., crop production or livestock grazing </w:t>
      </w:r>
      <w:r w:rsidR="008C454C">
        <w:rPr>
          <w:lang w:val="en-GB"/>
        </w:rPr>
        <w:fldChar w:fldCharType="begin" w:fldLock="1"/>
      </w:r>
      <w:r w:rsidR="00FB56C0">
        <w:rPr>
          <w:lang w:val="en-GB"/>
        </w:rPr>
        <w:instrText>ADDIN CSL_CITATION {"citationItems":[{"id":"ITEM-1","itemData":{"DOI":"10.3390/ijgi3020430","ISSN":"2220-9964","author":[{"dropping-particle":"","family":"Lewis","given":"Sarah","non-dropping-particle":"","parse-names":false,"suffix":""},{"dropping-particle":"","family":"Kelly","given":"Maggi","non-dropping-particle":"","parse-names":false,"suffix":""}],"container-title":"ISPRS International Journal of Geo-Information","id":"ITEM-1","issue":"2","issued":{"date-parts":[["2014","4","1"]]},"page":"430-459","title":"Mapping the Potential for Biofuel Production on Marginal Lands: Differences in Definitions, Data and Models across Scales","type":"article-journal","volume":"3"},"uris":["http://www.mendeley.com/documents/?uuid=27ed0e1a-9cb2-4e2e-a80b-cacd9b1450b3"]}],"mendeley":{"formattedCitation":"(Lewis &amp; Kelly, 2014)","plainTextFormattedCitation":"(Lewis &amp; Kelly, 2014)","previouslyFormattedCitation":"(Lewis &amp; Kelly, 2014)"},"properties":{"noteIndex":0},"schema":"https://github.com/citation-style-language/schema/raw/master/csl-citation.json"}</w:instrText>
      </w:r>
      <w:r w:rsidR="008C454C">
        <w:rPr>
          <w:lang w:val="en-GB"/>
        </w:rPr>
        <w:fldChar w:fldCharType="separate"/>
      </w:r>
      <w:r w:rsidR="008C454C" w:rsidRPr="008C454C">
        <w:rPr>
          <w:noProof/>
          <w:lang w:val="en-GB"/>
        </w:rPr>
        <w:t>(Lewis &amp; Kelly, 2014)</w:t>
      </w:r>
      <w:r w:rsidR="008C454C">
        <w:rPr>
          <w:lang w:val="en-GB"/>
        </w:rPr>
        <w:fldChar w:fldCharType="end"/>
      </w:r>
      <w:r w:rsidR="008C454C">
        <w:rPr>
          <w:lang w:val="en-GB"/>
        </w:rPr>
        <w:t>.</w:t>
      </w:r>
      <w:r w:rsidR="00493012">
        <w:rPr>
          <w:lang w:val="en-GB"/>
        </w:rPr>
        <w:t xml:space="preserve">Moreover, </w:t>
      </w:r>
      <w:r w:rsidR="00176CBB">
        <w:rPr>
          <w:lang w:val="en-GB"/>
        </w:rPr>
        <w:t xml:space="preserve">marginality is a dynamic phenomenon and </w:t>
      </w:r>
      <w:r w:rsidR="00176CBB" w:rsidRPr="00A14167">
        <w:rPr>
          <w:lang w:val="en-GB"/>
        </w:rPr>
        <w:t>spatiotemporally static characterization of marginality is unable to capture the shifting</w:t>
      </w:r>
      <w:r w:rsidR="00176CBB">
        <w:rPr>
          <w:lang w:val="en-GB"/>
        </w:rPr>
        <w:t xml:space="preserve"> </w:t>
      </w:r>
      <w:r w:rsidR="00176CBB" w:rsidRPr="00A14167">
        <w:rPr>
          <w:lang w:val="en-GB"/>
        </w:rPr>
        <w:t>character of some of the factors that constitute marginality</w:t>
      </w:r>
      <w:r w:rsidR="00FB56C0">
        <w:rPr>
          <w:lang w:val="en-GB"/>
        </w:rPr>
        <w:t xml:space="preserve"> </w:t>
      </w:r>
      <w:r w:rsidR="00FB56C0">
        <w:rPr>
          <w:lang w:val="en-GB"/>
        </w:rPr>
        <w:fldChar w:fldCharType="begin" w:fldLock="1"/>
      </w:r>
      <w:r w:rsidR="00603386">
        <w:rPr>
          <w:lang w:val="en-GB"/>
        </w:rPr>
        <w:instrText>ADDIN CSL_CITATION {"citationItems":[{"id":"ITEM-1","itemData":{"DOI":"10.1080/03066150.2012.665890","ISSN":"0306-6150","author":[{"dropping-particle":"","family":"Nalepa","given":"Rachel A.","non-dropping-particle":"","parse-names":false,"suffix":""},{"dropping-particle":"","family":"Bauer","given":"Dana Marie","non-dropping-particle":"","parse-names":false,"suffix":""}],"container-title":"Journal of Peasant Studies","id":"ITEM-1","issue":"2","issued":{"date-parts":[["2012","4"]]},"page":"403-422","title":"Marginal lands: the role of remote sensing in constructing landscapes for agrofuel development","type":"article-journal","volume":"39"},"uris":["http://www.mendeley.com/documents/?uuid=03038c97-ef8c-48c3-bf5d-dc4f203fb821"]}],"mendeley":{"formattedCitation":"(Nalepa &amp; Bauer, 2012)","plainTextFormattedCitation":"(Nalepa &amp; Bauer, 2012)","previouslyFormattedCitation":"(Nalepa &amp; Bauer, 2012)"},"properties":{"noteIndex":0},"schema":"https://github.com/citation-style-language/schema/raw/master/csl-citation.json"}</w:instrText>
      </w:r>
      <w:r w:rsidR="00FB56C0">
        <w:rPr>
          <w:lang w:val="en-GB"/>
        </w:rPr>
        <w:fldChar w:fldCharType="separate"/>
      </w:r>
      <w:r w:rsidR="00FB56C0" w:rsidRPr="00FB56C0">
        <w:rPr>
          <w:noProof/>
          <w:lang w:val="en-GB"/>
        </w:rPr>
        <w:t>(Nalepa &amp; Bauer, 2012)</w:t>
      </w:r>
      <w:r w:rsidR="00FB56C0">
        <w:rPr>
          <w:lang w:val="en-GB"/>
        </w:rPr>
        <w:fldChar w:fldCharType="end"/>
      </w:r>
      <w:r w:rsidR="00F84CCD">
        <w:rPr>
          <w:lang w:val="en-GB"/>
        </w:rPr>
        <w:t>.</w:t>
      </w:r>
    </w:p>
    <w:p w14:paraId="6EE25619" w14:textId="667919A2" w:rsidR="00571FB0" w:rsidRDefault="007A15D7" w:rsidP="00DA763B">
      <w:pPr>
        <w:tabs>
          <w:tab w:val="left" w:pos="2707"/>
        </w:tabs>
        <w:rPr>
          <w:lang w:val="en-GB"/>
        </w:rPr>
      </w:pPr>
      <w:r w:rsidRPr="00F17DCF">
        <w:rPr>
          <w:lang w:val="en-GB"/>
        </w:rPr>
        <w:t>As it can be seen, categorization is closely related with constrains causing marginality</w:t>
      </w:r>
      <w:r>
        <w:rPr>
          <w:lang w:val="en-GB"/>
        </w:rPr>
        <w:t xml:space="preserve"> </w:t>
      </w:r>
      <w:r w:rsidRPr="00F17DCF">
        <w:rPr>
          <w:lang w:val="en-GB"/>
        </w:rPr>
        <w:t>and the study’s goals. As detected in definitions, the categorization of marginal land is</w:t>
      </w:r>
      <w:r>
        <w:rPr>
          <w:lang w:val="en-GB"/>
        </w:rPr>
        <w:t xml:space="preserve"> </w:t>
      </w:r>
      <w:r w:rsidRPr="00F17DCF">
        <w:rPr>
          <w:lang w:val="en-GB"/>
        </w:rPr>
        <w:t>usually performed focusing on a single aspect of marginality; environmental including</w:t>
      </w:r>
      <w:r>
        <w:rPr>
          <w:lang w:val="en-GB"/>
        </w:rPr>
        <w:t xml:space="preserve"> </w:t>
      </w:r>
      <w:r w:rsidRPr="00F17DCF">
        <w:rPr>
          <w:lang w:val="en-GB"/>
        </w:rPr>
        <w:t>constrains for biological production such as hazards or biophysical limits or economical</w:t>
      </w:r>
      <w:r>
        <w:rPr>
          <w:lang w:val="en-GB"/>
        </w:rPr>
        <w:t xml:space="preserve"> </w:t>
      </w:r>
      <w:r w:rsidRPr="00F17DCF">
        <w:rPr>
          <w:lang w:val="en-GB"/>
        </w:rPr>
        <w:t>performing a simple cost analysis using specific crop.</w:t>
      </w:r>
    </w:p>
    <w:p w14:paraId="14922248" w14:textId="7CE0ED5E" w:rsidR="00365659" w:rsidRDefault="00F052DE" w:rsidP="000E36D1">
      <w:pPr>
        <w:tabs>
          <w:tab w:val="left" w:pos="2707"/>
        </w:tabs>
        <w:rPr>
          <w:lang w:val="en-GB"/>
        </w:rPr>
      </w:pPr>
      <w:r>
        <w:rPr>
          <w:lang w:val="en-GB"/>
        </w:rPr>
        <w:t>T</w:t>
      </w:r>
      <w:r w:rsidR="004F7AC6">
        <w:rPr>
          <w:lang w:val="en-GB"/>
        </w:rPr>
        <w:t xml:space="preserve">he definition of MLs under the </w:t>
      </w:r>
      <w:r w:rsidR="004F7AC6" w:rsidRPr="00E71B9F">
        <w:rPr>
          <w:b/>
          <w:i/>
          <w:iCs/>
          <w:color w:val="31479E" w:themeColor="accent1" w:themeShade="BF"/>
        </w:rPr>
        <w:t>MAIL</w:t>
      </w:r>
      <w:r w:rsidR="004F7AC6">
        <w:rPr>
          <w:lang w:val="en-GB"/>
        </w:rPr>
        <w:t xml:space="preserve"> project </w:t>
      </w:r>
      <w:r w:rsidR="009B4657">
        <w:rPr>
          <w:lang w:val="en-GB"/>
        </w:rPr>
        <w:t xml:space="preserve">as it </w:t>
      </w:r>
      <w:r w:rsidR="002740EF">
        <w:rPr>
          <w:lang w:val="en-GB"/>
        </w:rPr>
        <w:t>was concluded on D2.1</w:t>
      </w:r>
      <w:r w:rsidR="00B94843">
        <w:rPr>
          <w:lang w:val="en-GB"/>
        </w:rPr>
        <w:t xml:space="preserve"> “</w:t>
      </w:r>
      <w:r w:rsidR="00B94843" w:rsidRPr="00B94843">
        <w:rPr>
          <w:lang w:val="en-GB"/>
        </w:rPr>
        <w:t>Literature review and existing models report</w:t>
      </w:r>
      <w:r w:rsidR="00B94843">
        <w:rPr>
          <w:lang w:val="en-GB"/>
        </w:rPr>
        <w:t xml:space="preserve">” is: </w:t>
      </w:r>
      <w:r w:rsidR="00B94843" w:rsidRPr="00C05CB6">
        <w:rPr>
          <w:i/>
          <w:lang w:val="en-GB"/>
        </w:rPr>
        <w:t>“Lands with significant, either environmental (biophysical variables) or socioeconomic,</w:t>
      </w:r>
      <w:r w:rsidR="00FE0AB3" w:rsidRPr="00C05CB6">
        <w:rPr>
          <w:i/>
          <w:lang w:val="en-GB"/>
        </w:rPr>
        <w:t xml:space="preserve"> </w:t>
      </w:r>
      <w:r w:rsidR="00B94843" w:rsidRPr="00C05CB6">
        <w:rPr>
          <w:i/>
          <w:lang w:val="en-GB"/>
        </w:rPr>
        <w:t>constraints and with potential to impact national accounting for C stock, excluding</w:t>
      </w:r>
      <w:r w:rsidR="00FE0AB3" w:rsidRPr="00C05CB6">
        <w:rPr>
          <w:i/>
          <w:lang w:val="en-GB"/>
        </w:rPr>
        <w:t xml:space="preserve"> </w:t>
      </w:r>
      <w:r w:rsidR="00B94843" w:rsidRPr="00C05CB6">
        <w:rPr>
          <w:i/>
          <w:lang w:val="en-GB"/>
        </w:rPr>
        <w:t>agricultural lands and other valuable areas (protected areas, uses with local</w:t>
      </w:r>
      <w:r w:rsidR="00FE0AB3" w:rsidRPr="00C05CB6">
        <w:rPr>
          <w:i/>
          <w:lang w:val="en-GB"/>
        </w:rPr>
        <w:t xml:space="preserve"> </w:t>
      </w:r>
      <w:r w:rsidR="00B94843" w:rsidRPr="00C05CB6">
        <w:rPr>
          <w:i/>
          <w:lang w:val="en-GB"/>
        </w:rPr>
        <w:t>importance etc.). Dynamic and variability are key concepts for marginal land</w:t>
      </w:r>
      <w:r w:rsidR="00FE0AB3" w:rsidRPr="00C05CB6">
        <w:rPr>
          <w:i/>
          <w:lang w:val="en-GB"/>
        </w:rPr>
        <w:t xml:space="preserve"> </w:t>
      </w:r>
      <w:r w:rsidR="00B94843" w:rsidRPr="00C05CB6">
        <w:rPr>
          <w:i/>
          <w:lang w:val="en-GB"/>
        </w:rPr>
        <w:t>identification.</w:t>
      </w:r>
      <w:r w:rsidR="000E36D1" w:rsidRPr="00C05CB6">
        <w:rPr>
          <w:i/>
          <w:lang w:val="en-GB"/>
        </w:rPr>
        <w:t xml:space="preserve"> (…) </w:t>
      </w:r>
      <w:r w:rsidR="000E36D1" w:rsidRPr="009B4C31">
        <w:rPr>
          <w:b/>
          <w:i/>
          <w:iCs/>
          <w:color w:val="31479E" w:themeColor="accent1" w:themeShade="BF"/>
        </w:rPr>
        <w:t>MAIL</w:t>
      </w:r>
      <w:r w:rsidR="005747F6" w:rsidRPr="00C05CB6">
        <w:rPr>
          <w:i/>
          <w:lang w:val="en-GB"/>
        </w:rPr>
        <w:t xml:space="preserve"> </w:t>
      </w:r>
      <w:r w:rsidR="000E36D1" w:rsidRPr="00C05CB6">
        <w:rPr>
          <w:i/>
          <w:lang w:val="en-GB"/>
        </w:rPr>
        <w:t>project will focus on areas in which it is possible to convert them to forest lands</w:t>
      </w:r>
      <w:r w:rsidR="005747F6" w:rsidRPr="00C05CB6">
        <w:rPr>
          <w:i/>
          <w:lang w:val="en-GB"/>
        </w:rPr>
        <w:t>.</w:t>
      </w:r>
      <w:r w:rsidR="00D010BA">
        <w:rPr>
          <w:lang w:val="en-GB"/>
        </w:rPr>
        <w:t>”</w:t>
      </w:r>
      <w:r w:rsidR="005747F6">
        <w:rPr>
          <w:lang w:val="en-GB"/>
        </w:rPr>
        <w:t xml:space="preserve"> </w:t>
      </w:r>
    </w:p>
    <w:p w14:paraId="011E8B8B" w14:textId="7D4A1DD0" w:rsidR="00554971" w:rsidRDefault="008A2BA0" w:rsidP="00065A15">
      <w:pPr>
        <w:tabs>
          <w:tab w:val="left" w:pos="2707"/>
        </w:tabs>
      </w:pPr>
      <w:r>
        <w:rPr>
          <w:lang w:val="en-GB"/>
        </w:rPr>
        <w:t xml:space="preserve">Consequently, </w:t>
      </w:r>
      <w:r w:rsidR="00065A15" w:rsidRPr="00065A15">
        <w:rPr>
          <w:lang w:val="en-GB"/>
        </w:rPr>
        <w:t xml:space="preserve">marginality is driven by three main forces: environmental factors, socioeconomic </w:t>
      </w:r>
      <w:proofErr w:type="gramStart"/>
      <w:r w:rsidR="00065A15" w:rsidRPr="00065A15">
        <w:rPr>
          <w:lang w:val="en-GB"/>
        </w:rPr>
        <w:t>factors</w:t>
      </w:r>
      <w:proofErr w:type="gramEnd"/>
      <w:r w:rsidR="00065A15">
        <w:rPr>
          <w:lang w:val="en-GB"/>
        </w:rPr>
        <w:t xml:space="preserve"> </w:t>
      </w:r>
      <w:r w:rsidR="00065A15" w:rsidRPr="00065A15">
        <w:rPr>
          <w:lang w:val="en-GB"/>
        </w:rPr>
        <w:t>and cultural factors</w:t>
      </w:r>
      <w:r w:rsidR="00065A15">
        <w:rPr>
          <w:lang w:val="en-GB"/>
        </w:rPr>
        <w:t xml:space="preserve">. </w:t>
      </w:r>
      <w:r w:rsidR="00AD3D4C">
        <w:rPr>
          <w:lang w:val="en-GB"/>
        </w:rPr>
        <w:t>A satellite image analysis</w:t>
      </w:r>
      <w:r w:rsidR="00D3539E">
        <w:rPr>
          <w:lang w:val="en-GB"/>
        </w:rPr>
        <w:t xml:space="preserve">, however, </w:t>
      </w:r>
      <w:r w:rsidR="00D577CB">
        <w:rPr>
          <w:lang w:val="en-GB"/>
        </w:rPr>
        <w:t>is based primarily on phen</w:t>
      </w:r>
      <w:r w:rsidR="00730769">
        <w:rPr>
          <w:lang w:val="en-GB"/>
        </w:rPr>
        <w:t>ological characteristics</w:t>
      </w:r>
      <w:r w:rsidR="00D120B1">
        <w:rPr>
          <w:lang w:val="en-GB"/>
        </w:rPr>
        <w:t xml:space="preserve">, </w:t>
      </w:r>
      <w:r w:rsidR="00EF705B">
        <w:rPr>
          <w:lang w:val="en-GB"/>
        </w:rPr>
        <w:t>thus</w:t>
      </w:r>
      <w:r w:rsidR="00D120B1">
        <w:rPr>
          <w:lang w:val="en-GB"/>
        </w:rPr>
        <w:t xml:space="preserve"> the socioeconomic and cultural factors are challenging to</w:t>
      </w:r>
      <w:r w:rsidR="00DE5245">
        <w:rPr>
          <w:lang w:val="en-GB"/>
        </w:rPr>
        <w:t xml:space="preserve"> i</w:t>
      </w:r>
      <w:r w:rsidR="00EF705B">
        <w:rPr>
          <w:lang w:val="en-GB"/>
        </w:rPr>
        <w:t xml:space="preserve">ncorporate. </w:t>
      </w:r>
      <w:r w:rsidR="00587C1F">
        <w:rPr>
          <w:lang w:val="en-GB"/>
        </w:rPr>
        <w:t>Having said that</w:t>
      </w:r>
      <w:r w:rsidR="00023533">
        <w:rPr>
          <w:lang w:val="en-GB"/>
        </w:rPr>
        <w:t xml:space="preserve">, </w:t>
      </w:r>
      <w:r w:rsidR="00632478">
        <w:rPr>
          <w:lang w:val="en-GB"/>
        </w:rPr>
        <w:t>this task aims to develop an algorithm that will</w:t>
      </w:r>
      <w:r w:rsidR="00E5698E">
        <w:rPr>
          <w:lang w:val="en-GB"/>
        </w:rPr>
        <w:t xml:space="preserve"> abide by the </w:t>
      </w:r>
      <w:r w:rsidR="00E5698E" w:rsidRPr="00E71B9F">
        <w:rPr>
          <w:b/>
          <w:i/>
          <w:iCs/>
          <w:color w:val="31479E" w:themeColor="accent1" w:themeShade="BF"/>
        </w:rPr>
        <w:t>MAIL</w:t>
      </w:r>
      <w:r w:rsidR="00E5698E">
        <w:rPr>
          <w:lang w:val="en-GB"/>
        </w:rPr>
        <w:t xml:space="preserve"> definition and</w:t>
      </w:r>
      <w:r w:rsidR="00632478">
        <w:rPr>
          <w:lang w:val="en-GB"/>
        </w:rPr>
        <w:t xml:space="preserve"> take as many as possible</w:t>
      </w:r>
      <w:r w:rsidR="0005167D">
        <w:rPr>
          <w:lang w:val="en-GB"/>
        </w:rPr>
        <w:t xml:space="preserve"> of the factors that drive marginality into consideration</w:t>
      </w:r>
      <w:r w:rsidR="005B481C">
        <w:rPr>
          <w:lang w:val="en-GB"/>
        </w:rPr>
        <w:t xml:space="preserve">, </w:t>
      </w:r>
      <w:r w:rsidR="00AE60FB">
        <w:rPr>
          <w:lang w:val="en-GB"/>
        </w:rPr>
        <w:t xml:space="preserve">while </w:t>
      </w:r>
      <w:r w:rsidR="005B481C">
        <w:rPr>
          <w:lang w:val="en-GB"/>
        </w:rPr>
        <w:t>bearing in mind the limitations that such task</w:t>
      </w:r>
      <w:r w:rsidR="001877BB">
        <w:t xml:space="preserve"> entails.</w:t>
      </w:r>
    </w:p>
    <w:p w14:paraId="7A84EF94" w14:textId="0657B409" w:rsidR="00AE193B" w:rsidRDefault="00AE193B" w:rsidP="00E71B9F">
      <w:pPr>
        <w:pStyle w:val="MAIL2"/>
      </w:pPr>
      <w:bookmarkStart w:id="21" w:name="_Toc91583666"/>
      <w:r>
        <w:lastRenderedPageBreak/>
        <w:t>Exploratory steps</w:t>
      </w:r>
      <w:bookmarkEnd w:id="21"/>
    </w:p>
    <w:p w14:paraId="592361C1" w14:textId="6152F39F" w:rsidR="00B509A1" w:rsidRDefault="00CF3078" w:rsidP="00065A15">
      <w:pPr>
        <w:tabs>
          <w:tab w:val="left" w:pos="2707"/>
        </w:tabs>
      </w:pPr>
      <w:r>
        <w:t>A series of trials were conducted</w:t>
      </w:r>
      <w:r w:rsidR="00DF15E5">
        <w:t xml:space="preserve"> for this reason</w:t>
      </w:r>
      <w:r w:rsidR="009242A1">
        <w:t xml:space="preserve"> until the finali</w:t>
      </w:r>
      <w:r w:rsidR="0092734E">
        <w:t>zation of</w:t>
      </w:r>
      <w:r w:rsidR="004F6DE6">
        <w:t xml:space="preserve"> </w:t>
      </w:r>
      <w:r w:rsidR="00D10B09">
        <w:t>the MLs detection algorithm</w:t>
      </w:r>
      <w:r w:rsidR="00685E18">
        <w:t xml:space="preserve"> and </w:t>
      </w:r>
      <w:r w:rsidR="00087996">
        <w:t>a brief overview of the steps taken will be given in this section</w:t>
      </w:r>
      <w:r w:rsidR="00D10B09">
        <w:t xml:space="preserve">. </w:t>
      </w:r>
      <w:r w:rsidR="00F44577">
        <w:t>A</w:t>
      </w:r>
      <w:r w:rsidR="000905BE">
        <w:t xml:space="preserve"> literature review o</w:t>
      </w:r>
      <w:r w:rsidR="00005C0A">
        <w:t xml:space="preserve">n the detection </w:t>
      </w:r>
      <w:r w:rsidR="00A76D98">
        <w:t>of MLs using remote</w:t>
      </w:r>
      <w:r w:rsidR="00F76714">
        <w:t xml:space="preserve"> sensing data</w:t>
      </w:r>
      <w:r w:rsidR="00F44577">
        <w:t xml:space="preserve"> manifested that the N</w:t>
      </w:r>
      <w:r w:rsidR="00F44577" w:rsidRPr="00F44577">
        <w:t xml:space="preserve">ormalized </w:t>
      </w:r>
      <w:r w:rsidR="00F44577">
        <w:t>D</w:t>
      </w:r>
      <w:r w:rsidR="00F44577" w:rsidRPr="00F44577">
        <w:t xml:space="preserve">ifference </w:t>
      </w:r>
      <w:r w:rsidR="00F44577">
        <w:t>V</w:t>
      </w:r>
      <w:r w:rsidR="00F44577" w:rsidRPr="00F44577">
        <w:t xml:space="preserve">egetation </w:t>
      </w:r>
      <w:r w:rsidR="00F44577">
        <w:t>I</w:t>
      </w:r>
      <w:r w:rsidR="00F44577" w:rsidRPr="00F44577">
        <w:t xml:space="preserve">ndex (NDVI) is </w:t>
      </w:r>
      <w:r w:rsidR="00F44577">
        <w:t xml:space="preserve">frequently </w:t>
      </w:r>
      <w:r w:rsidR="00F44577" w:rsidRPr="00F44577">
        <w:t>used as a proxy</w:t>
      </w:r>
      <w:r w:rsidR="003524C6">
        <w:t xml:space="preserve"> in such investigations, since</w:t>
      </w:r>
      <w:r w:rsidR="00F44577" w:rsidRPr="00F44577">
        <w:t xml:space="preserve"> </w:t>
      </w:r>
      <w:r w:rsidR="006B42BE">
        <w:t>a potential</w:t>
      </w:r>
      <w:r w:rsidR="00F44577" w:rsidRPr="00F44577">
        <w:t xml:space="preserve"> deviation from the norm may </w:t>
      </w:r>
      <w:r w:rsidR="006B42BE">
        <w:t>indicate</w:t>
      </w:r>
      <w:r w:rsidR="00F44577" w:rsidRPr="00F44577">
        <w:t xml:space="preserve"> land degradation and improvement</w:t>
      </w:r>
      <w:r w:rsidR="00FD35BE">
        <w:t xml:space="preserve"> </w:t>
      </w:r>
      <w:r w:rsidR="00FD35BE">
        <w:fldChar w:fldCharType="begin" w:fldLock="1"/>
      </w:r>
      <w:r w:rsidR="00FF3B3D">
        <w:instrText>ADDIN CSL_CITATION {"citationItems":[{"id":"ITEM-1","itemData":{"author":[{"dropping-particle":"","family":"Bai","given":"Z. G.","non-dropping-particle":"","parse-names":false,"suffix":""},{"dropping-particle":"","family":"Dent","given":"D. L.","non-dropping-particle":"","parse-names":false,"suffix":""},{"dropping-particle":"","family":"Olsson","given":"L.","non-dropping-particle":"","parse-names":false,"suffix":""},{"dropping-particle":"","family":"Schaepman","given":"M. E.","non-dropping-particle":"","parse-names":false,"suffix":""}],"container-title":"GLADA Report 5","id":"ITEM-1","issued":{"date-parts":[["2008"]]},"title":"Global Assessment of Land Degradation and Improvement 1. Identification by remote sensing","type":"chapter"},"uris":["http://www.mendeley.com/documents/?uuid=df120a32-ac0e-4f13-b3a0-f83220777e1c"]}],"mendeley":{"formattedCitation":"(Bai et al., 2008)","plainTextFormattedCitation":"(Bai et al., 2008)","previouslyFormattedCitation":"(Bai et al., 2008)"},"properties":{"noteIndex":0},"schema":"https://github.com/citation-style-language/schema/raw/master/csl-citation.json"}</w:instrText>
      </w:r>
      <w:r w:rsidR="00FD35BE">
        <w:fldChar w:fldCharType="separate"/>
      </w:r>
      <w:r w:rsidR="000F6C5F" w:rsidRPr="000F6C5F">
        <w:rPr>
          <w:noProof/>
        </w:rPr>
        <w:t>(Bai et al., 2008)</w:t>
      </w:r>
      <w:r w:rsidR="00FD35BE">
        <w:fldChar w:fldCharType="end"/>
      </w:r>
      <w:r w:rsidR="00FD35BE">
        <w:t>.</w:t>
      </w:r>
      <w:r w:rsidR="000F6C5F">
        <w:t xml:space="preserve"> </w:t>
      </w:r>
    </w:p>
    <w:p w14:paraId="3C3B26DA" w14:textId="1FE376C6" w:rsidR="00684B8E" w:rsidRDefault="000F6C5F" w:rsidP="00065A15">
      <w:pPr>
        <w:tabs>
          <w:tab w:val="left" w:pos="2707"/>
        </w:tabs>
      </w:pPr>
      <w:r w:rsidRPr="000F6C5F">
        <w:t>The NDVI is a well-established and commonly used vegetation index in</w:t>
      </w:r>
      <w:r w:rsidR="00751885">
        <w:t xml:space="preserve"> earth observation</w:t>
      </w:r>
      <w:r w:rsidRPr="000F6C5F">
        <w:t xml:space="preserve"> studies because it is roughly correlated with green plant biomass and vegetation cover </w:t>
      </w:r>
      <w:r w:rsidR="00BB2CD4" w:rsidRPr="009D4068">
        <w:fldChar w:fldCharType="begin" w:fldLock="1"/>
      </w:r>
      <w:r w:rsidR="006979AE">
        <w:instrText>ADDIN CSL_CITATION {"citationItems":[{"id":"ITEM-1","itemData":{"DOI":"10.1007/BF00048034","ISSN":"0042-3106","author":[{"dropping-particle":"","family":"Box","given":"Elgene O.","non-dropping-particle":"","parse-names":false,"suffix":""},{"dropping-particle":"","family":"Holben","given":"Brent N.","non-dropping-particle":"","parse-names":false,"suffix":""},{"dropping-particle":"","family":"Kalb","given":"Virginia","non-dropping-particle":"","parse-names":false,"suffix":""}],"container-title":"Vegetatio","id":"ITEM-1","issue":"2","issued":{"date-parts":[["1989","6"]]},"page":"71-89","title":"Accuracy of the AVHRR vegetation index as a predictor of biomass, primary productivity and net CO2 flux","type":"article-journal","volume":"80"},"uris":["http://www.mendeley.com/documents/?uuid=3e14340d-c210-4600-bf04-75d3583fc7f3"]},{"id":"ITEM-2","itemData":{"DOI":"10.1016/0034-4257(79)90013-0","ISSN":"00344257","author":[{"dropping-particle":"","family":"Tucker","given":"Compton J.","non-dropping-particle":"","parse-names":false,"suffix":""}],"container-title":"Remote Sensing of Environment","id":"ITEM-2","issue":"2","issued":{"date-parts":[["1979","5"]]},"page":"127-150","title":"Red and photographic infrared linear combinations for monitoring vegetation","type":"article-journal","volume":"8"},"uris":["http://www.mendeley.com/documents/?uuid=643cd434-276f-43c5-85b0-7b21b5486e3e"]}],"mendeley":{"formattedCitation":"(Box et al., 1989; Tucker, 1979)","plainTextFormattedCitation":"(Box et al., 1989; Tucker, 1979)","previouslyFormattedCitation":"(Box et al., 1989; Tucker, 1979)"},"properties":{"noteIndex":0},"schema":"https://github.com/citation-style-language/schema/raw/master/csl-citation.json"}</w:instrText>
      </w:r>
      <w:r w:rsidR="00BB2CD4" w:rsidRPr="009D4068">
        <w:fldChar w:fldCharType="separate"/>
      </w:r>
      <w:r w:rsidR="00BB2CD4" w:rsidRPr="009D4068">
        <w:rPr>
          <w:noProof/>
        </w:rPr>
        <w:t>(Box et al., 1989; Tucker, 1979)</w:t>
      </w:r>
      <w:r w:rsidR="00BB2CD4" w:rsidRPr="009D4068">
        <w:fldChar w:fldCharType="end"/>
      </w:r>
      <w:r w:rsidRPr="00BB2CD4">
        <w:t xml:space="preserve"> </w:t>
      </w:r>
      <w:r w:rsidRPr="000F6C5F">
        <w:t>The NDVI is</w:t>
      </w:r>
      <w:r w:rsidR="00DB70AD">
        <w:t xml:space="preserve"> an index</w:t>
      </w:r>
      <w:r w:rsidRPr="000F6C5F">
        <w:t xml:space="preserve"> based on the relative reflectance values in the red and near infrared (NIR) </w:t>
      </w:r>
      <w:r w:rsidR="005638B7">
        <w:t>spectrum</w:t>
      </w:r>
      <w:r w:rsidR="00684B8E">
        <w:t xml:space="preserve"> and is computes as</w:t>
      </w:r>
      <w:r w:rsidRPr="000F6C5F">
        <w:t>:</w:t>
      </w:r>
    </w:p>
    <w:p w14:paraId="7CCEE7DD" w14:textId="114A65A9" w:rsidR="007F49C1" w:rsidRDefault="007F49C1" w:rsidP="00065A15">
      <w:pPr>
        <w:tabs>
          <w:tab w:val="left" w:pos="2707"/>
        </w:tabs>
      </w:pPr>
      <m:oMathPara>
        <m:oMath>
          <m:r>
            <w:rPr>
              <w:rFonts w:ascii="Cambria Math" w:hAnsi="Cambria Math"/>
            </w:rPr>
            <m:t>NDVI=</m:t>
          </m:r>
          <m:f>
            <m:fPr>
              <m:ctrlPr>
                <w:rPr>
                  <w:rFonts w:ascii="Cambria Math" w:hAnsi="Cambria Math"/>
                  <w:i/>
                </w:rPr>
              </m:ctrlPr>
            </m:fPr>
            <m:num>
              <m:sSub>
                <m:sSubPr>
                  <m:ctrlPr>
                    <w:rPr>
                      <w:rFonts w:ascii="Cambria Math" w:hAnsi="Cambria Math"/>
                      <w:i/>
                      <w:lang w:val="el-GR"/>
                    </w:rPr>
                  </m:ctrlPr>
                </m:sSubPr>
                <m:e>
                  <m:r>
                    <w:rPr>
                      <w:rFonts w:ascii="Cambria Math" w:hAnsi="Cambria Math"/>
                      <w:lang w:val="el-GR"/>
                    </w:rPr>
                    <m:t>ρ</m:t>
                  </m:r>
                </m:e>
                <m:sub>
                  <m:r>
                    <w:rPr>
                      <w:rFonts w:ascii="Cambria Math" w:hAnsi="Cambria Math"/>
                    </w:rPr>
                    <m:t>Red</m:t>
                  </m:r>
                </m:sub>
              </m:sSub>
              <m:r>
                <w:rPr>
                  <w:rFonts w:ascii="Cambria Math" w:hAnsi="Cambria Math"/>
                  <w:lang w:val="el-GR"/>
                </w:rPr>
                <m:t>-</m:t>
              </m:r>
              <m:sSub>
                <m:sSubPr>
                  <m:ctrlPr>
                    <w:rPr>
                      <w:rFonts w:ascii="Cambria Math" w:hAnsi="Cambria Math"/>
                      <w:i/>
                      <w:lang w:val="el-GR"/>
                    </w:rPr>
                  </m:ctrlPr>
                </m:sSubPr>
                <m:e>
                  <m:r>
                    <w:rPr>
                      <w:rFonts w:ascii="Cambria Math" w:hAnsi="Cambria Math"/>
                      <w:lang w:val="el-GR"/>
                    </w:rPr>
                    <m:t>ρ</m:t>
                  </m:r>
                </m:e>
                <m:sub>
                  <m:r>
                    <w:rPr>
                      <w:rFonts w:ascii="Cambria Math" w:hAnsi="Cambria Math"/>
                    </w:rPr>
                    <m:t>NIR</m:t>
                  </m:r>
                </m:sub>
              </m:sSub>
            </m:num>
            <m:den>
              <m:sSub>
                <m:sSubPr>
                  <m:ctrlPr>
                    <w:rPr>
                      <w:rFonts w:ascii="Cambria Math" w:hAnsi="Cambria Math"/>
                      <w:i/>
                      <w:lang w:val="el-GR"/>
                    </w:rPr>
                  </m:ctrlPr>
                </m:sSubPr>
                <m:e>
                  <m:r>
                    <w:rPr>
                      <w:rFonts w:ascii="Cambria Math" w:hAnsi="Cambria Math"/>
                      <w:lang w:val="el-GR"/>
                    </w:rPr>
                    <m:t>ρ</m:t>
                  </m:r>
                </m:e>
                <m:sub>
                  <m:r>
                    <w:rPr>
                      <w:rFonts w:ascii="Cambria Math" w:hAnsi="Cambria Math"/>
                    </w:rPr>
                    <m:t>Red</m:t>
                  </m:r>
                </m:sub>
              </m:sSub>
              <m:r>
                <w:rPr>
                  <w:rFonts w:ascii="Cambria Math" w:hAnsi="Cambria Math"/>
                  <w:lang w:val="el-GR"/>
                </w:rPr>
                <m:t>+</m:t>
              </m:r>
              <m:sSub>
                <m:sSubPr>
                  <m:ctrlPr>
                    <w:rPr>
                      <w:rFonts w:ascii="Cambria Math" w:hAnsi="Cambria Math"/>
                      <w:i/>
                      <w:lang w:val="el-GR"/>
                    </w:rPr>
                  </m:ctrlPr>
                </m:sSubPr>
                <m:e>
                  <m:r>
                    <w:rPr>
                      <w:rFonts w:ascii="Cambria Math" w:hAnsi="Cambria Math"/>
                      <w:lang w:val="el-GR"/>
                    </w:rPr>
                    <m:t>ρ</m:t>
                  </m:r>
                </m:e>
                <m:sub>
                  <m:r>
                    <w:rPr>
                      <w:rFonts w:ascii="Cambria Math" w:hAnsi="Cambria Math"/>
                    </w:rPr>
                    <m:t>NIR</m:t>
                  </m:r>
                </m:sub>
              </m:sSub>
            </m:den>
          </m:f>
        </m:oMath>
      </m:oMathPara>
    </w:p>
    <w:p w14:paraId="099180FD" w14:textId="69F552E2" w:rsidR="006F0E9B" w:rsidRDefault="000F6C5F" w:rsidP="00065A15">
      <w:pPr>
        <w:tabs>
          <w:tab w:val="left" w:pos="2707"/>
        </w:tabs>
      </w:pPr>
      <w:r w:rsidRPr="000F6C5F">
        <w:t xml:space="preserve">The amount of solar energy reflected by vegetation cover </w:t>
      </w:r>
      <w:r w:rsidR="00FE0881">
        <w:t xml:space="preserve">in the </w:t>
      </w:r>
      <w:r w:rsidR="00B86D61">
        <w:t xml:space="preserve">red wavelength </w:t>
      </w:r>
      <w:r w:rsidRPr="000F6C5F">
        <w:t xml:space="preserve">depends primarily on chlorophyll content, whereas the amount of </w:t>
      </w:r>
      <w:r w:rsidR="00905EE9">
        <w:t>solar</w:t>
      </w:r>
      <w:r w:rsidRPr="000F6C5F">
        <w:t xml:space="preserve"> energy reflected by vegetation</w:t>
      </w:r>
      <w:r w:rsidR="00905EE9">
        <w:t xml:space="preserve"> in the NIR wavelength</w:t>
      </w:r>
      <w:r w:rsidRPr="000F6C5F">
        <w:t xml:space="preserve"> is </w:t>
      </w:r>
      <w:r w:rsidR="00633FDE">
        <w:t>influenced</w:t>
      </w:r>
      <w:r w:rsidRPr="000F6C5F">
        <w:t xml:space="preserve"> by the amount and</w:t>
      </w:r>
      <w:r w:rsidR="00633FDE">
        <w:t xml:space="preserve"> the</w:t>
      </w:r>
      <w:r w:rsidRPr="000F6C5F">
        <w:t xml:space="preserve"> condition of green biomass, leaf tissue structure, and water content </w:t>
      </w:r>
      <w:r w:rsidR="006979AE">
        <w:fldChar w:fldCharType="begin" w:fldLock="1"/>
      </w:r>
      <w:r w:rsidR="00F363DC">
        <w:instrText>ADDIN CSL_CITATION {"citationItems":[{"id":"ITEM-1","itemData":{"ISBN":"0132058405","author":[{"dropping-particle":"","family":"Jensen","given":"John R","non-dropping-particle":"","parse-names":false,"suffix":""}],"id":"ITEM-1","issue":"Ed. 2","issued":{"date-parts":[["1996"]]},"publisher":"Prentice-Hall Inc.","title":"Introductory digital image processing: a remote sensing perspective.","type":"book"},"uris":["http://www.mendeley.com/documents/?uuid=901fbbfe-e24b-4233-9fd7-2f3971ee75fa"]}],"mendeley":{"formattedCitation":"(Jensen, 1996)","plainTextFormattedCitation":"(Jensen, 1996)","previouslyFormattedCitation":"(Jensen, 1996)"},"properties":{"noteIndex":0},"schema":"https://github.com/citation-style-language/schema/raw/master/csl-citation.json"}</w:instrText>
      </w:r>
      <w:r w:rsidR="006979AE">
        <w:fldChar w:fldCharType="separate"/>
      </w:r>
      <w:r w:rsidR="006979AE" w:rsidRPr="006979AE">
        <w:rPr>
          <w:noProof/>
        </w:rPr>
        <w:t>(Jensen, 1996)</w:t>
      </w:r>
      <w:r w:rsidR="006979AE">
        <w:fldChar w:fldCharType="end"/>
      </w:r>
      <w:r w:rsidR="006979AE">
        <w:t xml:space="preserve">. </w:t>
      </w:r>
      <w:r w:rsidR="00D10B09">
        <w:t xml:space="preserve">Initially, </w:t>
      </w:r>
      <w:r w:rsidR="00C93311">
        <w:t xml:space="preserve">the </w:t>
      </w:r>
      <w:r w:rsidR="0067606A">
        <w:t>Normalized Difference Vegetation Index (</w:t>
      </w:r>
      <w:r w:rsidR="00C93311">
        <w:t>NDVI</w:t>
      </w:r>
      <w:r w:rsidR="0067606A">
        <w:t>)</w:t>
      </w:r>
      <w:r w:rsidR="00C93311">
        <w:t xml:space="preserve"> values</w:t>
      </w:r>
      <w:r w:rsidR="00EA258B">
        <w:t>,</w:t>
      </w:r>
      <w:r w:rsidR="00572893">
        <w:t xml:space="preserve"> as well as the values’ trends, of </w:t>
      </w:r>
      <w:r w:rsidR="000E058A">
        <w:t>known</w:t>
      </w:r>
      <w:r w:rsidR="00572893">
        <w:t xml:space="preserve"> ML and </w:t>
      </w:r>
      <w:proofErr w:type="spellStart"/>
      <w:r w:rsidR="00572893">
        <w:t>nML</w:t>
      </w:r>
      <w:proofErr w:type="spellEnd"/>
      <w:r w:rsidR="00572893">
        <w:t xml:space="preserve"> </w:t>
      </w:r>
      <w:r w:rsidR="000E058A">
        <w:t>areas</w:t>
      </w:r>
      <w:r w:rsidR="00BB3F4B">
        <w:t xml:space="preserve"> (Task 2.4 validation polygons)</w:t>
      </w:r>
      <w:r w:rsidR="000E058A">
        <w:t xml:space="preserve"> were explored</w:t>
      </w:r>
      <w:r w:rsidR="00884BAD">
        <w:t xml:space="preserve"> for </w:t>
      </w:r>
      <w:r w:rsidR="00B30977">
        <w:t xml:space="preserve">a </w:t>
      </w:r>
      <w:r w:rsidR="009A6FF3">
        <w:t xml:space="preserve">5 </w:t>
      </w:r>
      <w:proofErr w:type="gramStart"/>
      <w:r w:rsidR="009A6FF3">
        <w:t>years</w:t>
      </w:r>
      <w:proofErr w:type="gramEnd"/>
      <w:r w:rsidR="00B30977">
        <w:t xml:space="preserve"> period</w:t>
      </w:r>
      <w:r w:rsidR="00D12761">
        <w:t xml:space="preserve"> (2015-2020)</w:t>
      </w:r>
      <w:r w:rsidR="00BB3F4B">
        <w:t xml:space="preserve">, under the hypothesis that the NDVI values of </w:t>
      </w:r>
      <w:r w:rsidR="00A951F3">
        <w:t xml:space="preserve">ML and </w:t>
      </w:r>
      <w:proofErr w:type="spellStart"/>
      <w:r w:rsidR="00A951F3">
        <w:t>nML</w:t>
      </w:r>
      <w:proofErr w:type="spellEnd"/>
      <w:r w:rsidR="00A951F3">
        <w:t xml:space="preserve"> parcels would </w:t>
      </w:r>
      <w:r w:rsidR="0003790B">
        <w:t xml:space="preserve">be distinct or show a consistent </w:t>
      </w:r>
      <w:r w:rsidR="00D12761">
        <w:t xml:space="preserve">temporal </w:t>
      </w:r>
      <w:r w:rsidR="0003790B">
        <w:t xml:space="preserve">trend pattern. </w:t>
      </w:r>
      <w:r w:rsidR="005C2928">
        <w:t>Nevertheless, the NDVI values of</w:t>
      </w:r>
      <w:r w:rsidR="00E24B0B">
        <w:t xml:space="preserve"> the ML parcels </w:t>
      </w:r>
      <w:r w:rsidR="00F12172">
        <w:t xml:space="preserve">exhibited </w:t>
      </w:r>
      <w:r w:rsidR="00BD092E">
        <w:t>a significant vari</w:t>
      </w:r>
      <w:r w:rsidR="007C3BE6">
        <w:t xml:space="preserve">ance among the test countries, but also among the different parcels </w:t>
      </w:r>
      <w:r w:rsidR="007D5BA7">
        <w:t xml:space="preserve">residing in the same country, and no specific trend could be detected. </w:t>
      </w:r>
      <w:r w:rsidR="0071390C">
        <w:t>This led to the decision to integrate a different time series analysis, the harmonic model.</w:t>
      </w:r>
    </w:p>
    <w:p w14:paraId="6DC2CB8B" w14:textId="58B57BFA" w:rsidR="00C246F5" w:rsidRDefault="00435704" w:rsidP="00065A15">
      <w:pPr>
        <w:tabs>
          <w:tab w:val="left" w:pos="2707"/>
        </w:tabs>
      </w:pPr>
      <w:r w:rsidRPr="00435704">
        <w:t xml:space="preserve">Harmonic analysis, also termed spectral analysis or Fourier analysis, decomposes a time dependent periodic phenomenon into a series of </w:t>
      </w:r>
      <w:r w:rsidR="003B50E6">
        <w:t>cosine waves (terms) and an additive term</w:t>
      </w:r>
      <w:r w:rsidR="0081513C">
        <w:t xml:space="preserve"> </w:t>
      </w:r>
      <w:r w:rsidR="00F363DC">
        <w:fldChar w:fldCharType="begin" w:fldLock="1"/>
      </w:r>
      <w:r w:rsidR="0004076A">
        <w:instrText>ADDIN CSL_CITATION {"citationItems":[{"id":"ITEM-1","itemData":{"author":[{"dropping-particle":"","family":"Davis","given":"John C","non-dropping-particle":"","parse-names":false,"suffix":""},{"dropping-particle":"","family":"Sampson","given":"Robert J","non-dropping-particle":"","parse-names":false,"suffix":""}],"id":"ITEM-1","issued":{"date-parts":[["1986"]]},"publisher":"Wiley New York","title":"Statistics and data analysis in geology","type":"book","volume":"646"},"uris":["http://www.mendeley.com/documents/?uuid=bf708069-2981-4b9c-9cdb-a6790923e25e"]},{"id":"ITEM-2","itemData":{"author":[{"dropping-particle":"","family":"Rayner","given":"John N","non-dropping-particle":"","parse-names":false,"suffix":""}],"id":"ITEM-2","issued":{"date-parts":[["1971"]]},"publisher":"Pion","title":"Introduction to spectral analysis","type":"article-journal"},"uris":["http://www.mendeley.com/documents/?uuid=ad55043e-948c-4525-ab95-37fba95a8be4"]}],"mendeley":{"formattedCitation":"(Davis &amp; Sampson, 1986; Rayner, 1971)","plainTextFormattedCitation":"(Davis &amp; Sampson, 1986; Rayner, 1971)","previouslyFormattedCitation":"(Davis &amp; Sampson, 1986; Rayner, 1971)"},"properties":{"noteIndex":0},"schema":"https://github.com/citation-style-language/schema/raw/master/csl-citation.json"}</w:instrText>
      </w:r>
      <w:r w:rsidR="00F363DC">
        <w:fldChar w:fldCharType="separate"/>
      </w:r>
      <w:r w:rsidR="00F363DC" w:rsidRPr="00F363DC">
        <w:rPr>
          <w:noProof/>
        </w:rPr>
        <w:t>(Davis &amp; Sampson, 1986; Rayner, 1971)</w:t>
      </w:r>
      <w:r w:rsidR="00F363DC">
        <w:fldChar w:fldCharType="end"/>
      </w:r>
      <w:r w:rsidR="00313150">
        <w:t>.</w:t>
      </w:r>
      <w:r w:rsidRPr="00435704">
        <w:t xml:space="preserve"> </w:t>
      </w:r>
      <w:r w:rsidR="00170708">
        <w:t>E</w:t>
      </w:r>
      <w:r w:rsidRPr="00435704">
        <w:t>ach</w:t>
      </w:r>
      <w:r w:rsidR="00170708">
        <w:t xml:space="preserve"> wave is</w:t>
      </w:r>
      <w:r w:rsidRPr="00435704">
        <w:t xml:space="preserve"> defined by</w:t>
      </w:r>
      <w:r w:rsidR="00170708">
        <w:t xml:space="preserve"> a</w:t>
      </w:r>
      <w:r w:rsidRPr="00435704">
        <w:t xml:space="preserve"> unique amplitude and phase</w:t>
      </w:r>
      <w:r w:rsidR="0086072F">
        <w:t xml:space="preserve">, </w:t>
      </w:r>
      <w:r w:rsidR="0086072F" w:rsidRPr="0086072F">
        <w:t xml:space="preserve">where the amplitude value is half the height of a wave, and the phase </w:t>
      </w:r>
      <w:r w:rsidR="0051560C">
        <w:t>is</w:t>
      </w:r>
      <w:r w:rsidR="0086072F" w:rsidRPr="0086072F">
        <w:t xml:space="preserve"> the </w:t>
      </w:r>
      <w:r w:rsidR="005C7C04">
        <w:t>difference</w:t>
      </w:r>
      <w:r w:rsidR="0086072F" w:rsidRPr="0086072F">
        <w:t xml:space="preserve"> between the </w:t>
      </w:r>
      <w:r w:rsidR="007D3D7D">
        <w:t>start of the year</w:t>
      </w:r>
      <w:r w:rsidR="0086072F" w:rsidRPr="0086072F">
        <w:t xml:space="preserve"> and the peak of the wave over the range 0–2π</w:t>
      </w:r>
      <w:r w:rsidR="00EA5F62">
        <w:t xml:space="preserve"> </w:t>
      </w:r>
      <w:r w:rsidR="0023616B">
        <w:t>(</w:t>
      </w:r>
      <w:r w:rsidR="0023616B">
        <w:fldChar w:fldCharType="begin"/>
      </w:r>
      <w:r w:rsidR="0023616B">
        <w:instrText xml:space="preserve"> REF _Ref90842295 \h </w:instrText>
      </w:r>
      <w:r w:rsidR="0023616B">
        <w:fldChar w:fldCharType="separate"/>
      </w:r>
      <w:r w:rsidR="00D4790B">
        <w:t xml:space="preserve">Figure </w:t>
      </w:r>
      <w:r w:rsidR="00D4790B">
        <w:rPr>
          <w:noProof/>
        </w:rPr>
        <w:t>1</w:t>
      </w:r>
      <w:r w:rsidR="0023616B">
        <w:fldChar w:fldCharType="end"/>
      </w:r>
      <w:r w:rsidR="0023616B">
        <w:t>)</w:t>
      </w:r>
      <w:r w:rsidR="00FC760A">
        <w:t xml:space="preserve">. </w:t>
      </w:r>
      <w:r w:rsidRPr="00435704">
        <w:t>Each harmonic term accounts for a proportion of the variance in the original time series</w:t>
      </w:r>
      <w:r w:rsidR="004E5BA4">
        <w:t xml:space="preserve"> data-set and </w:t>
      </w:r>
      <w:r w:rsidR="00727CF4">
        <w:t xml:space="preserve">much like the </w:t>
      </w:r>
      <w:r w:rsidR="00727CF4" w:rsidRPr="00727CF4">
        <w:t xml:space="preserve">principal component analysis, the </w:t>
      </w:r>
      <w:r w:rsidR="0097080A">
        <w:t xml:space="preserve">first two terms </w:t>
      </w:r>
      <w:r w:rsidR="00FA0424">
        <w:t xml:space="preserve">(components) entail the </w:t>
      </w:r>
      <w:r w:rsidR="00727CF4" w:rsidRPr="00727CF4">
        <w:t>majority of the variance in a data set</w:t>
      </w:r>
      <w:r w:rsidR="0071390C">
        <w:t xml:space="preserve"> </w:t>
      </w:r>
      <w:r w:rsidR="0071390C">
        <w:fldChar w:fldCharType="begin" w:fldLock="1"/>
      </w:r>
      <w:r w:rsidR="008933B1">
        <w:instrText>ADDIN CSL_CITATION {"citationItems":[{"id":"ITEM-1","itemData":{"DOI":"10.1016/S0168-1699(02)00116-3","ISSN":"0168-1699","abstract":"Harmonic analysis of a time series of National Oceanic and Atmospheric Administration (NOAA) advanced very high resolution radiometer normalized difference vegetation index (NDVI) data was used to develop an innovative technique for crop type identification based on temporal changes in NDVI values. Different crops (corn, soybeans, alfalfa) exhibit distinctive seasonal patterns of NDVI variation that have strong periodic characteristics. Harmonic analysis, or Fourier analysis, decomposes a time-dependent periodic phenomenon into a series of constituent sinusoidal functions, or terms, each defined by a unique amplitude and phase value. Amplitude and phase angle images were produced by analysis of the time-series NDVI data and used within a discriminant analysis to develop a methodology for crop type identification. For crops that have a single distinct growing season and period of peak greenness, such as corn, the majority of the variance was captured by the first and additive terms, while winter wheat exhibited a bimodal NDVI periodicity with the majority of the variance accounted for by the second harmonic term. © 2002 Elsevier Science B.V. All rights reserved.","author":[{"dropping-particle":"","family":"Jakubauskas","given":"Mark E.","non-dropping-particle":"","parse-names":false,"suffix":""},{"dropping-particle":"","family":"Legates","given":"David R.","non-dropping-particle":"","parse-names":false,"suffix":""},{"dropping-particle":"","family":"Kastens","given":"Jude H.","non-dropping-particle":"","parse-names":false,"suffix":""}],"container-title":"Computers and Electronics in Agriculture","id":"ITEM-1","issue":"1-3","issued":{"date-parts":[["2002","12","1"]]},"page":"127-139","publisher":"Elsevier","title":"Crop identification using harmonic analysis of time-series AVHRR NDVI data","type":"article-journal","volume":"37"},"uris":["http://www.mendeley.com/documents/?uuid=44f94013-57fc-3cc1-aa6e-c9d883c2d5fe"]}],"mendeley":{"formattedCitation":"(Jakubauskas et al., 2002)","plainTextFormattedCitation":"(Jakubauskas et al., 2002)","previouslyFormattedCitation":"(Jakubauskas et al., 2002)"},"properties":{"noteIndex":0},"schema":"https://github.com/citation-style-language/schema/raw/master/csl-citation.json"}</w:instrText>
      </w:r>
      <w:r w:rsidR="0071390C">
        <w:fldChar w:fldCharType="separate"/>
      </w:r>
      <w:r w:rsidR="0071390C" w:rsidRPr="00FF3B3D">
        <w:rPr>
          <w:noProof/>
        </w:rPr>
        <w:t>(Jakubauskas et al., 2002)</w:t>
      </w:r>
      <w:r w:rsidR="0071390C">
        <w:fldChar w:fldCharType="end"/>
      </w:r>
      <w:r w:rsidR="00FA0424">
        <w:t>.</w:t>
      </w:r>
      <w:r w:rsidR="005253FF">
        <w:t xml:space="preserve"> </w:t>
      </w:r>
    </w:p>
    <w:p w14:paraId="0CFE7495" w14:textId="77777777" w:rsidR="00C246F5" w:rsidRDefault="00C246F5" w:rsidP="00E71B9F">
      <w:pPr>
        <w:keepNext/>
        <w:tabs>
          <w:tab w:val="left" w:pos="2707"/>
        </w:tabs>
      </w:pPr>
      <w:r>
        <w:rPr>
          <w:noProof/>
          <w:lang w:val="en-GB" w:eastAsia="en-GB"/>
        </w:rPr>
        <w:lastRenderedPageBreak/>
        <w:drawing>
          <wp:inline distT="0" distB="0" distL="0" distR="0" wp14:anchorId="3E922566" wp14:editId="4F31FA74">
            <wp:extent cx="5400675" cy="2943860"/>
            <wp:effectExtent l="0" t="0" r="9525" b="8890"/>
            <wp:docPr id="4" name="Picture 4"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hart, line chart&#10;&#10;Description automatically generated"/>
                    <pic:cNvPicPr/>
                  </pic:nvPicPr>
                  <pic:blipFill>
                    <a:blip r:embed="rId19">
                      <a:extLst>
                        <a:ext uri="{28A0092B-C50C-407E-A947-70E740481C1C}">
                          <a14:useLocalDpi xmlns:a14="http://schemas.microsoft.com/office/drawing/2010/main" val="0"/>
                        </a:ext>
                      </a:extLst>
                    </a:blip>
                    <a:stretch>
                      <a:fillRect/>
                    </a:stretch>
                  </pic:blipFill>
                  <pic:spPr>
                    <a:xfrm>
                      <a:off x="0" y="0"/>
                      <a:ext cx="5400675" cy="2943860"/>
                    </a:xfrm>
                    <a:prstGeom prst="rect">
                      <a:avLst/>
                    </a:prstGeom>
                  </pic:spPr>
                </pic:pic>
              </a:graphicData>
            </a:graphic>
          </wp:inline>
        </w:drawing>
      </w:r>
    </w:p>
    <w:p w14:paraId="6E808E5C" w14:textId="3F780955" w:rsidR="00C246F5" w:rsidRDefault="00C246F5" w:rsidP="00B30977">
      <w:pPr>
        <w:pStyle w:val="Caption"/>
      </w:pPr>
      <w:bookmarkStart w:id="22" w:name="_Ref90842295"/>
      <w:bookmarkStart w:id="23" w:name="_Toc91583681"/>
      <w:r>
        <w:t xml:space="preserve">Figure </w:t>
      </w:r>
      <w:r w:rsidR="00167D35">
        <w:fldChar w:fldCharType="begin"/>
      </w:r>
      <w:r w:rsidR="00167D35">
        <w:instrText xml:space="preserve"> SEQ Figure \* ARABIC </w:instrText>
      </w:r>
      <w:r w:rsidR="00167D35">
        <w:fldChar w:fldCharType="separate"/>
      </w:r>
      <w:r w:rsidR="00D4790B">
        <w:rPr>
          <w:noProof/>
        </w:rPr>
        <w:t>1</w:t>
      </w:r>
      <w:r w:rsidR="00167D35">
        <w:fldChar w:fldCharType="end"/>
      </w:r>
      <w:bookmarkEnd w:id="22"/>
      <w:r w:rsidR="00391D0F">
        <w:t>.</w:t>
      </w:r>
      <w:r>
        <w:t xml:space="preserve"> Harmonic model </w:t>
      </w:r>
      <w:r w:rsidR="008933B1">
        <w:fldChar w:fldCharType="begin" w:fldLock="1"/>
      </w:r>
      <w:r w:rsidR="00942D43">
        <w:instrText>ADDIN CSL_CITATION {"citationItems":[{"id":"ITEM-1","itemData":{"author":[{"dropping-particle":"","family":"Clinton","given":"Nicholas","non-dropping-particle":"","parse-names":false,"suffix":""}],"container-title":"Earth Engine User Summit","id":"ITEM-1","issued":{"date-parts":[["2017"]]},"publisher":"Google Slides","title":"EEUS Time Series","type":"paper-conference"},"uris":["http://www.mendeley.com/documents/?uuid=04d430ca-14a7-3229-ac87-a41b9c27ae88"]}],"mendeley":{"formattedCitation":"(Clinton, 2017)","plainTextFormattedCitation":"(Clinton, 2017)","previouslyFormattedCitation":"(Clinton, 2017)"},"properties":{"noteIndex":0},"schema":"https://github.com/citation-style-language/schema/raw/master/csl-citation.json"}</w:instrText>
      </w:r>
      <w:r w:rsidR="008933B1">
        <w:fldChar w:fldCharType="separate"/>
      </w:r>
      <w:r w:rsidR="008933B1" w:rsidRPr="008933B1">
        <w:rPr>
          <w:b w:val="0"/>
          <w:noProof/>
        </w:rPr>
        <w:t>(Clinton, 2017)</w:t>
      </w:r>
      <w:bookmarkEnd w:id="23"/>
      <w:r w:rsidR="008933B1">
        <w:fldChar w:fldCharType="end"/>
      </w:r>
    </w:p>
    <w:p w14:paraId="5CE62E66" w14:textId="33323BBF" w:rsidR="00485659" w:rsidRDefault="00073911" w:rsidP="00065A15">
      <w:pPr>
        <w:tabs>
          <w:tab w:val="left" w:pos="2707"/>
        </w:tabs>
      </w:pPr>
      <w:r>
        <w:t xml:space="preserve">In this step of the exploratory analysis, the hypothesis was that </w:t>
      </w:r>
      <w:r w:rsidR="006A7102">
        <w:t xml:space="preserve">a scatterplot of amplitude </w:t>
      </w:r>
      <w:r w:rsidR="00CE05A3">
        <w:t xml:space="preserve">vs </w:t>
      </w:r>
      <w:r w:rsidR="006A7102">
        <w:t>phase values</w:t>
      </w:r>
      <w:r w:rsidR="00911588">
        <w:t xml:space="preserve"> for a given area of various distinct land cover types, would </w:t>
      </w:r>
      <w:r w:rsidR="001262CA">
        <w:t>manifest distinct</w:t>
      </w:r>
      <w:r w:rsidR="00116459">
        <w:t xml:space="preserve"> clusters, representing each land cover</w:t>
      </w:r>
      <w:r w:rsidR="007B77E6">
        <w:t xml:space="preserve"> (LC)</w:t>
      </w:r>
      <w:r w:rsidR="00116459">
        <w:t>.</w:t>
      </w:r>
      <w:r w:rsidR="001262CA">
        <w:t xml:space="preserve"> I</w:t>
      </w:r>
      <w:r w:rsidR="008A5272">
        <w:t xml:space="preserve">n other words, it was expected that </w:t>
      </w:r>
      <w:r w:rsidR="00A63C1C">
        <w:t>the</w:t>
      </w:r>
      <w:r w:rsidR="00CE05A3">
        <w:t xml:space="preserve"> </w:t>
      </w:r>
      <w:r w:rsidR="007B77E6">
        <w:t>urban LC</w:t>
      </w:r>
      <w:r w:rsidR="002A5863">
        <w:t xml:space="preserve"> for example</w:t>
      </w:r>
      <w:r w:rsidR="007B77E6">
        <w:t xml:space="preserve"> would take over </w:t>
      </w:r>
      <w:r w:rsidR="002A5863">
        <w:t xml:space="preserve">the </w:t>
      </w:r>
      <w:r w:rsidR="002424FD">
        <w:t>lower part of the plot since</w:t>
      </w:r>
      <w:r w:rsidR="00BC691B">
        <w:t xml:space="preserve"> no significant vegetation exists </w:t>
      </w:r>
      <w:r w:rsidR="00CE191A">
        <w:t xml:space="preserve">so the amplitude </w:t>
      </w:r>
      <w:r w:rsidR="00AE2D0B">
        <w:t xml:space="preserve">would be close to zero. </w:t>
      </w:r>
      <w:r w:rsidR="00BB2D69">
        <w:t xml:space="preserve">Forest LC </w:t>
      </w:r>
      <w:r w:rsidR="00FA24A5">
        <w:t xml:space="preserve">should exhibit a cluster </w:t>
      </w:r>
      <w:r w:rsidR="00690E98">
        <w:t>in the</w:t>
      </w:r>
      <w:r w:rsidR="0036071A">
        <w:t xml:space="preserve"> high amplitude and medium </w:t>
      </w:r>
      <w:r w:rsidR="00690E98">
        <w:t>phase part of the plot</w:t>
      </w:r>
      <w:r w:rsidR="00636F4F">
        <w:t>, and so on</w:t>
      </w:r>
      <w:r w:rsidR="002A53A5">
        <w:t xml:space="preserve">. This hypothesis was not rejected by visual interpretation of the exploratory </w:t>
      </w:r>
      <w:r w:rsidR="00CE7227">
        <w:t>results;</w:t>
      </w:r>
      <w:r w:rsidR="007652FE">
        <w:t xml:space="preserve"> however, human interpretation would </w:t>
      </w:r>
      <w:r w:rsidR="009A51CF">
        <w:t xml:space="preserve">fail </w:t>
      </w:r>
      <w:r w:rsidR="007652FE">
        <w:t xml:space="preserve">to </w:t>
      </w:r>
      <w:r w:rsidR="00EE143F">
        <w:t>identify</w:t>
      </w:r>
      <w:r w:rsidR="00577193">
        <w:t xml:space="preserve"> all the </w:t>
      </w:r>
      <w:r w:rsidR="00EC7842">
        <w:t xml:space="preserve">underlying </w:t>
      </w:r>
      <w:r w:rsidR="0090781F">
        <w:t xml:space="preserve">patterns and aspects </w:t>
      </w:r>
      <w:r w:rsidR="002B3735">
        <w:t>in</w:t>
      </w:r>
      <w:r w:rsidR="0090781F">
        <w:t xml:space="preserve"> such </w:t>
      </w:r>
      <w:r w:rsidR="00A20ACA">
        <w:t>dataset</w:t>
      </w:r>
      <w:r w:rsidR="009A51CF">
        <w:t>.</w:t>
      </w:r>
      <w:r w:rsidR="0090781F">
        <w:t xml:space="preserve"> </w:t>
      </w:r>
      <w:r w:rsidR="009A51CF">
        <w:t>H</w:t>
      </w:r>
      <w:r w:rsidR="0090781F">
        <w:t>ence</w:t>
      </w:r>
      <w:r w:rsidR="009A51CF">
        <w:t>,</w:t>
      </w:r>
      <w:r w:rsidR="00801ED9">
        <w:t xml:space="preserve"> a </w:t>
      </w:r>
      <w:r w:rsidR="00FF4BFD">
        <w:t xml:space="preserve">machine learning </w:t>
      </w:r>
      <w:r w:rsidR="00FB709B">
        <w:t xml:space="preserve">classification algorithm was </w:t>
      </w:r>
      <w:r w:rsidR="00907BEB">
        <w:t xml:space="preserve">deemed </w:t>
      </w:r>
      <w:r w:rsidR="00CA1809">
        <w:t xml:space="preserve">necessary </w:t>
      </w:r>
      <w:r w:rsidR="006A722D">
        <w:t xml:space="preserve">for </w:t>
      </w:r>
      <w:r w:rsidR="00314D8C">
        <w:t xml:space="preserve">an in-depth exploitation of </w:t>
      </w:r>
      <w:r w:rsidR="00D70DAF">
        <w:t xml:space="preserve">the NDVI </w:t>
      </w:r>
      <w:r w:rsidR="009A4E24">
        <w:t xml:space="preserve">harmonic model </w:t>
      </w:r>
      <w:r w:rsidR="00D70DAF">
        <w:t>time series</w:t>
      </w:r>
      <w:r w:rsidR="009A4E24">
        <w:t xml:space="preserve"> analysis.</w:t>
      </w:r>
    </w:p>
    <w:p w14:paraId="1F3BD2FC" w14:textId="5EFE9688" w:rsidR="00EC23BF" w:rsidRDefault="00EC23BF" w:rsidP="00E71B9F">
      <w:pPr>
        <w:pStyle w:val="MAIL2"/>
      </w:pPr>
      <w:bookmarkStart w:id="24" w:name="_Toc91583667"/>
      <w:r>
        <w:t>Classification</w:t>
      </w:r>
      <w:r w:rsidR="00FB6640">
        <w:t xml:space="preserve"> Algorithm</w:t>
      </w:r>
      <w:bookmarkEnd w:id="24"/>
    </w:p>
    <w:p w14:paraId="3D0C56F6" w14:textId="442AA802" w:rsidR="00462973" w:rsidRDefault="005F6221" w:rsidP="00065A15">
      <w:pPr>
        <w:tabs>
          <w:tab w:val="left" w:pos="2707"/>
        </w:tabs>
      </w:pPr>
      <w:r>
        <w:t xml:space="preserve">The machine learning </w:t>
      </w:r>
      <w:r w:rsidR="00237691">
        <w:t xml:space="preserve">classification algorithm chosen for this study is the Random Forest </w:t>
      </w:r>
      <w:r w:rsidR="005F36E4">
        <w:t xml:space="preserve">(supervised </w:t>
      </w:r>
      <w:r w:rsidR="00237691">
        <w:t>classifier</w:t>
      </w:r>
      <w:r w:rsidR="005F36E4">
        <w:t>)</w:t>
      </w:r>
      <w:r w:rsidR="000D466F">
        <w:t>.</w:t>
      </w:r>
      <w:r w:rsidR="00262420">
        <w:t xml:space="preserve"> </w:t>
      </w:r>
      <w:r w:rsidR="00C32ACA" w:rsidRPr="00C32ACA">
        <w:t xml:space="preserve">Random Forest </w:t>
      </w:r>
      <w:r w:rsidR="00245F39">
        <w:t xml:space="preserve">(RF) </w:t>
      </w:r>
      <w:r w:rsidR="004D6227" w:rsidRPr="00C32ACA">
        <w:t xml:space="preserve">has been </w:t>
      </w:r>
      <w:r w:rsidR="004D6227">
        <w:t>applied</w:t>
      </w:r>
      <w:r w:rsidR="004D6227" w:rsidRPr="00C32ACA">
        <w:t xml:space="preserve"> in many recent </w:t>
      </w:r>
      <w:r w:rsidR="005724C2">
        <w:t xml:space="preserve">studies </w:t>
      </w:r>
      <w:r w:rsidR="004D6227" w:rsidRPr="00C32ACA">
        <w:t>and real-</w:t>
      </w:r>
      <w:r w:rsidR="00617125">
        <w:t>life</w:t>
      </w:r>
      <w:r w:rsidR="004D6227" w:rsidRPr="00C32ACA">
        <w:t xml:space="preserve"> applications in </w:t>
      </w:r>
      <w:r w:rsidR="006B3AFC">
        <w:t>a variety of</w:t>
      </w:r>
      <w:r w:rsidR="004D6227" w:rsidRPr="00C32ACA">
        <w:t xml:space="preserve"> domains</w:t>
      </w:r>
      <w:r w:rsidR="006B3AFC">
        <w:t xml:space="preserve">, since it </w:t>
      </w:r>
      <w:r w:rsidR="00C32ACA" w:rsidRPr="00C32ACA">
        <w:t xml:space="preserve">is a computationally efficient </w:t>
      </w:r>
      <w:r w:rsidR="00940E9B">
        <w:t>method</w:t>
      </w:r>
      <w:r w:rsidR="00C32ACA" w:rsidRPr="00C32ACA">
        <w:t xml:space="preserve"> </w:t>
      </w:r>
      <w:r w:rsidR="00940E9B">
        <w:t>capable of</w:t>
      </w:r>
      <w:r w:rsidR="00C32ACA" w:rsidRPr="00C32ACA">
        <w:t xml:space="preserve"> operat</w:t>
      </w:r>
      <w:r w:rsidR="00940E9B">
        <w:t>ing</w:t>
      </w:r>
      <w:r w:rsidR="00C32ACA" w:rsidRPr="00C32ACA">
        <w:t xml:space="preserve"> </w:t>
      </w:r>
      <w:r w:rsidR="00940E9B">
        <w:t>promptly</w:t>
      </w:r>
      <w:r w:rsidR="00C32ACA" w:rsidRPr="00C32ACA">
        <w:t xml:space="preserve"> over large datasets</w:t>
      </w:r>
      <w:r w:rsidR="00940E9B">
        <w:t xml:space="preserve"> </w:t>
      </w:r>
      <w:r w:rsidR="00942D43">
        <w:fldChar w:fldCharType="begin" w:fldLock="1"/>
      </w:r>
      <w:r w:rsidR="006D6EA2">
        <w:instrText>ADDIN CSL_CITATION {"citationItems":[{"id":"ITEM-1","itemData":{"DOI":"10.1007/978-3-642-31537-4_13","ISBN":"9783642315367","ISSN":"03029743","abstract":"Random Forest is a computationally efficient technique that can operate quickly over large datasets. It has been used in many recent research projects and real-world applications in diverse domains. However, the associated literature provides almost no directions about how many trees should be used to compose a Random Forest. The research reported here analyzes whether there is an optimal number of trees within a Random Forest, i.e., a threshold from which increasing the number of trees would bring no significant performance gain, and would only increase the computational cost. Our main conclusions are: as the number of trees grows, it does not always mean the performance of the forest is significantly better than previous forests (fewer trees), and doubling the number of trees is worthless. It is also possible to state there is a threshold beyond which there is no significant gain, unless a huge computational environment is available. In addition, it was found an experimental relationship for the AUC gain when doubling the number of trees in any forest. Furthermore, as the number of trees grows, the full set of attributes tend to be used within a Random Forest, which may not be interesting in the biomedical domain. Additionally, datasets' density-based metrics proposed here probably capture some aspects of the VC dimension on decision trees and low-density datasets may require large capacity machines whilst the opposite also seems to be true. © 2012 Springer-Verlag.","author":[{"dropping-particle":"","family":"Oshiro","given":"Thais Mayumi","non-dropping-particle":"","parse-names":false,"suffix":""},{"dropping-particle":"","family":"Perez","given":"Pedro Santoro","non-dropping-particle":"","parse-names":false,"suffix":""},{"dropping-particle":"","family":"Baranauskas","given":"José Augusto","non-dropping-particle":"","parse-names":false,"suffix":""}],"container-title":"Machine Learning and Data Mining in Pattern Recognition","id":"ITEM-1","issued":{"date-parts":[["2012"]]},"page":"154-168","publisher":"Springer, Berlin, Heidelberg","title":"How Many Trees in a Random Forest?","type":"paper-conference","volume":"7376 LNAI"},"uris":["http://www.mendeley.com/documents/?uuid=81e8d2e0-2571-35ce-a7f1-aba74628c8f0"]}],"mendeley":{"formattedCitation":"(Oshiro et al., 2012)","plainTextFormattedCitation":"(Oshiro et al., 2012)","previouslyFormattedCitation":"(Oshiro et al., 2012)"},"properties":{"noteIndex":0},"schema":"https://github.com/citation-style-language/schema/raw/master/csl-citation.json"}</w:instrText>
      </w:r>
      <w:r w:rsidR="00942D43">
        <w:fldChar w:fldCharType="separate"/>
      </w:r>
      <w:r w:rsidR="00942D43" w:rsidRPr="00942D43">
        <w:rPr>
          <w:noProof/>
        </w:rPr>
        <w:t>(Oshiro et al., 2012)</w:t>
      </w:r>
      <w:r w:rsidR="00942D43">
        <w:fldChar w:fldCharType="end"/>
      </w:r>
      <w:r w:rsidR="00C32ACA" w:rsidRPr="00C32ACA">
        <w:t>.</w:t>
      </w:r>
      <w:r w:rsidR="00942D43">
        <w:t xml:space="preserve"> </w:t>
      </w:r>
      <w:r w:rsidR="00B8236F">
        <w:t xml:space="preserve">Another reason </w:t>
      </w:r>
      <w:r w:rsidR="00F90A68">
        <w:t>that contributed in</w:t>
      </w:r>
      <w:r w:rsidR="00B8236F">
        <w:t xml:space="preserve"> the popularity of this technique is th</w:t>
      </w:r>
      <w:r w:rsidR="00087CAE">
        <w:t>e fact that they require a minimum input from the user</w:t>
      </w:r>
      <w:r w:rsidR="000320F7">
        <w:t xml:space="preserve">, having only </w:t>
      </w:r>
      <w:r w:rsidR="00EC65D2">
        <w:t>few</w:t>
      </w:r>
      <w:r w:rsidR="000320F7">
        <w:t xml:space="preserve"> parameters to tune</w:t>
      </w:r>
      <w:r w:rsidR="00D8113E">
        <w:t xml:space="preserve">, which makes it an attractive tool for people that are not </w:t>
      </w:r>
      <w:r w:rsidR="006D6EA2">
        <w:t xml:space="preserve">experts on machine learning algorithms </w:t>
      </w:r>
      <w:r w:rsidR="006D6EA2">
        <w:fldChar w:fldCharType="begin" w:fldLock="1"/>
      </w:r>
      <w:r w:rsidR="0078685E">
        <w:instrText>ADDIN CSL_CITATION {"citationItems":[{"id":"ITEM-1","itemData":{"DOI":"10.1007/S11749-016-0481-7/FIGURES/4","ISSN":"11330686","abstract":"The random forest algorithm, proposed by L. Breiman in 2001, has been extremely successful as a general-purpose classification and regression method. The approach, which combines several randomized decision trees and aggregates their predictions by averaging, has shown excellent performance in settings where the number of variables is much larger than the number of observations. Moreover, it is versatile enough to be applied to large-scale problems, is easily adapted to various ad hoc learning tasks, and returns measures of variable importance. The present article reviews the most recent theoretical and methodological developments for random forests. Emphasis is placed on the mathematical forces driving the algorithm, with special attention given to the selection of parameters, the resampling mechanism, and variable importance measures. This review is intended to provide non-experts easy access to the main ideas.","author":[{"dropping-particle":"","family":"Biau","given":"Gérard","non-dropping-particle":"","parse-names":false,"suffix":""},{"dropping-particle":"","family":"Scornet","given":"Erwan","non-dropping-particle":"","parse-names":false,"suffix":""}],"container-title":"Test","id":"ITEM-1","issue":"2","issued":{"date-parts":[["2016","6","1"]]},"page":"197-227","publisher":"Springer New York LLC","title":"A random forest guided tour","type":"article-journal","volume":"25"},"uris":["http://www.mendeley.com/documents/?uuid=4d70b694-8964-3bcd-a0fd-1151f008f44f"]}],"mendeley":{"formattedCitation":"(Biau &amp; Scornet, 2016)","plainTextFormattedCitation":"(Biau &amp; Scornet, 2016)","previouslyFormattedCitation":"(Biau &amp; Scornet, 2016)"},"properties":{"noteIndex":0},"schema":"https://github.com/citation-style-language/schema/raw/master/csl-citation.json"}</w:instrText>
      </w:r>
      <w:r w:rsidR="006D6EA2">
        <w:fldChar w:fldCharType="separate"/>
      </w:r>
      <w:r w:rsidR="006D6EA2" w:rsidRPr="006D6EA2">
        <w:rPr>
          <w:noProof/>
        </w:rPr>
        <w:t>(Biau &amp; Scornet, 2016)</w:t>
      </w:r>
      <w:r w:rsidR="006D6EA2">
        <w:fldChar w:fldCharType="end"/>
      </w:r>
      <w:r w:rsidR="006D6EA2">
        <w:t>.</w:t>
      </w:r>
      <w:r w:rsidR="001808FA">
        <w:t xml:space="preserve"> </w:t>
      </w:r>
      <w:r w:rsidR="00C9740F">
        <w:t xml:space="preserve">The </w:t>
      </w:r>
      <w:r w:rsidR="00245F39">
        <w:t xml:space="preserve">RF </w:t>
      </w:r>
      <w:r w:rsidR="00C9740F">
        <w:t>classifier, also comes</w:t>
      </w:r>
      <w:r w:rsidR="00197F59">
        <w:t xml:space="preserve"> with a </w:t>
      </w:r>
      <w:r w:rsidR="005A01DF">
        <w:t xml:space="preserve">neat feature, the </w:t>
      </w:r>
      <w:r w:rsidR="005A01DF" w:rsidRPr="00E71B9F">
        <w:rPr>
          <w:i/>
          <w:iCs/>
        </w:rPr>
        <w:t>out-of-bag</w:t>
      </w:r>
      <w:r w:rsidR="005A01DF">
        <w:t xml:space="preserve"> error </w:t>
      </w:r>
      <w:r w:rsidR="005A01DF">
        <w:lastRenderedPageBreak/>
        <w:t xml:space="preserve">estimate, </w:t>
      </w:r>
      <w:r w:rsidR="00DF3D4D">
        <w:t xml:space="preserve">which is computed </w:t>
      </w:r>
      <w:r w:rsidR="001F2B6D">
        <w:t xml:space="preserve">on the observations set aside </w:t>
      </w:r>
      <w:r w:rsidR="005805B3">
        <w:t>by the resampling before the tree building</w:t>
      </w:r>
      <w:r w:rsidR="00D81796">
        <w:t xml:space="preserve">, which offers a </w:t>
      </w:r>
      <w:r w:rsidR="002C5CD6">
        <w:t xml:space="preserve">quick way to check the performance of the model and fine tune the parameters, without the need </w:t>
      </w:r>
      <w:r w:rsidR="0078685E">
        <w:t xml:space="preserve">of a validation set </w:t>
      </w:r>
      <w:r w:rsidR="0078685E">
        <w:fldChar w:fldCharType="begin" w:fldLock="1"/>
      </w:r>
      <w:r w:rsidR="00B16984">
        <w:instrText>ADDIN CSL_CITATION {"citationItems":[{"id":"ITEM-1","itemData":{"DOI":"10.1016/j.eswa.2013.03.019","ISSN":"09574174","author":[{"dropping-particle":"","family":"Kruppa","given":"Jochen","non-dropping-particle":"","parse-names":false,"suffix":""},{"dropping-particle":"","family":"Schwarz","given":"Alexandra","non-dropping-particle":"","parse-names":false,"suffix":""},{"dropping-particle":"","family":"Arminger","given":"Gerhard","non-dropping-particle":"","parse-names":false,"suffix":""},{"dropping-particle":"","family":"Ziegler","given":"Andreas","non-dropping-particle":"","parse-names":false,"suffix":""}],"container-title":"Expert Systems with Applications","id":"ITEM-1","issue":"13","issued":{"date-parts":[["2013","10"]]},"page":"5125-5131","title":"Consumer credit risk: Individual probability estimates using machine learning","type":"article-journal","volume":"40"},"uris":["http://www.mendeley.com/documents/?uuid=04895149-75e2-4c10-b44a-d6eb6f3e2c87"]}],"mendeley":{"formattedCitation":"(Kruppa et al., 2013)","plainTextFormattedCitation":"(Kruppa et al., 2013)","previouslyFormattedCitation":"(Kruppa et al., 2013)"},"properties":{"noteIndex":0},"schema":"https://github.com/citation-style-language/schema/raw/master/csl-citation.json"}</w:instrText>
      </w:r>
      <w:r w:rsidR="0078685E">
        <w:fldChar w:fldCharType="separate"/>
      </w:r>
      <w:r w:rsidR="004E545B" w:rsidRPr="004E545B">
        <w:rPr>
          <w:noProof/>
        </w:rPr>
        <w:t>(Kruppa et al., 2013)</w:t>
      </w:r>
      <w:r w:rsidR="0078685E">
        <w:fldChar w:fldCharType="end"/>
      </w:r>
      <w:r w:rsidR="0078685E">
        <w:t>.</w:t>
      </w:r>
    </w:p>
    <w:p w14:paraId="47077DAF" w14:textId="4F5F0275" w:rsidR="00D35DFA" w:rsidRDefault="00D35DFA" w:rsidP="00172039">
      <w:pPr>
        <w:tabs>
          <w:tab w:val="left" w:pos="2707"/>
        </w:tabs>
      </w:pPr>
      <w:r>
        <w:t xml:space="preserve">Random Forest is an </w:t>
      </w:r>
      <w:r w:rsidR="00325464">
        <w:t xml:space="preserve">unweighted </w:t>
      </w:r>
      <w:r w:rsidR="00CA7BAE">
        <w:t>ensemble classifier</w:t>
      </w:r>
      <w:r w:rsidR="008864DA">
        <w:t xml:space="preserve">, meaning that </w:t>
      </w:r>
      <w:r w:rsidR="00692DD2">
        <w:t>it combines the decision of a set of classifiers</w:t>
      </w:r>
      <w:r w:rsidR="00325464">
        <w:t xml:space="preserve"> </w:t>
      </w:r>
      <w:r w:rsidR="00967D25">
        <w:t xml:space="preserve">by </w:t>
      </w:r>
      <w:r w:rsidR="0032222C">
        <w:t>unweighted vot</w:t>
      </w:r>
      <w:r w:rsidR="00967D25">
        <w:t>ing</w:t>
      </w:r>
      <w:r w:rsidR="0032222C">
        <w:t xml:space="preserve">, </w:t>
      </w:r>
      <w:r w:rsidR="009A0B99">
        <w:t>to classify a given sample</w:t>
      </w:r>
      <w:r w:rsidR="00B16984">
        <w:t xml:space="preserve"> </w:t>
      </w:r>
      <w:r w:rsidR="00B16984">
        <w:fldChar w:fldCharType="begin" w:fldLock="1"/>
      </w:r>
      <w:r w:rsidR="00362D65">
        <w:instrText>ADDIN CSL_CITATION {"citationItems":[{"id":"ITEM-1","itemData":{"DOI":"10.1080/01431160412331269698","ISSN":"01431161","abstract":"Growing an ensemble of decision trees and allowing them to vote for the most popular class produced a significant increase in classification accuracy for land cover classification. The objective of...","author":[{"dropping-particle":"","family":"Pal","given":"M.","non-dropping-particle":"","parse-names":false,"suffix":""}],"container-title":"International Journal of Remote Sensing","id":"ITEM-1","issue":"1","issued":{"date-parts":[["2007","1","10"]]},"page":"217-222","publisher":"Taylor &amp; Francis Group","title":"Random forest classifier for remote sensing classification","type":"article-journal","volume":"26"},"uris":["http://www.mendeley.com/documents/?uuid=d7412eda-4848-3f43-92a1-ccbf7864295f"]}],"mendeley":{"formattedCitation":"(Pal, 2007)","plainTextFormattedCitation":"(Pal, 2007)","previouslyFormattedCitation":"(Pal, 2007)"},"properties":{"noteIndex":0},"schema":"https://github.com/citation-style-language/schema/raw/master/csl-citation.json"}</w:instrText>
      </w:r>
      <w:r w:rsidR="00B16984">
        <w:fldChar w:fldCharType="separate"/>
      </w:r>
      <w:r w:rsidR="00B16984" w:rsidRPr="00B16984">
        <w:rPr>
          <w:noProof/>
        </w:rPr>
        <w:t>(Pal, 2007)</w:t>
      </w:r>
      <w:r w:rsidR="00B16984">
        <w:fldChar w:fldCharType="end"/>
      </w:r>
      <w:r w:rsidR="009A0B99">
        <w:t xml:space="preserve">. </w:t>
      </w:r>
      <w:r w:rsidR="00002249" w:rsidRPr="00E71B9F">
        <w:t xml:space="preserve">As </w:t>
      </w:r>
      <w:r w:rsidR="00002249">
        <w:t>defined by</w:t>
      </w:r>
      <w:r w:rsidR="00172039" w:rsidRPr="00E71B9F">
        <w:rPr>
          <w:color w:val="FF0000"/>
        </w:rPr>
        <w:t xml:space="preserve"> </w:t>
      </w:r>
      <w:r w:rsidR="00362D65">
        <w:fldChar w:fldCharType="begin" w:fldLock="1"/>
      </w:r>
      <w:r w:rsidR="00002249">
        <w:instrText>ADDIN CSL_CITATION {"citationItems":[{"id":"ITEM-1","itemData":{"abstract":"Random forests are a combination of tree predictors such that each tree depends on the values of a random vector sampled independently and with the same distribution for all trees in the forest. The generalization error for forests converges a.s. to a limit as the number of trees in the forest becomes large. The error of a forest of tree classifiers depends on the strength of the individual trees in the forest and the correlation between them. Using a random selection of features to split each node yields error rates that compare favorably to Adaboost, but are more robust with respect to noise. Internal estimates monitor error, strength, and correlation and these are used to show the response to increasing the number of features used in the splitting. These ideas are al;so applicable to regression.","author":[{"dropping-particle":"","family":"Breiman","given":"Leo","non-dropping-particle":"","parse-names":false,"suffix":""}],"id":"ITEM-1","issued":{"date-parts":[["1999","9"]]},"publisher-place":"Berkeley","title":"Random Forests-Random Features","type":"report"},"uris":["http://www.mendeley.com/documents/?uuid=70b26fb4-b86d-3221-aded-fd50a1dee904"]}],"mendeley":{"formattedCitation":"(Breiman, 1999)","manualFormatting":"Breiman, (1999)","plainTextFormattedCitation":"(Breiman, 1999)","previouslyFormattedCitation":"(Breiman, 1999)"},"properties":{"noteIndex":0},"schema":"https://github.com/citation-style-language/schema/raw/master/csl-citation.json"}</w:instrText>
      </w:r>
      <w:r w:rsidR="00362D65">
        <w:fldChar w:fldCharType="separate"/>
      </w:r>
      <w:r w:rsidR="00362D65" w:rsidRPr="00362D65">
        <w:rPr>
          <w:noProof/>
        </w:rPr>
        <w:t xml:space="preserve">Breiman, </w:t>
      </w:r>
      <w:r w:rsidR="00002249">
        <w:rPr>
          <w:noProof/>
        </w:rPr>
        <w:t>(</w:t>
      </w:r>
      <w:r w:rsidR="00362D65" w:rsidRPr="00362D65">
        <w:rPr>
          <w:noProof/>
        </w:rPr>
        <w:t>1999)</w:t>
      </w:r>
      <w:r w:rsidR="00362D65">
        <w:fldChar w:fldCharType="end"/>
      </w:r>
      <w:r w:rsidR="0046523F">
        <w:t xml:space="preserve"> “</w:t>
      </w:r>
      <w:r w:rsidR="0046523F" w:rsidRPr="00C05CB6">
        <w:rPr>
          <w:i/>
        </w:rPr>
        <w:t>A random forest is a classifier consisting of a collection of tree- structured classifiers {h(</w:t>
      </w:r>
      <w:proofErr w:type="spellStart"/>
      <w:r w:rsidR="0046523F" w:rsidRPr="00C05CB6">
        <w:rPr>
          <w:i/>
        </w:rPr>
        <w:t>x,Θk</w:t>
      </w:r>
      <w:proofErr w:type="spellEnd"/>
      <w:r w:rsidR="0046523F" w:rsidRPr="00C05CB6">
        <w:rPr>
          <w:i/>
        </w:rPr>
        <w:t>), k=1, ...} where the {</w:t>
      </w:r>
      <w:proofErr w:type="spellStart"/>
      <w:r w:rsidR="0046523F" w:rsidRPr="00C05CB6">
        <w:rPr>
          <w:i/>
        </w:rPr>
        <w:t>Θk</w:t>
      </w:r>
      <w:proofErr w:type="spellEnd"/>
      <w:r w:rsidR="0046523F" w:rsidRPr="00C05CB6">
        <w:rPr>
          <w:i/>
        </w:rPr>
        <w:t>} are independent identically distributed random vectors and each tree casts a unit vote for the most popular class at input x</w:t>
      </w:r>
      <w:r w:rsidR="0046523F">
        <w:t>”.</w:t>
      </w:r>
      <w:r w:rsidR="001F4736">
        <w:t xml:space="preserve"> </w:t>
      </w:r>
      <w:r w:rsidR="00EC65D2">
        <w:t>Frequently, the user sets the number of trees</w:t>
      </w:r>
      <w:r w:rsidR="00EA43E7">
        <w:t xml:space="preserve"> by a trial and error manner</w:t>
      </w:r>
      <w:r w:rsidR="000968C6">
        <w:t xml:space="preserve">, since </w:t>
      </w:r>
      <w:r w:rsidR="00397F81">
        <w:t>this algorithm can work efficiently with</w:t>
      </w:r>
      <w:r w:rsidR="00090BF9">
        <w:t xml:space="preserve"> large datasets and has been proven </w:t>
      </w:r>
      <w:r w:rsidR="007C7D93">
        <w:t xml:space="preserve">not to </w:t>
      </w:r>
      <w:r w:rsidR="00F95D22">
        <w:t xml:space="preserve">suffer from overfitting problems, although if </w:t>
      </w:r>
      <w:r w:rsidR="000F6398">
        <w:t xml:space="preserve">the number of trees is significantly increased </w:t>
      </w:r>
      <w:r w:rsidR="002C037A">
        <w:t xml:space="preserve">computational performance can take a toll </w:t>
      </w:r>
      <w:r w:rsidR="009F6F4C">
        <w:fldChar w:fldCharType="begin" w:fldLock="1"/>
      </w:r>
      <w:r w:rsidR="00BB2CD4">
        <w:instrText>ADDIN CSL_CITATION {"citationItems":[{"id":"ITEM-1","itemData":{"DOI":"10.1007/978-3-642-31537-4_13","ISBN":"9783642315367","ISSN":"03029743","abstract":"Random Forest is a computationally efficient technique that can operate quickly over large datasets. It has been used in many recent research projects and real-world applications in diverse domains. However, the associated literature provides almost no directions about how many trees should be used to compose a Random Forest. The research reported here analyzes whether there is an optimal number of trees within a Random Forest, i.e., a threshold from which increasing the number of trees would bring no significant performance gain, and would only increase the computational cost. Our main conclusions are: as the number of trees grows, it does not always mean the performance of the forest is significantly better than previous forests (fewer trees), and doubling the number of trees is worthless. It is also possible to state there is a threshold beyond which there is no significant gain, unless a huge computational environment is available. In addition, it was found an experimental relationship for the AUC gain when doubling the number of trees in any forest. Furthermore, as the number of trees grows, the full set of attributes tend to be used within a Random Forest, which may not be interesting in the biomedical domain. Additionally, datasets' density-based metrics proposed here probably capture some aspects of the VC dimension on decision trees and low-density datasets may require large capacity machines whilst the opposite also seems to be true. © 2012 Springer-Verlag.","author":[{"dropping-particle":"","family":"Oshiro","given":"Thais Mayumi","non-dropping-particle":"","parse-names":false,"suffix":""},{"dropping-particle":"","family":"Perez","given":"Pedro Santoro","non-dropping-particle":"","parse-names":false,"suffix":""},{"dropping-particle":"","family":"Baranauskas","given":"José Augusto","non-dropping-particle":"","parse-names":false,"suffix":""}],"container-title":"Machine Learning and Data Mining in Pattern Recognition","id":"ITEM-1","issued":{"date-parts":[["2012"]]},"page":"154-168","publisher":"Springer, Berlin, Heidelberg","title":"How Many Trees in a Random Forest?","type":"paper-conference","volume":"7376 LNAI"},"uris":["http://www.mendeley.com/documents/?uuid=81e8d2e0-2571-35ce-a7f1-aba74628c8f0"]}],"mendeley":{"formattedCitation":"(Oshiro et al., 2012)","plainTextFormattedCitation":"(Oshiro et al., 2012)","previouslyFormattedCitation":"(Oshiro et al., 2012)"},"properties":{"noteIndex":0},"schema":"https://github.com/citation-style-language/schema/raw/master/csl-citation.json"}</w:instrText>
      </w:r>
      <w:r w:rsidR="009F6F4C">
        <w:fldChar w:fldCharType="separate"/>
      </w:r>
      <w:r w:rsidR="009F6F4C" w:rsidRPr="009F6F4C">
        <w:rPr>
          <w:noProof/>
        </w:rPr>
        <w:t>(Oshiro et al., 2012)</w:t>
      </w:r>
      <w:r w:rsidR="009F6F4C">
        <w:fldChar w:fldCharType="end"/>
      </w:r>
      <w:r w:rsidR="002C037A">
        <w:t>.</w:t>
      </w:r>
      <w:r w:rsidR="00A83709">
        <w:t xml:space="preserve"> </w:t>
      </w:r>
    </w:p>
    <w:p w14:paraId="7F2EFF0D" w14:textId="2F3EF91C" w:rsidR="006E236A" w:rsidRDefault="001B2BAF" w:rsidP="00172039">
      <w:pPr>
        <w:tabs>
          <w:tab w:val="left" w:pos="2707"/>
        </w:tabs>
      </w:pPr>
      <w:r>
        <w:t>A</w:t>
      </w:r>
      <w:r w:rsidR="00F86941">
        <w:t xml:space="preserve">fter </w:t>
      </w:r>
      <w:r w:rsidR="00C4229D">
        <w:t xml:space="preserve">experimenting with various </w:t>
      </w:r>
      <w:r w:rsidR="002A38BD">
        <w:t xml:space="preserve">parameter </w:t>
      </w:r>
      <w:r w:rsidR="00C4229D">
        <w:t xml:space="preserve">values, number of variables and at </w:t>
      </w:r>
      <w:r>
        <w:t>different regions, a relatively high number of trees</w:t>
      </w:r>
      <w:r w:rsidR="000D6418">
        <w:t xml:space="preserve"> (</w:t>
      </w:r>
      <w:r w:rsidR="001F37FE">
        <w:t>1</w:t>
      </w:r>
      <w:r w:rsidR="00B30977">
        <w:t>,</w:t>
      </w:r>
      <w:r w:rsidR="001F37FE">
        <w:t>000</w:t>
      </w:r>
      <w:r w:rsidR="000D6418">
        <w:t>)</w:t>
      </w:r>
      <w:r>
        <w:t xml:space="preserve"> was deemed appropriate</w:t>
      </w:r>
      <w:r w:rsidR="001F37FE">
        <w:t xml:space="preserve"> for the needs of this investigation</w:t>
      </w:r>
      <w:r w:rsidR="00EA2AE6">
        <w:t xml:space="preserve">. </w:t>
      </w:r>
      <w:r w:rsidR="005400FC">
        <w:t>This was mainly due to</w:t>
      </w:r>
      <w:r w:rsidR="005F4FCF">
        <w:t xml:space="preserve"> the</w:t>
      </w:r>
      <w:r w:rsidR="000468A5">
        <w:t xml:space="preserve"> big</w:t>
      </w:r>
      <w:r w:rsidR="005F4FCF">
        <w:t xml:space="preserve"> </w:t>
      </w:r>
      <w:r w:rsidR="00BF3C64">
        <w:t xml:space="preserve">extent of the area that would be classified, </w:t>
      </w:r>
      <w:r w:rsidR="000468A5">
        <w:t xml:space="preserve">which means that </w:t>
      </w:r>
      <w:r w:rsidR="00AC6C84">
        <w:t xml:space="preserve">significant </w:t>
      </w:r>
      <w:r w:rsidR="000468A5">
        <w:t>variations</w:t>
      </w:r>
      <w:r w:rsidR="00AC6C84">
        <w:t xml:space="preserve"> in </w:t>
      </w:r>
      <w:r w:rsidR="003D19D6">
        <w:t>landscape</w:t>
      </w:r>
      <w:r w:rsidR="000468A5">
        <w:t xml:space="preserve"> are expected to occur, </w:t>
      </w:r>
      <w:r w:rsidR="00B97408">
        <w:t xml:space="preserve">but also because a smaller number of trees, like 100 – 500, </w:t>
      </w:r>
      <w:r w:rsidR="005678C1">
        <w:t xml:space="preserve">exhibited higher variance </w:t>
      </w:r>
      <w:r w:rsidR="00DE5CA9">
        <w:t>in the out-of-bag error estimates, depending on the region.</w:t>
      </w:r>
      <w:r w:rsidR="00AB540A">
        <w:t xml:space="preserve"> </w:t>
      </w:r>
      <w:r w:rsidR="000522AA">
        <w:t xml:space="preserve">The rest of the </w:t>
      </w:r>
      <w:r w:rsidR="004F4540">
        <w:t xml:space="preserve">parameters for the </w:t>
      </w:r>
      <w:r w:rsidR="009308B6">
        <w:t xml:space="preserve">RF </w:t>
      </w:r>
      <w:r w:rsidR="004F4540">
        <w:t>classifier in GEE were left in their default values.</w:t>
      </w:r>
    </w:p>
    <w:p w14:paraId="050B5A5B" w14:textId="77777777" w:rsidR="00E54054" w:rsidRDefault="00E54054" w:rsidP="00E54054">
      <w:pPr>
        <w:pStyle w:val="Heading2"/>
      </w:pPr>
      <w:bookmarkStart w:id="25" w:name="_Ref89349114"/>
      <w:bookmarkStart w:id="26" w:name="_Ref89349118"/>
      <w:bookmarkStart w:id="27" w:name="_Toc91583668"/>
      <w:r>
        <w:t>Training data</w:t>
      </w:r>
      <w:bookmarkEnd w:id="25"/>
      <w:bookmarkEnd w:id="26"/>
      <w:bookmarkEnd w:id="27"/>
    </w:p>
    <w:p w14:paraId="21A7108B" w14:textId="64125518" w:rsidR="00E54054" w:rsidRPr="000022A7" w:rsidRDefault="00E54054" w:rsidP="00E71B9F">
      <w:r>
        <w:t>For any supervised classification to perform as intended and reach its true potential in accuracy measures, attention needs to be paid to the samples that will serve as training data. Since the primary objective of this Task is the detection</w:t>
      </w:r>
      <w:r w:rsidR="00B30977">
        <w:t xml:space="preserve"> of</w:t>
      </w:r>
      <w:r>
        <w:t xml:space="preserve"> MLs, a simple classification approach identifying the major prevailing land covers, like Forest, </w:t>
      </w:r>
      <w:r w:rsidR="00A37ED3">
        <w:t>Croplands</w:t>
      </w:r>
      <w:r>
        <w:t xml:space="preserve">, Impervious, Water and MLs was followed. To delineate the regions and acquire the training samples for the Forest, </w:t>
      </w:r>
      <w:r w:rsidR="003772E1">
        <w:t>Croplands</w:t>
      </w:r>
      <w:r>
        <w:t xml:space="preserve"> and Impervious LC the Hard Layers generated in Task 2.3 will be utilized, while for the Water </w:t>
      </w:r>
      <w:r w:rsidR="0061111B">
        <w:t xml:space="preserve">bodies </w:t>
      </w:r>
      <w:r>
        <w:t>LC, the “Water” class from the S2GLC product will be extracted, since these layers provide very high accuracy. For the classification of MLs, though, the 2.3 “</w:t>
      </w:r>
      <w:proofErr w:type="spellStart"/>
      <w:r>
        <w:t>ML_Hard_Thresholds</w:t>
      </w:r>
      <w:proofErr w:type="spellEnd"/>
      <w:r>
        <w:t xml:space="preserve">” mask, and more specifically the classes that include all the potentially suitable MLs, will be sampled. This is the best </w:t>
      </w:r>
      <w:r w:rsidR="00627369">
        <w:t xml:space="preserve">and only </w:t>
      </w:r>
      <w:r w:rsidR="000513D8">
        <w:t xml:space="preserve">source of data </w:t>
      </w:r>
      <w:r w:rsidR="00627369">
        <w:t xml:space="preserve">for the whole Europe </w:t>
      </w:r>
      <w:r>
        <w:t>that could be obtained for sampling MLs training data, even though this product manifested an ~68% overall classification accuracy in T2.4.</w:t>
      </w:r>
    </w:p>
    <w:p w14:paraId="04F2577E" w14:textId="2FA14FE8" w:rsidR="00E54054" w:rsidRDefault="00AC0D71" w:rsidP="00E71B9F">
      <w:pPr>
        <w:pStyle w:val="MAIL2"/>
      </w:pPr>
      <w:bookmarkStart w:id="28" w:name="_Toc91583669"/>
      <w:r>
        <w:lastRenderedPageBreak/>
        <w:t>Trials and Errors</w:t>
      </w:r>
      <w:bookmarkEnd w:id="28"/>
    </w:p>
    <w:p w14:paraId="3B06AB2D" w14:textId="77777777" w:rsidR="00F363DC" w:rsidRDefault="00037989" w:rsidP="00172039">
      <w:pPr>
        <w:tabs>
          <w:tab w:val="left" w:pos="2707"/>
        </w:tabs>
      </w:pPr>
      <w:r>
        <w:t>For the testing phase,</w:t>
      </w:r>
      <w:r w:rsidR="00392773">
        <w:t xml:space="preserve"> </w:t>
      </w:r>
      <w:r w:rsidR="00963912">
        <w:t>the RF</w:t>
      </w:r>
      <w:r w:rsidR="009308B6">
        <w:t xml:space="preserve"> classifier was applied</w:t>
      </w:r>
      <w:r w:rsidR="00491F28">
        <w:t xml:space="preserve"> on Sentinel-2 imagery</w:t>
      </w:r>
      <w:r w:rsidR="00377956">
        <w:t xml:space="preserve"> </w:t>
      </w:r>
      <w:r w:rsidR="007D7C5A">
        <w:t>and</w:t>
      </w:r>
      <w:r w:rsidR="00377956">
        <w:t xml:space="preserve"> </w:t>
      </w:r>
      <w:r w:rsidR="007D7C5A">
        <w:t xml:space="preserve">a </w:t>
      </w:r>
      <w:r w:rsidR="00377956">
        <w:t xml:space="preserve">region </w:t>
      </w:r>
      <w:r w:rsidR="007D7C5A">
        <w:t>in north Greece</w:t>
      </w:r>
      <w:r w:rsidR="00392773">
        <w:t xml:space="preserve"> </w:t>
      </w:r>
      <w:r w:rsidR="007D7C5A">
        <w:t xml:space="preserve">was selected as </w:t>
      </w:r>
      <w:r w:rsidR="00BD731C">
        <w:t>the testing site for a quick assessment of the classifier’s performance</w:t>
      </w:r>
      <w:r w:rsidR="00FF1DB9">
        <w:t xml:space="preserve">, since most of the validation polygons </w:t>
      </w:r>
      <w:r w:rsidR="0096656A">
        <w:t>offered for the T2.4 Accuracy Assessment reside in this area.</w:t>
      </w:r>
      <w:r w:rsidR="00BD731C">
        <w:t xml:space="preserve"> </w:t>
      </w:r>
      <w:r w:rsidR="00D3738D">
        <w:t xml:space="preserve">Initially, </w:t>
      </w:r>
      <w:r w:rsidR="00EA1D7C">
        <w:t xml:space="preserve">the </w:t>
      </w:r>
      <w:r w:rsidR="0003170D">
        <w:t>A</w:t>
      </w:r>
      <w:r w:rsidR="00EA1D7C">
        <w:t xml:space="preserve">mplitude and </w:t>
      </w:r>
      <w:r w:rsidR="0003170D">
        <w:t>P</w:t>
      </w:r>
      <w:r w:rsidR="004F524A">
        <w:t>hase values</w:t>
      </w:r>
      <w:r w:rsidR="008D54E1">
        <w:t>, extracted from the</w:t>
      </w:r>
      <w:r w:rsidR="000F3664">
        <w:t xml:space="preserve"> first two terms of the</w:t>
      </w:r>
      <w:r w:rsidR="008D54E1">
        <w:t xml:space="preserve"> Harmonic analysis of the NDVI values</w:t>
      </w:r>
      <w:r w:rsidR="00962721">
        <w:t>,</w:t>
      </w:r>
      <w:r w:rsidR="00800A25">
        <w:t xml:space="preserve"> were</w:t>
      </w:r>
      <w:r w:rsidR="00011750">
        <w:t xml:space="preserve"> used </w:t>
      </w:r>
      <w:r w:rsidR="00225805">
        <w:t>for the classification of</w:t>
      </w:r>
      <w:r w:rsidR="0003170D">
        <w:t xml:space="preserve"> the Sentinel-2 imagery</w:t>
      </w:r>
      <w:r w:rsidR="00924270">
        <w:t xml:space="preserve">, </w:t>
      </w:r>
      <w:r w:rsidR="00D82247">
        <w:t>which resulted in a 49.3</w:t>
      </w:r>
      <w:r w:rsidR="00A108C2">
        <w:t>% out-of-bag</w:t>
      </w:r>
      <w:r w:rsidR="00231F12">
        <w:t xml:space="preserve"> (OOB)</w:t>
      </w:r>
      <w:r w:rsidR="00A108C2">
        <w:t xml:space="preserve"> error estimate</w:t>
      </w:r>
      <w:r w:rsidR="009821C2">
        <w:t>,</w:t>
      </w:r>
      <w:r w:rsidR="00A108C2">
        <w:t xml:space="preserve"> a</w:t>
      </w:r>
      <w:r w:rsidR="009821C2">
        <w:t xml:space="preserve"> 51%</w:t>
      </w:r>
      <w:r w:rsidR="00A108C2">
        <w:t xml:space="preserve"> Overall Accuracy</w:t>
      </w:r>
      <w:r w:rsidR="009821C2">
        <w:t xml:space="preserve"> (OA) and </w:t>
      </w:r>
      <w:r w:rsidR="006B3611">
        <w:t xml:space="preserve">a Kappa (K) value of 0.02. </w:t>
      </w:r>
      <w:r w:rsidR="00A546F4">
        <w:t xml:space="preserve">This triggered the </w:t>
      </w:r>
      <w:r w:rsidR="00061484">
        <w:t xml:space="preserve">hypothesis that adding </w:t>
      </w:r>
      <w:r w:rsidR="00962721">
        <w:t>the mean NDVI values</w:t>
      </w:r>
      <w:r w:rsidR="00D9594F">
        <w:t xml:space="preserve"> for each pixel</w:t>
      </w:r>
      <w:r w:rsidR="00962721">
        <w:t xml:space="preserve"> would be an additional information for the algorithm, since</w:t>
      </w:r>
      <w:r w:rsidR="003573F1">
        <w:t xml:space="preserve"> the value of Amplitude, essentially describes the variance</w:t>
      </w:r>
      <w:r w:rsidR="005B2E88">
        <w:t xml:space="preserve"> and not the actual NDVI values</w:t>
      </w:r>
      <w:r w:rsidR="0063317E">
        <w:t xml:space="preserve">. Adding the NDVI as a classification variable improved the performance </w:t>
      </w:r>
      <w:r w:rsidR="00231F12">
        <w:t xml:space="preserve">of the classifier </w:t>
      </w:r>
      <w:r w:rsidR="0076133F">
        <w:t>(</w:t>
      </w:r>
      <w:r w:rsidR="00231F12">
        <w:t>OOB</w:t>
      </w:r>
      <w:r w:rsidR="00407CA9">
        <w:t>: 35.9%</w:t>
      </w:r>
      <w:r w:rsidR="0076133F">
        <w:t xml:space="preserve">) but not the accuracy (OA: </w:t>
      </w:r>
      <w:r w:rsidR="00AE6F61">
        <w:t>47.5%, K: -0.05</w:t>
      </w:r>
      <w:r w:rsidR="003D5640">
        <w:t>)</w:t>
      </w:r>
      <w:r w:rsidR="00344E71">
        <w:t>.</w:t>
      </w:r>
      <w:r w:rsidR="007F127F">
        <w:t xml:space="preserve"> </w:t>
      </w:r>
    </w:p>
    <w:p w14:paraId="03255052" w14:textId="367D2FB7" w:rsidR="006B7C81" w:rsidRDefault="007F127F" w:rsidP="00172039">
      <w:pPr>
        <w:tabs>
          <w:tab w:val="left" w:pos="2707"/>
        </w:tabs>
      </w:pPr>
      <w:r>
        <w:t xml:space="preserve">For the next trial, </w:t>
      </w:r>
      <w:r w:rsidR="00F8422C">
        <w:t xml:space="preserve">two more vegetation indices were introduced to the algorithm, the Enhanced Vegetation Index (EVI) and the Soil Adjusted Vegetation Index (SAVI). </w:t>
      </w:r>
      <w:r w:rsidR="005124AB" w:rsidRPr="005124AB">
        <w:t xml:space="preserve">EVI is </w:t>
      </w:r>
      <w:proofErr w:type="gramStart"/>
      <w:r w:rsidR="005124AB" w:rsidRPr="005124AB">
        <w:t>similar to</w:t>
      </w:r>
      <w:proofErr w:type="gramEnd"/>
      <w:r w:rsidR="005124AB" w:rsidRPr="005124AB">
        <w:t xml:space="preserve"> NDVI and </w:t>
      </w:r>
      <w:r w:rsidR="00F24240">
        <w:t xml:space="preserve">is also </w:t>
      </w:r>
      <w:r w:rsidR="005124AB" w:rsidRPr="005124AB">
        <w:t xml:space="preserve">used to quantify vegetation greenness. However, EVI corrects for some atmospheric conditions and canopy background noise and is more sensitive in areas with dense vegetation. </w:t>
      </w:r>
      <w:r w:rsidR="00F24240">
        <w:t xml:space="preserve">In addition </w:t>
      </w:r>
      <w:r w:rsidR="00D05144">
        <w:t>to the Red and NIR bands used in NDVI, i</w:t>
      </w:r>
      <w:r w:rsidR="005124AB" w:rsidRPr="005124AB">
        <w:t>t</w:t>
      </w:r>
      <w:r w:rsidR="00F10FDC">
        <w:t xml:space="preserve"> also</w:t>
      </w:r>
      <w:r w:rsidR="005124AB" w:rsidRPr="005124AB">
        <w:t xml:space="preserve"> incorporates an “L” value to adjust for canopy background, “C” values as coefficients for atmospheric resistance, and values from the blue band</w:t>
      </w:r>
      <w:r w:rsidR="00210E02">
        <w:t xml:space="preserve"> </w:t>
      </w:r>
      <w:r w:rsidR="006B7C81">
        <w:t xml:space="preserve">and is calculated from the following formula </w:t>
      </w:r>
      <w:r w:rsidR="00EF2164">
        <w:fldChar w:fldCharType="begin" w:fldLock="1"/>
      </w:r>
      <w:r w:rsidR="00124315">
        <w:instrText>ADDIN CSL_CITATION {"citationItems":[{"id":"ITEM-1","itemData":{"DOI":"10.1016/S0034-4257(02)00096-2","ISSN":"00344257","author":[{"dropping-particle":"","family":"Huete","given":"A","non-dropping-particle":"","parse-names":false,"suffix":""},{"dropping-particle":"","family":"Didan","given":"K","non-dropping-particle":"","parse-names":false,"suffix":""},{"dropping-particle":"","family":"Miura","given":"T","non-dropping-particle":"","parse-names":false,"suffix":""},{"dropping-particle":"","family":"Rodriguez","given":"E.P","non-dropping-particle":"","parse-names":false,"suffix":""},{"dropping-particle":"","family":"Gao","given":"X","non-dropping-particle":"","parse-names":false,"suffix":""},{"dropping-particle":"","family":"Ferreira","given":"L.G","non-dropping-particle":"","parse-names":false,"suffix":""}],"container-title":"Remote Sensing of Environment","id":"ITEM-1","issue":"1-2","issued":{"date-parts":[["2002","11"]]},"page":"195-213","title":"Overview of the radiometric and biophysical performance of the MODIS vegetation indices","type":"article-journal","volume":"83"},"uris":["http://www.mendeley.com/documents/?uuid=3ab3853e-4e10-4779-a931-8c1ed9af8a0f"]}],"mendeley":{"formattedCitation":"(A. Huete et al., 2002)","plainTextFormattedCitation":"(A. Huete et al., 2002)","previouslyFormattedCitation":"(A. Huete et al., 2002)"},"properties":{"noteIndex":0},"schema":"https://github.com/citation-style-language/schema/raw/master/csl-citation.json"}</w:instrText>
      </w:r>
      <w:r w:rsidR="00EF2164">
        <w:fldChar w:fldCharType="separate"/>
      </w:r>
      <w:r w:rsidR="009C1759" w:rsidRPr="009C1759">
        <w:rPr>
          <w:noProof/>
        </w:rPr>
        <w:t>(A. Huete et al., 2002)</w:t>
      </w:r>
      <w:r w:rsidR="00EF2164">
        <w:fldChar w:fldCharType="end"/>
      </w:r>
      <w:r w:rsidR="006B7C81">
        <w:t>:</w:t>
      </w:r>
    </w:p>
    <w:p w14:paraId="527F5D08" w14:textId="3B92FBC9" w:rsidR="006B7C81" w:rsidRDefault="006B7C81" w:rsidP="00172039">
      <w:pPr>
        <w:tabs>
          <w:tab w:val="left" w:pos="2707"/>
        </w:tabs>
      </w:pPr>
      <m:oMathPara>
        <m:oMath>
          <m:r>
            <w:rPr>
              <w:rFonts w:ascii="Cambria Math" w:hAnsi="Cambria Math"/>
            </w:rPr>
            <m:t xml:space="preserve">EVI=2.5* </m:t>
          </m:r>
          <m:f>
            <m:fPr>
              <m:ctrlPr>
                <w:rPr>
                  <w:rFonts w:ascii="Cambria Math" w:hAnsi="Cambria Math"/>
                  <w:i/>
                </w:rPr>
              </m:ctrlPr>
            </m:fPr>
            <m:num>
              <m:sSub>
                <m:sSubPr>
                  <m:ctrlPr>
                    <w:rPr>
                      <w:rFonts w:ascii="Cambria Math" w:hAnsi="Cambria Math"/>
                      <w:i/>
                      <w:lang w:val="el-GR"/>
                    </w:rPr>
                  </m:ctrlPr>
                </m:sSubPr>
                <m:e>
                  <m:r>
                    <w:rPr>
                      <w:rFonts w:ascii="Cambria Math" w:hAnsi="Cambria Math"/>
                      <w:lang w:val="el-GR"/>
                    </w:rPr>
                    <m:t>ρ</m:t>
                  </m:r>
                </m:e>
                <m:sub>
                  <m:r>
                    <w:rPr>
                      <w:rFonts w:ascii="Cambria Math" w:hAnsi="Cambria Math"/>
                    </w:rPr>
                    <m:t>NIR</m:t>
                  </m:r>
                </m:sub>
              </m:sSub>
              <m:r>
                <w:rPr>
                  <w:rFonts w:ascii="Cambria Math" w:hAnsi="Cambria Math"/>
                </w:rPr>
                <m:t>-</m:t>
              </m:r>
              <m:sSub>
                <m:sSubPr>
                  <m:ctrlPr>
                    <w:rPr>
                      <w:rFonts w:ascii="Cambria Math" w:hAnsi="Cambria Math"/>
                      <w:i/>
                      <w:lang w:val="el-GR"/>
                    </w:rPr>
                  </m:ctrlPr>
                </m:sSubPr>
                <m:e>
                  <m:r>
                    <w:rPr>
                      <w:rFonts w:ascii="Cambria Math" w:hAnsi="Cambria Math"/>
                      <w:lang w:val="el-GR"/>
                    </w:rPr>
                    <m:t>ρ</m:t>
                  </m:r>
                </m:e>
                <m:sub>
                  <m:r>
                    <w:rPr>
                      <w:rFonts w:ascii="Cambria Math" w:hAnsi="Cambria Math"/>
                    </w:rPr>
                    <m:t>Red</m:t>
                  </m:r>
                </m:sub>
              </m:sSub>
            </m:num>
            <m:den>
              <m:sSub>
                <m:sSubPr>
                  <m:ctrlPr>
                    <w:rPr>
                      <w:rFonts w:ascii="Cambria Math" w:hAnsi="Cambria Math"/>
                      <w:i/>
                      <w:lang w:val="el-GR"/>
                    </w:rPr>
                  </m:ctrlPr>
                </m:sSubPr>
                <m:e>
                  <m:r>
                    <w:rPr>
                      <w:rFonts w:ascii="Cambria Math" w:hAnsi="Cambria Math"/>
                      <w:lang w:val="el-GR"/>
                    </w:rPr>
                    <m:t>ρ</m:t>
                  </m:r>
                </m:e>
                <m:sub>
                  <m:r>
                    <w:rPr>
                      <w:rFonts w:ascii="Cambria Math" w:hAnsi="Cambria Math"/>
                    </w:rPr>
                    <m:t>NIR</m:t>
                  </m:r>
                </m:sub>
              </m:sSub>
              <m:r>
                <w:rPr>
                  <w:rFonts w:ascii="Cambria Math" w:hAnsi="Cambria Math"/>
                </w:rPr>
                <m:t>+</m:t>
              </m:r>
              <m:sSub>
                <m:sSubPr>
                  <m:ctrlPr>
                    <w:rPr>
                      <w:rFonts w:ascii="Cambria Math" w:hAnsi="Cambria Math"/>
                      <w:i/>
                      <w:lang w:val="el-GR"/>
                    </w:rPr>
                  </m:ctrlPr>
                </m:sSubPr>
                <m:e>
                  <m:r>
                    <w:rPr>
                      <w:rFonts w:ascii="Cambria Math" w:hAnsi="Cambria Math"/>
                      <w:lang w:val="el-GR"/>
                    </w:rPr>
                    <m:t>C</m:t>
                  </m:r>
                </m:e>
                <m:sub>
                  <m:r>
                    <w:rPr>
                      <w:rFonts w:ascii="Cambria Math" w:hAnsi="Cambria Math"/>
                    </w:rPr>
                    <m:t>1</m:t>
                  </m:r>
                </m:sub>
              </m:sSub>
              <m:r>
                <w:rPr>
                  <w:rFonts w:ascii="Cambria Math" w:hAnsi="Cambria Math"/>
                </w:rPr>
                <m:t>*</m:t>
              </m:r>
              <m:sSub>
                <m:sSubPr>
                  <m:ctrlPr>
                    <w:rPr>
                      <w:rFonts w:ascii="Cambria Math" w:hAnsi="Cambria Math"/>
                      <w:i/>
                      <w:lang w:val="el-GR"/>
                    </w:rPr>
                  </m:ctrlPr>
                </m:sSubPr>
                <m:e>
                  <m:r>
                    <w:rPr>
                      <w:rFonts w:ascii="Cambria Math" w:hAnsi="Cambria Math"/>
                      <w:lang w:val="el-GR"/>
                    </w:rPr>
                    <m:t>ρ</m:t>
                  </m:r>
                </m:e>
                <m:sub>
                  <m:r>
                    <w:rPr>
                      <w:rFonts w:ascii="Cambria Math" w:hAnsi="Cambria Math"/>
                    </w:rPr>
                    <m:t>Red</m:t>
                  </m:r>
                </m:sub>
              </m:sSub>
              <m:r>
                <w:rPr>
                  <w:rFonts w:ascii="Cambria Math" w:hAnsi="Cambria Math"/>
                </w:rPr>
                <m:t>-</m:t>
              </m:r>
              <m:sSub>
                <m:sSubPr>
                  <m:ctrlPr>
                    <w:rPr>
                      <w:rFonts w:ascii="Cambria Math" w:hAnsi="Cambria Math"/>
                      <w:i/>
                      <w:lang w:val="el-GR"/>
                    </w:rPr>
                  </m:ctrlPr>
                </m:sSubPr>
                <m:e>
                  <m:r>
                    <w:rPr>
                      <w:rFonts w:ascii="Cambria Math" w:hAnsi="Cambria Math"/>
                      <w:lang w:val="el-GR"/>
                    </w:rPr>
                    <m:t>C</m:t>
                  </m:r>
                </m:e>
                <m:sub>
                  <m:r>
                    <w:rPr>
                      <w:rFonts w:ascii="Cambria Math" w:hAnsi="Cambria Math"/>
                    </w:rPr>
                    <m:t>2</m:t>
                  </m:r>
                </m:sub>
              </m:sSub>
              <m:r>
                <w:rPr>
                  <w:rFonts w:ascii="Cambria Math" w:hAnsi="Cambria Math"/>
                </w:rPr>
                <m:t>*</m:t>
              </m:r>
              <m:sSub>
                <m:sSubPr>
                  <m:ctrlPr>
                    <w:rPr>
                      <w:rFonts w:ascii="Cambria Math" w:hAnsi="Cambria Math"/>
                      <w:i/>
                      <w:lang w:val="el-GR"/>
                    </w:rPr>
                  </m:ctrlPr>
                </m:sSubPr>
                <m:e>
                  <m:r>
                    <w:rPr>
                      <w:rFonts w:ascii="Cambria Math" w:hAnsi="Cambria Math"/>
                      <w:lang w:val="el-GR"/>
                    </w:rPr>
                    <m:t>ρ</m:t>
                  </m:r>
                </m:e>
                <m:sub>
                  <m:r>
                    <w:rPr>
                      <w:rFonts w:ascii="Cambria Math" w:hAnsi="Cambria Math"/>
                    </w:rPr>
                    <m:t>Blue</m:t>
                  </m:r>
                </m:sub>
              </m:sSub>
              <m:r>
                <w:rPr>
                  <w:rFonts w:ascii="Cambria Math" w:hAnsi="Cambria Math"/>
                </w:rPr>
                <m:t>+</m:t>
              </m:r>
              <m:r>
                <w:rPr>
                  <w:rFonts w:ascii="Cambria Math" w:hAnsi="Cambria Math"/>
                  <w:lang w:val="el-GR"/>
                </w:rPr>
                <m:t>L</m:t>
              </m:r>
            </m:den>
          </m:f>
        </m:oMath>
      </m:oMathPara>
    </w:p>
    <w:p w14:paraId="023902DC" w14:textId="5EBFA113" w:rsidR="006F43E6" w:rsidRDefault="00017647" w:rsidP="00172039">
      <w:pPr>
        <w:tabs>
          <w:tab w:val="left" w:pos="2707"/>
        </w:tabs>
      </w:pPr>
      <w:r>
        <w:t>Where</w:t>
      </w:r>
      <w:r w:rsidR="00687CC8">
        <w:t xml:space="preserve"> C</w:t>
      </w:r>
      <w:r w:rsidR="00687CC8">
        <w:rPr>
          <w:vertAlign w:val="subscript"/>
        </w:rPr>
        <w:t>1</w:t>
      </w:r>
      <w:r w:rsidR="00687CC8">
        <w:t xml:space="preserve"> = 6, C</w:t>
      </w:r>
      <w:r w:rsidR="00687CC8">
        <w:rPr>
          <w:vertAlign w:val="subscript"/>
        </w:rPr>
        <w:t>2</w:t>
      </w:r>
      <w:r w:rsidR="00687CC8">
        <w:t xml:space="preserve"> = 7.5 and L = 1</w:t>
      </w:r>
      <w:r w:rsidR="000F2675">
        <w:t>.</w:t>
      </w:r>
    </w:p>
    <w:p w14:paraId="0999BB6A" w14:textId="4008A04F" w:rsidR="00B4552C" w:rsidRDefault="00B4552C" w:rsidP="00172039">
      <w:pPr>
        <w:tabs>
          <w:tab w:val="left" w:pos="2707"/>
        </w:tabs>
      </w:pPr>
      <w:r>
        <w:t>SAVI is used to correct NDVI for the influence of soil brightness in areas where vegetative cover is low. SAVI is calculated as a ratio between the R</w:t>
      </w:r>
      <w:r w:rsidR="00AB5DA1">
        <w:t>ed</w:t>
      </w:r>
      <w:r>
        <w:t xml:space="preserve"> and NIR </w:t>
      </w:r>
      <w:r w:rsidR="00AB5DA1">
        <w:t xml:space="preserve">band </w:t>
      </w:r>
      <w:r>
        <w:t>values with a soil brightness correction factor (L) defined as 0.5 to accommodate most land cover types</w:t>
      </w:r>
      <w:r w:rsidR="009C1759">
        <w:t xml:space="preserve"> </w:t>
      </w:r>
      <w:r w:rsidR="009C1759">
        <w:fldChar w:fldCharType="begin" w:fldLock="1"/>
      </w:r>
      <w:r w:rsidR="00BD67BE">
        <w:instrText>ADDIN CSL_CITATION {"citationItems":[{"id":"ITEM-1","itemData":{"DOI":"10.1016/0034-4257(88)90106-X","ISSN":"00344257","author":[{"dropping-particle":"","family":"Huete","given":"A.R.","non-dropping-particle":"","parse-names":false,"suffix":""}],"container-title":"Remote Sensing of Environment","id":"ITEM-1","issue":"3","issued":{"date-parts":[["1988","8"]]},"page":"295-309","title":"A soil-adjusted vegetation index (SAVI)","type":"article-journal","volume":"25"},"uris":["http://www.mendeley.com/documents/?uuid=1a4c96b4-3ee7-4f4d-96d6-0015279b9a47"]}],"mendeley":{"formattedCitation":"(A. R. Huete, 1988)","plainTextFormattedCitation":"(A. R. Huete, 1988)","previouslyFormattedCitation":"(A. R. Huete, 1988)"},"properties":{"noteIndex":0},"schema":"https://github.com/citation-style-language/schema/raw/master/csl-citation.json"}</w:instrText>
      </w:r>
      <w:r w:rsidR="009C1759">
        <w:fldChar w:fldCharType="separate"/>
      </w:r>
      <w:r w:rsidR="002C428B" w:rsidRPr="002C428B">
        <w:rPr>
          <w:noProof/>
        </w:rPr>
        <w:t>(A. R. Huete, 1988)</w:t>
      </w:r>
      <w:r w:rsidR="009C1759">
        <w:fldChar w:fldCharType="end"/>
      </w:r>
      <w:r w:rsidR="001F3A2D">
        <w:t>:</w:t>
      </w:r>
    </w:p>
    <w:p w14:paraId="086108CC" w14:textId="4B6F3594" w:rsidR="009C1759" w:rsidRPr="00687CC8" w:rsidRDefault="00A87F4D" w:rsidP="00172039">
      <w:pPr>
        <w:tabs>
          <w:tab w:val="left" w:pos="2707"/>
        </w:tabs>
      </w:pPr>
      <m:oMathPara>
        <m:oMath>
          <m:r>
            <w:rPr>
              <w:rFonts w:ascii="Cambria Math" w:hAnsi="Cambria Math"/>
            </w:rPr>
            <m:t>SAVI=</m:t>
          </m:r>
          <m:f>
            <m:fPr>
              <m:ctrlPr>
                <w:rPr>
                  <w:rFonts w:ascii="Cambria Math" w:hAnsi="Cambria Math"/>
                  <w:i/>
                </w:rPr>
              </m:ctrlPr>
            </m:fPr>
            <m:num>
              <w:bookmarkStart w:id="29" w:name="_Hlk63714506"/>
              <m:sSub>
                <m:sSubPr>
                  <m:ctrlPr>
                    <w:rPr>
                      <w:rFonts w:ascii="Cambria Math" w:hAnsi="Cambria Math"/>
                      <w:i/>
                      <w:lang w:val="el-GR"/>
                    </w:rPr>
                  </m:ctrlPr>
                </m:sSubPr>
                <m:e>
                  <m:r>
                    <w:rPr>
                      <w:rFonts w:ascii="Cambria Math" w:hAnsi="Cambria Math"/>
                      <w:lang w:val="el-GR"/>
                    </w:rPr>
                    <m:t>ρ</m:t>
                  </m:r>
                </m:e>
                <m:sub>
                  <m:r>
                    <w:rPr>
                      <w:rFonts w:ascii="Cambria Math" w:hAnsi="Cambria Math"/>
                    </w:rPr>
                    <m:t>NIR</m:t>
                  </m:r>
                </m:sub>
              </m:sSub>
              <m:r>
                <w:rPr>
                  <w:rFonts w:ascii="Cambria Math" w:hAnsi="Cambria Math"/>
                  <w:lang w:val="el-GR"/>
                </w:rPr>
                <m:t>-</m:t>
              </m:r>
              <m:sSub>
                <m:sSubPr>
                  <m:ctrlPr>
                    <w:rPr>
                      <w:rFonts w:ascii="Cambria Math" w:hAnsi="Cambria Math"/>
                      <w:i/>
                      <w:lang w:val="el-GR"/>
                    </w:rPr>
                  </m:ctrlPr>
                </m:sSubPr>
                <m:e>
                  <m:r>
                    <w:rPr>
                      <w:rFonts w:ascii="Cambria Math" w:hAnsi="Cambria Math"/>
                      <w:lang w:val="el-GR"/>
                    </w:rPr>
                    <m:t>ρ</m:t>
                  </m:r>
                </m:e>
                <m:sub>
                  <m:r>
                    <w:rPr>
                      <w:rFonts w:ascii="Cambria Math" w:hAnsi="Cambria Math"/>
                    </w:rPr>
                    <m:t>Red</m:t>
                  </m:r>
                </m:sub>
              </m:sSub>
              <w:bookmarkEnd w:id="29"/>
            </m:num>
            <m:den>
              <m:sSub>
                <m:sSubPr>
                  <m:ctrlPr>
                    <w:rPr>
                      <w:rFonts w:ascii="Cambria Math" w:hAnsi="Cambria Math"/>
                      <w:i/>
                      <w:lang w:val="el-GR"/>
                    </w:rPr>
                  </m:ctrlPr>
                </m:sSubPr>
                <m:e>
                  <m:r>
                    <w:rPr>
                      <w:rFonts w:ascii="Cambria Math" w:hAnsi="Cambria Math"/>
                      <w:lang w:val="el-GR"/>
                    </w:rPr>
                    <m:t>ρ</m:t>
                  </m:r>
                </m:e>
                <m:sub>
                  <m:r>
                    <w:rPr>
                      <w:rFonts w:ascii="Cambria Math" w:hAnsi="Cambria Math"/>
                    </w:rPr>
                    <m:t>NIR</m:t>
                  </m:r>
                </m:sub>
              </m:sSub>
              <m:r>
                <w:rPr>
                  <w:rFonts w:ascii="Cambria Math" w:hAnsi="Cambria Math"/>
                  <w:lang w:val="el-GR"/>
                </w:rPr>
                <m:t>+</m:t>
              </m:r>
              <m:sSub>
                <m:sSubPr>
                  <m:ctrlPr>
                    <w:rPr>
                      <w:rFonts w:ascii="Cambria Math" w:hAnsi="Cambria Math"/>
                      <w:i/>
                      <w:lang w:val="el-GR"/>
                    </w:rPr>
                  </m:ctrlPr>
                </m:sSubPr>
                <m:e>
                  <m:r>
                    <w:rPr>
                      <w:rFonts w:ascii="Cambria Math" w:hAnsi="Cambria Math"/>
                      <w:lang w:val="el-GR"/>
                    </w:rPr>
                    <m:t>ρ</m:t>
                  </m:r>
                </m:e>
                <m:sub>
                  <m:r>
                    <w:rPr>
                      <w:rFonts w:ascii="Cambria Math" w:hAnsi="Cambria Math"/>
                    </w:rPr>
                    <m:t>Red</m:t>
                  </m:r>
                </m:sub>
              </m:sSub>
              <m:r>
                <w:rPr>
                  <w:rFonts w:ascii="Cambria Math" w:hAnsi="Cambria Math"/>
                  <w:lang w:val="el-GR"/>
                </w:rPr>
                <m:t>+L</m:t>
              </m:r>
            </m:den>
          </m:f>
          <m:r>
            <w:rPr>
              <w:rFonts w:ascii="Cambria Math" w:hAnsi="Cambria Math"/>
            </w:rPr>
            <m:t>*(1+L)</m:t>
          </m:r>
        </m:oMath>
      </m:oMathPara>
    </w:p>
    <w:p w14:paraId="124D493D" w14:textId="22D5E182" w:rsidR="00AE6F61" w:rsidRDefault="001910C6" w:rsidP="00172039">
      <w:pPr>
        <w:tabs>
          <w:tab w:val="left" w:pos="2707"/>
        </w:tabs>
      </w:pPr>
      <w:r>
        <w:t>The classification including the Amplitude, Phase, mean NDVI, EVI and SAVI</w:t>
      </w:r>
      <w:r w:rsidR="009B43BB">
        <w:t xml:space="preserve"> achieved </w:t>
      </w:r>
      <w:r w:rsidR="005D5907">
        <w:t>an OBB error of 34.4%</w:t>
      </w:r>
      <w:r w:rsidR="008E0CF7">
        <w:t xml:space="preserve">, an OA of 50.2% and a K of 0.004. </w:t>
      </w:r>
      <w:r w:rsidR="00BC2531">
        <w:t>For the next step</w:t>
      </w:r>
      <w:r w:rsidR="00270DE2">
        <w:t>, it was understood that since the</w:t>
      </w:r>
      <w:r w:rsidR="006854D1">
        <w:t xml:space="preserve"> focus of the classification is mainly on the</w:t>
      </w:r>
      <w:r w:rsidR="006135FD">
        <w:t xml:space="preserve"> “greenness”, </w:t>
      </w:r>
      <w:r w:rsidR="007952BB">
        <w:lastRenderedPageBreak/>
        <w:t>generating mean NDVI values for three different times in the year</w:t>
      </w:r>
      <w:r w:rsidR="00C0367E">
        <w:t>, namely a mean NDVI for May,</w:t>
      </w:r>
      <w:r w:rsidR="00E2020C">
        <w:t xml:space="preserve"> </w:t>
      </w:r>
      <w:proofErr w:type="gramStart"/>
      <w:r w:rsidR="00E2020C">
        <w:t>July</w:t>
      </w:r>
      <w:proofErr w:type="gramEnd"/>
      <w:r w:rsidR="00E2020C">
        <w:t xml:space="preserve"> and September, could potentially </w:t>
      </w:r>
      <w:r w:rsidR="003B77E3">
        <w:t>introduce</w:t>
      </w:r>
      <w:r w:rsidR="00E2020C">
        <w:t xml:space="preserve"> valuable</w:t>
      </w:r>
      <w:r w:rsidR="003B77E3">
        <w:t xml:space="preserve"> information to the algorithm. </w:t>
      </w:r>
      <w:r w:rsidR="009577B7">
        <w:t xml:space="preserve">For this </w:t>
      </w:r>
      <w:r w:rsidR="00980923">
        <w:t>reason,</w:t>
      </w:r>
      <w:r w:rsidR="009577B7">
        <w:t xml:space="preserve"> the following </w:t>
      </w:r>
      <w:r w:rsidR="00D41129">
        <w:t>5 variables were utilized by the RF classifier</w:t>
      </w:r>
      <w:r w:rsidR="007D2C6D">
        <w:t xml:space="preserve">, Amplitude, Phase, </w:t>
      </w:r>
      <w:proofErr w:type="spellStart"/>
      <w:r w:rsidR="007D2C6D">
        <w:t>NDVI_May</w:t>
      </w:r>
      <w:proofErr w:type="spellEnd"/>
      <w:r w:rsidR="007D2C6D">
        <w:t xml:space="preserve">, </w:t>
      </w:r>
      <w:proofErr w:type="spellStart"/>
      <w:r w:rsidR="007D2C6D">
        <w:t>NDVI_July</w:t>
      </w:r>
      <w:proofErr w:type="spellEnd"/>
      <w:r w:rsidR="007D2C6D">
        <w:t xml:space="preserve">, </w:t>
      </w:r>
      <w:proofErr w:type="spellStart"/>
      <w:r w:rsidR="007D2C6D">
        <w:t>NDVI_September</w:t>
      </w:r>
      <w:proofErr w:type="spellEnd"/>
      <w:r w:rsidR="003C79D8">
        <w:t xml:space="preserve">, </w:t>
      </w:r>
      <w:r w:rsidR="00770FF9">
        <w:t xml:space="preserve">which then achieved </w:t>
      </w:r>
      <w:r w:rsidR="00BF51C4">
        <w:t xml:space="preserve">an OOB of 33%, OA of </w:t>
      </w:r>
      <w:r w:rsidR="000E2D0E">
        <w:t>50.5% and K of 0.01</w:t>
      </w:r>
      <w:r w:rsidR="00167AC1">
        <w:t>.</w:t>
      </w:r>
    </w:p>
    <w:p w14:paraId="05FAAD70" w14:textId="55718EF6" w:rsidR="00E91157" w:rsidRDefault="00B2026F" w:rsidP="00172039">
      <w:pPr>
        <w:tabs>
          <w:tab w:val="left" w:pos="2707"/>
        </w:tabs>
      </w:pPr>
      <w:r>
        <w:t xml:space="preserve">Close observation to the results of the classification revealed that </w:t>
      </w:r>
      <w:r w:rsidR="00980923">
        <w:t xml:space="preserve">there was a </w:t>
      </w:r>
      <w:r w:rsidR="00D22E51">
        <w:t xml:space="preserve">constant misclassification of bare </w:t>
      </w:r>
      <w:r w:rsidR="00086B2B">
        <w:t>lands</w:t>
      </w:r>
      <w:r w:rsidR="00D22E51">
        <w:t xml:space="preserve"> </w:t>
      </w:r>
      <w:r w:rsidR="00884B97">
        <w:t xml:space="preserve">and mines </w:t>
      </w:r>
      <w:r w:rsidR="00D22E51">
        <w:t xml:space="preserve">with the </w:t>
      </w:r>
      <w:r w:rsidR="00074ADB">
        <w:t>Impervious</w:t>
      </w:r>
      <w:r w:rsidR="00D22E51">
        <w:t xml:space="preserve"> LC. </w:t>
      </w:r>
      <w:r w:rsidR="006E108A">
        <w:t xml:space="preserve">This is a common problem in Remote Sensing </w:t>
      </w:r>
      <w:r w:rsidR="00074ADB">
        <w:t>Land Cover Mapping applications since</w:t>
      </w:r>
      <w:r w:rsidR="00086B2B">
        <w:t xml:space="preserve"> bare lands and build-up areas have similar </w:t>
      </w:r>
      <w:r w:rsidR="00BE34EC">
        <w:t xml:space="preserve">spectral responses. Few indices have been developed </w:t>
      </w:r>
      <w:r w:rsidR="00F073CF">
        <w:t>to circumvent this challenge</w:t>
      </w:r>
      <w:r w:rsidR="00F953EF">
        <w:t>, however most of them, since they were developed for the</w:t>
      </w:r>
      <w:r w:rsidR="00BF3233">
        <w:t xml:space="preserve"> latest</w:t>
      </w:r>
      <w:r w:rsidR="00F953EF">
        <w:t xml:space="preserve"> Landsat </w:t>
      </w:r>
      <w:r w:rsidR="00AD4AF5">
        <w:t xml:space="preserve">missions, exploit the thermal band of </w:t>
      </w:r>
      <w:r w:rsidR="00BF3233">
        <w:t>the Lan</w:t>
      </w:r>
      <w:r w:rsidR="0004076A">
        <w:t xml:space="preserve">dsat ETM+ sensor </w:t>
      </w:r>
      <w:r w:rsidR="0004076A">
        <w:fldChar w:fldCharType="begin" w:fldLock="1"/>
      </w:r>
      <w:r w:rsidR="00E97648">
        <w:instrText>ADDIN CSL_CITATION {"citationItems":[{"id":"ITEM-1","itemData":{"DOI":"10.1080/01431160304987","ISSN":"0143-1161","author":[{"dropping-particle":"","family":"Zha","given":"Y.","non-dropping-particle":"","parse-names":false,"suffix":""},{"dropping-particle":"","family":"Gao","given":"J.","non-dropping-particle":"","parse-names":false,"suffix":""},{"dropping-particle":"","family":"Ni","given":"S.","non-dropping-particle":"","parse-names":false,"suffix":""}],"container-title":"International Journal of Remote Sensing","id":"ITEM-1","issue":"3","issued":{"date-parts":[["2003","1","26"]]},"page":"583-594","title":"Use of normalized difference built-up index in automatically mapping urban areas from TM imagery","type":"article-journal","volume":"24"},"uris":["http://www.mendeley.com/documents/?uuid=0a878229-7882-4370-8cc7-f6595b8bb77a"]},{"id":"ITEM-2","itemData":{"DOI":"10.3390/rs4102957","ISSN":"2072-4292","author":[{"dropping-particle":"","family":"As-syakur","given":"Abd. Rahman","non-dropping-particle":"","parse-names":false,"suffix":""},{"dropping-particle":"","family":"Adnyana","given":"I Wayan Sandi","non-dropping-particle":"","parse-names":false,"suffix":""},{"dropping-particle":"","family":"Arthana","given":"I Wayan","non-dropping-particle":"","parse-names":false,"suffix":""},{"dropping-particle":"","family":"Nuarsa","given":"I Wayan","non-dropping-particle":"","parse-names":false,"suffix":""}],"container-title":"Remote Sensing","id":"ITEM-2","issue":"10","issued":{"date-parts":[["2012","10","2"]]},"page":"2957-2970","title":"Enhanced Built-Up and Bareness Index (EBBI) for Mapping Built-Up and Bare Land in an Urban Area","type":"article-journal","volume":"4"},"uris":["http://www.mendeley.com/documents/?uuid=dc9ae801-5049-4ef5-8371-cdfce936ad4c"]}],"mendeley":{"formattedCitation":"(As-syakur et al., 2012; Zha et al., 2003)","plainTextFormattedCitation":"(As-syakur et al., 2012; Zha et al., 2003)","previouslyFormattedCitation":"(As-syakur et al., 2012; Zha et al., 2003)"},"properties":{"noteIndex":0},"schema":"https://github.com/citation-style-language/schema/raw/master/csl-citation.json"}</w:instrText>
      </w:r>
      <w:r w:rsidR="0004076A">
        <w:fldChar w:fldCharType="separate"/>
      </w:r>
      <w:r w:rsidR="00884B97" w:rsidRPr="00884B97">
        <w:rPr>
          <w:noProof/>
        </w:rPr>
        <w:t>(As-syakur et al., 2012; Zha et al., 2003)</w:t>
      </w:r>
      <w:r w:rsidR="0004076A">
        <w:fldChar w:fldCharType="end"/>
      </w:r>
      <w:r w:rsidR="0004076A">
        <w:t xml:space="preserve">. </w:t>
      </w:r>
      <w:r w:rsidR="0080403F">
        <w:t>In a recent study</w:t>
      </w:r>
      <w:r w:rsidR="00877252">
        <w:t xml:space="preserve"> based on Sentinel-2 imagery</w:t>
      </w:r>
      <w:r w:rsidR="00E97648">
        <w:t xml:space="preserve"> </w:t>
      </w:r>
      <w:r w:rsidR="00E97648">
        <w:fldChar w:fldCharType="begin" w:fldLock="1"/>
      </w:r>
      <w:r w:rsidR="000727E4">
        <w:instrText>ADDIN CSL_CITATION {"citationItems":[{"id":"ITEM-1","itemData":{"DOI":"10.3390/RS11030345","ISSN":"20724292","abstract":"In this research work, a multi-index-based support vector machine (SVM) classification approach has been proposed to determine the complex and morphologically heterogeneous land cover/use (LCU) patterns of cities, with a special focus on separating bare lands and built-up regions, using Istanbul, Turkey as the main study region, and Ankara and Konya (in Turkey) as the independent test regions. The multi-index approach was constructed using three-band combinations of spectral indices, where each index represents one of the three major land cover categories, green areas, water bodies, and built-up regions. Additionally, a shortwave infrared-based index, the Normalized Difference Tillage Index (NDTI), was proposed as an alternative to existing built-up indices. All possible index combinations and the original ten-band Sentinel-2A image were classified with the SVM algorithm, to map seven LCU classes, and an accuracy assessment was performed to determine the multi-index combination that provided the highest performance. The SVM classification results revealed that the multi-index combination of the normalized difference tillage index (NDTI), the red-edge-based normalized vegetation index (NDVIre), and the modified normalized difference water index (MNDWI) improved the mapping accuracy of the heterogeneous urban areas and provided an effective separation of bare land from built-up areas. This combination showed an outstanding overall performance with a 93% accuracy and a 0.91 kappa value for all LCU classes. The results of the test regions provided similar findings and the same index combination clearly outperformed the other approaches, with 92% accuracy and a 0.90 kappa value for Ankara, and an 84% accuracy and a 0.79 kappa value for Konya. The multi-index combination of the normalized difference built-up index (NDBI), the NDVIre, and the MNDWI, ranked second in the assessment, with similar accuracies to that of the ten-band image classification.","author":[{"dropping-particle":"","family":"Osgouei","given":"Paria Ettehadi","non-dropping-particle":"","parse-names":false,"suffix":""},{"dropping-particle":"","family":"Kaya","given":"Sinasi","non-dropping-particle":"","parse-names":false,"suffix":""},{"dropping-particle":"","family":"Sertel","given":"Elif","non-dropping-particle":"","parse-names":false,"suffix":""},{"dropping-particle":"","family":"Alganci","given":"Ugur","non-dropping-particle":"","parse-names":false,"suffix":""}],"container-title":"Remote Sensing 2019, Vol. 11, Page 345","id":"ITEM-1","issue":"3","issued":{"date-parts":[["2019","2","10"]]},"page":"345","publisher":"Multidisciplinary Digital Publishing Institute","title":"Separating Built-Up Areas from Bare Land in Mediterranean Cities Using Sentinel-2A Imagery","type":"article-journal","volume":"11"},"uris":["http://www.mendeley.com/documents/?uuid=e3cd0a5b-2ee3-3302-bd30-44a394f48c05"]}],"mendeley":{"formattedCitation":"(Osgouei et al., 2019)","manualFormatting":"Osgouei et al., (2019)","plainTextFormattedCitation":"(Osgouei et al., 2019)","previouslyFormattedCitation":"(Osgouei et al., 2019)"},"properties":{"noteIndex":0},"schema":"https://github.com/citation-style-language/schema/raw/master/csl-citation.json"}</w:instrText>
      </w:r>
      <w:r w:rsidR="00E97648">
        <w:fldChar w:fldCharType="separate"/>
      </w:r>
      <w:r w:rsidR="00E97648" w:rsidRPr="00E97648">
        <w:rPr>
          <w:noProof/>
        </w:rPr>
        <w:t xml:space="preserve">Osgouei et al., </w:t>
      </w:r>
      <w:r w:rsidR="00E97648">
        <w:rPr>
          <w:noProof/>
        </w:rPr>
        <w:t>(</w:t>
      </w:r>
      <w:r w:rsidR="00E97648" w:rsidRPr="00E97648">
        <w:rPr>
          <w:noProof/>
        </w:rPr>
        <w:t>2019)</w:t>
      </w:r>
      <w:r w:rsidR="00E97648">
        <w:fldChar w:fldCharType="end"/>
      </w:r>
      <w:r w:rsidR="00A02F31">
        <w:t xml:space="preserve"> experimented with </w:t>
      </w:r>
      <w:r w:rsidR="00044420">
        <w:t xml:space="preserve">incorporating the </w:t>
      </w:r>
      <w:r w:rsidR="00D128CD" w:rsidRPr="00D128CD">
        <w:t>Normalized Difference Tillage Index</w:t>
      </w:r>
      <w:r w:rsidR="00D128CD">
        <w:t xml:space="preserve"> (</w:t>
      </w:r>
      <w:r w:rsidR="00044420">
        <w:t>NDTI</w:t>
      </w:r>
      <w:r w:rsidR="00D128CD">
        <w:t>)</w:t>
      </w:r>
      <w:r w:rsidR="00DA54CB">
        <w:t xml:space="preserve">, which </w:t>
      </w:r>
      <w:r w:rsidR="00E91157">
        <w:t>makes use of the SWIR bands of Sentinel-2,</w:t>
      </w:r>
      <w:r w:rsidR="00044420">
        <w:t xml:space="preserve"> </w:t>
      </w:r>
      <w:r w:rsidR="009305CC">
        <w:t xml:space="preserve">aiming to enhance the contrast between </w:t>
      </w:r>
      <w:r w:rsidR="00877252">
        <w:t>bare land and build-up areas</w:t>
      </w:r>
      <w:r w:rsidR="00D128CD">
        <w:t xml:space="preserve">. </w:t>
      </w:r>
      <w:r w:rsidR="000D17CF">
        <w:t>NDTI is computed as follows:</w:t>
      </w:r>
    </w:p>
    <w:p w14:paraId="615D6822" w14:textId="61B71FD3" w:rsidR="006B2C4A" w:rsidRDefault="004274EB" w:rsidP="00172039">
      <w:pPr>
        <w:tabs>
          <w:tab w:val="left" w:pos="2707"/>
        </w:tabs>
      </w:pPr>
      <m:oMathPara>
        <m:oMath>
          <m:r>
            <w:rPr>
              <w:rFonts w:ascii="Cambria Math" w:hAnsi="Cambria Math"/>
            </w:rPr>
            <m:t>NDTI=</m:t>
          </m:r>
          <m:f>
            <m:fPr>
              <m:ctrlPr>
                <w:rPr>
                  <w:rFonts w:ascii="Cambria Math" w:hAnsi="Cambria Math"/>
                  <w:i/>
                </w:rPr>
              </m:ctrlPr>
            </m:fPr>
            <m:num>
              <m:sSub>
                <m:sSubPr>
                  <m:ctrlPr>
                    <w:rPr>
                      <w:rFonts w:ascii="Cambria Math" w:hAnsi="Cambria Math"/>
                      <w:i/>
                      <w:lang w:val="el-GR"/>
                    </w:rPr>
                  </m:ctrlPr>
                </m:sSubPr>
                <m:e>
                  <m:r>
                    <w:rPr>
                      <w:rFonts w:ascii="Cambria Math" w:hAnsi="Cambria Math"/>
                      <w:lang w:val="el-GR"/>
                    </w:rPr>
                    <m:t>ρ</m:t>
                  </m:r>
                </m:e>
                <m:sub>
                  <m:r>
                    <w:rPr>
                      <w:rFonts w:ascii="Cambria Math" w:hAnsi="Cambria Math"/>
                    </w:rPr>
                    <m:t>SWIR 1</m:t>
                  </m:r>
                </m:sub>
              </m:sSub>
              <m:r>
                <w:rPr>
                  <w:rFonts w:ascii="Cambria Math" w:hAnsi="Cambria Math"/>
                  <w:lang w:val="el-GR"/>
                </w:rPr>
                <m:t>-</m:t>
              </m:r>
              <m:sSub>
                <m:sSubPr>
                  <m:ctrlPr>
                    <w:rPr>
                      <w:rFonts w:ascii="Cambria Math" w:hAnsi="Cambria Math"/>
                      <w:i/>
                      <w:lang w:val="el-GR"/>
                    </w:rPr>
                  </m:ctrlPr>
                </m:sSubPr>
                <m:e>
                  <m:r>
                    <w:rPr>
                      <w:rFonts w:ascii="Cambria Math" w:hAnsi="Cambria Math"/>
                      <w:lang w:val="el-GR"/>
                    </w:rPr>
                    <m:t>ρ</m:t>
                  </m:r>
                </m:e>
                <m:sub>
                  <m:r>
                    <w:rPr>
                      <w:rFonts w:ascii="Cambria Math" w:hAnsi="Cambria Math"/>
                    </w:rPr>
                    <m:t>SWIR 2</m:t>
                  </m:r>
                </m:sub>
              </m:sSub>
            </m:num>
            <m:den>
              <m:sSub>
                <m:sSubPr>
                  <m:ctrlPr>
                    <w:rPr>
                      <w:rFonts w:ascii="Cambria Math" w:hAnsi="Cambria Math"/>
                      <w:i/>
                      <w:lang w:val="el-GR"/>
                    </w:rPr>
                  </m:ctrlPr>
                </m:sSubPr>
                <m:e>
                  <m:r>
                    <w:rPr>
                      <w:rFonts w:ascii="Cambria Math" w:hAnsi="Cambria Math"/>
                      <w:lang w:val="el-GR"/>
                    </w:rPr>
                    <m:t>ρ</m:t>
                  </m:r>
                </m:e>
                <m:sub>
                  <m:r>
                    <w:rPr>
                      <w:rFonts w:ascii="Cambria Math" w:hAnsi="Cambria Math"/>
                    </w:rPr>
                    <m:t>SWIR 1</m:t>
                  </m:r>
                </m:sub>
              </m:sSub>
              <m:r>
                <w:rPr>
                  <w:rFonts w:ascii="Cambria Math" w:hAnsi="Cambria Math"/>
                  <w:lang w:val="el-GR"/>
                </w:rPr>
                <m:t>+</m:t>
              </m:r>
              <m:sSub>
                <m:sSubPr>
                  <m:ctrlPr>
                    <w:rPr>
                      <w:rFonts w:ascii="Cambria Math" w:hAnsi="Cambria Math"/>
                      <w:i/>
                      <w:lang w:val="el-GR"/>
                    </w:rPr>
                  </m:ctrlPr>
                </m:sSubPr>
                <m:e>
                  <m:r>
                    <w:rPr>
                      <w:rFonts w:ascii="Cambria Math" w:hAnsi="Cambria Math"/>
                      <w:lang w:val="el-GR"/>
                    </w:rPr>
                    <m:t>ρ</m:t>
                  </m:r>
                </m:e>
                <m:sub>
                  <m:r>
                    <w:rPr>
                      <w:rFonts w:ascii="Cambria Math" w:hAnsi="Cambria Math"/>
                    </w:rPr>
                    <m:t>SWIR 2</m:t>
                  </m:r>
                </m:sub>
              </m:sSub>
            </m:den>
          </m:f>
        </m:oMath>
      </m:oMathPara>
    </w:p>
    <w:p w14:paraId="7E48B83A" w14:textId="501570C7" w:rsidR="00C61D65" w:rsidRPr="00944F2E" w:rsidRDefault="00DA54CB" w:rsidP="00172039">
      <w:pPr>
        <w:tabs>
          <w:tab w:val="left" w:pos="2707"/>
        </w:tabs>
        <w:rPr>
          <w:lang w:val="en-GB"/>
        </w:rPr>
      </w:pPr>
      <w:r>
        <w:t>Even thou</w:t>
      </w:r>
      <w:r w:rsidR="00E91157">
        <w:t xml:space="preserve">gh NDTI was first proposed by </w:t>
      </w:r>
      <w:r w:rsidR="006103F6">
        <w:fldChar w:fldCharType="begin" w:fldLock="1"/>
      </w:r>
      <w:r w:rsidR="00EF2164">
        <w:instrText>ADDIN CSL_CITATION {"citationItems":[{"id":"ITEM-1","itemData":{"ISSN":"0099-1112","author":[{"dropping-particle":"","family":"Deventer","given":"A P","non-dropping-particle":"Van","parse-names":false,"suffix":""},{"dropping-particle":"","family":"Ward","given":"A D","non-dropping-particle":"","parse-names":false,"suffix":""},{"dropping-particle":"","family":"Gowda","given":"P H","non-dropping-particle":"","parse-names":false,"suffix":""},{"dropping-particle":"","family":"Lyon","given":"J G","non-dropping-particle":"","parse-names":false,"suffix":""}],"container-title":"Photogrammetric Engineering and Remote Sensing","id":"ITEM-1","issued":{"date-parts":[["1997"]]},"page":"87-93","publisher":"ASPRS AMERICAN SOCIETY FOR PHOTOGRAMMETRY AND","title":"Using thematic mapper data to identify contrasting soil plains and tillage practices","type":"article-journal","volume":"63"},"uris":["http://www.mendeley.com/documents/?uuid=168837bc-e3a1-4799-a906-4127203df4e2"]}],"mendeley":{"formattedCitation":"(Van Deventer et al., 1997)","manualFormatting":"Van Deventer et al., (1997)","plainTextFormattedCitation":"(Van Deventer et al., 1997)","previouslyFormattedCitation":"(Van Deventer et al., 1997)"},"properties":{"noteIndex":0},"schema":"https://github.com/citation-style-language/schema/raw/master/csl-citation.json"}</w:instrText>
      </w:r>
      <w:r w:rsidR="006103F6">
        <w:fldChar w:fldCharType="separate"/>
      </w:r>
      <w:r w:rsidR="006103F6" w:rsidRPr="006103F6">
        <w:rPr>
          <w:noProof/>
        </w:rPr>
        <w:t xml:space="preserve">Van Deventer et al., </w:t>
      </w:r>
      <w:r w:rsidR="001B6658">
        <w:rPr>
          <w:noProof/>
        </w:rPr>
        <w:t>(</w:t>
      </w:r>
      <w:r w:rsidR="006103F6" w:rsidRPr="006103F6">
        <w:rPr>
          <w:noProof/>
        </w:rPr>
        <w:t>1997)</w:t>
      </w:r>
      <w:r w:rsidR="006103F6">
        <w:fldChar w:fldCharType="end"/>
      </w:r>
      <w:r w:rsidR="006103F6">
        <w:t xml:space="preserve"> </w:t>
      </w:r>
      <w:r w:rsidR="00B72CEA">
        <w:t xml:space="preserve">for </w:t>
      </w:r>
      <w:r w:rsidR="009650F4">
        <w:t>soil practices, tillage mana</w:t>
      </w:r>
      <w:r w:rsidR="00CF537F">
        <w:t>gement, and crop residue mapping and has then been applied</w:t>
      </w:r>
      <w:r w:rsidR="00C51812">
        <w:t xml:space="preserve"> for agricultural practices and soil management</w:t>
      </w:r>
      <w:r w:rsidR="00E75B6D">
        <w:t xml:space="preserve">, </w:t>
      </w:r>
      <w:r w:rsidR="00B720B8">
        <w:t xml:space="preserve">it </w:t>
      </w:r>
      <w:r w:rsidR="00053C6D">
        <w:t xml:space="preserve">exhibited </w:t>
      </w:r>
      <w:r w:rsidR="000727E4">
        <w:t>high potential</w:t>
      </w:r>
      <w:r w:rsidR="00B720B8">
        <w:t xml:space="preserve"> in</w:t>
      </w:r>
      <w:r w:rsidR="005156C3">
        <w:t xml:space="preserve"> separating impervious surfaces and build-up areas from </w:t>
      </w:r>
      <w:r w:rsidR="002F5705">
        <w:t>bare lands in</w:t>
      </w:r>
      <w:r w:rsidR="000727E4">
        <w:t xml:space="preserve"> the</w:t>
      </w:r>
      <w:r w:rsidR="00B720B8">
        <w:t xml:space="preserve"> multi-index classification </w:t>
      </w:r>
      <w:r w:rsidR="000727E4">
        <w:t xml:space="preserve">study of </w:t>
      </w:r>
      <w:r w:rsidR="000727E4">
        <w:fldChar w:fldCharType="begin" w:fldLock="1"/>
      </w:r>
      <w:r w:rsidR="006103F6">
        <w:instrText>ADDIN CSL_CITATION {"citationItems":[{"id":"ITEM-1","itemData":{"DOI":"10.3390/RS11030345","ISSN":"20724292","abstract":"In this research work, a multi-index-based support vector machine (SVM) classification approach has been proposed to determine the complex and morphologically heterogeneous land cover/use (LCU) patterns of cities, with a special focus on separating bare lands and built-up regions, using Istanbul, Turkey as the main study region, and Ankara and Konya (in Turkey) as the independent test regions. The multi-index approach was constructed using three-band combinations of spectral indices, where each index represents one of the three major land cover categories, green areas, water bodies, and built-up regions. Additionally, a shortwave infrared-based index, the Normalized Difference Tillage Index (NDTI), was proposed as an alternative to existing built-up indices. All possible index combinations and the original ten-band Sentinel-2A image were classified with the SVM algorithm, to map seven LCU classes, and an accuracy assessment was performed to determine the multi-index combination that provided the highest performance. The SVM classification results revealed that the multi-index combination of the normalized difference tillage index (NDTI), the red-edge-based normalized vegetation index (NDVIre), and the modified normalized difference water index (MNDWI) improved the mapping accuracy of the heterogeneous urban areas and provided an effective separation of bare land from built-up areas. This combination showed an outstanding overall performance with a 93% accuracy and a 0.91 kappa value for all LCU classes. The results of the test regions provided similar findings and the same index combination clearly outperformed the other approaches, with 92% accuracy and a 0.90 kappa value for Ankara, and an 84% accuracy and a 0.79 kappa value for Konya. The multi-index combination of the normalized difference built-up index (NDBI), the NDVIre, and the MNDWI, ranked second in the assessment, with similar accuracies to that of the ten-band image classification.","author":[{"dropping-particle":"","family":"Osgouei","given":"Paria Ettehadi","non-dropping-particle":"","parse-names":false,"suffix":""},{"dropping-particle":"","family":"Kaya","given":"Sinasi","non-dropping-particle":"","parse-names":false,"suffix":""},{"dropping-particle":"","family":"Sertel","given":"Elif","non-dropping-particle":"","parse-names":false,"suffix":""},{"dropping-particle":"","family":"Alganci","given":"Ugur","non-dropping-particle":"","parse-names":false,"suffix":""}],"container-title":"Remote Sensing 2019, Vol. 11, Page 345","id":"ITEM-1","issue":"3","issued":{"date-parts":[["2019","2","10"]]},"page":"345","publisher":"Multidisciplinary Digital Publishing Institute","title":"Separating Built-Up Areas from Bare Land in Mediterranean Cities Using Sentinel-2A Imagery","type":"article-journal","volume":"11"},"uris":["http://www.mendeley.com/documents/?uuid=e3cd0a5b-2ee3-3302-bd30-44a394f48c05"]}],"mendeley":{"formattedCitation":"(Osgouei et al., 2019)","manualFormatting":"Osgouei et al., (2019)","plainTextFormattedCitation":"(Osgouei et al., 2019)","previouslyFormattedCitation":"(Osgouei et al., 2019)"},"properties":{"noteIndex":0},"schema":"https://github.com/citation-style-language/schema/raw/master/csl-citation.json"}</w:instrText>
      </w:r>
      <w:r w:rsidR="000727E4">
        <w:fldChar w:fldCharType="separate"/>
      </w:r>
      <w:r w:rsidR="000727E4" w:rsidRPr="000727E4">
        <w:rPr>
          <w:noProof/>
        </w:rPr>
        <w:t xml:space="preserve">Osgouei et al., </w:t>
      </w:r>
      <w:r w:rsidR="006F1F3C">
        <w:rPr>
          <w:noProof/>
        </w:rPr>
        <w:t>(</w:t>
      </w:r>
      <w:r w:rsidR="000727E4" w:rsidRPr="000727E4">
        <w:rPr>
          <w:noProof/>
        </w:rPr>
        <w:t>2019)</w:t>
      </w:r>
      <w:r w:rsidR="000727E4">
        <w:fldChar w:fldCharType="end"/>
      </w:r>
      <w:r w:rsidR="006F1F3C">
        <w:t>.</w:t>
      </w:r>
      <w:r w:rsidR="000D17CF">
        <w:t xml:space="preserve"> </w:t>
      </w:r>
      <w:r w:rsidR="002F3710">
        <w:t xml:space="preserve">Incorporating NDTI in this study </w:t>
      </w:r>
      <w:r w:rsidR="00381ADA">
        <w:t xml:space="preserve">further </w:t>
      </w:r>
      <w:r w:rsidR="002F3710">
        <w:t>improved both the classifier’s performance and the respective classification accuracy, achieving a</w:t>
      </w:r>
      <w:r w:rsidR="00BE28E4">
        <w:t>n OOB error of 30%</w:t>
      </w:r>
      <w:r w:rsidR="00381ADA">
        <w:t xml:space="preserve">, an OA of 58.6% and </w:t>
      </w:r>
      <w:r w:rsidR="006439E3">
        <w:t>a K of 0.17</w:t>
      </w:r>
      <w:r w:rsidR="00051F5B">
        <w:t>.</w:t>
      </w:r>
      <w:r w:rsidR="00C17102" w:rsidRPr="00944F2E">
        <w:rPr>
          <w:lang w:val="en-GB"/>
        </w:rPr>
        <w:t xml:space="preserve"> </w:t>
      </w:r>
      <w:r w:rsidR="00626528">
        <w:rPr>
          <w:lang w:val="en-GB"/>
        </w:rPr>
        <w:t xml:space="preserve">Finally, the </w:t>
      </w:r>
      <w:r w:rsidR="00233D2B">
        <w:rPr>
          <w:lang w:val="en-GB"/>
        </w:rPr>
        <w:t>VV and VH polarization bands of the Sentinel-1</w:t>
      </w:r>
      <w:r w:rsidR="00E56B77">
        <w:rPr>
          <w:lang w:val="en-GB"/>
        </w:rPr>
        <w:t xml:space="preserve"> </w:t>
      </w:r>
      <w:r w:rsidR="0003403D">
        <w:rPr>
          <w:lang w:val="en-GB"/>
        </w:rPr>
        <w:t xml:space="preserve">GRD </w:t>
      </w:r>
      <w:r w:rsidR="00E56B77">
        <w:rPr>
          <w:lang w:val="en-GB"/>
        </w:rPr>
        <w:t xml:space="preserve">IW </w:t>
      </w:r>
      <w:r w:rsidR="0079457E">
        <w:rPr>
          <w:lang w:val="en-GB"/>
        </w:rPr>
        <w:t>mode</w:t>
      </w:r>
      <w:r w:rsidR="004C29D7">
        <w:rPr>
          <w:lang w:val="en-GB"/>
        </w:rPr>
        <w:t xml:space="preserve"> were</w:t>
      </w:r>
      <w:r w:rsidR="004D3F81">
        <w:rPr>
          <w:lang w:val="en-GB"/>
        </w:rPr>
        <w:t xml:space="preserve"> included</w:t>
      </w:r>
      <w:r w:rsidR="0097153D">
        <w:rPr>
          <w:lang w:val="en-GB"/>
        </w:rPr>
        <w:t xml:space="preserve"> </w:t>
      </w:r>
      <w:r w:rsidR="00D576DC">
        <w:rPr>
          <w:lang w:val="en-GB"/>
        </w:rPr>
        <w:t>to</w:t>
      </w:r>
      <w:r w:rsidR="0086175C">
        <w:rPr>
          <w:lang w:val="en-GB"/>
        </w:rPr>
        <w:t xml:space="preserve"> provide more in</w:t>
      </w:r>
      <w:r w:rsidR="00F23E94">
        <w:rPr>
          <w:lang w:val="en-GB"/>
        </w:rPr>
        <w:t>formation and</w:t>
      </w:r>
      <w:r w:rsidR="00D576DC">
        <w:rPr>
          <w:lang w:val="en-GB"/>
        </w:rPr>
        <w:t xml:space="preserve"> </w:t>
      </w:r>
      <w:r w:rsidR="00BB50B2">
        <w:rPr>
          <w:lang w:val="en-GB"/>
        </w:rPr>
        <w:t xml:space="preserve">further </w:t>
      </w:r>
      <w:r w:rsidR="006E0F30">
        <w:rPr>
          <w:lang w:val="en-GB"/>
        </w:rPr>
        <w:t xml:space="preserve">aid </w:t>
      </w:r>
      <w:r w:rsidR="00081D52">
        <w:rPr>
          <w:lang w:val="en-GB"/>
        </w:rPr>
        <w:t xml:space="preserve">the </w:t>
      </w:r>
      <w:r w:rsidR="00C54D12">
        <w:rPr>
          <w:lang w:val="en-GB"/>
        </w:rPr>
        <w:t>classification capabilities of</w:t>
      </w:r>
      <w:r w:rsidR="00CC0EAD">
        <w:rPr>
          <w:lang w:val="en-GB"/>
        </w:rPr>
        <w:t xml:space="preserve"> this machine learning algorithm.</w:t>
      </w:r>
      <w:r w:rsidR="00BB50B2">
        <w:rPr>
          <w:lang w:val="en-GB"/>
        </w:rPr>
        <w:t xml:space="preserve"> </w:t>
      </w:r>
    </w:p>
    <w:p w14:paraId="2A885993" w14:textId="2B614551" w:rsidR="006F1F3C" w:rsidRDefault="009849FA" w:rsidP="00172039">
      <w:pPr>
        <w:tabs>
          <w:tab w:val="left" w:pos="2707"/>
        </w:tabs>
      </w:pPr>
      <w:r>
        <w:t>T</w:t>
      </w:r>
      <w:r w:rsidR="00051F5B">
        <w:t xml:space="preserve">hese trials </w:t>
      </w:r>
      <w:r w:rsidR="00D60F01">
        <w:t>indicate the fact that no single index would be</w:t>
      </w:r>
      <w:r>
        <w:t xml:space="preserve"> adequate for </w:t>
      </w:r>
      <w:r w:rsidR="00A87D31">
        <w:t>a large extent LC classification</w:t>
      </w:r>
      <w:r w:rsidR="007E6C82">
        <w:t xml:space="preserve">, like the one intended in this Task, </w:t>
      </w:r>
      <w:r w:rsidR="00951D9C">
        <w:t xml:space="preserve">but on the other hand </w:t>
      </w:r>
      <w:r w:rsidR="000A373B">
        <w:t>not</w:t>
      </w:r>
      <w:r w:rsidR="00127B99">
        <w:t xml:space="preserve"> </w:t>
      </w:r>
      <w:r w:rsidR="000D789F">
        <w:t>all</w:t>
      </w:r>
      <w:r w:rsidR="00951D9C">
        <w:t xml:space="preserve"> indices </w:t>
      </w:r>
      <w:r w:rsidR="00127B99">
        <w:t>are equally important</w:t>
      </w:r>
      <w:r w:rsidR="007E3B40">
        <w:t xml:space="preserve">. </w:t>
      </w:r>
      <w:r w:rsidR="00716929">
        <w:t xml:space="preserve">Moreover, it was realized that sufficient and relevant information </w:t>
      </w:r>
      <w:r w:rsidR="00045EA1">
        <w:t xml:space="preserve">was required for the classifier to meet its potential. </w:t>
      </w:r>
      <w:r w:rsidR="00BB6301">
        <w:t xml:space="preserve">More trials were conducted with various combinations of the </w:t>
      </w:r>
      <w:proofErr w:type="gramStart"/>
      <w:r w:rsidR="00BB6301">
        <w:t>aforementioned variables</w:t>
      </w:r>
      <w:proofErr w:type="gramEnd"/>
      <w:r w:rsidR="00653EBB">
        <w:t>, aiming to conclude on the most efficient set of variables for t</w:t>
      </w:r>
      <w:r w:rsidR="007824AE">
        <w:t xml:space="preserve">his study and the </w:t>
      </w:r>
      <w:r w:rsidR="00D078BF">
        <w:t xml:space="preserve">one which yielded better and more stable results across the various </w:t>
      </w:r>
      <w:r w:rsidR="008C0161">
        <w:t>environments (Medi</w:t>
      </w:r>
      <w:r w:rsidR="00D92E41">
        <w:t xml:space="preserve">terranean and Central European) </w:t>
      </w:r>
      <w:r w:rsidR="00112F91">
        <w:t>is described on the following Chapters.</w:t>
      </w:r>
    </w:p>
    <w:p w14:paraId="1CD44EB2" w14:textId="498C70D3" w:rsidR="00B131C0" w:rsidRDefault="00B131C0" w:rsidP="00B131C0">
      <w:pPr>
        <w:pStyle w:val="Heading2"/>
        <w:rPr>
          <w:lang w:val="en-GB"/>
        </w:rPr>
      </w:pPr>
      <w:bookmarkStart w:id="30" w:name="_Toc89270303"/>
      <w:bookmarkStart w:id="31" w:name="_Toc89270304"/>
      <w:bookmarkStart w:id="32" w:name="_Ref89348897"/>
      <w:bookmarkStart w:id="33" w:name="_Ref89348934"/>
      <w:bookmarkStart w:id="34" w:name="_Ref89348956"/>
      <w:bookmarkStart w:id="35" w:name="_Ref89348961"/>
      <w:bookmarkStart w:id="36" w:name="_Ref89348965"/>
      <w:bookmarkStart w:id="37" w:name="_Ref89348975"/>
      <w:bookmarkStart w:id="38" w:name="_Toc91583670"/>
      <w:bookmarkEnd w:id="30"/>
      <w:bookmarkEnd w:id="31"/>
      <w:r>
        <w:rPr>
          <w:lang w:val="en-GB"/>
        </w:rPr>
        <w:lastRenderedPageBreak/>
        <w:t xml:space="preserve">European training </w:t>
      </w:r>
      <w:r w:rsidR="005B7FC0">
        <w:rPr>
          <w:lang w:val="en-GB"/>
        </w:rPr>
        <w:t>image</w:t>
      </w:r>
      <w:bookmarkEnd w:id="32"/>
      <w:bookmarkEnd w:id="33"/>
      <w:bookmarkEnd w:id="34"/>
      <w:bookmarkEnd w:id="35"/>
      <w:bookmarkEnd w:id="36"/>
      <w:bookmarkEnd w:id="37"/>
      <w:bookmarkEnd w:id="38"/>
    </w:p>
    <w:p w14:paraId="6B64153E" w14:textId="2A6DD6EF" w:rsidR="00560DF9" w:rsidRDefault="00560DF9" w:rsidP="00560DF9">
      <w:r>
        <w:t xml:space="preserve">As it has been discussed, apart from diverse in spectral response, MLs are a dynamic and ever-changing “land cover”, therefore it would not be accepted to sample over the region that was classified as ML in T2.3, based on 2017-2018 data, in any point </w:t>
      </w:r>
      <w:r w:rsidR="004012E8">
        <w:t xml:space="preserve">in time </w:t>
      </w:r>
      <w:r>
        <w:t>in the future. In other words, the area that has been delineated as potential ML for 2017-2018, will most probably change (either expand or shrink) in e.g., 10, 20 or 30 years</w:t>
      </w:r>
      <w:r w:rsidR="00484FC6">
        <w:t>, as well as the spectral response of the various features on earth</w:t>
      </w:r>
      <w:r>
        <w:t>. Consequently, a Pan-European image encompassing all the variables, based on 2017-2018 observations, required for the upcoming classification had to be generated.</w:t>
      </w:r>
    </w:p>
    <w:p w14:paraId="52F48C32" w14:textId="41E415DE" w:rsidR="00884D98" w:rsidRDefault="00884D98" w:rsidP="00560DF9">
      <w:r>
        <w:t xml:space="preserve">The </w:t>
      </w:r>
      <w:r w:rsidR="00712EEB">
        <w:t xml:space="preserve">workflow that was followed for the generation of this Pan-European </w:t>
      </w:r>
      <w:proofErr w:type="spellStart"/>
      <w:r w:rsidR="00E4166B">
        <w:t>Basemap</w:t>
      </w:r>
      <w:proofErr w:type="spellEnd"/>
      <w:r w:rsidR="00E4166B">
        <w:t xml:space="preserve"> image is shown graphically </w:t>
      </w:r>
      <w:r w:rsidR="00E02CDF">
        <w:t xml:space="preserve">on </w:t>
      </w:r>
      <w:r w:rsidR="0023616B">
        <w:fldChar w:fldCharType="begin"/>
      </w:r>
      <w:r w:rsidR="0023616B">
        <w:instrText xml:space="preserve"> REF _Ref90842339 \h </w:instrText>
      </w:r>
      <w:r w:rsidR="0023616B">
        <w:fldChar w:fldCharType="separate"/>
      </w:r>
      <w:r w:rsidR="00D4790B">
        <w:t xml:space="preserve">Figure </w:t>
      </w:r>
      <w:r w:rsidR="00D4790B">
        <w:rPr>
          <w:noProof/>
        </w:rPr>
        <w:t>2</w:t>
      </w:r>
      <w:r w:rsidR="0023616B">
        <w:fldChar w:fldCharType="end"/>
      </w:r>
      <w:r w:rsidR="0023616B">
        <w:t xml:space="preserve"> </w:t>
      </w:r>
      <w:r w:rsidR="00E02CDF">
        <w:t>and is described in detail in this section.</w:t>
      </w:r>
      <w:r w:rsidR="00B26680">
        <w:t xml:space="preserve"> </w:t>
      </w:r>
      <w:r w:rsidR="004539A9">
        <w:t xml:space="preserve">Two sets of imagery were </w:t>
      </w:r>
      <w:r w:rsidR="004161BA">
        <w:t xml:space="preserve">exploited </w:t>
      </w:r>
      <w:r w:rsidR="00CD2B31">
        <w:t>for the extraction of</w:t>
      </w:r>
      <w:r w:rsidR="00CE7E0D">
        <w:t xml:space="preserve"> the required layers; the Sentinel-1 and Sentinel-2 image collections, </w:t>
      </w:r>
      <w:r w:rsidR="003E7C07">
        <w:t xml:space="preserve">readily available </w:t>
      </w:r>
      <w:r w:rsidR="00732E01">
        <w:t>from</w:t>
      </w:r>
      <w:r w:rsidR="003E7C07">
        <w:t xml:space="preserve"> GEE’s dataset catalogues. </w:t>
      </w:r>
      <w:r w:rsidR="00AF2FFC">
        <w:t>A</w:t>
      </w:r>
      <w:r w:rsidR="000A4CBB">
        <w:t xml:space="preserve">ll processes that will be </w:t>
      </w:r>
      <w:r w:rsidR="00F50BDD">
        <w:t>described later</w:t>
      </w:r>
      <w:r w:rsidR="00587819">
        <w:t xml:space="preserve"> in this section</w:t>
      </w:r>
      <w:r w:rsidR="00F50BDD">
        <w:t xml:space="preserve">, </w:t>
      </w:r>
      <w:r w:rsidR="00947FEC">
        <w:t xml:space="preserve">are based on imagery acquired </w:t>
      </w:r>
      <w:r w:rsidR="001C62D8">
        <w:t>by the sensors from 1</w:t>
      </w:r>
      <w:r w:rsidR="001C62D8" w:rsidRPr="008D5299">
        <w:rPr>
          <w:vertAlign w:val="superscript"/>
        </w:rPr>
        <w:t>st</w:t>
      </w:r>
      <w:r w:rsidR="001C62D8">
        <w:t xml:space="preserve"> of April 2017 until 1</w:t>
      </w:r>
      <w:r w:rsidR="001C62D8" w:rsidRPr="008D5299">
        <w:rPr>
          <w:vertAlign w:val="superscript"/>
        </w:rPr>
        <w:t>st</w:t>
      </w:r>
      <w:r w:rsidR="001C62D8">
        <w:t xml:space="preserve"> of April 2019.</w:t>
      </w:r>
      <w:r w:rsidR="00971014">
        <w:t xml:space="preserve"> This way</w:t>
      </w:r>
      <w:r w:rsidR="000E72A9">
        <w:t xml:space="preserve"> only </w:t>
      </w:r>
      <w:r w:rsidR="00B0650B">
        <w:t xml:space="preserve">data </w:t>
      </w:r>
      <w:r w:rsidR="00270A8E">
        <w:t xml:space="preserve">that are in accordance with the </w:t>
      </w:r>
      <w:r w:rsidR="00C80EE3">
        <w:t>analysis made on</w:t>
      </w:r>
      <w:r w:rsidR="00EA28D5">
        <w:t xml:space="preserve"> T2.3</w:t>
      </w:r>
      <w:r w:rsidR="00C80EE3">
        <w:t xml:space="preserve"> </w:t>
      </w:r>
      <w:r w:rsidR="00CB1AC3">
        <w:t xml:space="preserve">are included. </w:t>
      </w:r>
      <w:r w:rsidR="00B0650B">
        <w:t xml:space="preserve"> </w:t>
      </w:r>
    </w:p>
    <w:p w14:paraId="1904AE64" w14:textId="4C6C6A4D" w:rsidR="001D7C6E" w:rsidRPr="00941DCA" w:rsidRDefault="001D7C6E" w:rsidP="00560DF9"/>
    <w:p w14:paraId="12128424" w14:textId="77777777" w:rsidR="00560DF9" w:rsidRPr="008D5299" w:rsidRDefault="00560DF9" w:rsidP="009D4068"/>
    <w:p w14:paraId="5A8B3FDC" w14:textId="77777777" w:rsidR="00996BD5" w:rsidRDefault="00473042" w:rsidP="008D5299">
      <w:pPr>
        <w:keepNext/>
        <w:jc w:val="center"/>
      </w:pPr>
      <w:r>
        <w:rPr>
          <w:noProof/>
          <w:lang w:val="en-GB" w:eastAsia="en-GB"/>
        </w:rPr>
        <w:lastRenderedPageBreak/>
        <w:drawing>
          <wp:inline distT="0" distB="0" distL="0" distR="0" wp14:anchorId="2F0B1634" wp14:editId="41F82A93">
            <wp:extent cx="5400675" cy="3997558"/>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20">
                      <a:extLst>
                        <a:ext uri="{28A0092B-C50C-407E-A947-70E740481C1C}">
                          <a14:useLocalDpi xmlns:a14="http://schemas.microsoft.com/office/drawing/2010/main" val="0"/>
                        </a:ext>
                      </a:extLst>
                    </a:blip>
                    <a:stretch>
                      <a:fillRect/>
                    </a:stretch>
                  </pic:blipFill>
                  <pic:spPr>
                    <a:xfrm>
                      <a:off x="0" y="0"/>
                      <a:ext cx="5400675" cy="3997558"/>
                    </a:xfrm>
                    <a:prstGeom prst="rect">
                      <a:avLst/>
                    </a:prstGeom>
                  </pic:spPr>
                </pic:pic>
              </a:graphicData>
            </a:graphic>
          </wp:inline>
        </w:drawing>
      </w:r>
    </w:p>
    <w:p w14:paraId="57DC55F8" w14:textId="29956597" w:rsidR="00D46915" w:rsidRDefault="00996BD5" w:rsidP="008D5299">
      <w:pPr>
        <w:pStyle w:val="Caption"/>
      </w:pPr>
      <w:bookmarkStart w:id="39" w:name="_Ref90842339"/>
      <w:bookmarkStart w:id="40" w:name="_Toc91583682"/>
      <w:r>
        <w:t xml:space="preserve">Figure </w:t>
      </w:r>
      <w:r w:rsidR="00167D35">
        <w:fldChar w:fldCharType="begin"/>
      </w:r>
      <w:r w:rsidR="00167D35">
        <w:instrText xml:space="preserve"> SEQ Figure \* ARABIC </w:instrText>
      </w:r>
      <w:r w:rsidR="00167D35">
        <w:fldChar w:fldCharType="separate"/>
      </w:r>
      <w:r w:rsidR="00D4790B">
        <w:rPr>
          <w:noProof/>
        </w:rPr>
        <w:t>2</w:t>
      </w:r>
      <w:r w:rsidR="00167D35">
        <w:fldChar w:fldCharType="end"/>
      </w:r>
      <w:bookmarkEnd w:id="39"/>
      <w:r w:rsidR="00391D0F">
        <w:t>.</w:t>
      </w:r>
      <w:r>
        <w:t xml:space="preserve"> Pan-European </w:t>
      </w:r>
      <w:proofErr w:type="spellStart"/>
      <w:r>
        <w:t>Basemap</w:t>
      </w:r>
      <w:proofErr w:type="spellEnd"/>
      <w:r>
        <w:t xml:space="preserve"> training</w:t>
      </w:r>
      <w:r>
        <w:rPr>
          <w:noProof/>
        </w:rPr>
        <w:t xml:space="preserve"> image workflow</w:t>
      </w:r>
      <w:r w:rsidR="001D6BCA">
        <w:rPr>
          <w:noProof/>
        </w:rPr>
        <w:t>. Source: personal compilation of Georgios Spanos.</w:t>
      </w:r>
      <w:bookmarkEnd w:id="40"/>
    </w:p>
    <w:p w14:paraId="31ED5BD1" w14:textId="2AE30EDE" w:rsidR="003D2489" w:rsidRDefault="007A0B75" w:rsidP="007A0B75">
      <w:r>
        <w:t>The Sentinel-1 imagery were initially filtered based on the instrument’s mode and the orbit’s direction pass and only the IW mode and the ascending pass images were acquired. Then, the mean values for every pixel for April, June and October were computed separately for the VV and the VH polarization acquisitions. All six layers that have been calculated, were ultimately concatenated in a single six-band image.</w:t>
      </w:r>
    </w:p>
    <w:p w14:paraId="3A6495A6" w14:textId="0451BF44" w:rsidR="00996BD5" w:rsidRDefault="00A04275" w:rsidP="007A0B75">
      <w:pPr>
        <w:rPr>
          <w:lang w:val="en-GB"/>
        </w:rPr>
      </w:pPr>
      <w:r>
        <w:rPr>
          <w:lang w:val="en-GB"/>
        </w:rPr>
        <w:t>For the Sentinel-2</w:t>
      </w:r>
      <w:r w:rsidR="00AF554D">
        <w:rPr>
          <w:lang w:val="en-GB"/>
        </w:rPr>
        <w:t xml:space="preserve"> images a </w:t>
      </w:r>
      <w:r w:rsidR="0056793B">
        <w:rPr>
          <w:lang w:val="en-GB"/>
        </w:rPr>
        <w:t xml:space="preserve">standard </w:t>
      </w:r>
      <w:r w:rsidR="00AF554D">
        <w:rPr>
          <w:lang w:val="en-GB"/>
        </w:rPr>
        <w:t xml:space="preserve">cloud masking script was applied before any </w:t>
      </w:r>
      <w:r w:rsidR="00175CBF">
        <w:rPr>
          <w:lang w:val="en-GB"/>
        </w:rPr>
        <w:t>processing</w:t>
      </w:r>
      <w:r w:rsidR="0055516F">
        <w:rPr>
          <w:lang w:val="en-GB"/>
        </w:rPr>
        <w:t xml:space="preserve"> to remove pixels that are influenced by clouds.</w:t>
      </w:r>
      <w:r w:rsidR="00A15348">
        <w:rPr>
          <w:lang w:val="en-GB"/>
        </w:rPr>
        <w:t xml:space="preserve"> Then the </w:t>
      </w:r>
      <w:r w:rsidR="00EA75F4">
        <w:rPr>
          <w:lang w:val="en-GB"/>
        </w:rPr>
        <w:t>Phase and Amplitude parameters</w:t>
      </w:r>
      <w:r w:rsidR="00DC7BCF">
        <w:rPr>
          <w:lang w:val="en-GB"/>
        </w:rPr>
        <w:t xml:space="preserve"> from the Harmonic Model based on NDVI values were</w:t>
      </w:r>
      <w:r w:rsidR="00124315">
        <w:rPr>
          <w:lang w:val="en-GB"/>
        </w:rPr>
        <w:t xml:space="preserve"> computed for each pixel, as demonstrated by </w:t>
      </w:r>
      <w:r w:rsidR="00124315">
        <w:rPr>
          <w:lang w:val="en-GB"/>
        </w:rPr>
        <w:fldChar w:fldCharType="begin" w:fldLock="1"/>
      </w:r>
      <w:r w:rsidR="00691072">
        <w:rPr>
          <w:lang w:val="en-GB"/>
        </w:rPr>
        <w:instrText>ADDIN CSL_CITATION {"citationItems":[{"id":"ITEM-1","itemData":{"author":[{"dropping-particle":"","family":"Clinton","given":"Nicholas","non-dropping-particle":"","parse-names":false,"suffix":""}],"container-title":"Earth Engine User Summit","id":"ITEM-1","issued":{"date-parts":[["2017"]]},"publisher":"Google Slides","title":"EEUS Time Series","type":"paper-conference"},"uris":["http://www.mendeley.com/documents/?uuid=04d430ca-14a7-3229-ac87-a41b9c27ae88"]}],"mendeley":{"formattedCitation":"(Clinton, 2017)","manualFormatting":"Nicholas Clinton","plainTextFormattedCitation":"(Clinton, 2017)","previouslyFormattedCitation":"(Clinton, 2017)"},"properties":{"noteIndex":0},"schema":"https://github.com/citation-style-language/schema/raw/master/csl-citation.json"}</w:instrText>
      </w:r>
      <w:r w:rsidR="00124315">
        <w:rPr>
          <w:lang w:val="en-GB"/>
        </w:rPr>
        <w:fldChar w:fldCharType="separate"/>
      </w:r>
      <w:r w:rsidR="008F27F0">
        <w:rPr>
          <w:noProof/>
          <w:lang w:val="en-GB"/>
        </w:rPr>
        <w:t xml:space="preserve">Nicholas </w:t>
      </w:r>
      <w:r w:rsidR="00124315" w:rsidRPr="00124315">
        <w:rPr>
          <w:noProof/>
          <w:lang w:val="en-GB"/>
        </w:rPr>
        <w:t>Clinton</w:t>
      </w:r>
      <w:r w:rsidR="00124315">
        <w:rPr>
          <w:lang w:val="en-GB"/>
        </w:rPr>
        <w:fldChar w:fldCharType="end"/>
      </w:r>
      <w:r w:rsidR="00427AA3">
        <w:rPr>
          <w:lang w:val="en-GB"/>
        </w:rPr>
        <w:t xml:space="preserve"> in the Earth Engine User Summit of 2017. </w:t>
      </w:r>
      <w:r w:rsidR="0033487E">
        <w:rPr>
          <w:lang w:val="en-GB"/>
        </w:rPr>
        <w:t xml:space="preserve">In addition, </w:t>
      </w:r>
      <w:r w:rsidR="00EA72E9">
        <w:rPr>
          <w:lang w:val="en-GB"/>
        </w:rPr>
        <w:t xml:space="preserve">the mean NDVI value for each pixel was calculated for the months of May, </w:t>
      </w:r>
      <w:proofErr w:type="gramStart"/>
      <w:r w:rsidR="00EA72E9">
        <w:rPr>
          <w:lang w:val="en-GB"/>
        </w:rPr>
        <w:t>July</w:t>
      </w:r>
      <w:proofErr w:type="gramEnd"/>
      <w:r w:rsidR="00EA72E9">
        <w:rPr>
          <w:lang w:val="en-GB"/>
        </w:rPr>
        <w:t xml:space="preserve"> and September, since these months </w:t>
      </w:r>
      <w:r w:rsidR="00CC5951">
        <w:rPr>
          <w:lang w:val="en-GB"/>
        </w:rPr>
        <w:t xml:space="preserve">are </w:t>
      </w:r>
      <w:r w:rsidR="001438B4">
        <w:rPr>
          <w:lang w:val="en-GB"/>
        </w:rPr>
        <w:t>related with the s</w:t>
      </w:r>
      <w:r w:rsidR="00004F50">
        <w:rPr>
          <w:lang w:val="en-GB"/>
        </w:rPr>
        <w:t xml:space="preserve">eason that vegetation is at its highest </w:t>
      </w:r>
      <w:r w:rsidR="008449EB">
        <w:rPr>
          <w:lang w:val="en-GB"/>
        </w:rPr>
        <w:t>in all of the regions of Europe</w:t>
      </w:r>
      <w:r w:rsidR="004B4171">
        <w:rPr>
          <w:lang w:val="en-GB"/>
        </w:rPr>
        <w:t xml:space="preserve">. Finally, the SAVI and the NDTI </w:t>
      </w:r>
      <w:r w:rsidR="00086C70">
        <w:rPr>
          <w:lang w:val="en-GB"/>
        </w:rPr>
        <w:t>also showed to improve the classifier’s performance</w:t>
      </w:r>
      <w:r w:rsidR="00195723">
        <w:rPr>
          <w:lang w:val="en-GB"/>
        </w:rPr>
        <w:t xml:space="preserve">, hence mean values for the </w:t>
      </w:r>
      <w:proofErr w:type="gramStart"/>
      <w:r w:rsidR="00195723">
        <w:rPr>
          <w:lang w:val="en-GB"/>
        </w:rPr>
        <w:t>whole time</w:t>
      </w:r>
      <w:proofErr w:type="gramEnd"/>
      <w:r w:rsidR="00195723">
        <w:rPr>
          <w:lang w:val="en-GB"/>
        </w:rPr>
        <w:t xml:space="preserve"> range </w:t>
      </w:r>
      <w:r w:rsidR="003877C4">
        <w:rPr>
          <w:lang w:val="en-GB"/>
        </w:rPr>
        <w:t xml:space="preserve">were computed for each pixel. </w:t>
      </w:r>
      <w:r w:rsidR="00EA1E82">
        <w:rPr>
          <w:lang w:val="en-GB"/>
        </w:rPr>
        <w:t xml:space="preserve">In the end, these seven layers </w:t>
      </w:r>
      <w:r w:rsidR="00B646F7">
        <w:rPr>
          <w:lang w:val="en-GB"/>
        </w:rPr>
        <w:t>were added in a single seven band image.</w:t>
      </w:r>
    </w:p>
    <w:p w14:paraId="59E6ADDB" w14:textId="28AD0DD2" w:rsidR="007A0B75" w:rsidRPr="00D46915" w:rsidRDefault="00AD16B8" w:rsidP="008D5299">
      <w:pPr>
        <w:rPr>
          <w:lang w:val="en-GB"/>
        </w:rPr>
      </w:pPr>
      <w:r>
        <w:lastRenderedPageBreak/>
        <w:t xml:space="preserve">After the Sentinel-1 and the Sentinel-2 images </w:t>
      </w:r>
      <w:r w:rsidR="00D86C35">
        <w:t>encompassing all the required layers were generated, they were</w:t>
      </w:r>
      <w:r w:rsidR="00923157">
        <w:t xml:space="preserve"> concatenated in a single 13-band image</w:t>
      </w:r>
      <w:r w:rsidR="00262A8F">
        <w:t>.</w:t>
      </w:r>
      <w:r w:rsidR="00355FE5">
        <w:t xml:space="preserve"> </w:t>
      </w:r>
      <w:r w:rsidR="00A47338">
        <w:rPr>
          <w:lang w:val="en-GB"/>
        </w:rPr>
        <w:t xml:space="preserve">The procedure described above was </w:t>
      </w:r>
      <w:r w:rsidR="0017526A">
        <w:rPr>
          <w:lang w:val="en-GB"/>
        </w:rPr>
        <w:t xml:space="preserve">iteratively applied for each </w:t>
      </w:r>
      <w:r w:rsidR="00692D40">
        <w:rPr>
          <w:lang w:val="en-GB"/>
        </w:rPr>
        <w:t xml:space="preserve">country of the </w:t>
      </w:r>
      <w:r w:rsidR="0017526A">
        <w:rPr>
          <w:lang w:val="en-GB"/>
        </w:rPr>
        <w:t xml:space="preserve">European Union (EU) </w:t>
      </w:r>
      <w:r w:rsidR="00974823">
        <w:rPr>
          <w:lang w:val="en-GB"/>
        </w:rPr>
        <w:t xml:space="preserve">and exported as an asset </w:t>
      </w:r>
      <w:r w:rsidR="00D27C8A">
        <w:rPr>
          <w:lang w:val="en-GB"/>
        </w:rPr>
        <w:t>on GEE</w:t>
      </w:r>
      <w:r w:rsidR="00E324D6">
        <w:rPr>
          <w:lang w:val="en-GB"/>
        </w:rPr>
        <w:t>, but because of the memory</w:t>
      </w:r>
      <w:r w:rsidR="00F0718A">
        <w:rPr>
          <w:lang w:val="en-GB"/>
        </w:rPr>
        <w:t xml:space="preserve"> restrictions in GEE, the spatial resolution was reduced to 100 meters. Nonetheless, this is not expected to </w:t>
      </w:r>
      <w:r w:rsidR="002D3FBB">
        <w:rPr>
          <w:lang w:val="en-GB"/>
        </w:rPr>
        <w:t>affect the quality of this study, since the minimum area</w:t>
      </w:r>
      <w:r w:rsidR="00691072">
        <w:rPr>
          <w:lang w:val="en-GB"/>
        </w:rPr>
        <w:t xml:space="preserve"> under the </w:t>
      </w:r>
      <w:r w:rsidR="00691072" w:rsidRPr="008D5299">
        <w:rPr>
          <w:b/>
          <w:i/>
          <w:iCs/>
          <w:color w:val="31479E" w:themeColor="accent1" w:themeShade="BF"/>
        </w:rPr>
        <w:t>MAIL</w:t>
      </w:r>
      <w:r w:rsidR="00691072">
        <w:rPr>
          <w:lang w:val="en-GB"/>
        </w:rPr>
        <w:t xml:space="preserve"> project</w:t>
      </w:r>
      <w:r w:rsidR="002D3FBB">
        <w:rPr>
          <w:lang w:val="en-GB"/>
        </w:rPr>
        <w:t xml:space="preserve"> </w:t>
      </w:r>
      <w:r w:rsidR="001E1BBA">
        <w:rPr>
          <w:lang w:val="en-GB"/>
        </w:rPr>
        <w:t>identified as ML has already been defined in D2.3 as 1 hectare</w:t>
      </w:r>
      <w:r w:rsidR="00691072">
        <w:rPr>
          <w:lang w:val="en-GB"/>
        </w:rPr>
        <w:t xml:space="preserve"> </w:t>
      </w:r>
      <w:r w:rsidR="00691072">
        <w:rPr>
          <w:lang w:val="en-GB"/>
        </w:rPr>
        <w:fldChar w:fldCharType="begin" w:fldLock="1"/>
      </w:r>
      <w:r w:rsidR="00AF6F9C">
        <w:rPr>
          <w:lang w:val="en-GB"/>
        </w:rPr>
        <w:instrText>ADDIN CSL_CITATION {"citationItems":[{"id":"ITEM-1","itemData":{"author":[{"dropping-particle":"","family":"Conejo","given":"Gómez Rodrigo","non-dropping-particle":"","parse-names":false,"suffix":""},{"dropping-particle":"","family":"Verde","given":"Natalia","non-dropping-particle":"","parse-names":false,"suffix":""},{"dropping-particle":"","family":"Georgiadis","given":"Charalampos","non-dropping-particle":"","parse-names":false,"suffix":""},{"dropping-particle":"","family":"Tassopoulou","given":"Maria","non-dropping-particle":"","parse-names":false,"suffix":""},{"dropping-particle":"","family":"Krupinski","given":"Michal","non-dropping-particle":"","parse-names":false,"suffix":""},{"dropping-particle":"","family":"Grommy","given":"Ewa","non-dropping-particle":"","parse-names":false,"suffix":""},{"dropping-particle":"","family":"Aleksandrowicz","given":"Sebastian","non-dropping-particle":"","parse-names":false,"suffix":""},{"dropping-particle":"","family":"Pérez","given":"Torralba Jesús","non-dropping-particle":"","parse-names":false,"suffix":""}],"container-title":"MAIL: Identifying Marginal Lands in Europe and strengthening their contribution potentialities in a CO2 sequestration strategy","id":"ITEM-1","issued":{"date-parts":[["2021"]]},"number-of-pages":"1-168","title":"D2.3 | Report on Methodology development","type":"report"},"uris":["http://www.mendeley.com/documents/?uuid=f48d3030-ab4a-43a1-98d0-61da0e9033db"]}],"mendeley":{"formattedCitation":"(Conejo et al., 2021)","plainTextFormattedCitation":"(Conejo et al., 2021)","previouslyFormattedCitation":"(Conejo et al., 2021)"},"properties":{"noteIndex":0},"schema":"https://github.com/citation-style-language/schema/raw/master/csl-citation.json"}</w:instrText>
      </w:r>
      <w:r w:rsidR="00691072">
        <w:rPr>
          <w:lang w:val="en-GB"/>
        </w:rPr>
        <w:fldChar w:fldCharType="separate"/>
      </w:r>
      <w:r w:rsidR="00691072" w:rsidRPr="00691072">
        <w:rPr>
          <w:noProof/>
          <w:lang w:val="en-GB"/>
        </w:rPr>
        <w:t>(Conejo et al., 2021)</w:t>
      </w:r>
      <w:r w:rsidR="00691072">
        <w:rPr>
          <w:lang w:val="en-GB"/>
        </w:rPr>
        <w:fldChar w:fldCharType="end"/>
      </w:r>
      <w:r w:rsidR="001E1BBA">
        <w:rPr>
          <w:lang w:val="en-GB"/>
        </w:rPr>
        <w:t xml:space="preserve">. </w:t>
      </w:r>
      <w:r w:rsidR="00987D11">
        <w:rPr>
          <w:lang w:val="en-GB"/>
        </w:rPr>
        <w:t xml:space="preserve">Finally, </w:t>
      </w:r>
      <w:r w:rsidR="00573B7C">
        <w:rPr>
          <w:lang w:val="en-GB"/>
        </w:rPr>
        <w:t xml:space="preserve">a mosaic </w:t>
      </w:r>
      <w:r w:rsidR="00900ACC">
        <w:rPr>
          <w:lang w:val="en-GB"/>
        </w:rPr>
        <w:t xml:space="preserve">of the </w:t>
      </w:r>
      <w:r w:rsidR="00931320">
        <w:rPr>
          <w:lang w:val="en-GB"/>
        </w:rPr>
        <w:t>39 countries including all 13</w:t>
      </w:r>
      <w:r w:rsidR="00D367F9">
        <w:rPr>
          <w:lang w:val="en-GB"/>
        </w:rPr>
        <w:t xml:space="preserve"> bands</w:t>
      </w:r>
      <w:r w:rsidR="004C7A7A">
        <w:rPr>
          <w:lang w:val="en-GB"/>
        </w:rPr>
        <w:t xml:space="preserve"> (variables)</w:t>
      </w:r>
      <w:r w:rsidR="00D367F9">
        <w:rPr>
          <w:lang w:val="en-GB"/>
        </w:rPr>
        <w:t xml:space="preserve">, namely: </w:t>
      </w:r>
      <w:r w:rsidR="00D367F9" w:rsidRPr="008D5299">
        <w:rPr>
          <w:rStyle w:val="Emphasis"/>
        </w:rPr>
        <w:t xml:space="preserve">Amplitude, Phase, </w:t>
      </w:r>
      <w:proofErr w:type="spellStart"/>
      <w:r w:rsidR="00D367F9" w:rsidRPr="008D5299">
        <w:rPr>
          <w:rStyle w:val="Emphasis"/>
        </w:rPr>
        <w:t>NDVI_May</w:t>
      </w:r>
      <w:proofErr w:type="spellEnd"/>
      <w:r w:rsidR="00D367F9" w:rsidRPr="008D5299">
        <w:rPr>
          <w:rStyle w:val="Emphasis"/>
        </w:rPr>
        <w:t xml:space="preserve">, </w:t>
      </w:r>
      <w:proofErr w:type="spellStart"/>
      <w:r w:rsidR="00D367F9" w:rsidRPr="008D5299">
        <w:rPr>
          <w:rStyle w:val="Emphasis"/>
        </w:rPr>
        <w:t>NDVI_July</w:t>
      </w:r>
      <w:proofErr w:type="spellEnd"/>
      <w:r w:rsidR="00D367F9" w:rsidRPr="008D5299">
        <w:rPr>
          <w:rStyle w:val="Emphasis"/>
        </w:rPr>
        <w:t xml:space="preserve">, </w:t>
      </w:r>
      <w:proofErr w:type="spellStart"/>
      <w:r w:rsidR="00D367F9" w:rsidRPr="008D5299">
        <w:rPr>
          <w:rStyle w:val="Emphasis"/>
        </w:rPr>
        <w:t>NDVI_September</w:t>
      </w:r>
      <w:proofErr w:type="spellEnd"/>
      <w:r w:rsidR="00D367F9" w:rsidRPr="008D5299">
        <w:rPr>
          <w:rStyle w:val="Emphasis"/>
        </w:rPr>
        <w:t>,</w:t>
      </w:r>
      <w:r w:rsidR="00E23F2B" w:rsidRPr="008D5299">
        <w:rPr>
          <w:rStyle w:val="Emphasis"/>
        </w:rPr>
        <w:t xml:space="preserve"> SAVI, NDTI, </w:t>
      </w:r>
      <w:proofErr w:type="spellStart"/>
      <w:r w:rsidR="00E23F2B" w:rsidRPr="008D5299">
        <w:rPr>
          <w:rStyle w:val="Emphasis"/>
        </w:rPr>
        <w:t>VV_April</w:t>
      </w:r>
      <w:proofErr w:type="spellEnd"/>
      <w:r w:rsidR="00E23F2B" w:rsidRPr="008D5299">
        <w:rPr>
          <w:rStyle w:val="Emphasis"/>
        </w:rPr>
        <w:t xml:space="preserve">, </w:t>
      </w:r>
      <w:proofErr w:type="spellStart"/>
      <w:r w:rsidR="00E23F2B" w:rsidRPr="008D5299">
        <w:rPr>
          <w:rStyle w:val="Emphasis"/>
        </w:rPr>
        <w:t>VV_June</w:t>
      </w:r>
      <w:proofErr w:type="spellEnd"/>
      <w:r w:rsidR="00E23F2B" w:rsidRPr="008D5299">
        <w:rPr>
          <w:rStyle w:val="Emphasis"/>
        </w:rPr>
        <w:t xml:space="preserve">, VV_ October, </w:t>
      </w:r>
      <w:proofErr w:type="spellStart"/>
      <w:r w:rsidR="00E23F2B" w:rsidRPr="008D5299">
        <w:rPr>
          <w:rStyle w:val="Emphasis"/>
        </w:rPr>
        <w:t>VH_April</w:t>
      </w:r>
      <w:proofErr w:type="spellEnd"/>
      <w:r w:rsidR="00E23F2B" w:rsidRPr="008D5299">
        <w:rPr>
          <w:rStyle w:val="Emphasis"/>
        </w:rPr>
        <w:t xml:space="preserve">, </w:t>
      </w:r>
      <w:proofErr w:type="spellStart"/>
      <w:r w:rsidR="00E23F2B" w:rsidRPr="008D5299">
        <w:rPr>
          <w:rStyle w:val="Emphasis"/>
        </w:rPr>
        <w:t>VH_June</w:t>
      </w:r>
      <w:proofErr w:type="spellEnd"/>
      <w:r w:rsidR="00E23F2B" w:rsidRPr="008D5299">
        <w:rPr>
          <w:rStyle w:val="Emphasis"/>
        </w:rPr>
        <w:t xml:space="preserve">, </w:t>
      </w:r>
      <w:proofErr w:type="spellStart"/>
      <w:r w:rsidR="00E23F2B" w:rsidRPr="008D5299">
        <w:rPr>
          <w:rStyle w:val="Emphasis"/>
        </w:rPr>
        <w:t>VH_October</w:t>
      </w:r>
      <w:proofErr w:type="spellEnd"/>
      <w:r w:rsidR="003D39C6">
        <w:rPr>
          <w:lang w:val="en-GB"/>
        </w:rPr>
        <w:t xml:space="preserve">, was created and exported </w:t>
      </w:r>
      <w:r w:rsidR="00203D23">
        <w:rPr>
          <w:lang w:val="en-GB"/>
        </w:rPr>
        <w:t>as a GEE asset.</w:t>
      </w:r>
      <w:r w:rsidR="00C37A31">
        <w:rPr>
          <w:lang w:val="en-GB"/>
        </w:rPr>
        <w:t xml:space="preserve"> Having this image exported already as an asset on</w:t>
      </w:r>
      <w:r w:rsidR="00A04E3C">
        <w:rPr>
          <w:lang w:val="en-GB"/>
        </w:rPr>
        <w:t xml:space="preserve"> GEE provides a further advantage</w:t>
      </w:r>
      <w:r w:rsidR="00787E5A">
        <w:rPr>
          <w:lang w:val="en-GB"/>
        </w:rPr>
        <w:t xml:space="preserve"> to the end-user</w:t>
      </w:r>
      <w:r w:rsidR="00A04E3C">
        <w:rPr>
          <w:lang w:val="en-GB"/>
        </w:rPr>
        <w:t xml:space="preserve"> of reducing </w:t>
      </w:r>
      <w:r w:rsidR="00787E5A">
        <w:rPr>
          <w:lang w:val="en-GB"/>
        </w:rPr>
        <w:t>the</w:t>
      </w:r>
      <w:r w:rsidR="00A7587A">
        <w:rPr>
          <w:lang w:val="en-GB"/>
        </w:rPr>
        <w:t xml:space="preserve"> tool’s</w:t>
      </w:r>
      <w:r w:rsidR="00787E5A">
        <w:rPr>
          <w:lang w:val="en-GB"/>
        </w:rPr>
        <w:t xml:space="preserve"> computation time </w:t>
      </w:r>
      <w:r w:rsidR="000E54C6">
        <w:rPr>
          <w:lang w:val="en-GB"/>
        </w:rPr>
        <w:t xml:space="preserve">in the </w:t>
      </w:r>
      <w:r w:rsidR="000E54C6" w:rsidRPr="008D5299">
        <w:rPr>
          <w:b/>
          <w:i/>
          <w:iCs/>
          <w:color w:val="31479E" w:themeColor="accent1" w:themeShade="BF"/>
        </w:rPr>
        <w:t>MAIL</w:t>
      </w:r>
      <w:r w:rsidR="000E54C6">
        <w:rPr>
          <w:lang w:val="en-GB"/>
        </w:rPr>
        <w:t xml:space="preserve"> web application</w:t>
      </w:r>
      <w:r w:rsidR="00DF2D3F">
        <w:rPr>
          <w:lang w:val="en-GB"/>
        </w:rPr>
        <w:t>.</w:t>
      </w:r>
    </w:p>
    <w:p w14:paraId="3829EDBB" w14:textId="5A042A69" w:rsidR="00B31B91" w:rsidRDefault="00B31B91" w:rsidP="00B31B91">
      <w:pPr>
        <w:pStyle w:val="Heading2"/>
        <w:rPr>
          <w:lang w:val="en-GB"/>
        </w:rPr>
      </w:pPr>
      <w:bookmarkStart w:id="41" w:name="_Ref90662946"/>
      <w:bookmarkStart w:id="42" w:name="_Ref90662953"/>
      <w:bookmarkStart w:id="43" w:name="_Toc91583671"/>
      <w:r>
        <w:rPr>
          <w:lang w:val="en-GB"/>
        </w:rPr>
        <w:t xml:space="preserve">Classification </w:t>
      </w:r>
      <w:r w:rsidR="00E13228">
        <w:rPr>
          <w:lang w:val="en-GB"/>
        </w:rPr>
        <w:t>Tool Development</w:t>
      </w:r>
      <w:bookmarkEnd w:id="41"/>
      <w:bookmarkEnd w:id="42"/>
      <w:bookmarkEnd w:id="43"/>
    </w:p>
    <w:p w14:paraId="341F90D6" w14:textId="35B06AB8" w:rsidR="00AF6BFE" w:rsidRDefault="007F5A44" w:rsidP="00AF6BFE">
      <w:pPr>
        <w:rPr>
          <w:lang w:val="en-GB"/>
        </w:rPr>
      </w:pPr>
      <w:r>
        <w:rPr>
          <w:lang w:val="en-GB"/>
        </w:rPr>
        <w:t>Moving on to the classification workflow</w:t>
      </w:r>
      <w:r w:rsidR="00861722">
        <w:rPr>
          <w:lang w:val="en-GB"/>
        </w:rPr>
        <w:t xml:space="preserve"> the user firstly </w:t>
      </w:r>
      <w:r w:rsidR="00357DDE">
        <w:rPr>
          <w:lang w:val="en-GB"/>
        </w:rPr>
        <w:t xml:space="preserve">draws a polygon to specify the </w:t>
      </w:r>
      <w:r w:rsidR="005D7645">
        <w:rPr>
          <w:lang w:val="en-GB"/>
        </w:rPr>
        <w:t>area of interest and</w:t>
      </w:r>
      <w:r w:rsidR="002F671C">
        <w:rPr>
          <w:lang w:val="en-GB"/>
        </w:rPr>
        <w:t xml:space="preserve"> specifies the dates</w:t>
      </w:r>
      <w:r w:rsidR="00E46A7E">
        <w:rPr>
          <w:lang w:val="en-GB"/>
        </w:rPr>
        <w:t>’ range</w:t>
      </w:r>
      <w:r w:rsidR="002F671C">
        <w:rPr>
          <w:lang w:val="en-GB"/>
        </w:rPr>
        <w:t xml:space="preserve"> for which the analysis will take place</w:t>
      </w:r>
      <w:r w:rsidR="004E5059">
        <w:rPr>
          <w:lang w:val="en-GB"/>
        </w:rPr>
        <w:t>.</w:t>
      </w:r>
      <w:r w:rsidR="00E46A7E">
        <w:rPr>
          <w:lang w:val="en-GB"/>
        </w:rPr>
        <w:t xml:space="preserve"> For this classification the user </w:t>
      </w:r>
      <w:r w:rsidR="002F5DF0">
        <w:rPr>
          <w:lang w:val="en-GB"/>
        </w:rPr>
        <w:t>needs to define a starting and an ending date</w:t>
      </w:r>
      <w:r w:rsidR="006165E1">
        <w:rPr>
          <w:lang w:val="en-GB"/>
        </w:rPr>
        <w:t xml:space="preserve">, </w:t>
      </w:r>
      <w:r w:rsidR="003740B5">
        <w:rPr>
          <w:lang w:val="en-GB"/>
        </w:rPr>
        <w:t>in a way that at least two years of satellite imagery acquisitions</w:t>
      </w:r>
      <w:r w:rsidR="007B627F">
        <w:rPr>
          <w:lang w:val="en-GB"/>
        </w:rPr>
        <w:t xml:space="preserve"> are included. This means that the starting date cannot be less than two years prior to the current date.</w:t>
      </w:r>
      <w:r w:rsidR="00E55DF8">
        <w:rPr>
          <w:lang w:val="en-GB"/>
        </w:rPr>
        <w:t xml:space="preserve"> All the processing steps applied by the algorithm for the </w:t>
      </w:r>
      <w:r w:rsidR="00F73416">
        <w:rPr>
          <w:lang w:val="en-GB"/>
        </w:rPr>
        <w:t>LC classification and ultimate</w:t>
      </w:r>
      <w:r w:rsidR="000F7ED4">
        <w:rPr>
          <w:lang w:val="en-GB"/>
        </w:rPr>
        <w:t>ly for the</w:t>
      </w:r>
      <w:r w:rsidR="00F73416">
        <w:rPr>
          <w:lang w:val="en-GB"/>
        </w:rPr>
        <w:t xml:space="preserve"> </w:t>
      </w:r>
      <w:r w:rsidR="000F7ED4">
        <w:rPr>
          <w:lang w:val="en-GB"/>
        </w:rPr>
        <w:t xml:space="preserve">detection of </w:t>
      </w:r>
      <w:r w:rsidR="00F73416">
        <w:rPr>
          <w:lang w:val="en-GB"/>
        </w:rPr>
        <w:t xml:space="preserve">MLs </w:t>
      </w:r>
      <w:r w:rsidR="000F7ED4">
        <w:rPr>
          <w:lang w:val="en-GB"/>
        </w:rPr>
        <w:t>are depicted on</w:t>
      </w:r>
      <w:r w:rsidR="00AF33BD">
        <w:rPr>
          <w:lang w:val="en-GB"/>
        </w:rPr>
        <w:t xml:space="preserve"> </w:t>
      </w:r>
      <w:r w:rsidR="00AF33BD">
        <w:rPr>
          <w:lang w:val="en-GB"/>
        </w:rPr>
        <w:fldChar w:fldCharType="begin"/>
      </w:r>
      <w:r w:rsidR="00AF33BD">
        <w:rPr>
          <w:lang w:val="en-GB"/>
        </w:rPr>
        <w:instrText xml:space="preserve"> REF _Ref90842367 \h </w:instrText>
      </w:r>
      <w:r w:rsidR="00AF33BD">
        <w:rPr>
          <w:lang w:val="en-GB"/>
        </w:rPr>
      </w:r>
      <w:r w:rsidR="00AF33BD">
        <w:rPr>
          <w:lang w:val="en-GB"/>
        </w:rPr>
        <w:fldChar w:fldCharType="separate"/>
      </w:r>
      <w:r w:rsidR="00D4790B">
        <w:t xml:space="preserve">Figure </w:t>
      </w:r>
      <w:r w:rsidR="00D4790B">
        <w:rPr>
          <w:noProof/>
        </w:rPr>
        <w:t>3</w:t>
      </w:r>
      <w:r w:rsidR="00AF33BD">
        <w:rPr>
          <w:lang w:val="en-GB"/>
        </w:rPr>
        <w:fldChar w:fldCharType="end"/>
      </w:r>
      <w:r w:rsidR="000F7ED4">
        <w:rPr>
          <w:lang w:val="en-GB"/>
        </w:rPr>
        <w:t>.</w:t>
      </w:r>
    </w:p>
    <w:p w14:paraId="769F8295" w14:textId="77777777" w:rsidR="00F40061" w:rsidRDefault="001E607D" w:rsidP="00AE1A89">
      <w:pPr>
        <w:keepNext/>
        <w:jc w:val="center"/>
      </w:pPr>
      <w:r>
        <w:rPr>
          <w:noProof/>
          <w:lang w:val="en-GB" w:eastAsia="en-GB"/>
        </w:rPr>
        <w:lastRenderedPageBreak/>
        <w:drawing>
          <wp:inline distT="0" distB="0" distL="0" distR="0" wp14:anchorId="555501A7" wp14:editId="607577FD">
            <wp:extent cx="5400675" cy="4732655"/>
            <wp:effectExtent l="0" t="0" r="9525" b="0"/>
            <wp:docPr id="2" name="Picture 2"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Diagram&#10;&#10;Description automatically generated"/>
                    <pic:cNvPicPr/>
                  </pic:nvPicPr>
                  <pic:blipFill>
                    <a:blip r:embed="rId21">
                      <a:extLst>
                        <a:ext uri="{28A0092B-C50C-407E-A947-70E740481C1C}">
                          <a14:useLocalDpi xmlns:a14="http://schemas.microsoft.com/office/drawing/2010/main" val="0"/>
                        </a:ext>
                      </a:extLst>
                    </a:blip>
                    <a:stretch>
                      <a:fillRect/>
                    </a:stretch>
                  </pic:blipFill>
                  <pic:spPr>
                    <a:xfrm>
                      <a:off x="0" y="0"/>
                      <a:ext cx="5400675" cy="4732655"/>
                    </a:xfrm>
                    <a:prstGeom prst="rect">
                      <a:avLst/>
                    </a:prstGeom>
                  </pic:spPr>
                </pic:pic>
              </a:graphicData>
            </a:graphic>
          </wp:inline>
        </w:drawing>
      </w:r>
    </w:p>
    <w:p w14:paraId="596E2ED0" w14:textId="3EEEC32C" w:rsidR="001E607D" w:rsidRPr="001E607D" w:rsidRDefault="00F40061" w:rsidP="00AE1A89">
      <w:pPr>
        <w:pStyle w:val="Caption"/>
      </w:pPr>
      <w:bookmarkStart w:id="44" w:name="_Ref90842367"/>
      <w:bookmarkStart w:id="45" w:name="_Toc91583683"/>
      <w:r>
        <w:t xml:space="preserve">Figure </w:t>
      </w:r>
      <w:r w:rsidR="00167D35">
        <w:fldChar w:fldCharType="begin"/>
      </w:r>
      <w:r w:rsidR="00167D35">
        <w:instrText xml:space="preserve"> SEQ Figure \* ARABIC </w:instrText>
      </w:r>
      <w:r w:rsidR="00167D35">
        <w:fldChar w:fldCharType="separate"/>
      </w:r>
      <w:r w:rsidR="00D4790B">
        <w:rPr>
          <w:noProof/>
        </w:rPr>
        <w:t>3</w:t>
      </w:r>
      <w:r w:rsidR="00167D35">
        <w:fldChar w:fldCharType="end"/>
      </w:r>
      <w:bookmarkEnd w:id="44"/>
      <w:r w:rsidR="00391D0F">
        <w:t>.</w:t>
      </w:r>
      <w:r>
        <w:t xml:space="preserve"> MLs Classification algorithm</w:t>
      </w:r>
      <w:r>
        <w:rPr>
          <w:noProof/>
        </w:rPr>
        <w:t xml:space="preserve"> workflow</w:t>
      </w:r>
      <w:r w:rsidR="006B2340">
        <w:rPr>
          <w:noProof/>
        </w:rPr>
        <w:t>. Source: personal compilation of Georgios Spanos.</w:t>
      </w:r>
      <w:bookmarkEnd w:id="45"/>
    </w:p>
    <w:p w14:paraId="5789E6C1" w14:textId="660D9E2B" w:rsidR="006573C1" w:rsidRDefault="00F40061" w:rsidP="00F40061">
      <w:pPr>
        <w:rPr>
          <w:lang w:val="en-GB"/>
        </w:rPr>
      </w:pPr>
      <w:r>
        <w:rPr>
          <w:lang w:val="en-GB"/>
        </w:rPr>
        <w:t xml:space="preserve">Initially, the variables based on the Sentinel-1 GRD and the Sentinel-2 </w:t>
      </w:r>
      <w:r w:rsidR="004370CD">
        <w:rPr>
          <w:lang w:val="en-GB"/>
        </w:rPr>
        <w:t>SR image collections are calculated</w:t>
      </w:r>
      <w:r w:rsidR="001C03DB">
        <w:rPr>
          <w:lang w:val="en-GB"/>
        </w:rPr>
        <w:t xml:space="preserve">, as </w:t>
      </w:r>
      <w:r w:rsidR="009E3A50">
        <w:rPr>
          <w:lang w:val="en-GB"/>
        </w:rPr>
        <w:t xml:space="preserve">they have been described in the previous section </w:t>
      </w:r>
      <w:r w:rsidR="008D00DD">
        <w:rPr>
          <w:lang w:val="en-GB"/>
        </w:rPr>
        <w:t>(</w:t>
      </w:r>
      <w:r w:rsidR="004B5CC8">
        <w:rPr>
          <w:lang w:val="en-GB"/>
        </w:rPr>
        <w:t>“</w:t>
      </w:r>
      <w:r w:rsidR="00ED322E">
        <w:rPr>
          <w:lang w:val="en-GB"/>
        </w:rPr>
        <w:fldChar w:fldCharType="begin"/>
      </w:r>
      <w:r w:rsidR="00ED322E">
        <w:rPr>
          <w:lang w:val="en-GB"/>
        </w:rPr>
        <w:instrText xml:space="preserve"> REF _Ref89348965 \w \h </w:instrText>
      </w:r>
      <w:r w:rsidR="00ED322E">
        <w:rPr>
          <w:lang w:val="en-GB"/>
        </w:rPr>
      </w:r>
      <w:r w:rsidR="00ED322E">
        <w:rPr>
          <w:lang w:val="en-GB"/>
        </w:rPr>
        <w:fldChar w:fldCharType="separate"/>
      </w:r>
      <w:r w:rsidR="00D4790B">
        <w:rPr>
          <w:lang w:val="en-GB"/>
        </w:rPr>
        <w:t>4.5</w:t>
      </w:r>
      <w:r w:rsidR="00ED322E">
        <w:rPr>
          <w:lang w:val="en-GB"/>
        </w:rPr>
        <w:fldChar w:fldCharType="end"/>
      </w:r>
      <w:r w:rsidR="001A04AA">
        <w:rPr>
          <w:lang w:val="en-GB"/>
        </w:rPr>
        <w:t xml:space="preserve"> </w:t>
      </w:r>
      <w:r w:rsidR="00ED322E">
        <w:rPr>
          <w:lang w:val="en-GB"/>
        </w:rPr>
        <w:fldChar w:fldCharType="begin"/>
      </w:r>
      <w:r w:rsidR="00ED322E">
        <w:rPr>
          <w:lang w:val="en-GB"/>
        </w:rPr>
        <w:instrText xml:space="preserve"> REF _Ref89348975 \h </w:instrText>
      </w:r>
      <w:r w:rsidR="00ED322E">
        <w:rPr>
          <w:lang w:val="en-GB"/>
        </w:rPr>
      </w:r>
      <w:r w:rsidR="00ED322E">
        <w:rPr>
          <w:lang w:val="en-GB"/>
        </w:rPr>
        <w:fldChar w:fldCharType="separate"/>
      </w:r>
      <w:r w:rsidR="00D4790B">
        <w:rPr>
          <w:lang w:val="en-GB"/>
        </w:rPr>
        <w:t>European training image</w:t>
      </w:r>
      <w:r w:rsidR="00ED322E">
        <w:rPr>
          <w:lang w:val="en-GB"/>
        </w:rPr>
        <w:fldChar w:fldCharType="end"/>
      </w:r>
      <w:r w:rsidR="004B5CC8">
        <w:rPr>
          <w:lang w:val="en-GB"/>
        </w:rPr>
        <w:t>”</w:t>
      </w:r>
      <w:r w:rsidR="008D00DD">
        <w:rPr>
          <w:lang w:val="en-GB"/>
        </w:rPr>
        <w:t>)</w:t>
      </w:r>
      <w:r w:rsidR="00BF7C43">
        <w:rPr>
          <w:lang w:val="en-GB"/>
        </w:rPr>
        <w:t xml:space="preserve"> </w:t>
      </w:r>
      <w:r w:rsidR="003E2B57">
        <w:rPr>
          <w:lang w:val="en-GB"/>
        </w:rPr>
        <w:t>this time for the user-specified region and dates.</w:t>
      </w:r>
      <w:r w:rsidR="002B55B1">
        <w:rPr>
          <w:lang w:val="en-GB"/>
        </w:rPr>
        <w:t xml:space="preserve"> </w:t>
      </w:r>
      <w:r w:rsidR="006D0168">
        <w:rPr>
          <w:lang w:val="en-GB"/>
        </w:rPr>
        <w:t xml:space="preserve">This </w:t>
      </w:r>
      <w:r w:rsidR="007700DF">
        <w:rPr>
          <w:lang w:val="en-GB"/>
        </w:rPr>
        <w:t xml:space="preserve">user-delineated image entailing all the classification variables </w:t>
      </w:r>
      <w:r w:rsidR="00616200">
        <w:rPr>
          <w:lang w:val="en-GB"/>
        </w:rPr>
        <w:t>will be referred from this point onwards as “</w:t>
      </w:r>
      <w:r w:rsidR="00616200" w:rsidRPr="00AE1A89">
        <w:rPr>
          <w:rStyle w:val="Emphasis"/>
        </w:rPr>
        <w:t xml:space="preserve">Classification </w:t>
      </w:r>
      <w:r w:rsidR="00262566" w:rsidRPr="00AE1A89">
        <w:rPr>
          <w:rStyle w:val="Emphasis"/>
        </w:rPr>
        <w:t>V</w:t>
      </w:r>
      <w:r w:rsidR="00616200" w:rsidRPr="00AE1A89">
        <w:rPr>
          <w:rStyle w:val="Emphasis"/>
        </w:rPr>
        <w:t>ariables</w:t>
      </w:r>
      <w:r w:rsidR="00616200">
        <w:rPr>
          <w:lang w:val="en-GB"/>
        </w:rPr>
        <w:t>” image</w:t>
      </w:r>
      <w:r w:rsidR="00262566">
        <w:rPr>
          <w:lang w:val="en-GB"/>
        </w:rPr>
        <w:t xml:space="preserve">. </w:t>
      </w:r>
      <w:r w:rsidR="00C47E1C">
        <w:rPr>
          <w:lang w:val="en-GB"/>
        </w:rPr>
        <w:t xml:space="preserve">Then, </w:t>
      </w:r>
      <w:r w:rsidR="00EF5E85">
        <w:rPr>
          <w:lang w:val="en-GB"/>
        </w:rPr>
        <w:t xml:space="preserve">an image containing all the relevant </w:t>
      </w:r>
      <w:r w:rsidR="0064115F">
        <w:rPr>
          <w:lang w:val="en-GB"/>
        </w:rPr>
        <w:t xml:space="preserve">for this classification </w:t>
      </w:r>
      <w:r w:rsidR="00EF5E85">
        <w:rPr>
          <w:lang w:val="en-GB"/>
        </w:rPr>
        <w:t xml:space="preserve">LCs </w:t>
      </w:r>
      <w:r w:rsidR="0064115F">
        <w:rPr>
          <w:lang w:val="en-GB"/>
        </w:rPr>
        <w:t>is created</w:t>
      </w:r>
      <w:r w:rsidR="007C1FA3">
        <w:rPr>
          <w:lang w:val="en-GB"/>
        </w:rPr>
        <w:t>,</w:t>
      </w:r>
      <w:r w:rsidR="0064115F">
        <w:rPr>
          <w:lang w:val="en-GB"/>
        </w:rPr>
        <w:t xml:space="preserve"> including the </w:t>
      </w:r>
      <w:r w:rsidR="007B7E7A">
        <w:rPr>
          <w:lang w:val="en-GB"/>
        </w:rPr>
        <w:t xml:space="preserve">delineated regions of </w:t>
      </w:r>
      <w:r w:rsidR="0064115F">
        <w:rPr>
          <w:lang w:val="en-GB"/>
        </w:rPr>
        <w:t xml:space="preserve">Forests, </w:t>
      </w:r>
      <w:r w:rsidR="00550777">
        <w:rPr>
          <w:lang w:val="en-GB"/>
        </w:rPr>
        <w:t>Croplands, Impervious, Water bodies</w:t>
      </w:r>
      <w:r w:rsidR="007C1FA3">
        <w:rPr>
          <w:lang w:val="en-GB"/>
        </w:rPr>
        <w:t xml:space="preserve"> and MLs</w:t>
      </w:r>
      <w:r w:rsidR="008C6BEB">
        <w:rPr>
          <w:lang w:val="en-GB"/>
        </w:rPr>
        <w:t xml:space="preserve"> as distinctive bands</w:t>
      </w:r>
      <w:r w:rsidR="00DC21B2">
        <w:rPr>
          <w:lang w:val="en-GB"/>
        </w:rPr>
        <w:t xml:space="preserve">, from </w:t>
      </w:r>
      <w:r w:rsidR="00957CD6">
        <w:rPr>
          <w:lang w:val="en-GB"/>
        </w:rPr>
        <w:t xml:space="preserve">the </w:t>
      </w:r>
      <w:r w:rsidR="00957CD6" w:rsidRPr="00E9054C">
        <w:rPr>
          <w:b/>
          <w:i/>
          <w:iCs/>
          <w:color w:val="31479E" w:themeColor="accent1" w:themeShade="BF"/>
        </w:rPr>
        <w:t>MAIL</w:t>
      </w:r>
      <w:r w:rsidR="00957CD6">
        <w:rPr>
          <w:lang w:val="en-GB"/>
        </w:rPr>
        <w:t xml:space="preserve"> D2.3 </w:t>
      </w:r>
      <w:r w:rsidR="003772E1">
        <w:rPr>
          <w:lang w:val="en-GB"/>
        </w:rPr>
        <w:t>“</w:t>
      </w:r>
      <w:r w:rsidR="00957CD6">
        <w:rPr>
          <w:lang w:val="en-GB"/>
        </w:rPr>
        <w:t>Hard Layers</w:t>
      </w:r>
      <w:r w:rsidR="003772E1">
        <w:rPr>
          <w:lang w:val="en-GB"/>
        </w:rPr>
        <w:t>”</w:t>
      </w:r>
      <w:r w:rsidR="00957CD6">
        <w:rPr>
          <w:lang w:val="en-GB"/>
        </w:rPr>
        <w:t>,</w:t>
      </w:r>
      <w:r w:rsidR="003772E1">
        <w:rPr>
          <w:lang w:val="en-GB"/>
        </w:rPr>
        <w:t xml:space="preserve"> the S2GLC map and the “</w:t>
      </w:r>
      <w:proofErr w:type="spellStart"/>
      <w:r w:rsidR="003772E1">
        <w:rPr>
          <w:lang w:val="en-GB"/>
        </w:rPr>
        <w:t>ML_Hard_Thresholds</w:t>
      </w:r>
      <w:proofErr w:type="spellEnd"/>
      <w:r w:rsidR="003772E1">
        <w:rPr>
          <w:lang w:val="en-GB"/>
        </w:rPr>
        <w:t>”</w:t>
      </w:r>
      <w:r w:rsidR="00A7679A">
        <w:rPr>
          <w:lang w:val="en-GB"/>
        </w:rPr>
        <w:t xml:space="preserve">, as mentioned </w:t>
      </w:r>
      <w:r w:rsidR="00051CF6">
        <w:rPr>
          <w:lang w:val="en-GB"/>
        </w:rPr>
        <w:t xml:space="preserve">in Chapter </w:t>
      </w:r>
      <w:r w:rsidR="004B5CC8">
        <w:rPr>
          <w:lang w:val="en-GB"/>
        </w:rPr>
        <w:t>“</w:t>
      </w:r>
      <w:r w:rsidR="00051CF6">
        <w:rPr>
          <w:lang w:val="en-GB"/>
        </w:rPr>
        <w:fldChar w:fldCharType="begin"/>
      </w:r>
      <w:r w:rsidR="00051CF6">
        <w:rPr>
          <w:lang w:val="en-GB"/>
        </w:rPr>
        <w:instrText xml:space="preserve"> REF _Ref89349114 \w \h </w:instrText>
      </w:r>
      <w:r w:rsidR="00051CF6">
        <w:rPr>
          <w:lang w:val="en-GB"/>
        </w:rPr>
      </w:r>
      <w:r w:rsidR="00051CF6">
        <w:rPr>
          <w:lang w:val="en-GB"/>
        </w:rPr>
        <w:fldChar w:fldCharType="separate"/>
      </w:r>
      <w:r w:rsidR="00D4790B">
        <w:rPr>
          <w:lang w:val="en-GB"/>
        </w:rPr>
        <w:t>4.3</w:t>
      </w:r>
      <w:r w:rsidR="00051CF6">
        <w:rPr>
          <w:lang w:val="en-GB"/>
        </w:rPr>
        <w:fldChar w:fldCharType="end"/>
      </w:r>
      <w:r w:rsidR="00051CF6">
        <w:rPr>
          <w:lang w:val="en-GB"/>
        </w:rPr>
        <w:t xml:space="preserve"> </w:t>
      </w:r>
      <w:r w:rsidR="00051CF6">
        <w:rPr>
          <w:lang w:val="en-GB"/>
        </w:rPr>
        <w:fldChar w:fldCharType="begin"/>
      </w:r>
      <w:r w:rsidR="00051CF6">
        <w:rPr>
          <w:lang w:val="en-GB"/>
        </w:rPr>
        <w:instrText xml:space="preserve"> REF _Ref89349118 \h </w:instrText>
      </w:r>
      <w:r w:rsidR="00051CF6">
        <w:rPr>
          <w:lang w:val="en-GB"/>
        </w:rPr>
      </w:r>
      <w:r w:rsidR="00051CF6">
        <w:rPr>
          <w:lang w:val="en-GB"/>
        </w:rPr>
        <w:fldChar w:fldCharType="separate"/>
      </w:r>
      <w:r w:rsidR="00D4790B">
        <w:t>Training data</w:t>
      </w:r>
      <w:r w:rsidR="00051CF6">
        <w:rPr>
          <w:lang w:val="en-GB"/>
        </w:rPr>
        <w:fldChar w:fldCharType="end"/>
      </w:r>
      <w:r w:rsidR="004B5CC8">
        <w:rPr>
          <w:lang w:val="en-GB"/>
        </w:rPr>
        <w:t>”</w:t>
      </w:r>
      <w:r w:rsidR="00282D10">
        <w:rPr>
          <w:lang w:val="en-GB"/>
        </w:rPr>
        <w:t>.</w:t>
      </w:r>
      <w:r w:rsidR="00AE2B3F">
        <w:rPr>
          <w:lang w:val="en-GB"/>
        </w:rPr>
        <w:t xml:space="preserve"> </w:t>
      </w:r>
      <w:r w:rsidR="006A5903">
        <w:rPr>
          <w:lang w:val="en-GB"/>
        </w:rPr>
        <w:t>From here on this image</w:t>
      </w:r>
      <w:r w:rsidR="007E4E2C">
        <w:rPr>
          <w:lang w:val="en-GB"/>
        </w:rPr>
        <w:t xml:space="preserve"> is going to be referred as “</w:t>
      </w:r>
      <w:r w:rsidR="007E4E2C" w:rsidRPr="00AE1A89">
        <w:rPr>
          <w:rStyle w:val="Emphasis"/>
        </w:rPr>
        <w:t xml:space="preserve">Training </w:t>
      </w:r>
      <w:r w:rsidR="00262566" w:rsidRPr="00AE1A89">
        <w:rPr>
          <w:rStyle w:val="Emphasis"/>
        </w:rPr>
        <w:t>R</w:t>
      </w:r>
      <w:r w:rsidR="007E4E2C" w:rsidRPr="00AE1A89">
        <w:rPr>
          <w:rStyle w:val="Emphasis"/>
        </w:rPr>
        <w:t>aster</w:t>
      </w:r>
      <w:r w:rsidR="007E4E2C">
        <w:rPr>
          <w:lang w:val="en-GB"/>
        </w:rPr>
        <w:t>”.</w:t>
      </w:r>
    </w:p>
    <w:p w14:paraId="5A5C92D4" w14:textId="669A25FF" w:rsidR="00F40061" w:rsidRDefault="007537FC" w:rsidP="00F40061">
      <w:pPr>
        <w:rPr>
          <w:lang w:val="en-GB"/>
        </w:rPr>
      </w:pPr>
      <w:r>
        <w:rPr>
          <w:lang w:val="en-GB"/>
        </w:rPr>
        <w:t>For the training process of the RF classifier</w:t>
      </w:r>
      <w:r w:rsidR="00694A9D">
        <w:rPr>
          <w:lang w:val="en-GB"/>
        </w:rPr>
        <w:t>,</w:t>
      </w:r>
      <w:r w:rsidR="006573C1">
        <w:rPr>
          <w:lang w:val="en-GB"/>
        </w:rPr>
        <w:t xml:space="preserve"> </w:t>
      </w:r>
      <w:r w:rsidR="00C47E1C">
        <w:rPr>
          <w:lang w:val="en-GB"/>
        </w:rPr>
        <w:t xml:space="preserve">a stratified random sampling </w:t>
      </w:r>
      <w:r w:rsidR="004823DA">
        <w:rPr>
          <w:lang w:val="en-GB"/>
        </w:rPr>
        <w:t>per class is performed on</w:t>
      </w:r>
      <w:r w:rsidR="006573C1">
        <w:rPr>
          <w:lang w:val="en-GB"/>
        </w:rPr>
        <w:t xml:space="preserve"> </w:t>
      </w:r>
      <w:r w:rsidR="007E4E2C">
        <w:rPr>
          <w:lang w:val="en-GB"/>
        </w:rPr>
        <w:t xml:space="preserve">the Training </w:t>
      </w:r>
      <w:r w:rsidR="007A0A19">
        <w:rPr>
          <w:lang w:val="en-GB"/>
        </w:rPr>
        <w:t>R</w:t>
      </w:r>
      <w:r w:rsidR="007E4E2C">
        <w:rPr>
          <w:lang w:val="en-GB"/>
        </w:rPr>
        <w:t>aster</w:t>
      </w:r>
      <w:r w:rsidR="00BA075F">
        <w:rPr>
          <w:lang w:val="en-GB"/>
        </w:rPr>
        <w:t>, creating 1</w:t>
      </w:r>
      <w:r w:rsidR="00955475">
        <w:rPr>
          <w:lang w:val="en-GB"/>
        </w:rPr>
        <w:t>,</w:t>
      </w:r>
      <w:r w:rsidR="00BA075F">
        <w:rPr>
          <w:lang w:val="en-GB"/>
        </w:rPr>
        <w:t>000 random points</w:t>
      </w:r>
      <w:r w:rsidR="004D538D">
        <w:rPr>
          <w:lang w:val="en-GB"/>
        </w:rPr>
        <w:t xml:space="preserve"> (training points)</w:t>
      </w:r>
      <w:r w:rsidR="00BA075F">
        <w:rPr>
          <w:lang w:val="en-GB"/>
        </w:rPr>
        <w:t xml:space="preserve"> for each </w:t>
      </w:r>
      <w:r w:rsidR="00BA075F">
        <w:rPr>
          <w:lang w:val="en-GB"/>
        </w:rPr>
        <w:lastRenderedPageBreak/>
        <w:t>band (LC)</w:t>
      </w:r>
      <w:r w:rsidR="00CD5AC5">
        <w:rPr>
          <w:lang w:val="en-GB"/>
        </w:rPr>
        <w:t xml:space="preserve">, </w:t>
      </w:r>
      <w:r w:rsidR="00510349">
        <w:t>in a 10</w:t>
      </w:r>
      <w:r w:rsidR="008422D6">
        <w:t xml:space="preserve"> m. scale</w:t>
      </w:r>
      <w:r w:rsidR="00CD5AC5">
        <w:rPr>
          <w:lang w:val="en-GB"/>
        </w:rPr>
        <w:t>, which coincides with</w:t>
      </w:r>
      <w:r w:rsidR="00593F53">
        <w:rPr>
          <w:lang w:val="en-GB"/>
        </w:rPr>
        <w:t xml:space="preserve"> the resolution of the Training </w:t>
      </w:r>
      <w:r w:rsidR="007A0A19">
        <w:rPr>
          <w:lang w:val="en-GB"/>
        </w:rPr>
        <w:t>R</w:t>
      </w:r>
      <w:r w:rsidR="00593F53">
        <w:rPr>
          <w:lang w:val="en-GB"/>
        </w:rPr>
        <w:t>aster</w:t>
      </w:r>
      <w:r w:rsidR="00683B13">
        <w:rPr>
          <w:lang w:val="en-GB"/>
        </w:rPr>
        <w:t xml:space="preserve">, since the parent </w:t>
      </w:r>
      <w:r w:rsidR="008561F7">
        <w:rPr>
          <w:lang w:val="en-GB"/>
        </w:rPr>
        <w:t>layers</w:t>
      </w:r>
      <w:r w:rsidR="00683B13">
        <w:rPr>
          <w:lang w:val="en-GB"/>
        </w:rPr>
        <w:t xml:space="preserve"> </w:t>
      </w:r>
      <w:r w:rsidR="008561F7">
        <w:rPr>
          <w:lang w:val="en-GB"/>
        </w:rPr>
        <w:t>also have a 10 m spatial resolution.</w:t>
      </w:r>
      <w:r w:rsidR="002448A2">
        <w:rPr>
          <w:lang w:val="en-GB"/>
        </w:rPr>
        <w:t xml:space="preserve"> </w:t>
      </w:r>
      <w:r w:rsidR="009C5AC3">
        <w:rPr>
          <w:lang w:val="en-GB"/>
        </w:rPr>
        <w:t>Afterwards, the</w:t>
      </w:r>
      <w:r w:rsidR="00D2703B">
        <w:rPr>
          <w:lang w:val="en-GB"/>
        </w:rPr>
        <w:t xml:space="preserve">se </w:t>
      </w:r>
      <w:r w:rsidR="004D538D">
        <w:rPr>
          <w:lang w:val="en-GB"/>
        </w:rPr>
        <w:t xml:space="preserve">training </w:t>
      </w:r>
      <w:r w:rsidR="00D2703B">
        <w:rPr>
          <w:lang w:val="en-GB"/>
        </w:rPr>
        <w:t xml:space="preserve">points </w:t>
      </w:r>
      <w:r w:rsidR="00604188">
        <w:rPr>
          <w:lang w:val="en-GB"/>
        </w:rPr>
        <w:t>are superimposed on</w:t>
      </w:r>
      <w:r w:rsidR="00AB79FB">
        <w:rPr>
          <w:lang w:val="en-GB"/>
        </w:rPr>
        <w:t xml:space="preserve"> the</w:t>
      </w:r>
      <w:r w:rsidR="006B0CF3">
        <w:rPr>
          <w:lang w:val="en-GB"/>
        </w:rPr>
        <w:t xml:space="preserve"> pre-developed</w:t>
      </w:r>
      <w:r w:rsidR="00AB79FB">
        <w:rPr>
          <w:lang w:val="en-GB"/>
        </w:rPr>
        <w:t xml:space="preserve"> Pan-European </w:t>
      </w:r>
      <w:proofErr w:type="spellStart"/>
      <w:r w:rsidR="0073697C">
        <w:rPr>
          <w:lang w:val="en-GB"/>
        </w:rPr>
        <w:t>Basemap</w:t>
      </w:r>
      <w:proofErr w:type="spellEnd"/>
      <w:r w:rsidR="0073697C">
        <w:rPr>
          <w:lang w:val="en-GB"/>
        </w:rPr>
        <w:t xml:space="preserve"> </w:t>
      </w:r>
      <w:r w:rsidR="00D2217F">
        <w:rPr>
          <w:lang w:val="en-GB"/>
        </w:rPr>
        <w:t>image,</w:t>
      </w:r>
      <w:r w:rsidR="00431399">
        <w:rPr>
          <w:lang w:val="en-GB"/>
        </w:rPr>
        <w:t xml:space="preserve"> and the </w:t>
      </w:r>
      <w:r w:rsidR="007C3CCC">
        <w:rPr>
          <w:lang w:val="en-GB"/>
        </w:rPr>
        <w:t xml:space="preserve">properties </w:t>
      </w:r>
      <w:r w:rsidR="00141167">
        <w:rPr>
          <w:lang w:val="en-GB"/>
        </w:rPr>
        <w:t>of each band are extracted</w:t>
      </w:r>
      <w:r w:rsidR="00D47639">
        <w:rPr>
          <w:lang w:val="en-GB"/>
        </w:rPr>
        <w:t xml:space="preserve"> to the training points.</w:t>
      </w:r>
    </w:p>
    <w:p w14:paraId="06F2A0E5" w14:textId="42B08AD8" w:rsidR="00F40061" w:rsidRPr="00B6628C" w:rsidRDefault="0097402B" w:rsidP="00AE1A89">
      <w:pPr>
        <w:rPr>
          <w:lang w:val="en-GB"/>
        </w:rPr>
      </w:pPr>
      <w:r>
        <w:rPr>
          <w:lang w:val="en-GB"/>
        </w:rPr>
        <w:t xml:space="preserve">The RF classifier then </w:t>
      </w:r>
      <w:r w:rsidR="008F7EC0">
        <w:rPr>
          <w:lang w:val="en-GB"/>
        </w:rPr>
        <w:t xml:space="preserve">uses these </w:t>
      </w:r>
      <w:r w:rsidR="00DE4001">
        <w:rPr>
          <w:lang w:val="en-GB"/>
        </w:rPr>
        <w:t xml:space="preserve">points </w:t>
      </w:r>
      <w:r w:rsidR="00636C40">
        <w:rPr>
          <w:lang w:val="en-GB"/>
        </w:rPr>
        <w:t xml:space="preserve">to train itself </w:t>
      </w:r>
      <w:r w:rsidR="000D1D93">
        <w:rPr>
          <w:lang w:val="en-GB"/>
        </w:rPr>
        <w:t>for the desired classes (LCs) based on the extracted properties (classification variables</w:t>
      </w:r>
      <w:r w:rsidR="004C7A7A">
        <w:rPr>
          <w:lang w:val="en-GB"/>
        </w:rPr>
        <w:t>)</w:t>
      </w:r>
      <w:r w:rsidR="008B0031">
        <w:rPr>
          <w:lang w:val="en-GB"/>
        </w:rPr>
        <w:t>, by planting 1</w:t>
      </w:r>
      <w:r w:rsidR="00955475">
        <w:rPr>
          <w:lang w:val="en-GB"/>
        </w:rPr>
        <w:t>,</w:t>
      </w:r>
      <w:r w:rsidR="008B0031">
        <w:rPr>
          <w:lang w:val="en-GB"/>
        </w:rPr>
        <w:t>000 decision trees.</w:t>
      </w:r>
      <w:r w:rsidR="00B13B46">
        <w:rPr>
          <w:lang w:val="en-GB"/>
        </w:rPr>
        <w:t xml:space="preserve"> Now</w:t>
      </w:r>
      <w:r w:rsidR="0066394F">
        <w:rPr>
          <w:lang w:val="en-GB"/>
        </w:rPr>
        <w:t>,</w:t>
      </w:r>
      <w:r w:rsidR="00B13B46">
        <w:rPr>
          <w:lang w:val="en-GB"/>
        </w:rPr>
        <w:t xml:space="preserve"> the classif</w:t>
      </w:r>
      <w:r w:rsidR="00D058AC">
        <w:rPr>
          <w:lang w:val="en-GB"/>
        </w:rPr>
        <w:t xml:space="preserve">ication is performed on the </w:t>
      </w:r>
      <w:r w:rsidR="0066394F">
        <w:rPr>
          <w:lang w:val="en-GB"/>
        </w:rPr>
        <w:t>Classifications Variables image</w:t>
      </w:r>
      <w:r w:rsidR="001646F7">
        <w:rPr>
          <w:lang w:val="en-GB"/>
        </w:rPr>
        <w:t xml:space="preserve"> and map depicting each LC in a distinctive </w:t>
      </w:r>
      <w:r w:rsidR="007D6ED8">
        <w:rPr>
          <w:lang w:val="en-GB"/>
        </w:rPr>
        <w:t>colour is displayed followed by the map containing only the MLs class. It is in this stage that the RF classifier displays all</w:t>
      </w:r>
      <w:r w:rsidR="00226C0C" w:rsidRPr="00226C0C">
        <w:rPr>
          <w:lang w:val="en-GB"/>
        </w:rPr>
        <w:t xml:space="preserve"> </w:t>
      </w:r>
      <w:r w:rsidR="00226C0C">
        <w:rPr>
          <w:lang w:val="en-GB"/>
        </w:rPr>
        <w:t>information that is</w:t>
      </w:r>
      <w:r w:rsidR="007D6ED8">
        <w:rPr>
          <w:lang w:val="en-GB"/>
        </w:rPr>
        <w:t xml:space="preserve"> relevant with the classification</w:t>
      </w:r>
      <w:r w:rsidR="00F806B1">
        <w:rPr>
          <w:lang w:val="en-GB"/>
        </w:rPr>
        <w:t>,</w:t>
      </w:r>
      <w:r w:rsidR="007D6ED8">
        <w:rPr>
          <w:lang w:val="en-GB"/>
        </w:rPr>
        <w:t xml:space="preserve"> </w:t>
      </w:r>
      <w:r w:rsidR="005B1D52">
        <w:rPr>
          <w:lang w:val="en-GB"/>
        </w:rPr>
        <w:t xml:space="preserve">including the number of trees planted, </w:t>
      </w:r>
      <w:r w:rsidR="00797620">
        <w:rPr>
          <w:lang w:val="en-GB"/>
        </w:rPr>
        <w:t>the number of classes produced</w:t>
      </w:r>
      <w:r w:rsidR="00C22E04">
        <w:rPr>
          <w:lang w:val="en-GB"/>
        </w:rPr>
        <w:t xml:space="preserve">, the importance of each variable for </w:t>
      </w:r>
      <w:r w:rsidR="009C2DC8">
        <w:rPr>
          <w:lang w:val="en-GB"/>
        </w:rPr>
        <w:t>the classification process and OOB error estimate</w:t>
      </w:r>
      <w:r w:rsidR="00E20609">
        <w:rPr>
          <w:lang w:val="en-GB"/>
        </w:rPr>
        <w:t>.</w:t>
      </w:r>
      <w:r w:rsidR="00FD6756">
        <w:rPr>
          <w:lang w:val="en-GB"/>
        </w:rPr>
        <w:t xml:space="preserve"> For the implementation </w:t>
      </w:r>
      <w:r w:rsidR="004D0A51">
        <w:rPr>
          <w:lang w:val="en-GB"/>
        </w:rPr>
        <w:t>of this classification tool in the MAIL WebApp</w:t>
      </w:r>
      <w:r w:rsidR="00AE6E60">
        <w:rPr>
          <w:lang w:val="en-GB"/>
        </w:rPr>
        <w:t xml:space="preserve"> and to distinguish it from the</w:t>
      </w:r>
      <w:r w:rsidR="00386F25">
        <w:rPr>
          <w:lang w:val="en-GB"/>
        </w:rPr>
        <w:t xml:space="preserve"> MLs detection methodology developed in Task 2.3, this tool </w:t>
      </w:r>
      <w:r w:rsidR="006B07ED">
        <w:rPr>
          <w:lang w:val="en-GB"/>
        </w:rPr>
        <w:t>will be referred as “</w:t>
      </w:r>
      <w:r w:rsidR="006B07ED" w:rsidRPr="00944F2E">
        <w:rPr>
          <w:rStyle w:val="Emphasis"/>
        </w:rPr>
        <w:t>Enhanced Classification</w:t>
      </w:r>
      <w:r w:rsidR="006B07ED">
        <w:rPr>
          <w:lang w:val="en-GB"/>
        </w:rPr>
        <w:t>”.</w:t>
      </w:r>
    </w:p>
    <w:p w14:paraId="03FE097F" w14:textId="4547A3AC" w:rsidR="00CC7D33" w:rsidRDefault="00CC7D33" w:rsidP="00CC7D33">
      <w:pPr>
        <w:pStyle w:val="Heading2"/>
        <w:rPr>
          <w:lang w:val="en-GB"/>
        </w:rPr>
      </w:pPr>
      <w:bookmarkStart w:id="46" w:name="_Ref90038066"/>
      <w:bookmarkStart w:id="47" w:name="_Ref90038072"/>
      <w:bookmarkStart w:id="48" w:name="_Toc91583672"/>
      <w:r>
        <w:rPr>
          <w:lang w:val="en-GB"/>
        </w:rPr>
        <w:t>Accuracy Assessment</w:t>
      </w:r>
      <w:bookmarkEnd w:id="46"/>
      <w:bookmarkEnd w:id="47"/>
      <w:bookmarkEnd w:id="48"/>
    </w:p>
    <w:p w14:paraId="5B7FF7A9" w14:textId="4E5610F7" w:rsidR="00417917" w:rsidRPr="00AE1A89" w:rsidRDefault="008625DC" w:rsidP="00AE1A89">
      <w:proofErr w:type="gramStart"/>
      <w:r>
        <w:rPr>
          <w:lang w:val="en-GB"/>
        </w:rPr>
        <w:t>In order to</w:t>
      </w:r>
      <w:proofErr w:type="gramEnd"/>
      <w:r>
        <w:rPr>
          <w:lang w:val="en-GB"/>
        </w:rPr>
        <w:t xml:space="preserve"> </w:t>
      </w:r>
      <w:r w:rsidR="003A6B0C">
        <w:rPr>
          <w:lang w:val="en-GB"/>
        </w:rPr>
        <w:t>evaluate the</w:t>
      </w:r>
      <w:r w:rsidR="00114B07">
        <w:t xml:space="preserve"> performance of the </w:t>
      </w:r>
      <w:r w:rsidR="00250153">
        <w:t xml:space="preserve">developed </w:t>
      </w:r>
      <w:r w:rsidR="001B171F">
        <w:t>MLs detection methodology in this Task</w:t>
      </w:r>
      <w:r w:rsidR="00451AEA">
        <w:t xml:space="preserve">, an accuracy assessment </w:t>
      </w:r>
      <w:r w:rsidR="00E348E2">
        <w:t xml:space="preserve">methodology </w:t>
      </w:r>
      <w:r w:rsidR="00C80E3D">
        <w:t xml:space="preserve">was </w:t>
      </w:r>
      <w:r w:rsidR="00E348E2">
        <w:t xml:space="preserve">developed as well, and applied </w:t>
      </w:r>
      <w:r w:rsidR="00C80E3D">
        <w:t>on the resulting maps</w:t>
      </w:r>
      <w:r w:rsidR="00E348E2">
        <w:t>.</w:t>
      </w:r>
      <w:r w:rsidR="00396586">
        <w:t xml:space="preserve"> </w:t>
      </w:r>
      <w:r w:rsidR="00955475">
        <w:t>The f</w:t>
      </w:r>
      <w:r w:rsidR="00363D9B">
        <w:t xml:space="preserve">undamental </w:t>
      </w:r>
      <w:r w:rsidR="009A4406">
        <w:t>objective of this study is to augment the precision in the detection of M</w:t>
      </w:r>
      <w:r w:rsidR="00961A35">
        <w:t xml:space="preserve">Ls. Thus, </w:t>
      </w:r>
      <w:r w:rsidR="00955475">
        <w:t xml:space="preserve">the </w:t>
      </w:r>
      <w:r w:rsidR="00961A35">
        <w:t>p</w:t>
      </w:r>
      <w:r w:rsidR="00F6749C">
        <w:t xml:space="preserve">rimary goal of this assessment methodology was that </w:t>
      </w:r>
      <w:r w:rsidR="00077B93">
        <w:t>it had to be</w:t>
      </w:r>
      <w:r w:rsidR="00703BA6">
        <w:t xml:space="preserve"> as similar as possible with the</w:t>
      </w:r>
      <w:r w:rsidR="00676827">
        <w:t xml:space="preserve"> one developed in T2.4 of the </w:t>
      </w:r>
      <w:r w:rsidR="00676827" w:rsidRPr="00E9054C">
        <w:rPr>
          <w:b/>
          <w:i/>
          <w:iCs/>
          <w:color w:val="31479E" w:themeColor="accent1" w:themeShade="BF"/>
        </w:rPr>
        <w:t>MAIL</w:t>
      </w:r>
      <w:r w:rsidR="00676827">
        <w:t xml:space="preserve"> project</w:t>
      </w:r>
      <w:r w:rsidR="0052381B">
        <w:t>, so that the resulting values</w:t>
      </w:r>
      <w:r w:rsidR="00AE1620">
        <w:t xml:space="preserve"> of this Task</w:t>
      </w:r>
      <w:r w:rsidR="0052381B">
        <w:t xml:space="preserve"> </w:t>
      </w:r>
      <w:r w:rsidR="00970325">
        <w:t xml:space="preserve">are directly comparable </w:t>
      </w:r>
      <w:r w:rsidR="00AE1620">
        <w:t xml:space="preserve">with the ones </w:t>
      </w:r>
      <w:r w:rsidR="00BB7FB2">
        <w:t>from D2.4 “Report on Accuracy Assessment”.</w:t>
      </w:r>
      <w:r w:rsidR="00641DB2">
        <w:t xml:space="preserve"> The reason this is mentioned</w:t>
      </w:r>
      <w:r w:rsidR="00933A74">
        <w:t>, is because</w:t>
      </w:r>
      <w:r w:rsidR="006A0AF8">
        <w:t xml:space="preserve"> the analysis</w:t>
      </w:r>
      <w:r w:rsidR="00F617FB">
        <w:t xml:space="preserve"> of</w:t>
      </w:r>
      <w:r w:rsidR="00933A74">
        <w:t xml:space="preserve"> T2.4 was performed on </w:t>
      </w:r>
      <w:r w:rsidR="006A0AF8">
        <w:t xml:space="preserve">the ArcGIS and R Studio </w:t>
      </w:r>
      <w:r w:rsidR="00F617FB">
        <w:t xml:space="preserve">software, while this Task is </w:t>
      </w:r>
      <w:r w:rsidR="00CD4596">
        <w:t xml:space="preserve">developed on the GEE platform. </w:t>
      </w:r>
      <w:r w:rsidR="00D8214C">
        <w:t>The series of steps</w:t>
      </w:r>
      <w:r w:rsidR="00C62AD4">
        <w:t xml:space="preserve"> </w:t>
      </w:r>
      <w:r w:rsidR="00176FB1">
        <w:t>followed for the realization of th</w:t>
      </w:r>
      <w:r w:rsidR="00EE71F6">
        <w:t xml:space="preserve">is assessment are </w:t>
      </w:r>
      <w:r w:rsidR="00C57244">
        <w:t>shown as a flowchart on</w:t>
      </w:r>
      <w:r w:rsidR="00AF33BD">
        <w:t xml:space="preserve"> </w:t>
      </w:r>
      <w:r w:rsidR="00AF33BD">
        <w:fldChar w:fldCharType="begin"/>
      </w:r>
      <w:r w:rsidR="00AF33BD">
        <w:instrText xml:space="preserve"> REF _Ref90842386 \h </w:instrText>
      </w:r>
      <w:r w:rsidR="00AF33BD">
        <w:fldChar w:fldCharType="separate"/>
      </w:r>
      <w:r w:rsidR="00D4790B">
        <w:t xml:space="preserve">Figure </w:t>
      </w:r>
      <w:r w:rsidR="00D4790B">
        <w:rPr>
          <w:noProof/>
        </w:rPr>
        <w:t>4</w:t>
      </w:r>
      <w:r w:rsidR="00AF33BD">
        <w:fldChar w:fldCharType="end"/>
      </w:r>
      <w:r w:rsidR="00C57244">
        <w:t>.</w:t>
      </w:r>
    </w:p>
    <w:p w14:paraId="27965C9D" w14:textId="77777777" w:rsidR="00F9432A" w:rsidRDefault="00B01FA8" w:rsidP="00AE1A89">
      <w:pPr>
        <w:keepNext/>
        <w:jc w:val="center"/>
      </w:pPr>
      <w:r>
        <w:rPr>
          <w:noProof/>
          <w:lang w:val="en-GB" w:eastAsia="en-GB"/>
        </w:rPr>
        <w:lastRenderedPageBreak/>
        <w:drawing>
          <wp:inline distT="0" distB="0" distL="0" distR="0" wp14:anchorId="197E66EB" wp14:editId="1F115526">
            <wp:extent cx="2243236" cy="4572000"/>
            <wp:effectExtent l="0" t="0" r="5080" b="0"/>
            <wp:docPr id="3" name="Picture 3"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Diagram&#10;&#10;Description automatically generated"/>
                    <pic:cNvPicPr/>
                  </pic:nvPicPr>
                  <pic:blipFill>
                    <a:blip r:embed="rId22">
                      <a:extLst>
                        <a:ext uri="{28A0092B-C50C-407E-A947-70E740481C1C}">
                          <a14:useLocalDpi xmlns:a14="http://schemas.microsoft.com/office/drawing/2010/main" val="0"/>
                        </a:ext>
                      </a:extLst>
                    </a:blip>
                    <a:stretch>
                      <a:fillRect/>
                    </a:stretch>
                  </pic:blipFill>
                  <pic:spPr>
                    <a:xfrm>
                      <a:off x="0" y="0"/>
                      <a:ext cx="2243236" cy="4572000"/>
                    </a:xfrm>
                    <a:prstGeom prst="rect">
                      <a:avLst/>
                    </a:prstGeom>
                  </pic:spPr>
                </pic:pic>
              </a:graphicData>
            </a:graphic>
          </wp:inline>
        </w:drawing>
      </w:r>
    </w:p>
    <w:p w14:paraId="625B11EE" w14:textId="0D493F55" w:rsidR="00B01FA8" w:rsidRDefault="00F9432A" w:rsidP="00F9432A">
      <w:pPr>
        <w:pStyle w:val="Caption"/>
      </w:pPr>
      <w:bookmarkStart w:id="49" w:name="_Ref90842386"/>
      <w:bookmarkStart w:id="50" w:name="_Toc91583684"/>
      <w:r>
        <w:t xml:space="preserve">Figure </w:t>
      </w:r>
      <w:r w:rsidR="00167D35">
        <w:fldChar w:fldCharType="begin"/>
      </w:r>
      <w:r w:rsidR="00167D35">
        <w:instrText xml:space="preserve"> SEQ Figure \* ARABIC </w:instrText>
      </w:r>
      <w:r w:rsidR="00167D35">
        <w:fldChar w:fldCharType="separate"/>
      </w:r>
      <w:r w:rsidR="00D4790B">
        <w:rPr>
          <w:noProof/>
        </w:rPr>
        <w:t>4</w:t>
      </w:r>
      <w:r w:rsidR="00167D35">
        <w:fldChar w:fldCharType="end"/>
      </w:r>
      <w:bookmarkEnd w:id="49"/>
      <w:r w:rsidR="00391D0F">
        <w:t>.</w:t>
      </w:r>
      <w:r>
        <w:t xml:space="preserve"> Accuracy Assessment methodology workflow</w:t>
      </w:r>
      <w:r w:rsidR="00BA0D14">
        <w:t xml:space="preserve">. </w:t>
      </w:r>
      <w:r w:rsidR="00BA0D14">
        <w:rPr>
          <w:noProof/>
        </w:rPr>
        <w:t>Source: personal compilation of Georgios Spanos.</w:t>
      </w:r>
      <w:bookmarkEnd w:id="50"/>
    </w:p>
    <w:p w14:paraId="2BF991D2" w14:textId="05AF630E" w:rsidR="000327E9" w:rsidRDefault="00496038" w:rsidP="00F9432A">
      <w:pPr>
        <w:rPr>
          <w:lang w:val="en-GB"/>
        </w:rPr>
      </w:pPr>
      <w:r>
        <w:rPr>
          <w:lang w:val="en-GB"/>
        </w:rPr>
        <w:t>In Task</w:t>
      </w:r>
      <w:r w:rsidR="005477E8">
        <w:rPr>
          <w:lang w:val="en-GB"/>
        </w:rPr>
        <w:t xml:space="preserve"> 2.4</w:t>
      </w:r>
      <w:r w:rsidR="00002710">
        <w:rPr>
          <w:lang w:val="en-GB"/>
        </w:rPr>
        <w:t xml:space="preserve"> </w:t>
      </w:r>
      <w:r w:rsidR="005477E8">
        <w:rPr>
          <w:lang w:val="en-GB"/>
        </w:rPr>
        <w:t xml:space="preserve">the </w:t>
      </w:r>
      <w:r w:rsidR="00002710">
        <w:rPr>
          <w:lang w:val="en-GB"/>
        </w:rPr>
        <w:t>respective project partners from each country (Greece, Spain, Germany</w:t>
      </w:r>
      <w:r w:rsidR="001A0CAF">
        <w:rPr>
          <w:lang w:val="en-GB"/>
        </w:rPr>
        <w:t>,</w:t>
      </w:r>
      <w:r w:rsidR="00002710">
        <w:rPr>
          <w:lang w:val="en-GB"/>
        </w:rPr>
        <w:t xml:space="preserve"> and Poland)</w:t>
      </w:r>
      <w:r w:rsidR="007D442A">
        <w:rPr>
          <w:lang w:val="en-GB"/>
        </w:rPr>
        <w:t xml:space="preserve"> provided </w:t>
      </w:r>
      <w:r w:rsidR="00475912">
        <w:rPr>
          <w:lang w:val="en-GB"/>
        </w:rPr>
        <w:t xml:space="preserve">reference </w:t>
      </w:r>
      <w:r w:rsidR="007D442A">
        <w:rPr>
          <w:lang w:val="en-GB"/>
        </w:rPr>
        <w:t>polygons</w:t>
      </w:r>
      <w:r w:rsidR="00A12380">
        <w:rPr>
          <w:lang w:val="en-GB"/>
        </w:rPr>
        <w:t xml:space="preserve"> designating </w:t>
      </w:r>
      <w:r w:rsidR="003C79E9">
        <w:rPr>
          <w:lang w:val="en-GB"/>
        </w:rPr>
        <w:t xml:space="preserve">ML and </w:t>
      </w:r>
      <w:proofErr w:type="spellStart"/>
      <w:r w:rsidR="003C79E9">
        <w:rPr>
          <w:lang w:val="en-GB"/>
        </w:rPr>
        <w:t>nML</w:t>
      </w:r>
      <w:proofErr w:type="spellEnd"/>
      <w:r w:rsidR="003C79E9">
        <w:rPr>
          <w:lang w:val="en-GB"/>
        </w:rPr>
        <w:t xml:space="preserve"> areas</w:t>
      </w:r>
      <w:r w:rsidR="007F6463">
        <w:rPr>
          <w:lang w:val="en-GB"/>
        </w:rPr>
        <w:t>.</w:t>
      </w:r>
      <w:r w:rsidR="00DA66CE">
        <w:rPr>
          <w:lang w:val="en-GB"/>
        </w:rPr>
        <w:t xml:space="preserve"> The same polygons are used in this study as well and the assessment was carried out for </w:t>
      </w:r>
      <w:r w:rsidR="00475912">
        <w:rPr>
          <w:lang w:val="en-GB"/>
        </w:rPr>
        <w:t xml:space="preserve">test sites </w:t>
      </w:r>
      <w:r w:rsidR="00DA66CE">
        <w:rPr>
          <w:lang w:val="en-GB"/>
        </w:rPr>
        <w:t xml:space="preserve">of </w:t>
      </w:r>
      <w:r w:rsidR="00475912">
        <w:rPr>
          <w:lang w:val="en-GB"/>
        </w:rPr>
        <w:t>each</w:t>
      </w:r>
      <w:r w:rsidR="00F85BAC">
        <w:rPr>
          <w:lang w:val="en-GB"/>
        </w:rPr>
        <w:t xml:space="preserve"> countr</w:t>
      </w:r>
      <w:r w:rsidR="00475912">
        <w:rPr>
          <w:lang w:val="en-GB"/>
        </w:rPr>
        <w:t>y</w:t>
      </w:r>
      <w:r w:rsidR="00F85BAC">
        <w:rPr>
          <w:lang w:val="en-GB"/>
        </w:rPr>
        <w:t xml:space="preserve"> separately.</w:t>
      </w:r>
      <w:r w:rsidR="00E81E0F">
        <w:rPr>
          <w:lang w:val="en-GB"/>
        </w:rPr>
        <w:t xml:space="preserve"> A</w:t>
      </w:r>
      <w:r w:rsidR="00C70436">
        <w:rPr>
          <w:lang w:val="en-GB"/>
        </w:rPr>
        <w:t>s a first step</w:t>
      </w:r>
      <w:r w:rsidR="00002675">
        <w:rPr>
          <w:lang w:val="en-GB"/>
        </w:rPr>
        <w:t xml:space="preserve"> </w:t>
      </w:r>
      <w:r w:rsidR="00374355">
        <w:rPr>
          <w:lang w:val="en-GB"/>
        </w:rPr>
        <w:t>the classified</w:t>
      </w:r>
      <w:r w:rsidR="00002675">
        <w:rPr>
          <w:lang w:val="en-GB"/>
        </w:rPr>
        <w:t xml:space="preserve"> image is clipped </w:t>
      </w:r>
      <w:r w:rsidR="00C75353">
        <w:rPr>
          <w:lang w:val="en-GB"/>
        </w:rPr>
        <w:t xml:space="preserve">to the extent of the </w:t>
      </w:r>
      <w:r w:rsidR="001D1D11">
        <w:rPr>
          <w:lang w:val="en-GB"/>
        </w:rPr>
        <w:t>provided polygons for the according country</w:t>
      </w:r>
      <w:r w:rsidR="00374355">
        <w:rPr>
          <w:lang w:val="en-GB"/>
        </w:rPr>
        <w:t xml:space="preserve"> and </w:t>
      </w:r>
      <w:r w:rsidR="00CF5451">
        <w:rPr>
          <w:lang w:val="en-GB"/>
        </w:rPr>
        <w:t xml:space="preserve">is then reclassified </w:t>
      </w:r>
      <w:r w:rsidR="001D543D">
        <w:rPr>
          <w:lang w:val="en-GB"/>
        </w:rPr>
        <w:t>into</w:t>
      </w:r>
      <w:r w:rsidR="00CF5451">
        <w:rPr>
          <w:lang w:val="en-GB"/>
        </w:rPr>
        <w:t xml:space="preserve"> 1 for the ML class and 0 for the rest</w:t>
      </w:r>
      <w:r w:rsidR="001D543D">
        <w:rPr>
          <w:lang w:val="en-GB"/>
        </w:rPr>
        <w:t xml:space="preserve"> of the</w:t>
      </w:r>
      <w:r w:rsidR="00CF5451">
        <w:rPr>
          <w:lang w:val="en-GB"/>
        </w:rPr>
        <w:t xml:space="preserve"> classes </w:t>
      </w:r>
      <w:r w:rsidR="00D07EDA">
        <w:rPr>
          <w:lang w:val="en-GB"/>
        </w:rPr>
        <w:t xml:space="preserve">(Forest, </w:t>
      </w:r>
      <w:r w:rsidR="00AF67D6">
        <w:rPr>
          <w:lang w:val="en-GB"/>
        </w:rPr>
        <w:t>Croplands</w:t>
      </w:r>
      <w:r w:rsidR="00D07EDA">
        <w:rPr>
          <w:lang w:val="en-GB"/>
        </w:rPr>
        <w:t>, Impervious, Water)</w:t>
      </w:r>
      <w:r w:rsidR="001D543D">
        <w:rPr>
          <w:lang w:val="en-GB"/>
        </w:rPr>
        <w:t xml:space="preserve">. </w:t>
      </w:r>
    </w:p>
    <w:p w14:paraId="0A550E69" w14:textId="7B288C7A" w:rsidR="00D7012B" w:rsidRDefault="00800960">
      <w:pPr>
        <w:rPr>
          <w:lang w:val="en-GB"/>
        </w:rPr>
      </w:pPr>
      <w:r>
        <w:rPr>
          <w:lang w:val="en-GB"/>
        </w:rPr>
        <w:t>Later, t</w:t>
      </w:r>
      <w:r w:rsidR="00E92560">
        <w:rPr>
          <w:lang w:val="en-GB"/>
        </w:rPr>
        <w:t xml:space="preserve">he </w:t>
      </w:r>
      <w:r w:rsidR="00203603">
        <w:rPr>
          <w:lang w:val="en-GB"/>
        </w:rPr>
        <w:t>“</w:t>
      </w:r>
      <w:r w:rsidR="00E92560">
        <w:rPr>
          <w:lang w:val="en-GB"/>
        </w:rPr>
        <w:t>ML</w:t>
      </w:r>
      <w:r w:rsidR="00955ADC">
        <w:rPr>
          <w:lang w:val="en-GB"/>
        </w:rPr>
        <w:t xml:space="preserve"> – </w:t>
      </w:r>
      <w:proofErr w:type="spellStart"/>
      <w:r w:rsidR="00955ADC">
        <w:rPr>
          <w:lang w:val="en-GB"/>
        </w:rPr>
        <w:t>nML</w:t>
      </w:r>
      <w:proofErr w:type="spellEnd"/>
      <w:r w:rsidR="00955ADC">
        <w:rPr>
          <w:lang w:val="en-GB"/>
        </w:rPr>
        <w:t xml:space="preserve"> validation polygons</w:t>
      </w:r>
      <w:r w:rsidR="00203603">
        <w:rPr>
          <w:lang w:val="en-GB"/>
        </w:rPr>
        <w:t>”</w:t>
      </w:r>
      <w:r w:rsidR="00955ADC">
        <w:rPr>
          <w:lang w:val="en-GB"/>
        </w:rPr>
        <w:t xml:space="preserve"> feature collection</w:t>
      </w:r>
      <w:r w:rsidR="00203603">
        <w:rPr>
          <w:lang w:val="en-GB"/>
        </w:rPr>
        <w:t xml:space="preserve"> is converted to</w:t>
      </w:r>
      <w:r w:rsidR="000B5F06">
        <w:rPr>
          <w:lang w:val="en-GB"/>
        </w:rPr>
        <w:t xml:space="preserve"> a binary image based on </w:t>
      </w:r>
      <w:r w:rsidR="00DE6AB5">
        <w:rPr>
          <w:lang w:val="en-GB"/>
        </w:rPr>
        <w:t>the ML/</w:t>
      </w:r>
      <w:proofErr w:type="spellStart"/>
      <w:r w:rsidR="00DE6AB5">
        <w:rPr>
          <w:lang w:val="en-GB"/>
        </w:rPr>
        <w:t>nML</w:t>
      </w:r>
      <w:proofErr w:type="spellEnd"/>
      <w:r w:rsidR="00DE6AB5">
        <w:rPr>
          <w:lang w:val="en-GB"/>
        </w:rPr>
        <w:t xml:space="preserve"> field </w:t>
      </w:r>
      <w:r w:rsidR="00E21E49">
        <w:rPr>
          <w:lang w:val="en-GB"/>
        </w:rPr>
        <w:t xml:space="preserve">(ML=1, </w:t>
      </w:r>
      <w:proofErr w:type="spellStart"/>
      <w:r w:rsidR="00E21E49">
        <w:rPr>
          <w:lang w:val="en-GB"/>
        </w:rPr>
        <w:t>nML</w:t>
      </w:r>
      <w:proofErr w:type="spellEnd"/>
      <w:r w:rsidR="00E21E49">
        <w:rPr>
          <w:lang w:val="en-GB"/>
        </w:rPr>
        <w:t>=0)</w:t>
      </w:r>
      <w:r w:rsidR="00F37BC9">
        <w:rPr>
          <w:lang w:val="en-GB"/>
        </w:rPr>
        <w:t xml:space="preserve"> </w:t>
      </w:r>
      <w:r w:rsidR="00B71A00">
        <w:rPr>
          <w:lang w:val="en-GB"/>
        </w:rPr>
        <w:t>for</w:t>
      </w:r>
      <w:r w:rsidR="00F37BC9">
        <w:rPr>
          <w:lang w:val="en-GB"/>
        </w:rPr>
        <w:t xml:space="preserve"> a stratified random </w:t>
      </w:r>
      <w:r w:rsidR="00F77C9C">
        <w:rPr>
          <w:lang w:val="en-GB"/>
        </w:rPr>
        <w:t xml:space="preserve">sampling </w:t>
      </w:r>
      <w:r w:rsidR="00B71A00">
        <w:rPr>
          <w:lang w:val="en-GB"/>
        </w:rPr>
        <w:t>to be</w:t>
      </w:r>
      <w:r w:rsidR="00F77C9C">
        <w:rPr>
          <w:lang w:val="en-GB"/>
        </w:rPr>
        <w:t xml:space="preserve"> performed </w:t>
      </w:r>
      <w:r w:rsidR="00B71A00">
        <w:rPr>
          <w:lang w:val="en-GB"/>
        </w:rPr>
        <w:t xml:space="preserve">setting </w:t>
      </w:r>
      <w:r w:rsidR="001F4470">
        <w:rPr>
          <w:lang w:val="en-GB"/>
        </w:rPr>
        <w:t>a specified number o</w:t>
      </w:r>
      <w:r w:rsidR="002E6313">
        <w:rPr>
          <w:lang w:val="en-GB"/>
        </w:rPr>
        <w:t>f</w:t>
      </w:r>
      <w:r w:rsidR="001F4470">
        <w:rPr>
          <w:lang w:val="en-GB"/>
        </w:rPr>
        <w:t xml:space="preserve"> points</w:t>
      </w:r>
      <w:r w:rsidR="002E6313">
        <w:rPr>
          <w:lang w:val="en-GB"/>
        </w:rPr>
        <w:t xml:space="preserve"> (validation points)</w:t>
      </w:r>
      <w:r w:rsidR="001F4470">
        <w:rPr>
          <w:lang w:val="en-GB"/>
        </w:rPr>
        <w:t xml:space="preserve"> to be generated for each class.</w:t>
      </w:r>
      <w:r w:rsidR="00A2669E">
        <w:rPr>
          <w:lang w:val="en-GB"/>
        </w:rPr>
        <w:t xml:space="preserve"> In D2.4 the </w:t>
      </w:r>
      <w:r w:rsidR="000804C0">
        <w:rPr>
          <w:lang w:val="en-GB"/>
        </w:rPr>
        <w:t xml:space="preserve">authors concluded on a 1 point/ha </w:t>
      </w:r>
      <w:r w:rsidR="00117F2F">
        <w:rPr>
          <w:lang w:val="en-GB"/>
        </w:rPr>
        <w:t>sampling</w:t>
      </w:r>
      <w:r w:rsidR="004327E5">
        <w:rPr>
          <w:lang w:val="en-GB"/>
        </w:rPr>
        <w:t>, so the resul</w:t>
      </w:r>
      <w:r w:rsidR="007B0262">
        <w:rPr>
          <w:lang w:val="en-GB"/>
        </w:rPr>
        <w:t xml:space="preserve">ting number of points allocated </w:t>
      </w:r>
      <w:r w:rsidR="00AB3098">
        <w:rPr>
          <w:lang w:val="en-GB"/>
        </w:rPr>
        <w:t xml:space="preserve">to each class depends on the total area of </w:t>
      </w:r>
      <w:r w:rsidR="004D7A62">
        <w:rPr>
          <w:lang w:val="en-GB"/>
        </w:rPr>
        <w:t>the provided validation polygons</w:t>
      </w:r>
      <w:r w:rsidR="004A133E">
        <w:rPr>
          <w:lang w:val="en-GB"/>
        </w:rPr>
        <w:t xml:space="preserve"> for each country, as shown in</w:t>
      </w:r>
      <w:r w:rsidR="00AF33BD">
        <w:rPr>
          <w:lang w:val="en-GB"/>
        </w:rPr>
        <w:t xml:space="preserve"> </w:t>
      </w:r>
      <w:r w:rsidR="00FD2B8F">
        <w:rPr>
          <w:lang w:val="en-GB"/>
        </w:rPr>
        <w:fldChar w:fldCharType="begin"/>
      </w:r>
      <w:r w:rsidR="00FD2B8F">
        <w:rPr>
          <w:lang w:val="en-GB"/>
        </w:rPr>
        <w:instrText xml:space="preserve"> REF _Ref90842419 \h </w:instrText>
      </w:r>
      <w:r w:rsidR="00FD2B8F">
        <w:rPr>
          <w:lang w:val="en-GB"/>
        </w:rPr>
      </w:r>
      <w:r w:rsidR="00FD2B8F">
        <w:rPr>
          <w:lang w:val="en-GB"/>
        </w:rPr>
        <w:fldChar w:fldCharType="separate"/>
      </w:r>
      <w:r w:rsidR="00D4790B">
        <w:t xml:space="preserve">Table </w:t>
      </w:r>
      <w:r w:rsidR="00D4790B">
        <w:rPr>
          <w:noProof/>
        </w:rPr>
        <w:t>2</w:t>
      </w:r>
      <w:r w:rsidR="00FD2B8F">
        <w:rPr>
          <w:lang w:val="en-GB"/>
        </w:rPr>
        <w:fldChar w:fldCharType="end"/>
      </w:r>
      <w:r w:rsidR="004A133E">
        <w:rPr>
          <w:lang w:val="en-GB"/>
        </w:rPr>
        <w:t>.</w:t>
      </w:r>
      <w:r w:rsidR="005A010C">
        <w:rPr>
          <w:lang w:val="en-GB"/>
        </w:rPr>
        <w:t xml:space="preserve"> </w:t>
      </w:r>
      <w:r w:rsidR="00237BA1">
        <w:rPr>
          <w:lang w:val="en-GB"/>
        </w:rPr>
        <w:t xml:space="preserve">In the case of Greece, </w:t>
      </w:r>
      <w:r w:rsidR="00825B3B">
        <w:rPr>
          <w:lang w:val="en-GB"/>
        </w:rPr>
        <w:t xml:space="preserve">the </w:t>
      </w:r>
      <w:r w:rsidR="00825B3B">
        <w:rPr>
          <w:lang w:val="en-GB"/>
        </w:rPr>
        <w:lastRenderedPageBreak/>
        <w:t xml:space="preserve">specific shape of the </w:t>
      </w:r>
      <w:r w:rsidR="0075094A">
        <w:rPr>
          <w:lang w:val="en-GB"/>
        </w:rPr>
        <w:t>ML reference polygons</w:t>
      </w:r>
      <w:r w:rsidR="00EA35D5">
        <w:rPr>
          <w:lang w:val="en-GB"/>
        </w:rPr>
        <w:t xml:space="preserve"> </w:t>
      </w:r>
      <w:r w:rsidR="00AC75B2">
        <w:rPr>
          <w:lang w:val="en-GB"/>
        </w:rPr>
        <w:t xml:space="preserve">resulted in a lower number of </w:t>
      </w:r>
      <w:r w:rsidR="00CD2C7E">
        <w:rPr>
          <w:lang w:val="en-GB"/>
        </w:rPr>
        <w:t xml:space="preserve">points than the area suggests. </w:t>
      </w:r>
      <w:r w:rsidR="005462C0">
        <w:rPr>
          <w:lang w:val="en-GB"/>
        </w:rPr>
        <w:t>T</w:t>
      </w:r>
      <w:r w:rsidR="00B1026C">
        <w:rPr>
          <w:lang w:val="en-GB"/>
        </w:rPr>
        <w:t>he</w:t>
      </w:r>
      <w:r w:rsidR="00AD4F33">
        <w:rPr>
          <w:lang w:val="en-GB"/>
        </w:rPr>
        <w:t xml:space="preserve"> validation</w:t>
      </w:r>
      <w:r w:rsidR="00B1026C">
        <w:rPr>
          <w:lang w:val="en-GB"/>
        </w:rPr>
        <w:t xml:space="preserve"> points are</w:t>
      </w:r>
      <w:r w:rsidR="0045750C">
        <w:rPr>
          <w:lang w:val="en-GB"/>
        </w:rPr>
        <w:t xml:space="preserve"> then</w:t>
      </w:r>
      <w:r w:rsidR="00B1026C">
        <w:rPr>
          <w:lang w:val="en-GB"/>
        </w:rPr>
        <w:t xml:space="preserve"> superimposed on the </w:t>
      </w:r>
      <w:r w:rsidR="004A3DA8">
        <w:rPr>
          <w:lang w:val="en-GB"/>
        </w:rPr>
        <w:t>clipped</w:t>
      </w:r>
      <w:r w:rsidR="00A20477">
        <w:rPr>
          <w:lang w:val="en-GB"/>
        </w:rPr>
        <w:t xml:space="preserve">, reclassified (0-1) </w:t>
      </w:r>
      <w:r w:rsidR="00B1026C">
        <w:rPr>
          <w:lang w:val="en-GB"/>
        </w:rPr>
        <w:t xml:space="preserve">image, and the </w:t>
      </w:r>
      <w:r w:rsidR="0041158D">
        <w:rPr>
          <w:lang w:val="en-GB"/>
        </w:rPr>
        <w:t xml:space="preserve">values </w:t>
      </w:r>
      <w:r w:rsidR="00B1026C">
        <w:rPr>
          <w:lang w:val="en-GB"/>
        </w:rPr>
        <w:t>of</w:t>
      </w:r>
      <w:r w:rsidR="00AE4B12">
        <w:rPr>
          <w:lang w:val="en-GB"/>
        </w:rPr>
        <w:t xml:space="preserve"> classification product, as well as</w:t>
      </w:r>
      <w:r w:rsidR="002E62C3">
        <w:rPr>
          <w:lang w:val="en-GB"/>
        </w:rPr>
        <w:t xml:space="preserve"> the ones from the validation polygons</w:t>
      </w:r>
      <w:r w:rsidR="00B1026C">
        <w:rPr>
          <w:lang w:val="en-GB"/>
        </w:rPr>
        <w:t xml:space="preserve"> are extracted to the </w:t>
      </w:r>
      <w:r w:rsidR="00AD4F33">
        <w:rPr>
          <w:lang w:val="en-GB"/>
        </w:rPr>
        <w:t>validation</w:t>
      </w:r>
      <w:r w:rsidR="00B1026C">
        <w:rPr>
          <w:lang w:val="en-GB"/>
        </w:rPr>
        <w:t xml:space="preserve"> points</w:t>
      </w:r>
      <w:r w:rsidR="00525544">
        <w:rPr>
          <w:lang w:val="en-GB"/>
        </w:rPr>
        <w:t>.</w:t>
      </w:r>
    </w:p>
    <w:p w14:paraId="10FE7A3D" w14:textId="5D5A1477" w:rsidR="00367607" w:rsidRDefault="00367607" w:rsidP="00AE1A89">
      <w:pPr>
        <w:pStyle w:val="Caption"/>
        <w:keepNext/>
      </w:pPr>
      <w:bookmarkStart w:id="51" w:name="_Ref90842419"/>
      <w:bookmarkStart w:id="52" w:name="_Toc91583690"/>
      <w:r>
        <w:t xml:space="preserve">Table </w:t>
      </w:r>
      <w:r>
        <w:fldChar w:fldCharType="begin"/>
      </w:r>
      <w:r>
        <w:instrText xml:space="preserve"> SEQ Table \* ARABIC </w:instrText>
      </w:r>
      <w:r>
        <w:fldChar w:fldCharType="separate"/>
      </w:r>
      <w:r w:rsidR="00D4790B">
        <w:rPr>
          <w:noProof/>
        </w:rPr>
        <w:t>2</w:t>
      </w:r>
      <w:r>
        <w:fldChar w:fldCharType="end"/>
      </w:r>
      <w:bookmarkEnd w:id="51"/>
      <w:r>
        <w:t>. Sample points allocation per country</w:t>
      </w:r>
      <w:bookmarkEnd w:id="52"/>
    </w:p>
    <w:tbl>
      <w:tblPr>
        <w:tblW w:w="7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40"/>
        <w:gridCol w:w="1440"/>
        <w:gridCol w:w="1440"/>
        <w:gridCol w:w="1440"/>
        <w:gridCol w:w="1440"/>
      </w:tblGrid>
      <w:tr w:rsidR="00AF1684" w:rsidRPr="00C60499" w14:paraId="6A36361D" w14:textId="77777777" w:rsidTr="00AE1A89">
        <w:trPr>
          <w:trHeight w:val="548"/>
          <w:jc w:val="center"/>
        </w:trPr>
        <w:tc>
          <w:tcPr>
            <w:tcW w:w="1440" w:type="dxa"/>
            <w:vMerge w:val="restart"/>
            <w:shd w:val="clear" w:color="auto" w:fill="DBE0F4" w:themeFill="accent1" w:themeFillTint="33"/>
            <w:vAlign w:val="center"/>
          </w:tcPr>
          <w:p w14:paraId="6006DE9F" w14:textId="18346CBA" w:rsidR="00AF1684" w:rsidRPr="00C60499" w:rsidRDefault="00AF1684" w:rsidP="00D12761">
            <w:pPr>
              <w:spacing w:before="0" w:after="0" w:line="240" w:lineRule="auto"/>
              <w:jc w:val="center"/>
              <w:rPr>
                <w:rStyle w:val="Strong"/>
                <w:lang w:val="en-GB"/>
              </w:rPr>
            </w:pPr>
            <w:r>
              <w:rPr>
                <w:rStyle w:val="Strong"/>
                <w:lang w:val="en-GB"/>
              </w:rPr>
              <w:t>Country</w:t>
            </w:r>
          </w:p>
        </w:tc>
        <w:tc>
          <w:tcPr>
            <w:tcW w:w="2880" w:type="dxa"/>
            <w:gridSpan w:val="2"/>
            <w:shd w:val="clear" w:color="auto" w:fill="DBE0F4" w:themeFill="accent1" w:themeFillTint="33"/>
            <w:vAlign w:val="center"/>
          </w:tcPr>
          <w:p w14:paraId="06F298A2" w14:textId="27DF8739" w:rsidR="00AF1684" w:rsidRPr="00C60499" w:rsidRDefault="00AF1684" w:rsidP="008128C6">
            <w:pPr>
              <w:spacing w:before="0" w:after="0" w:line="240" w:lineRule="auto"/>
              <w:jc w:val="center"/>
              <w:rPr>
                <w:rStyle w:val="Strong"/>
                <w:lang w:val="en-GB"/>
              </w:rPr>
            </w:pPr>
            <w:r>
              <w:rPr>
                <w:rStyle w:val="Strong"/>
                <w:lang w:val="en-GB"/>
              </w:rPr>
              <w:t>ML</w:t>
            </w:r>
          </w:p>
        </w:tc>
        <w:tc>
          <w:tcPr>
            <w:tcW w:w="2880" w:type="dxa"/>
            <w:gridSpan w:val="2"/>
            <w:shd w:val="clear" w:color="auto" w:fill="DBE0F4" w:themeFill="accent1" w:themeFillTint="33"/>
            <w:vAlign w:val="center"/>
          </w:tcPr>
          <w:p w14:paraId="6A4C0316" w14:textId="2AE4B04B" w:rsidR="00AF1684" w:rsidRPr="00C60499" w:rsidRDefault="00AF1684" w:rsidP="008128C6">
            <w:pPr>
              <w:spacing w:before="0" w:after="0" w:line="240" w:lineRule="auto"/>
              <w:jc w:val="center"/>
              <w:rPr>
                <w:rStyle w:val="Strong"/>
                <w:lang w:val="en-GB"/>
              </w:rPr>
            </w:pPr>
            <w:proofErr w:type="spellStart"/>
            <w:r>
              <w:rPr>
                <w:rStyle w:val="Strong"/>
                <w:lang w:val="en-GB"/>
              </w:rPr>
              <w:t>nML</w:t>
            </w:r>
            <w:proofErr w:type="spellEnd"/>
          </w:p>
        </w:tc>
      </w:tr>
      <w:tr w:rsidR="008123D9" w:rsidRPr="00C60499" w14:paraId="65C65EFA" w14:textId="77777777" w:rsidTr="00AE1A89">
        <w:trPr>
          <w:trHeight w:val="850"/>
          <w:jc w:val="center"/>
        </w:trPr>
        <w:tc>
          <w:tcPr>
            <w:tcW w:w="1440" w:type="dxa"/>
            <w:vMerge/>
            <w:shd w:val="clear" w:color="auto" w:fill="DBE0F4" w:themeFill="accent1" w:themeFillTint="33"/>
            <w:vAlign w:val="center"/>
          </w:tcPr>
          <w:p w14:paraId="5756F12D" w14:textId="77777777" w:rsidR="008123D9" w:rsidRPr="00C60499" w:rsidRDefault="008123D9" w:rsidP="008123D9">
            <w:pPr>
              <w:spacing w:before="0" w:after="0" w:line="240" w:lineRule="auto"/>
              <w:jc w:val="center"/>
              <w:rPr>
                <w:rStyle w:val="Strong"/>
                <w:lang w:val="en-GB"/>
              </w:rPr>
            </w:pPr>
          </w:p>
        </w:tc>
        <w:tc>
          <w:tcPr>
            <w:tcW w:w="1440" w:type="dxa"/>
            <w:shd w:val="clear" w:color="auto" w:fill="DBE0F4" w:themeFill="accent1" w:themeFillTint="33"/>
            <w:vAlign w:val="center"/>
          </w:tcPr>
          <w:p w14:paraId="3D6F3479" w14:textId="1F4ED527" w:rsidR="008123D9" w:rsidRPr="00AE1A89" w:rsidRDefault="008123D9" w:rsidP="008128C6">
            <w:pPr>
              <w:spacing w:before="0" w:after="0" w:line="240" w:lineRule="auto"/>
              <w:jc w:val="center"/>
              <w:rPr>
                <w:rStyle w:val="Strong"/>
                <w:b w:val="0"/>
                <w:bCs w:val="0"/>
                <w:lang w:val="en-GB"/>
              </w:rPr>
            </w:pPr>
            <w:r>
              <w:rPr>
                <w:rStyle w:val="Strong"/>
                <w:b w:val="0"/>
                <w:bCs w:val="0"/>
                <w:lang w:val="en-GB"/>
              </w:rPr>
              <w:t>Area [ha]</w:t>
            </w:r>
          </w:p>
        </w:tc>
        <w:tc>
          <w:tcPr>
            <w:tcW w:w="1440" w:type="dxa"/>
            <w:shd w:val="clear" w:color="auto" w:fill="DBE0F4" w:themeFill="accent1" w:themeFillTint="33"/>
            <w:vAlign w:val="center"/>
          </w:tcPr>
          <w:p w14:paraId="6E3CD9B9" w14:textId="7407D92D" w:rsidR="008123D9" w:rsidRPr="00AE1A89" w:rsidRDefault="008123D9" w:rsidP="008128C6">
            <w:pPr>
              <w:spacing w:before="0" w:after="0" w:line="240" w:lineRule="auto"/>
              <w:jc w:val="center"/>
              <w:rPr>
                <w:rStyle w:val="Strong"/>
                <w:b w:val="0"/>
                <w:bCs w:val="0"/>
                <w:lang w:val="en-GB"/>
              </w:rPr>
            </w:pPr>
            <w:r>
              <w:rPr>
                <w:rStyle w:val="Strong"/>
                <w:b w:val="0"/>
                <w:bCs w:val="0"/>
                <w:lang w:val="en-GB"/>
              </w:rPr>
              <w:t>Allocated points</w:t>
            </w:r>
          </w:p>
        </w:tc>
        <w:tc>
          <w:tcPr>
            <w:tcW w:w="1440" w:type="dxa"/>
            <w:shd w:val="clear" w:color="auto" w:fill="DBE0F4" w:themeFill="accent1" w:themeFillTint="33"/>
            <w:vAlign w:val="center"/>
          </w:tcPr>
          <w:p w14:paraId="7970247F" w14:textId="54361FE6" w:rsidR="008123D9" w:rsidRPr="00AE1A89" w:rsidRDefault="008123D9" w:rsidP="008128C6">
            <w:pPr>
              <w:spacing w:before="0" w:after="0" w:line="240" w:lineRule="auto"/>
              <w:jc w:val="center"/>
              <w:rPr>
                <w:rStyle w:val="Strong"/>
                <w:b w:val="0"/>
                <w:bCs w:val="0"/>
                <w:lang w:val="en-GB"/>
              </w:rPr>
            </w:pPr>
            <w:r>
              <w:rPr>
                <w:rStyle w:val="Strong"/>
                <w:b w:val="0"/>
                <w:bCs w:val="0"/>
                <w:lang w:val="en-GB"/>
              </w:rPr>
              <w:t>Area [ha]</w:t>
            </w:r>
          </w:p>
        </w:tc>
        <w:tc>
          <w:tcPr>
            <w:tcW w:w="1440" w:type="dxa"/>
            <w:shd w:val="clear" w:color="auto" w:fill="DBE0F4" w:themeFill="accent1" w:themeFillTint="33"/>
            <w:vAlign w:val="center"/>
          </w:tcPr>
          <w:p w14:paraId="15E1C8B4" w14:textId="3B72ACA2" w:rsidR="008123D9" w:rsidRPr="00AE1A89" w:rsidRDefault="008123D9" w:rsidP="008128C6">
            <w:pPr>
              <w:spacing w:before="0" w:after="0" w:line="240" w:lineRule="auto"/>
              <w:jc w:val="center"/>
              <w:rPr>
                <w:rStyle w:val="Strong"/>
                <w:b w:val="0"/>
                <w:bCs w:val="0"/>
                <w:lang w:val="en-GB"/>
              </w:rPr>
            </w:pPr>
            <w:r>
              <w:rPr>
                <w:rStyle w:val="Strong"/>
                <w:b w:val="0"/>
                <w:bCs w:val="0"/>
                <w:lang w:val="en-GB"/>
              </w:rPr>
              <w:t>Allocated points</w:t>
            </w:r>
          </w:p>
        </w:tc>
      </w:tr>
      <w:tr w:rsidR="008123D9" w:rsidRPr="00C60499" w14:paraId="023AD9F2" w14:textId="77777777" w:rsidTr="00AE1A89">
        <w:trPr>
          <w:trHeight w:val="397"/>
          <w:jc w:val="center"/>
        </w:trPr>
        <w:tc>
          <w:tcPr>
            <w:tcW w:w="1440" w:type="dxa"/>
            <w:vAlign w:val="center"/>
          </w:tcPr>
          <w:p w14:paraId="3CC6D415" w14:textId="467CDAC8" w:rsidR="008123D9" w:rsidRPr="00AE1A89" w:rsidRDefault="008123D9" w:rsidP="008123D9">
            <w:pPr>
              <w:spacing w:before="0" w:after="0" w:line="240" w:lineRule="auto"/>
              <w:jc w:val="center"/>
              <w:rPr>
                <w:b/>
                <w:bCs/>
                <w:lang w:val="en-GB"/>
              </w:rPr>
            </w:pPr>
            <w:r w:rsidRPr="00AE1A89">
              <w:rPr>
                <w:b/>
                <w:bCs/>
                <w:lang w:val="en-GB"/>
              </w:rPr>
              <w:t>Greece</w:t>
            </w:r>
          </w:p>
        </w:tc>
        <w:tc>
          <w:tcPr>
            <w:tcW w:w="1440" w:type="dxa"/>
            <w:vAlign w:val="center"/>
          </w:tcPr>
          <w:p w14:paraId="32C30E2F" w14:textId="24685714" w:rsidR="008123D9" w:rsidRPr="00C60499" w:rsidRDefault="008123D9" w:rsidP="00AE1A89">
            <w:pPr>
              <w:spacing w:before="0" w:after="0" w:line="240" w:lineRule="auto"/>
              <w:jc w:val="center"/>
              <w:rPr>
                <w:lang w:val="en-GB"/>
              </w:rPr>
            </w:pPr>
            <w:r>
              <w:rPr>
                <w:lang w:val="en-GB"/>
              </w:rPr>
              <w:t>7988</w:t>
            </w:r>
          </w:p>
        </w:tc>
        <w:tc>
          <w:tcPr>
            <w:tcW w:w="1440" w:type="dxa"/>
            <w:vAlign w:val="center"/>
          </w:tcPr>
          <w:p w14:paraId="0003F1C7" w14:textId="41EEFF95" w:rsidR="008123D9" w:rsidRPr="00C60499" w:rsidRDefault="008123D9" w:rsidP="00AE1A89">
            <w:pPr>
              <w:spacing w:before="0" w:after="0" w:line="240" w:lineRule="auto"/>
              <w:jc w:val="center"/>
              <w:rPr>
                <w:lang w:val="en-GB"/>
              </w:rPr>
            </w:pPr>
            <w:r>
              <w:rPr>
                <w:lang w:val="en-GB"/>
              </w:rPr>
              <w:t>7988</w:t>
            </w:r>
          </w:p>
        </w:tc>
        <w:tc>
          <w:tcPr>
            <w:tcW w:w="1440" w:type="dxa"/>
            <w:vAlign w:val="center"/>
          </w:tcPr>
          <w:p w14:paraId="4207B68C" w14:textId="5A15C1E6" w:rsidR="008123D9" w:rsidRPr="00C60499" w:rsidRDefault="008123D9" w:rsidP="00AE1A89">
            <w:pPr>
              <w:spacing w:before="0" w:after="0" w:line="240" w:lineRule="auto"/>
              <w:jc w:val="center"/>
              <w:rPr>
                <w:lang w:val="en-GB"/>
              </w:rPr>
            </w:pPr>
            <w:r>
              <w:rPr>
                <w:lang w:val="en-GB"/>
              </w:rPr>
              <w:t>5274</w:t>
            </w:r>
          </w:p>
        </w:tc>
        <w:tc>
          <w:tcPr>
            <w:tcW w:w="1440" w:type="dxa"/>
            <w:vAlign w:val="center"/>
          </w:tcPr>
          <w:p w14:paraId="4C6820EE" w14:textId="7B8743D6" w:rsidR="00547599" w:rsidRPr="00AE1A89" w:rsidRDefault="000A4294" w:rsidP="00AE1A89">
            <w:pPr>
              <w:spacing w:before="0" w:after="0" w:line="240" w:lineRule="auto"/>
              <w:jc w:val="center"/>
              <w:rPr>
                <w:color w:val="FF0000"/>
                <w:lang w:val="en-GB"/>
              </w:rPr>
            </w:pPr>
            <w:r w:rsidRPr="00864C43">
              <w:rPr>
                <w:lang w:val="en-GB"/>
              </w:rPr>
              <w:t>4966</w:t>
            </w:r>
          </w:p>
        </w:tc>
      </w:tr>
      <w:tr w:rsidR="008123D9" w:rsidRPr="00C60499" w14:paraId="43945410" w14:textId="77777777" w:rsidTr="00AE1A89">
        <w:trPr>
          <w:trHeight w:val="397"/>
          <w:jc w:val="center"/>
        </w:trPr>
        <w:tc>
          <w:tcPr>
            <w:tcW w:w="1440" w:type="dxa"/>
            <w:vAlign w:val="center"/>
          </w:tcPr>
          <w:p w14:paraId="26C7C742" w14:textId="05965C82" w:rsidR="008123D9" w:rsidRPr="00AE1A89" w:rsidRDefault="00547599" w:rsidP="008123D9">
            <w:pPr>
              <w:spacing w:before="0" w:after="0" w:line="240" w:lineRule="auto"/>
              <w:jc w:val="center"/>
              <w:rPr>
                <w:b/>
                <w:bCs/>
                <w:lang w:val="en-GB"/>
              </w:rPr>
            </w:pPr>
            <w:r w:rsidRPr="00AE1A89">
              <w:rPr>
                <w:b/>
                <w:bCs/>
                <w:lang w:val="en-GB"/>
              </w:rPr>
              <w:t>Spain</w:t>
            </w:r>
          </w:p>
        </w:tc>
        <w:tc>
          <w:tcPr>
            <w:tcW w:w="1440" w:type="dxa"/>
            <w:vAlign w:val="center"/>
          </w:tcPr>
          <w:p w14:paraId="593402DC" w14:textId="1F0124CF" w:rsidR="008123D9" w:rsidRPr="00C60499" w:rsidRDefault="00547599" w:rsidP="00AE1A89">
            <w:pPr>
              <w:spacing w:before="0" w:after="0" w:line="240" w:lineRule="auto"/>
              <w:jc w:val="center"/>
              <w:rPr>
                <w:lang w:val="en-GB"/>
              </w:rPr>
            </w:pPr>
            <w:r>
              <w:rPr>
                <w:lang w:val="en-GB"/>
              </w:rPr>
              <w:t>1649</w:t>
            </w:r>
          </w:p>
        </w:tc>
        <w:tc>
          <w:tcPr>
            <w:tcW w:w="1440" w:type="dxa"/>
            <w:vAlign w:val="center"/>
          </w:tcPr>
          <w:p w14:paraId="3B5E9CE2" w14:textId="15FD785E" w:rsidR="008123D9" w:rsidRPr="00C60499" w:rsidRDefault="0085284A" w:rsidP="00AE1A89">
            <w:pPr>
              <w:spacing w:before="0" w:after="0" w:line="240" w:lineRule="auto"/>
              <w:jc w:val="center"/>
              <w:rPr>
                <w:lang w:val="en-GB"/>
              </w:rPr>
            </w:pPr>
            <w:r>
              <w:rPr>
                <w:lang w:val="en-GB"/>
              </w:rPr>
              <w:t>1649</w:t>
            </w:r>
          </w:p>
        </w:tc>
        <w:tc>
          <w:tcPr>
            <w:tcW w:w="1440" w:type="dxa"/>
            <w:vAlign w:val="center"/>
          </w:tcPr>
          <w:p w14:paraId="7C593D97" w14:textId="7F99E492" w:rsidR="008123D9" w:rsidRPr="00C60499" w:rsidRDefault="0085284A" w:rsidP="00AE1A89">
            <w:pPr>
              <w:spacing w:before="0" w:after="0" w:line="240" w:lineRule="auto"/>
              <w:jc w:val="center"/>
              <w:rPr>
                <w:lang w:val="en-GB"/>
              </w:rPr>
            </w:pPr>
            <w:r>
              <w:rPr>
                <w:lang w:val="en-GB"/>
              </w:rPr>
              <w:t>2199</w:t>
            </w:r>
          </w:p>
        </w:tc>
        <w:tc>
          <w:tcPr>
            <w:tcW w:w="1440" w:type="dxa"/>
            <w:vAlign w:val="center"/>
          </w:tcPr>
          <w:p w14:paraId="090A3DA0" w14:textId="1F3566F7" w:rsidR="008123D9" w:rsidRPr="00C60499" w:rsidRDefault="0085284A" w:rsidP="00AE1A89">
            <w:pPr>
              <w:spacing w:before="0" w:after="0" w:line="240" w:lineRule="auto"/>
              <w:jc w:val="center"/>
              <w:rPr>
                <w:lang w:val="en-GB"/>
              </w:rPr>
            </w:pPr>
            <w:r>
              <w:rPr>
                <w:lang w:val="en-GB"/>
              </w:rPr>
              <w:t>2199</w:t>
            </w:r>
          </w:p>
        </w:tc>
      </w:tr>
      <w:tr w:rsidR="008123D9" w:rsidRPr="00C60499" w14:paraId="04464A42" w14:textId="77777777" w:rsidTr="00AE1A89">
        <w:trPr>
          <w:trHeight w:val="397"/>
          <w:jc w:val="center"/>
        </w:trPr>
        <w:tc>
          <w:tcPr>
            <w:tcW w:w="1440" w:type="dxa"/>
            <w:vAlign w:val="center"/>
          </w:tcPr>
          <w:p w14:paraId="2C69AFCC" w14:textId="64A3AB64" w:rsidR="008123D9" w:rsidRPr="00AE1A89" w:rsidRDefault="0085284A" w:rsidP="008123D9">
            <w:pPr>
              <w:spacing w:before="0" w:after="0" w:line="240" w:lineRule="auto"/>
              <w:jc w:val="center"/>
              <w:rPr>
                <w:b/>
                <w:bCs/>
                <w:lang w:val="en-GB"/>
              </w:rPr>
            </w:pPr>
            <w:r w:rsidRPr="00AE1A89">
              <w:rPr>
                <w:b/>
                <w:bCs/>
                <w:lang w:val="en-GB"/>
              </w:rPr>
              <w:t>Germany</w:t>
            </w:r>
          </w:p>
        </w:tc>
        <w:tc>
          <w:tcPr>
            <w:tcW w:w="1440" w:type="dxa"/>
            <w:vAlign w:val="center"/>
          </w:tcPr>
          <w:p w14:paraId="6D89F19C" w14:textId="7E8FDC1B" w:rsidR="008123D9" w:rsidRPr="00C60499" w:rsidRDefault="0085284A" w:rsidP="00AE1A89">
            <w:pPr>
              <w:spacing w:before="0" w:after="0" w:line="240" w:lineRule="auto"/>
              <w:jc w:val="center"/>
              <w:rPr>
                <w:lang w:val="en-GB"/>
              </w:rPr>
            </w:pPr>
            <w:r>
              <w:rPr>
                <w:lang w:val="en-GB"/>
              </w:rPr>
              <w:t>352</w:t>
            </w:r>
          </w:p>
        </w:tc>
        <w:tc>
          <w:tcPr>
            <w:tcW w:w="1440" w:type="dxa"/>
            <w:vAlign w:val="center"/>
          </w:tcPr>
          <w:p w14:paraId="6006D8F8" w14:textId="2EC15FC8" w:rsidR="008123D9" w:rsidRPr="00C60499" w:rsidRDefault="0085284A" w:rsidP="00AE1A89">
            <w:pPr>
              <w:spacing w:before="0" w:after="0" w:line="240" w:lineRule="auto"/>
              <w:jc w:val="center"/>
              <w:rPr>
                <w:lang w:val="en-GB"/>
              </w:rPr>
            </w:pPr>
            <w:r>
              <w:rPr>
                <w:lang w:val="en-GB"/>
              </w:rPr>
              <w:t>352</w:t>
            </w:r>
          </w:p>
        </w:tc>
        <w:tc>
          <w:tcPr>
            <w:tcW w:w="1440" w:type="dxa"/>
            <w:vAlign w:val="center"/>
          </w:tcPr>
          <w:p w14:paraId="4BFC2A83" w14:textId="61D5AFDE" w:rsidR="008123D9" w:rsidRPr="00C60499" w:rsidRDefault="00111FCD" w:rsidP="00AE1A89">
            <w:pPr>
              <w:spacing w:before="0" w:after="0" w:line="240" w:lineRule="auto"/>
              <w:jc w:val="center"/>
              <w:rPr>
                <w:lang w:val="en-GB"/>
              </w:rPr>
            </w:pPr>
            <w:r>
              <w:rPr>
                <w:lang w:val="en-GB"/>
              </w:rPr>
              <w:t>20,914</w:t>
            </w:r>
          </w:p>
        </w:tc>
        <w:tc>
          <w:tcPr>
            <w:tcW w:w="1440" w:type="dxa"/>
            <w:vAlign w:val="center"/>
          </w:tcPr>
          <w:p w14:paraId="05E32E03" w14:textId="4A1B4BF3" w:rsidR="008123D9" w:rsidRPr="00C60499" w:rsidRDefault="00111FCD" w:rsidP="00AE1A89">
            <w:pPr>
              <w:spacing w:before="0" w:after="0" w:line="240" w:lineRule="auto"/>
              <w:jc w:val="center"/>
              <w:rPr>
                <w:lang w:val="en-GB"/>
              </w:rPr>
            </w:pPr>
            <w:r>
              <w:rPr>
                <w:lang w:val="en-GB"/>
              </w:rPr>
              <w:t>20,914</w:t>
            </w:r>
          </w:p>
        </w:tc>
      </w:tr>
      <w:tr w:rsidR="008123D9" w:rsidRPr="00C60499" w14:paraId="11B93CA2" w14:textId="77777777" w:rsidTr="00AE1A89">
        <w:trPr>
          <w:trHeight w:val="397"/>
          <w:jc w:val="center"/>
        </w:trPr>
        <w:tc>
          <w:tcPr>
            <w:tcW w:w="1440" w:type="dxa"/>
            <w:vAlign w:val="center"/>
          </w:tcPr>
          <w:p w14:paraId="179B7869" w14:textId="2BA76DFE" w:rsidR="008123D9" w:rsidRPr="00AE1A89" w:rsidRDefault="00111FCD" w:rsidP="008123D9">
            <w:pPr>
              <w:spacing w:before="0" w:after="0" w:line="240" w:lineRule="auto"/>
              <w:jc w:val="center"/>
              <w:rPr>
                <w:b/>
                <w:bCs/>
                <w:lang w:val="en-GB"/>
              </w:rPr>
            </w:pPr>
            <w:r w:rsidRPr="00AE1A89">
              <w:rPr>
                <w:b/>
                <w:bCs/>
                <w:lang w:val="en-GB"/>
              </w:rPr>
              <w:t>Poland</w:t>
            </w:r>
          </w:p>
        </w:tc>
        <w:tc>
          <w:tcPr>
            <w:tcW w:w="1440" w:type="dxa"/>
            <w:vAlign w:val="center"/>
          </w:tcPr>
          <w:p w14:paraId="4267019E" w14:textId="5049D520" w:rsidR="008123D9" w:rsidRPr="00C60499" w:rsidRDefault="00111FCD" w:rsidP="00AE1A89">
            <w:pPr>
              <w:spacing w:before="0" w:after="0" w:line="240" w:lineRule="auto"/>
              <w:jc w:val="center"/>
              <w:rPr>
                <w:lang w:val="en-GB"/>
              </w:rPr>
            </w:pPr>
            <w:r>
              <w:rPr>
                <w:lang w:val="en-GB"/>
              </w:rPr>
              <w:t>539</w:t>
            </w:r>
          </w:p>
        </w:tc>
        <w:tc>
          <w:tcPr>
            <w:tcW w:w="1440" w:type="dxa"/>
            <w:vAlign w:val="center"/>
          </w:tcPr>
          <w:p w14:paraId="04B5DECF" w14:textId="32DEE9C6" w:rsidR="008123D9" w:rsidRPr="00C60499" w:rsidRDefault="00111FCD" w:rsidP="00AE1A89">
            <w:pPr>
              <w:spacing w:before="0" w:after="0" w:line="240" w:lineRule="auto"/>
              <w:jc w:val="center"/>
              <w:rPr>
                <w:lang w:val="en-GB"/>
              </w:rPr>
            </w:pPr>
            <w:r>
              <w:rPr>
                <w:lang w:val="en-GB"/>
              </w:rPr>
              <w:t>539</w:t>
            </w:r>
          </w:p>
        </w:tc>
        <w:tc>
          <w:tcPr>
            <w:tcW w:w="1440" w:type="dxa"/>
            <w:vAlign w:val="center"/>
          </w:tcPr>
          <w:p w14:paraId="112491CB" w14:textId="11F14C12" w:rsidR="008123D9" w:rsidRPr="00C60499" w:rsidRDefault="00111FCD" w:rsidP="00AE1A89">
            <w:pPr>
              <w:spacing w:before="0" w:after="0" w:line="240" w:lineRule="auto"/>
              <w:jc w:val="center"/>
              <w:rPr>
                <w:lang w:val="en-GB"/>
              </w:rPr>
            </w:pPr>
            <w:r>
              <w:rPr>
                <w:lang w:val="en-GB"/>
              </w:rPr>
              <w:t>2463</w:t>
            </w:r>
          </w:p>
        </w:tc>
        <w:tc>
          <w:tcPr>
            <w:tcW w:w="1440" w:type="dxa"/>
            <w:vAlign w:val="center"/>
          </w:tcPr>
          <w:p w14:paraId="480A6B51" w14:textId="639145C9" w:rsidR="008123D9" w:rsidRPr="00C60499" w:rsidRDefault="00111FCD" w:rsidP="00AE1A89">
            <w:pPr>
              <w:spacing w:before="0" w:after="0" w:line="240" w:lineRule="auto"/>
              <w:jc w:val="center"/>
              <w:rPr>
                <w:lang w:val="en-GB"/>
              </w:rPr>
            </w:pPr>
            <w:r>
              <w:rPr>
                <w:lang w:val="en-GB"/>
              </w:rPr>
              <w:t>2463</w:t>
            </w:r>
          </w:p>
        </w:tc>
      </w:tr>
    </w:tbl>
    <w:p w14:paraId="621D1976" w14:textId="77777777" w:rsidR="00FD2B8F" w:rsidRDefault="00FD2B8F" w:rsidP="00154181">
      <w:pPr>
        <w:rPr>
          <w:lang w:val="en-GB"/>
        </w:rPr>
      </w:pPr>
    </w:p>
    <w:p w14:paraId="01405B9E" w14:textId="61C1C7DB" w:rsidR="007F0E5A" w:rsidRDefault="00525544" w:rsidP="00154181">
      <w:pPr>
        <w:rPr>
          <w:lang w:val="en-GB"/>
        </w:rPr>
      </w:pPr>
      <w:r>
        <w:rPr>
          <w:lang w:val="en-GB"/>
        </w:rPr>
        <w:t>Finally, an error matrix is generated based on which the accuracy metrics can be computed for each country; namely: the Overall Accuracy, the User’s and Producer’s Accuracy and the Kappa value, as well as the OOB Error Estimate generated by the RF classifier.</w:t>
      </w:r>
      <w:r w:rsidR="00725E15">
        <w:rPr>
          <w:lang w:val="en-GB"/>
        </w:rPr>
        <w:t xml:space="preserve"> </w:t>
      </w:r>
    </w:p>
    <w:p w14:paraId="3AED3C2A" w14:textId="1054FE01" w:rsidR="007F0E5A" w:rsidRDefault="00C07AE5" w:rsidP="00154181">
      <w:pPr>
        <w:rPr>
          <w:lang w:val="en-GB"/>
        </w:rPr>
      </w:pPr>
      <w:r w:rsidRPr="00944F2E">
        <w:rPr>
          <w:rStyle w:val="Emphasis"/>
        </w:rPr>
        <w:t xml:space="preserve">Overall Accuracy </w:t>
      </w:r>
      <w:r w:rsidRPr="00C07AE5">
        <w:rPr>
          <w:lang w:val="en-GB"/>
        </w:rPr>
        <w:t>(OA) is the ratio between the correctly classified samples to the total</w:t>
      </w:r>
      <w:r>
        <w:rPr>
          <w:lang w:val="en-GB"/>
        </w:rPr>
        <w:t xml:space="preserve"> </w:t>
      </w:r>
      <w:r w:rsidRPr="00C07AE5">
        <w:rPr>
          <w:lang w:val="en-GB"/>
        </w:rPr>
        <w:t xml:space="preserve">number of </w:t>
      </w:r>
      <w:r>
        <w:rPr>
          <w:lang w:val="en-GB"/>
        </w:rPr>
        <w:t>s</w:t>
      </w:r>
      <w:r w:rsidRPr="00C07AE5">
        <w:rPr>
          <w:lang w:val="en-GB"/>
        </w:rPr>
        <w:t>amples. It essentially tells us what percentage of the reference sites were</w:t>
      </w:r>
      <w:r>
        <w:rPr>
          <w:lang w:val="en-GB"/>
        </w:rPr>
        <w:t xml:space="preserve"> </w:t>
      </w:r>
      <w:r w:rsidRPr="00C07AE5">
        <w:rPr>
          <w:lang w:val="en-GB"/>
        </w:rPr>
        <w:t>correctly mapped out of all of them</w:t>
      </w:r>
      <w:r w:rsidR="00BD67BE">
        <w:rPr>
          <w:lang w:val="en-GB"/>
        </w:rPr>
        <w:t xml:space="preserve"> </w:t>
      </w:r>
      <w:r w:rsidR="00BD67BE">
        <w:rPr>
          <w:lang w:val="en-GB"/>
        </w:rPr>
        <w:fldChar w:fldCharType="begin" w:fldLock="1"/>
      </w:r>
      <w:r w:rsidR="003D7446">
        <w:rPr>
          <w:lang w:val="en-GB"/>
        </w:rPr>
        <w:instrText>ADDIN CSL_CITATION {"citationItems":[{"id":"ITEM-1","itemData":{"DOI":"10.1016/0034-4257(91)90048-B","ISSN":"0034-4257","abstract":"This paper reviews the necessary considerations and available techniques for assessing the accuracy of remotely sensed data. Included in this review are the classification system, the sampling scheme, the sample size, spatial autocorrelation, and the assessment techniques. All analysis is based on the use of an error matrix or contingency table. Example matrices and results of the analysis are presented. Future trends including the need for assessment of other spatial data are also discussed.","author":[{"dropping-particle":"","family":"Congalton","given":"Russell G.","non-dropping-particle":"","parse-names":false,"suffix":""}],"container-title":"Remote Sensing of Environment","id":"ITEM-1","issue":"1","issued":{"date-parts":[["1991","7","1"]]},"page":"35-46","publisher":"Elsevier","title":"A review of assessing the accuracy of classifications of remotely sensed data","type":"article-journal","volume":"37"},"uris":["http://www.mendeley.com/documents/?uuid=bf08532b-013d-31d4-83ff-09f404149094"]}],"mendeley":{"formattedCitation":"(Congalton, 1991b)","plainTextFormattedCitation":"(Congalton, 1991b)","previouslyFormattedCitation":"(Congalton, 1991b)"},"properties":{"noteIndex":0},"schema":"https://github.com/citation-style-language/schema/raw/master/csl-citation.json"}</w:instrText>
      </w:r>
      <w:r w:rsidR="00BD67BE">
        <w:rPr>
          <w:lang w:val="en-GB"/>
        </w:rPr>
        <w:fldChar w:fldCharType="separate"/>
      </w:r>
      <w:r w:rsidR="00914828" w:rsidRPr="00914828">
        <w:rPr>
          <w:noProof/>
          <w:lang w:val="en-GB"/>
        </w:rPr>
        <w:t>(Congalton, 1991b)</w:t>
      </w:r>
      <w:r w:rsidR="00BD67BE">
        <w:rPr>
          <w:lang w:val="en-GB"/>
        </w:rPr>
        <w:fldChar w:fldCharType="end"/>
      </w:r>
      <w:r w:rsidRPr="00C07AE5">
        <w:rPr>
          <w:lang w:val="en-GB"/>
        </w:rPr>
        <w:t>.</w:t>
      </w:r>
      <w:r w:rsidR="00780465">
        <w:rPr>
          <w:lang w:val="en-GB"/>
        </w:rPr>
        <w:t xml:space="preserve"> </w:t>
      </w:r>
    </w:p>
    <w:p w14:paraId="25638471" w14:textId="1A559923" w:rsidR="00154181" w:rsidRDefault="00154181" w:rsidP="00154181">
      <w:pPr>
        <w:rPr>
          <w:lang w:val="en-GB"/>
        </w:rPr>
      </w:pPr>
      <w:r w:rsidRPr="00944F2E">
        <w:rPr>
          <w:i/>
          <w:iCs/>
          <w:lang w:val="en-GB"/>
        </w:rPr>
        <w:t>User's accuracy</w:t>
      </w:r>
      <w:r w:rsidRPr="00944F2E">
        <w:rPr>
          <w:lang w:val="en-GB"/>
        </w:rPr>
        <w:t xml:space="preserve"> (UA)</w:t>
      </w:r>
      <w:r w:rsidRPr="00912D3D">
        <w:rPr>
          <w:lang w:val="en-GB"/>
        </w:rPr>
        <w:t xml:space="preserve"> </w:t>
      </w:r>
      <w:r>
        <w:rPr>
          <w:lang w:val="en-GB"/>
        </w:rPr>
        <w:t>i</w:t>
      </w:r>
      <w:r w:rsidRPr="00912D3D">
        <w:rPr>
          <w:lang w:val="en-GB"/>
        </w:rPr>
        <w:t>s the proportion of the area mapped as a particular category that is actually that category “on the ground”</w:t>
      </w:r>
      <w:r>
        <w:rPr>
          <w:lang w:val="en-GB"/>
        </w:rPr>
        <w:t xml:space="preserve"> </w:t>
      </w:r>
      <w:r>
        <w:rPr>
          <w:lang w:val="en-GB"/>
        </w:rPr>
        <w:fldChar w:fldCharType="begin" w:fldLock="1"/>
      </w:r>
      <w:r w:rsidR="003D7446">
        <w:rPr>
          <w:lang w:val="en-GB"/>
        </w:rPr>
        <w:instrText>ADDIN CSL_CITATION {"citationItems":[{"id":"ITEM-1","itemData":{"ISSN":"0034-4257","author":[{"dropping-particle":"","family":"Congalton","given":"Russell G.","non-dropping-particle":"","parse-names":false,"suffix":""}],"container-title":"Remote sensing of environment","id":"ITEM-1","issue":"1","issued":{"date-parts":[["1991"]]},"page":"35-46","publisher":"Elsevier","title":"A review of assessing the accuracy of classifications of remotely sensed data","type":"article-journal","volume":"37"},"uris":["http://www.mendeley.com/documents/?uuid=40af4cd8-9845-39e9-8a69-32c3777c9c40"]}],"mendeley":{"formattedCitation":"(Congalton, 1991a)","plainTextFormattedCitation":"(Congalton, 1991a)","previouslyFormattedCitation":"(Congalton, 1991a)"},"properties":{"noteIndex":0},"schema":"https://github.com/citation-style-language/schema/raw/master/csl-citation.json"}</w:instrText>
      </w:r>
      <w:r>
        <w:rPr>
          <w:lang w:val="en-GB"/>
        </w:rPr>
        <w:fldChar w:fldCharType="separate"/>
      </w:r>
      <w:r w:rsidR="00914828" w:rsidRPr="00914828">
        <w:rPr>
          <w:noProof/>
          <w:lang w:val="en-GB"/>
        </w:rPr>
        <w:t>(Congalton, 1991a)</w:t>
      </w:r>
      <w:r>
        <w:rPr>
          <w:lang w:val="en-GB"/>
        </w:rPr>
        <w:fldChar w:fldCharType="end"/>
      </w:r>
      <w:r>
        <w:rPr>
          <w:lang w:val="en-GB"/>
        </w:rPr>
        <w:t xml:space="preserve">. </w:t>
      </w:r>
      <w:r w:rsidRPr="00912D3D">
        <w:rPr>
          <w:lang w:val="en-GB"/>
        </w:rPr>
        <w:t>If</w:t>
      </w:r>
      <w:r>
        <w:rPr>
          <w:lang w:val="en-GB"/>
        </w:rPr>
        <w:t xml:space="preserve"> </w:t>
      </w:r>
      <w:r w:rsidRPr="00912D3D">
        <w:rPr>
          <w:lang w:val="en-GB"/>
        </w:rPr>
        <w:t xml:space="preserve">a user employs the final map </w:t>
      </w:r>
      <w:proofErr w:type="gramStart"/>
      <w:r>
        <w:rPr>
          <w:lang w:val="en-GB"/>
        </w:rPr>
        <w:t>in order to</w:t>
      </w:r>
      <w:proofErr w:type="gramEnd"/>
      <w:r w:rsidRPr="00912D3D">
        <w:rPr>
          <w:lang w:val="en-GB"/>
        </w:rPr>
        <w:t xml:space="preserve"> locat</w:t>
      </w:r>
      <w:r>
        <w:rPr>
          <w:lang w:val="en-GB"/>
        </w:rPr>
        <w:t>e</w:t>
      </w:r>
      <w:r w:rsidRPr="00912D3D">
        <w:rPr>
          <w:lang w:val="en-GB"/>
        </w:rPr>
        <w:t xml:space="preserve"> a particular </w:t>
      </w:r>
      <w:r>
        <w:rPr>
          <w:lang w:val="en-GB"/>
        </w:rPr>
        <w:t>spatial unit</w:t>
      </w:r>
      <w:r w:rsidRPr="00912D3D">
        <w:rPr>
          <w:lang w:val="en-GB"/>
        </w:rPr>
        <w:t xml:space="preserve">, the user's accuracy gives the conditional probability of that map location actually </w:t>
      </w:r>
      <w:r>
        <w:rPr>
          <w:lang w:val="en-GB"/>
        </w:rPr>
        <w:t>representing the mapped unit</w:t>
      </w:r>
      <w:r w:rsidRPr="00912D3D">
        <w:rPr>
          <w:lang w:val="en-GB"/>
        </w:rPr>
        <w:t xml:space="preserve">. </w:t>
      </w:r>
      <w:r>
        <w:rPr>
          <w:lang w:val="en-GB"/>
        </w:rPr>
        <w:t>It is calculated by dividing the</w:t>
      </w:r>
      <w:r w:rsidRPr="00EB7480">
        <w:rPr>
          <w:lang w:val="en-GB"/>
        </w:rPr>
        <w:t xml:space="preserve"> correct classified pixels in a class by the total number of pixels that were classified in that class</w:t>
      </w:r>
      <w:r>
        <w:rPr>
          <w:lang w:val="en-GB"/>
        </w:rPr>
        <w:t xml:space="preserve"> (row total) </w:t>
      </w:r>
      <w:r w:rsidRPr="006A175C">
        <w:rPr>
          <w:lang w:val="en-GB"/>
        </w:rPr>
        <w:t>and multiplying by 100</w:t>
      </w:r>
      <w:r w:rsidRPr="005835CA">
        <w:rPr>
          <w:lang w:val="en-GB"/>
        </w:rPr>
        <w:t xml:space="preserve"> </w:t>
      </w:r>
      <w:r>
        <w:rPr>
          <w:lang w:val="en-GB"/>
        </w:rPr>
        <w:fldChar w:fldCharType="begin" w:fldLock="1"/>
      </w:r>
      <w:r>
        <w:rPr>
          <w:lang w:val="en-GB"/>
        </w:rPr>
        <w:instrText>ADDIN CSL_CITATION {"citationItems":[{"id":"ITEM-1","itemData":{"author":[{"dropping-particle":"","family":"Banko","given":"Gebhard","non-dropping-particle":"","parse-names":false,"suffix":""}],"id":"ITEM-1","issued":{"date-parts":[["1998"]]},"publisher":"IR-98-081","publisher-place":"Laxenburg","title":"A Review of Assessing the Accuracy of Classifications of Remotely Sensed Data and of Methods Including Remote Sensing Data in Forest Inventory","type":"report"},"uris":["http://www.mendeley.com/documents/?uuid=72ffcce9-9e89-3683-bbd8-c5180539905f"]}],"mendeley":{"formattedCitation":"(Banko, 1998)","plainTextFormattedCitation":"(Banko, 1998)","previouslyFormattedCitation":"(Banko, 1998)"},"properties":{"noteIndex":0},"schema":"https://github.com/citation-style-language/schema/raw/master/csl-citation.json"}</w:instrText>
      </w:r>
      <w:r>
        <w:rPr>
          <w:lang w:val="en-GB"/>
        </w:rPr>
        <w:fldChar w:fldCharType="separate"/>
      </w:r>
      <w:r w:rsidRPr="00AE3560">
        <w:rPr>
          <w:noProof/>
          <w:lang w:val="en-GB"/>
        </w:rPr>
        <w:t>(Banko, 1998)</w:t>
      </w:r>
      <w:r>
        <w:rPr>
          <w:lang w:val="en-GB"/>
        </w:rPr>
        <w:fldChar w:fldCharType="end"/>
      </w:r>
      <w:r>
        <w:rPr>
          <w:lang w:val="en-GB"/>
        </w:rPr>
        <w:t>.</w:t>
      </w:r>
    </w:p>
    <w:p w14:paraId="344A35D8" w14:textId="516E0FB2" w:rsidR="00304B9C" w:rsidRDefault="00304B9C" w:rsidP="00304B9C">
      <w:pPr>
        <w:rPr>
          <w:lang w:val="en-GB"/>
        </w:rPr>
      </w:pPr>
      <w:r w:rsidRPr="00944F2E">
        <w:rPr>
          <w:i/>
          <w:iCs/>
          <w:lang w:val="en-GB"/>
        </w:rPr>
        <w:t>Producer's accuracy</w:t>
      </w:r>
      <w:r w:rsidRPr="00944F2E">
        <w:rPr>
          <w:lang w:val="en-GB"/>
        </w:rPr>
        <w:t xml:space="preserve"> (PA)</w:t>
      </w:r>
      <w:r w:rsidRPr="00DA6E4F">
        <w:rPr>
          <w:lang w:val="en-GB"/>
        </w:rPr>
        <w:t xml:space="preserve"> is the proportion of the area that is</w:t>
      </w:r>
      <w:r>
        <w:rPr>
          <w:lang w:val="en-GB"/>
        </w:rPr>
        <w:t xml:space="preserve"> </w:t>
      </w:r>
      <w:r w:rsidRPr="00DA6E4F">
        <w:rPr>
          <w:lang w:val="en-GB"/>
        </w:rPr>
        <w:t xml:space="preserve">a particular </w:t>
      </w:r>
      <w:r w:rsidR="009E2D91">
        <w:rPr>
          <w:lang w:val="en-GB"/>
        </w:rPr>
        <w:t>LC class</w:t>
      </w:r>
      <w:r w:rsidRPr="00DA6E4F">
        <w:rPr>
          <w:lang w:val="en-GB"/>
        </w:rPr>
        <w:t xml:space="preserve"> on the ground </w:t>
      </w:r>
      <w:r>
        <w:rPr>
          <w:lang w:val="en-GB"/>
        </w:rPr>
        <w:t>and it</w:t>
      </w:r>
      <w:r w:rsidRPr="00DA6E4F">
        <w:rPr>
          <w:lang w:val="en-GB"/>
        </w:rPr>
        <w:t xml:space="preserve"> is also</w:t>
      </w:r>
      <w:r>
        <w:rPr>
          <w:lang w:val="en-GB"/>
        </w:rPr>
        <w:t xml:space="preserve"> </w:t>
      </w:r>
      <w:r w:rsidRPr="00DA6E4F">
        <w:rPr>
          <w:lang w:val="en-GB"/>
        </w:rPr>
        <w:t xml:space="preserve">mapped as that </w:t>
      </w:r>
      <w:r w:rsidR="009E2D91">
        <w:rPr>
          <w:lang w:val="en-GB"/>
        </w:rPr>
        <w:t>class</w:t>
      </w:r>
      <w:r>
        <w:rPr>
          <w:lang w:val="en-GB"/>
        </w:rPr>
        <w:t xml:space="preserve"> </w:t>
      </w:r>
      <w:r>
        <w:rPr>
          <w:lang w:val="en-GB"/>
        </w:rPr>
        <w:fldChar w:fldCharType="begin" w:fldLock="1"/>
      </w:r>
      <w:r w:rsidR="003D7446">
        <w:rPr>
          <w:lang w:val="en-GB"/>
        </w:rPr>
        <w:instrText>ADDIN CSL_CITATION {"citationItems":[{"id":"ITEM-1","itemData":{"ISSN":"0034-4257","author":[{"dropping-particle":"","family":"Congalton","given":"Russell G.","non-dropping-particle":"","parse-names":false,"suffix":""}],"container-title":"Remote sensing of environment","id":"ITEM-1","issue":"1","issued":{"date-parts":[["1991"]]},"page":"35-46","publisher":"Elsevier","title":"A review of assessing the accuracy of classifications of remotely sensed data","type":"article-journal","volume":"37"},"uris":["http://www.mendeley.com/documents/?uuid=40af4cd8-9845-39e9-8a69-32c3777c9c40"]}],"mendeley":{"formattedCitation":"(Congalton, 1991a)","plainTextFormattedCitation":"(Congalton, 1991a)","previouslyFormattedCitation":"(Congalton, 1991a)"},"properties":{"noteIndex":0},"schema":"https://github.com/citation-style-language/schema/raw/master/csl-citation.json"}</w:instrText>
      </w:r>
      <w:r>
        <w:rPr>
          <w:lang w:val="en-GB"/>
        </w:rPr>
        <w:fldChar w:fldCharType="separate"/>
      </w:r>
      <w:r w:rsidR="00914828" w:rsidRPr="00914828">
        <w:rPr>
          <w:noProof/>
          <w:lang w:val="en-GB"/>
        </w:rPr>
        <w:t>(Congalton, 1991a)</w:t>
      </w:r>
      <w:r>
        <w:rPr>
          <w:lang w:val="en-GB"/>
        </w:rPr>
        <w:fldChar w:fldCharType="end"/>
      </w:r>
      <w:r>
        <w:rPr>
          <w:lang w:val="en-GB"/>
        </w:rPr>
        <w:t>.</w:t>
      </w:r>
      <w:r w:rsidRPr="00DA6E4F">
        <w:rPr>
          <w:lang w:val="en-GB"/>
        </w:rPr>
        <w:t xml:space="preserve"> The producer's accuracy </w:t>
      </w:r>
      <w:r>
        <w:rPr>
          <w:lang w:val="en-GB"/>
        </w:rPr>
        <w:t xml:space="preserve">measures how well a given area is classified and </w:t>
      </w:r>
      <w:r w:rsidRPr="00DA6E4F">
        <w:rPr>
          <w:lang w:val="en-GB"/>
        </w:rPr>
        <w:t xml:space="preserve">provides the producer of the final </w:t>
      </w:r>
      <w:r>
        <w:rPr>
          <w:lang w:val="en-GB"/>
        </w:rPr>
        <w:t>classification</w:t>
      </w:r>
      <w:r w:rsidRPr="00DA6E4F">
        <w:rPr>
          <w:lang w:val="en-GB"/>
        </w:rPr>
        <w:t xml:space="preserve"> map with the conditional probability of a particular location of </w:t>
      </w:r>
      <w:r>
        <w:rPr>
          <w:lang w:val="en-GB"/>
        </w:rPr>
        <w:t xml:space="preserve">spatial unit </w:t>
      </w:r>
      <w:r w:rsidRPr="00DA6E4F">
        <w:rPr>
          <w:lang w:val="en-GB"/>
        </w:rPr>
        <w:t xml:space="preserve">appearing as </w:t>
      </w:r>
      <w:r>
        <w:rPr>
          <w:lang w:val="en-GB"/>
        </w:rPr>
        <w:t>that</w:t>
      </w:r>
      <w:r w:rsidRPr="00DA6E4F">
        <w:rPr>
          <w:lang w:val="en-GB"/>
        </w:rPr>
        <w:t xml:space="preserve"> on the map</w:t>
      </w:r>
      <w:r>
        <w:rPr>
          <w:lang w:val="en-GB"/>
        </w:rPr>
        <w:t>. It</w:t>
      </w:r>
      <w:r w:rsidRPr="00533DEB">
        <w:rPr>
          <w:lang w:val="en-GB"/>
        </w:rPr>
        <w:t xml:space="preserve"> is </w:t>
      </w:r>
      <w:r>
        <w:rPr>
          <w:lang w:val="en-GB"/>
        </w:rPr>
        <w:t>computed</w:t>
      </w:r>
      <w:r w:rsidRPr="00533DEB">
        <w:rPr>
          <w:lang w:val="en-GB"/>
        </w:rPr>
        <w:t xml:space="preserve"> by dividing the number of correct pixels in </w:t>
      </w:r>
      <w:r w:rsidRPr="00533DEB">
        <w:rPr>
          <w:lang w:val="en-GB"/>
        </w:rPr>
        <w:lastRenderedPageBreak/>
        <w:t>one class by the total number of reference pixels</w:t>
      </w:r>
      <w:r>
        <w:rPr>
          <w:lang w:val="en-GB"/>
        </w:rPr>
        <w:t xml:space="preserve"> for this class</w:t>
      </w:r>
      <w:r w:rsidRPr="00533DEB">
        <w:rPr>
          <w:lang w:val="en-GB"/>
        </w:rPr>
        <w:t xml:space="preserve"> (column total</w:t>
      </w:r>
      <w:r>
        <w:rPr>
          <w:lang w:val="en-GB"/>
        </w:rPr>
        <w:t>)</w:t>
      </w:r>
      <w:r w:rsidRPr="00AA1BA4">
        <w:rPr>
          <w:lang w:val="en-GB"/>
        </w:rPr>
        <w:t xml:space="preserve"> </w:t>
      </w:r>
      <w:r w:rsidRPr="006A175C">
        <w:rPr>
          <w:lang w:val="en-GB"/>
        </w:rPr>
        <w:t>and multiplying by 100</w:t>
      </w:r>
      <w:r>
        <w:rPr>
          <w:lang w:val="en-GB"/>
        </w:rPr>
        <w:t xml:space="preserve"> </w:t>
      </w:r>
      <w:r>
        <w:rPr>
          <w:lang w:val="en-GB"/>
        </w:rPr>
        <w:fldChar w:fldCharType="begin" w:fldLock="1"/>
      </w:r>
      <w:r>
        <w:rPr>
          <w:lang w:val="en-GB"/>
        </w:rPr>
        <w:instrText>ADDIN CSL_CITATION {"citationItems":[{"id":"ITEM-1","itemData":{"author":[{"dropping-particle":"","family":"Banko","given":"Gebhard","non-dropping-particle":"","parse-names":false,"suffix":""}],"id":"ITEM-1","issued":{"date-parts":[["1998"]]},"publisher":"IR-98-081","publisher-place":"Laxenburg","title":"A Review of Assessing the Accuracy of Classifications of Remotely Sensed Data and of Methods Including Remote Sensing Data in Forest Inventory","type":"report"},"uris":["http://www.mendeley.com/documents/?uuid=72ffcce9-9e89-3683-bbd8-c5180539905f"]}],"mendeley":{"formattedCitation":"(Banko, 1998)","plainTextFormattedCitation":"(Banko, 1998)","previouslyFormattedCitation":"(Banko, 1998)"},"properties":{"noteIndex":0},"schema":"https://github.com/citation-style-language/schema/raw/master/csl-citation.json"}</w:instrText>
      </w:r>
      <w:r>
        <w:rPr>
          <w:lang w:val="en-GB"/>
        </w:rPr>
        <w:fldChar w:fldCharType="separate"/>
      </w:r>
      <w:r w:rsidRPr="00CC25B0">
        <w:rPr>
          <w:noProof/>
          <w:lang w:val="en-GB"/>
        </w:rPr>
        <w:t>(Banko, 1998)</w:t>
      </w:r>
      <w:r>
        <w:rPr>
          <w:lang w:val="en-GB"/>
        </w:rPr>
        <w:fldChar w:fldCharType="end"/>
      </w:r>
      <w:r>
        <w:rPr>
          <w:lang w:val="en-GB"/>
        </w:rPr>
        <w:t>.</w:t>
      </w:r>
    </w:p>
    <w:p w14:paraId="15E7286F" w14:textId="6FF21EFB" w:rsidR="008927B2" w:rsidRPr="004E0691" w:rsidRDefault="00E50D33" w:rsidP="00C07AE5">
      <w:r w:rsidRPr="00944F2E">
        <w:rPr>
          <w:i/>
          <w:iCs/>
          <w:lang w:val="en-GB"/>
        </w:rPr>
        <w:t>Kappa</w:t>
      </w:r>
      <w:r>
        <w:rPr>
          <w:lang w:val="en-GB"/>
        </w:rPr>
        <w:t xml:space="preserve"> (K) is a m</w:t>
      </w:r>
      <w:r w:rsidRPr="00BD3737">
        <w:rPr>
          <w:lang w:val="en-GB"/>
        </w:rPr>
        <w:t>easure of agreement between the predictions and the actual class. It can also be a comparison of the overall accuracy to the expected random chance accuracy.</w:t>
      </w:r>
      <w:r>
        <w:rPr>
          <w:lang w:val="en-GB"/>
        </w:rPr>
        <w:t xml:space="preserve"> </w:t>
      </w:r>
      <w:r>
        <w:fldChar w:fldCharType="begin" w:fldLock="1"/>
      </w:r>
      <w:r w:rsidR="00914828">
        <w:instrText>ADDIN CSL_CITATION {"citationItems":[{"id":"ITEM-1","itemData":{"ISBN":"0132058405","author":[{"dropping-particle":"","family":"Jensen","given":"John R","non-dropping-particle":"","parse-names":false,"suffix":""}],"id":"ITEM-1","issue":"Ed. 2","issued":{"date-parts":[["1996"]]},"publisher":"Prentice-Hall Inc.","title":"Introductory digital image processing: a remote sensing perspective.","type":"book"},"uris":["http://www.mendeley.com/documents/?uuid=0bab56e0-69e0-3786-84d4-44b62abc6909"]},{"id":"ITEM-2","itemData":{"DOI":"10.1093/ptj/85.3.257","ISSN":"0031-9023","abstract":"Purpose. This article examines and illustrates the use and interpretation of the kappa statistic in musculoskeletal research. Summary of Key Points. The reliability of clinicians' ratings is an important consideration in areas such as diagnosis and the interpretation of examination findings. Often, these ratings lie on a nominal or an ordinal scale. For such data, the kappa coefficient is an appropriate measure of reliability. Kappa is defined, in both weighted and unweighted forms, and its use is illustrated with examples from musculoskeletal research. Factors that can influence the magnitude of kappa (prevalence, bias, and nonindependent ratings) are discussed, and ways of evaluating the magnitude of an obtained kappa are considered. The issue of statistical testing of kappa is considered, including the use of confidence intervals, and appropriate sample sizes for reliability studies using kappa are tabulated. Conclusions. The article concludes with recommendations for the use and interpretation of kappa.","author":[{"dropping-particle":"","family":"Sim","given":"Julius","non-dropping-particle":"","parse-names":false,"suffix":""},{"dropping-particle":"","family":"Wright","given":"Chris C","non-dropping-particle":"","parse-names":false,"suffix":""}],"container-title":"Physical Therapy","id":"ITEM-2","issue":"3","issued":{"date-parts":[["2005","3","1"]]},"page":"257-268","title":"The Kappa Statistic in Reliability Studies: Use, Interpretation, and Sample Size Requirements","type":"article-journal","volume":"85"},"uris":["http://www.mendeley.com/documents/?uuid=53318162-7d96-3376-b5eb-54be429b4148"]}],"mendeley":{"formattedCitation":"(Jensen, 1996; Sim &amp; Wright, 2005)","manualFormatting":"(Jensen, 1996)","plainTextFormattedCitation":"(Jensen, 1996; Sim &amp; Wright, 2005)","previouslyFormattedCitation":"(Jensen, 1996; Sim &amp; Wright, 2005)"},"properties":{"noteIndex":0},"schema":"https://github.com/citation-style-language/schema/raw/master/csl-citation.json"}</w:instrText>
      </w:r>
      <w:r>
        <w:fldChar w:fldCharType="separate"/>
      </w:r>
      <w:r w:rsidRPr="00C04E9F">
        <w:rPr>
          <w:noProof/>
        </w:rPr>
        <w:t>(Jensen, 1996)</w:t>
      </w:r>
      <w:r>
        <w:fldChar w:fldCharType="end"/>
      </w:r>
      <w:r w:rsidR="004E0691">
        <w:t xml:space="preserve">. </w:t>
      </w:r>
      <w:r w:rsidR="00BF1D4E" w:rsidRPr="00EE54CC">
        <w:t xml:space="preserve">The statistical significance of any given classification matrix can also be determined by utilizing the Kappa coefficient as a basis. According to </w:t>
      </w:r>
      <w:r w:rsidR="00BF1D4E">
        <w:fldChar w:fldCharType="begin" w:fldLock="1"/>
      </w:r>
      <w:r w:rsidR="00BF1D4E">
        <w:instrText>ADDIN CSL_CITATION {"citationItems":[{"id":"ITEM-1","itemData":{"DOI":"10.1177/001316446002000104","ISSN":"0013-1644","abstract":"A coefficient of interjudge agreement for nominal scales, formula-omitted, is presented. It is directly interpretable as the pro-portion of joint judgments in which there is agreement, after chance agreement is excluded. Its upper limit is +1.00, and its lower limit falls between zero and -1.00, depending on the distribution of judgments by the two judges. The maximum value which x can take for any given problem is given, and the implications of this value to the question of agreement discussed. An interesting characteristic of x is its identity with 0 in the dichotomous case when the judges give the same marginal distributions. Finally, its standard error and techniques for estimation and hypothesis testing are presented. © 1960, Sage Publications. All rights reserved.","author":[{"dropping-particle":"","family":"Cohen","given":"Jacob","non-dropping-particle":"","parse-names":false,"suffix":""}],"container-title":"Educational and Psychological Measurement","id":"ITEM-1","issue":"1","issued":{"date-parts":[["1960","4","2"]]},"page":"37-46","publisher":"Sage PublicationsSage CA: Thousand Oaks, CA","title":"A Coefficient of Agreement for Nominal Scales","type":"article-journal","volume":"20"},"uris":["http://www.mendeley.com/documents/?uuid=52d41e39-3962-3c4b-8667-4cd316644cdf"]}],"mendeley":{"formattedCitation":"(Cohen, 1960)","manualFormatting":"Cohen (1960)","plainTextFormattedCitation":"(Cohen, 1960)","previouslyFormattedCitation":"(Cohen, 1960)"},"properties":{"noteIndex":0},"schema":"https://github.com/citation-style-language/schema/raw/master/csl-citation.json"}</w:instrText>
      </w:r>
      <w:r w:rsidR="00BF1D4E">
        <w:fldChar w:fldCharType="separate"/>
      </w:r>
      <w:r w:rsidR="00BF1D4E" w:rsidRPr="009B246E">
        <w:rPr>
          <w:noProof/>
        </w:rPr>
        <w:t xml:space="preserve">Cohen </w:t>
      </w:r>
      <w:r w:rsidR="00BF1D4E">
        <w:rPr>
          <w:noProof/>
        </w:rPr>
        <w:t>(</w:t>
      </w:r>
      <w:r w:rsidR="00BF1D4E" w:rsidRPr="009B246E">
        <w:rPr>
          <w:noProof/>
        </w:rPr>
        <w:t>1960)</w:t>
      </w:r>
      <w:r w:rsidR="00BF1D4E">
        <w:fldChar w:fldCharType="end"/>
      </w:r>
      <w:r w:rsidR="00BF1D4E" w:rsidRPr="00CB6FF9">
        <w:t xml:space="preserve">, </w:t>
      </w:r>
      <w:r w:rsidR="00BF1D4E" w:rsidRPr="00EE54CC">
        <w:t>Kappa can be considered as the chance-corrected proportional agreement and takes values from +1 (perfect agreement) to -1 (complete disagreement).</w:t>
      </w:r>
    </w:p>
    <w:p w14:paraId="3BB06FF9" w14:textId="3E8B6089" w:rsidR="00D75928" w:rsidRDefault="00D75928" w:rsidP="00D75928">
      <w:pPr>
        <w:pStyle w:val="Heading1"/>
        <w:rPr>
          <w:lang w:val="en-GB"/>
        </w:rPr>
      </w:pPr>
      <w:bookmarkStart w:id="53" w:name="_Toc91583673"/>
      <w:r>
        <w:rPr>
          <w:lang w:val="en-GB"/>
        </w:rPr>
        <w:t>Results</w:t>
      </w:r>
      <w:bookmarkEnd w:id="53"/>
    </w:p>
    <w:p w14:paraId="203E9414" w14:textId="34A6F171" w:rsidR="00680951" w:rsidRDefault="00A043DA" w:rsidP="00A043DA">
      <w:pPr>
        <w:rPr>
          <w:lang w:val="en-GB"/>
        </w:rPr>
      </w:pPr>
      <w:r w:rsidRPr="00A043DA">
        <w:rPr>
          <w:lang w:val="en-GB"/>
        </w:rPr>
        <w:t>Th</w:t>
      </w:r>
      <w:r>
        <w:rPr>
          <w:lang w:val="en-GB"/>
        </w:rPr>
        <w:t>is</w:t>
      </w:r>
      <w:r w:rsidRPr="00A043DA">
        <w:rPr>
          <w:lang w:val="en-GB"/>
        </w:rPr>
        <w:t xml:space="preserve"> tool can be applied </w:t>
      </w:r>
      <w:r w:rsidR="00A417CC">
        <w:rPr>
          <w:lang w:val="en-GB"/>
        </w:rPr>
        <w:t>on</w:t>
      </w:r>
      <w:r w:rsidRPr="00A043DA">
        <w:rPr>
          <w:lang w:val="en-GB"/>
        </w:rPr>
        <w:t xml:space="preserve"> </w:t>
      </w:r>
      <w:r w:rsidR="001B1E64">
        <w:rPr>
          <w:lang w:val="en-GB"/>
        </w:rPr>
        <w:t xml:space="preserve">spatially </w:t>
      </w:r>
      <w:r w:rsidRPr="00A043DA">
        <w:rPr>
          <w:lang w:val="en-GB"/>
        </w:rPr>
        <w:t>di</w:t>
      </w:r>
      <w:r w:rsidR="00135136">
        <w:rPr>
          <w:lang w:val="en-GB"/>
        </w:rPr>
        <w:t>f</w:t>
      </w:r>
      <w:r w:rsidRPr="00A043DA">
        <w:rPr>
          <w:lang w:val="en-GB"/>
        </w:rPr>
        <w:t>ferent areas</w:t>
      </w:r>
      <w:r w:rsidR="001B1E64">
        <w:rPr>
          <w:lang w:val="en-GB"/>
        </w:rPr>
        <w:t>, either in size</w:t>
      </w:r>
      <w:r w:rsidRPr="00A043DA">
        <w:rPr>
          <w:lang w:val="en-GB"/>
        </w:rPr>
        <w:t xml:space="preserve"> </w:t>
      </w:r>
      <w:r w:rsidR="001B1E64">
        <w:rPr>
          <w:lang w:val="en-GB"/>
        </w:rPr>
        <w:t xml:space="preserve">or </w:t>
      </w:r>
      <w:r w:rsidR="00434091">
        <w:rPr>
          <w:lang w:val="en-GB"/>
        </w:rPr>
        <w:t xml:space="preserve">geographical latitude and </w:t>
      </w:r>
      <w:r w:rsidR="000A6E7B">
        <w:rPr>
          <w:lang w:val="en-GB"/>
        </w:rPr>
        <w:t>longitude</w:t>
      </w:r>
      <w:r w:rsidR="00434091">
        <w:rPr>
          <w:lang w:val="en-GB"/>
        </w:rPr>
        <w:t>,</w:t>
      </w:r>
      <w:r w:rsidRPr="00A043DA">
        <w:rPr>
          <w:lang w:val="en-GB"/>
        </w:rPr>
        <w:t xml:space="preserve"> and </w:t>
      </w:r>
      <w:r w:rsidR="000A6E7B">
        <w:rPr>
          <w:lang w:val="en-GB"/>
        </w:rPr>
        <w:t xml:space="preserve">on </w:t>
      </w:r>
      <w:r w:rsidRPr="00A043DA">
        <w:rPr>
          <w:lang w:val="en-GB"/>
        </w:rPr>
        <w:t xml:space="preserve">different </w:t>
      </w:r>
      <w:r w:rsidR="00955475">
        <w:rPr>
          <w:lang w:val="en-GB"/>
        </w:rPr>
        <w:t xml:space="preserve">time </w:t>
      </w:r>
      <w:r w:rsidRPr="00A043DA">
        <w:rPr>
          <w:lang w:val="en-GB"/>
        </w:rPr>
        <w:t>moment</w:t>
      </w:r>
      <w:r w:rsidR="000A6E7B">
        <w:rPr>
          <w:lang w:val="en-GB"/>
        </w:rPr>
        <w:t xml:space="preserve">s. </w:t>
      </w:r>
      <w:r w:rsidR="00391699">
        <w:rPr>
          <w:lang w:val="en-GB"/>
        </w:rPr>
        <w:t>For comparison, with the Task 2.3 outcomes, and assessment purposes, the tool was executed for the same years as the T2.3 methodology, 2017-2018, therefore, its performance can be visually and quantitively assessed and commented.</w:t>
      </w:r>
      <w:r w:rsidR="0054423C">
        <w:rPr>
          <w:lang w:val="en-GB"/>
        </w:rPr>
        <w:t xml:space="preserve"> </w:t>
      </w:r>
      <w:r w:rsidR="003932DD">
        <w:rPr>
          <w:lang w:val="en-GB"/>
        </w:rPr>
        <w:t>For the qualitative assessment</w:t>
      </w:r>
      <w:r w:rsidR="00DA0549">
        <w:rPr>
          <w:lang w:val="en-GB"/>
        </w:rPr>
        <w:t xml:space="preserve"> the resulting map from the LC classification output of the tool will be displayed for a given location, while for the quantitative assessment of the tool, the results of the accuracy assessment methodology</w:t>
      </w:r>
      <w:r w:rsidR="006F0795">
        <w:rPr>
          <w:lang w:val="en-GB"/>
        </w:rPr>
        <w:t xml:space="preserve"> will be presented for the four test countries.</w:t>
      </w:r>
    </w:p>
    <w:p w14:paraId="75C7CA4E" w14:textId="453F1D27" w:rsidR="00931B6D" w:rsidRDefault="00931B6D" w:rsidP="00944F2E">
      <w:pPr>
        <w:pStyle w:val="MAIL2"/>
        <w:rPr>
          <w:lang w:val="en-GB"/>
        </w:rPr>
      </w:pPr>
      <w:bookmarkStart w:id="54" w:name="_Toc91583674"/>
      <w:r>
        <w:rPr>
          <w:lang w:val="en-GB"/>
        </w:rPr>
        <w:t>Land Cover classification output</w:t>
      </w:r>
      <w:bookmarkEnd w:id="54"/>
    </w:p>
    <w:p w14:paraId="07174A2B" w14:textId="73EC33E3" w:rsidR="00053B61" w:rsidRDefault="009E7B3D" w:rsidP="00A043DA">
      <w:pPr>
        <w:rPr>
          <w:lang w:val="en-GB"/>
        </w:rPr>
      </w:pPr>
      <w:r>
        <w:rPr>
          <w:lang w:val="en-GB"/>
        </w:rPr>
        <w:t>Regarding</w:t>
      </w:r>
      <w:r w:rsidR="004535A1">
        <w:rPr>
          <w:lang w:val="en-GB"/>
        </w:rPr>
        <w:t xml:space="preserve"> the </w:t>
      </w:r>
      <w:r w:rsidR="006E5C21">
        <w:rPr>
          <w:lang w:val="en-GB"/>
        </w:rPr>
        <w:t xml:space="preserve">LC classification and mapping, </w:t>
      </w:r>
      <w:r w:rsidR="00407C87">
        <w:rPr>
          <w:lang w:val="en-GB"/>
        </w:rPr>
        <w:t>h</w:t>
      </w:r>
      <w:r w:rsidR="00755B47" w:rsidRPr="00A043DA">
        <w:rPr>
          <w:lang w:val="en-GB"/>
        </w:rPr>
        <w:t xml:space="preserve">ere we present </w:t>
      </w:r>
      <w:r w:rsidR="00755B47">
        <w:rPr>
          <w:lang w:val="en-GB"/>
        </w:rPr>
        <w:t xml:space="preserve">as an example </w:t>
      </w:r>
      <w:r w:rsidR="00755B47" w:rsidRPr="00A043DA">
        <w:rPr>
          <w:lang w:val="en-GB"/>
        </w:rPr>
        <w:t>the</w:t>
      </w:r>
      <w:r w:rsidR="00755B47">
        <w:rPr>
          <w:lang w:val="en-GB"/>
        </w:rPr>
        <w:t xml:space="preserve"> resulting map of</w:t>
      </w:r>
      <w:r w:rsidR="00755B47" w:rsidRPr="0082282C">
        <w:rPr>
          <w:lang w:val="en-GB"/>
        </w:rPr>
        <w:t xml:space="preserve"> </w:t>
      </w:r>
      <w:r w:rsidR="00755B47">
        <w:rPr>
          <w:lang w:val="en-GB"/>
        </w:rPr>
        <w:t>an arbitrarily selected site</w:t>
      </w:r>
      <w:r w:rsidR="00755B47" w:rsidRPr="00751F30">
        <w:rPr>
          <w:lang w:val="en-GB"/>
        </w:rPr>
        <w:t xml:space="preserve"> </w:t>
      </w:r>
      <w:r w:rsidR="00755B47">
        <w:rPr>
          <w:lang w:val="en-GB"/>
        </w:rPr>
        <w:t>encompassing all desired classes, lying mostly in the territory of north Greece but also including some fractions from North Macedonia and Albania</w:t>
      </w:r>
      <w:r w:rsidR="001E2B3A">
        <w:rPr>
          <w:lang w:val="en-GB"/>
        </w:rPr>
        <w:t xml:space="preserve"> (</w:t>
      </w:r>
      <w:r w:rsidR="00C646EA">
        <w:rPr>
          <w:lang w:val="en-GB"/>
        </w:rPr>
        <w:fldChar w:fldCharType="begin"/>
      </w:r>
      <w:r w:rsidR="00C646EA">
        <w:rPr>
          <w:lang w:val="en-GB"/>
        </w:rPr>
        <w:instrText xml:space="preserve"> REF _Ref90842474 \h </w:instrText>
      </w:r>
      <w:r w:rsidR="00C646EA">
        <w:rPr>
          <w:lang w:val="en-GB"/>
        </w:rPr>
      </w:r>
      <w:r w:rsidR="00C646EA">
        <w:rPr>
          <w:lang w:val="en-GB"/>
        </w:rPr>
        <w:fldChar w:fldCharType="separate"/>
      </w:r>
      <w:r w:rsidR="00D4790B">
        <w:t xml:space="preserve">Figure </w:t>
      </w:r>
      <w:r w:rsidR="00D4790B">
        <w:rPr>
          <w:noProof/>
        </w:rPr>
        <w:t>5</w:t>
      </w:r>
      <w:r w:rsidR="00C646EA">
        <w:rPr>
          <w:lang w:val="en-GB"/>
        </w:rPr>
        <w:fldChar w:fldCharType="end"/>
      </w:r>
      <w:r w:rsidR="001E2B3A">
        <w:rPr>
          <w:lang w:val="en-GB"/>
        </w:rPr>
        <w:t>)</w:t>
      </w:r>
      <w:r w:rsidR="00755B47">
        <w:rPr>
          <w:lang w:val="en-GB"/>
        </w:rPr>
        <w:t>.</w:t>
      </w:r>
      <w:r w:rsidR="00053B61">
        <w:rPr>
          <w:lang w:val="en-GB"/>
        </w:rPr>
        <w:t xml:space="preserve"> </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58" w:type="dxa"/>
        </w:tblCellMar>
        <w:tblLook w:val="04A0" w:firstRow="1" w:lastRow="0" w:firstColumn="1" w:lastColumn="0" w:noHBand="0" w:noVBand="1"/>
      </w:tblPr>
      <w:tblGrid>
        <w:gridCol w:w="4032"/>
        <w:gridCol w:w="4032"/>
      </w:tblGrid>
      <w:tr w:rsidR="00053B61" w14:paraId="072FE4CE" w14:textId="77777777" w:rsidTr="00306F4A">
        <w:trPr>
          <w:trHeight w:val="20"/>
          <w:jc w:val="center"/>
        </w:trPr>
        <w:tc>
          <w:tcPr>
            <w:tcW w:w="4032" w:type="dxa"/>
            <w:vMerge w:val="restart"/>
            <w:vAlign w:val="center"/>
          </w:tcPr>
          <w:p w14:paraId="238515DC" w14:textId="77777777" w:rsidR="00053B61" w:rsidRDefault="00053B61" w:rsidP="00306F4A">
            <w:pPr>
              <w:keepNext/>
              <w:jc w:val="center"/>
            </w:pPr>
            <w:r>
              <w:rPr>
                <w:noProof/>
                <w:lang w:val="en-GB" w:eastAsia="en-GB"/>
              </w:rPr>
              <w:lastRenderedPageBreak/>
              <w:drawing>
                <wp:inline distT="0" distB="0" distL="0" distR="0" wp14:anchorId="219A8B4F" wp14:editId="40DF2952">
                  <wp:extent cx="2194560" cy="3121647"/>
                  <wp:effectExtent l="19050" t="19050" r="15240" b="22225"/>
                  <wp:docPr id="16" name="Picture 16"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Map&#10;&#10;Description automatically generated"/>
                          <pic:cNvPicPr/>
                        </pic:nvPicPr>
                        <pic:blipFill>
                          <a:blip r:embed="rId23">
                            <a:extLst>
                              <a:ext uri="{28A0092B-C50C-407E-A947-70E740481C1C}">
                                <a14:useLocalDpi xmlns:a14="http://schemas.microsoft.com/office/drawing/2010/main" val="0"/>
                              </a:ext>
                            </a:extLst>
                          </a:blip>
                          <a:stretch>
                            <a:fillRect/>
                          </a:stretch>
                        </pic:blipFill>
                        <pic:spPr>
                          <a:xfrm>
                            <a:off x="0" y="0"/>
                            <a:ext cx="2194560" cy="3121647"/>
                          </a:xfrm>
                          <a:prstGeom prst="rect">
                            <a:avLst/>
                          </a:prstGeom>
                          <a:ln w="12700">
                            <a:solidFill>
                              <a:schemeClr val="tx1"/>
                            </a:solidFill>
                          </a:ln>
                        </pic:spPr>
                      </pic:pic>
                    </a:graphicData>
                  </a:graphic>
                </wp:inline>
              </w:drawing>
            </w:r>
          </w:p>
          <w:p w14:paraId="43A46247" w14:textId="7154628C" w:rsidR="00053B61" w:rsidRDefault="00053B61" w:rsidP="00955475">
            <w:pPr>
              <w:pStyle w:val="Caption"/>
              <w:spacing w:before="0" w:after="0" w:line="240" w:lineRule="auto"/>
            </w:pPr>
            <w:r>
              <w:t>(</w:t>
            </w:r>
            <w:r>
              <w:fldChar w:fldCharType="begin"/>
            </w:r>
            <w:r>
              <w:instrText xml:space="preserve"> SEQ Map \* alphabetic </w:instrText>
            </w:r>
            <w:r>
              <w:fldChar w:fldCharType="separate"/>
            </w:r>
            <w:r w:rsidR="00D4790B">
              <w:rPr>
                <w:noProof/>
              </w:rPr>
              <w:t>a</w:t>
            </w:r>
            <w:r>
              <w:fldChar w:fldCharType="end"/>
            </w:r>
            <w:r>
              <w:t>)</w:t>
            </w:r>
          </w:p>
        </w:tc>
        <w:tc>
          <w:tcPr>
            <w:tcW w:w="4032" w:type="dxa"/>
            <w:vAlign w:val="bottom"/>
          </w:tcPr>
          <w:p w14:paraId="145B10F7" w14:textId="77777777" w:rsidR="00053B61" w:rsidRDefault="00053B61" w:rsidP="00306F4A">
            <w:pPr>
              <w:keepNext/>
              <w:jc w:val="center"/>
            </w:pPr>
            <w:r>
              <w:rPr>
                <w:noProof/>
                <w:lang w:val="en-GB" w:eastAsia="en-GB"/>
              </w:rPr>
              <w:drawing>
                <wp:inline distT="0" distB="0" distL="0" distR="0" wp14:anchorId="4C40FD8A" wp14:editId="744B6D4C">
                  <wp:extent cx="2194560" cy="2137804"/>
                  <wp:effectExtent l="19050" t="19050" r="15240" b="15240"/>
                  <wp:docPr id="17" name="Picture 17"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Map&#10;&#10;Description automatically generated"/>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194560" cy="2137804"/>
                          </a:xfrm>
                          <a:prstGeom prst="rect">
                            <a:avLst/>
                          </a:prstGeom>
                          <a:ln w="19050">
                            <a:solidFill>
                              <a:schemeClr val="tx1"/>
                            </a:solidFill>
                          </a:ln>
                        </pic:spPr>
                      </pic:pic>
                    </a:graphicData>
                  </a:graphic>
                </wp:inline>
              </w:drawing>
            </w:r>
          </w:p>
          <w:p w14:paraId="04A69F0A" w14:textId="098EF85D" w:rsidR="00053B61" w:rsidRDefault="00053B61" w:rsidP="00306F4A">
            <w:pPr>
              <w:pStyle w:val="Caption"/>
            </w:pPr>
            <w:r>
              <w:t>(</w:t>
            </w:r>
            <w:r>
              <w:fldChar w:fldCharType="begin"/>
            </w:r>
            <w:r>
              <w:instrText xml:space="preserve"> SEQ Map \* alphabetic </w:instrText>
            </w:r>
            <w:r>
              <w:fldChar w:fldCharType="separate"/>
            </w:r>
            <w:r w:rsidR="00D4790B">
              <w:rPr>
                <w:noProof/>
              </w:rPr>
              <w:t>b</w:t>
            </w:r>
            <w:r>
              <w:fldChar w:fldCharType="end"/>
            </w:r>
            <w:r>
              <w:t>)</w:t>
            </w:r>
          </w:p>
        </w:tc>
      </w:tr>
      <w:tr w:rsidR="00053B61" w14:paraId="0C89E81E" w14:textId="77777777" w:rsidTr="00306F4A">
        <w:trPr>
          <w:gridAfter w:val="1"/>
          <w:wAfter w:w="4032" w:type="dxa"/>
          <w:trHeight w:val="379"/>
          <w:jc w:val="center"/>
        </w:trPr>
        <w:tc>
          <w:tcPr>
            <w:tcW w:w="4032" w:type="dxa"/>
            <w:vMerge/>
          </w:tcPr>
          <w:p w14:paraId="53695FB8" w14:textId="77777777" w:rsidR="00053B61" w:rsidRDefault="00053B61" w:rsidP="00306F4A">
            <w:pPr>
              <w:jc w:val="center"/>
              <w:rPr>
                <w:lang w:val="en-GB"/>
              </w:rPr>
            </w:pPr>
          </w:p>
        </w:tc>
      </w:tr>
    </w:tbl>
    <w:p w14:paraId="27B108F7" w14:textId="65766A38" w:rsidR="00053B61" w:rsidRDefault="00053B61" w:rsidP="00053B61">
      <w:pPr>
        <w:pStyle w:val="Caption"/>
      </w:pPr>
      <w:bookmarkStart w:id="55" w:name="_Ref90842474"/>
      <w:bookmarkStart w:id="56" w:name="_Toc91583685"/>
      <w:r>
        <w:t xml:space="preserve">Figure </w:t>
      </w:r>
      <w:r>
        <w:fldChar w:fldCharType="begin"/>
      </w:r>
      <w:r>
        <w:instrText xml:space="preserve"> SEQ Figure \* ARABIC </w:instrText>
      </w:r>
      <w:r>
        <w:fldChar w:fldCharType="separate"/>
      </w:r>
      <w:r w:rsidR="00D4790B">
        <w:rPr>
          <w:noProof/>
        </w:rPr>
        <w:t>5</w:t>
      </w:r>
      <w:r>
        <w:fldChar w:fldCharType="end"/>
      </w:r>
      <w:bookmarkEnd w:id="55"/>
      <w:r>
        <w:t>.</w:t>
      </w:r>
      <w:r w:rsidRPr="00814296">
        <w:t xml:space="preserve"> </w:t>
      </w:r>
      <w:r w:rsidR="00183828">
        <w:t>Location of e</w:t>
      </w:r>
      <w:r>
        <w:t>xample area</w:t>
      </w:r>
      <w:bookmarkEnd w:id="56"/>
    </w:p>
    <w:p w14:paraId="1EDE5DFD" w14:textId="7E184A0E" w:rsidR="007D7A24" w:rsidRDefault="00755B47" w:rsidP="00A043DA">
      <w:pPr>
        <w:rPr>
          <w:lang w:val="en-GB"/>
        </w:rPr>
      </w:pPr>
      <w:r>
        <w:rPr>
          <w:lang w:val="en-GB"/>
        </w:rPr>
        <w:t xml:space="preserve"> </w:t>
      </w:r>
      <w:r w:rsidR="00781973">
        <w:rPr>
          <w:lang w:val="en-GB"/>
        </w:rPr>
        <w:t>In</w:t>
      </w:r>
      <w:r w:rsidR="002B3882">
        <w:rPr>
          <w:color w:val="FF0000"/>
          <w:lang w:val="en-GB"/>
        </w:rPr>
        <w:t xml:space="preserve"> </w:t>
      </w:r>
      <w:r w:rsidR="002B3882">
        <w:rPr>
          <w:color w:val="FF0000"/>
          <w:lang w:val="en-GB"/>
        </w:rPr>
        <w:fldChar w:fldCharType="begin"/>
      </w:r>
      <w:r w:rsidR="002B3882">
        <w:rPr>
          <w:color w:val="FF0000"/>
          <w:lang w:val="en-GB"/>
        </w:rPr>
        <w:instrText xml:space="preserve"> REF _Ref90842522 \h </w:instrText>
      </w:r>
      <w:r w:rsidR="002B3882">
        <w:rPr>
          <w:color w:val="FF0000"/>
          <w:lang w:val="en-GB"/>
        </w:rPr>
      </w:r>
      <w:r w:rsidR="002B3882">
        <w:rPr>
          <w:color w:val="FF0000"/>
          <w:lang w:val="en-GB"/>
        </w:rPr>
        <w:fldChar w:fldCharType="separate"/>
      </w:r>
      <w:r w:rsidR="00D4790B">
        <w:t xml:space="preserve">Figure </w:t>
      </w:r>
      <w:r w:rsidR="00D4790B">
        <w:rPr>
          <w:noProof/>
        </w:rPr>
        <w:t>6</w:t>
      </w:r>
      <w:r w:rsidR="002B3882">
        <w:rPr>
          <w:color w:val="FF0000"/>
          <w:lang w:val="en-GB"/>
        </w:rPr>
        <w:fldChar w:fldCharType="end"/>
      </w:r>
      <w:r w:rsidR="00781973">
        <w:rPr>
          <w:lang w:val="en-GB"/>
        </w:rPr>
        <w:t xml:space="preserve">, the five </w:t>
      </w:r>
      <w:r w:rsidR="006E64EB">
        <w:rPr>
          <w:lang w:val="en-GB"/>
        </w:rPr>
        <w:t xml:space="preserve">classes of interest are depicted as </w:t>
      </w:r>
      <w:r w:rsidR="00302462">
        <w:rPr>
          <w:lang w:val="en-GB"/>
        </w:rPr>
        <w:t xml:space="preserve">produced by the </w:t>
      </w:r>
      <w:r w:rsidR="00A07BCC">
        <w:rPr>
          <w:lang w:val="en-GB"/>
        </w:rPr>
        <w:t>Enhanced Classification tool</w:t>
      </w:r>
      <w:r w:rsidR="006E64EB">
        <w:rPr>
          <w:lang w:val="en-GB"/>
        </w:rPr>
        <w:t xml:space="preserve">. </w:t>
      </w:r>
      <w:r w:rsidR="003120CE">
        <w:rPr>
          <w:lang w:val="en-GB"/>
        </w:rPr>
        <w:t xml:space="preserve">The Forest LC in green colour, the </w:t>
      </w:r>
      <w:r w:rsidR="00D3576D">
        <w:rPr>
          <w:lang w:val="en-GB"/>
        </w:rPr>
        <w:t>Croplands</w:t>
      </w:r>
      <w:r w:rsidR="003120CE">
        <w:rPr>
          <w:lang w:val="en-GB"/>
        </w:rPr>
        <w:t xml:space="preserve"> LC in orange, </w:t>
      </w:r>
      <w:r w:rsidR="00DA7B52">
        <w:rPr>
          <w:lang w:val="en-GB"/>
        </w:rPr>
        <w:t xml:space="preserve">the Impervious in purple, </w:t>
      </w:r>
      <w:r w:rsidR="00C06D3F">
        <w:rPr>
          <w:lang w:val="en-GB"/>
        </w:rPr>
        <w:t>Water in blue and MLs in red.</w:t>
      </w:r>
    </w:p>
    <w:p w14:paraId="5429A229" w14:textId="77777777" w:rsidR="003F6832" w:rsidRDefault="00161C5E" w:rsidP="00944F2E">
      <w:pPr>
        <w:keepNext/>
        <w:jc w:val="center"/>
      </w:pPr>
      <w:r>
        <w:rPr>
          <w:noProof/>
          <w:lang w:val="en-GB" w:eastAsia="en-GB"/>
        </w:rPr>
        <w:drawing>
          <wp:inline distT="0" distB="0" distL="0" distR="0" wp14:anchorId="6BC6C807" wp14:editId="1326CD81">
            <wp:extent cx="4297680" cy="3305754"/>
            <wp:effectExtent l="19050" t="19050" r="26670" b="28575"/>
            <wp:docPr id="7" name="Picture 7"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Map&#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4297680" cy="3305754"/>
                    </a:xfrm>
                    <a:prstGeom prst="rect">
                      <a:avLst/>
                    </a:prstGeom>
                    <a:ln w="12700">
                      <a:solidFill>
                        <a:schemeClr val="tx1"/>
                      </a:solidFill>
                    </a:ln>
                  </pic:spPr>
                </pic:pic>
              </a:graphicData>
            </a:graphic>
          </wp:inline>
        </w:drawing>
      </w:r>
    </w:p>
    <w:p w14:paraId="0E04810D" w14:textId="2E9F795F" w:rsidR="00053B61" w:rsidRDefault="003F6832" w:rsidP="00944F2E">
      <w:pPr>
        <w:pStyle w:val="Caption"/>
      </w:pPr>
      <w:bookmarkStart w:id="57" w:name="_Ref90842522"/>
      <w:bookmarkStart w:id="58" w:name="_Toc91583686"/>
      <w:r>
        <w:t xml:space="preserve">Figure </w:t>
      </w:r>
      <w:r>
        <w:fldChar w:fldCharType="begin"/>
      </w:r>
      <w:r>
        <w:instrText xml:space="preserve"> SEQ Figure \* ARABIC </w:instrText>
      </w:r>
      <w:r>
        <w:fldChar w:fldCharType="separate"/>
      </w:r>
      <w:r w:rsidR="00D4790B">
        <w:rPr>
          <w:noProof/>
        </w:rPr>
        <w:t>6</w:t>
      </w:r>
      <w:r>
        <w:fldChar w:fldCharType="end"/>
      </w:r>
      <w:bookmarkEnd w:id="57"/>
      <w:r>
        <w:t xml:space="preserve">. Output of </w:t>
      </w:r>
      <w:r w:rsidR="00386137">
        <w:t xml:space="preserve">enhanced </w:t>
      </w:r>
      <w:r>
        <w:t>classification</w:t>
      </w:r>
      <w:r w:rsidR="00386137">
        <w:t xml:space="preserve"> algorithm</w:t>
      </w:r>
      <w:bookmarkEnd w:id="58"/>
    </w:p>
    <w:p w14:paraId="040348E1" w14:textId="2FDF516B" w:rsidR="00682CA8" w:rsidRDefault="00004D3A" w:rsidP="00682CA8">
      <w:pPr>
        <w:rPr>
          <w:lang w:val="en-GB"/>
        </w:rPr>
      </w:pPr>
      <w:r>
        <w:rPr>
          <w:lang w:val="en-GB"/>
        </w:rPr>
        <w:lastRenderedPageBreak/>
        <w:t>Starting with</w:t>
      </w:r>
      <w:r w:rsidR="00711DDD">
        <w:rPr>
          <w:lang w:val="en-GB"/>
        </w:rPr>
        <w:t xml:space="preserve"> the Water </w:t>
      </w:r>
      <w:r w:rsidR="00407274">
        <w:rPr>
          <w:lang w:val="en-GB"/>
        </w:rPr>
        <w:t>class</w:t>
      </w:r>
      <w:r w:rsidR="00561A7D">
        <w:rPr>
          <w:lang w:val="en-GB"/>
        </w:rPr>
        <w:t>,</w:t>
      </w:r>
      <w:r w:rsidR="00711DDD">
        <w:rPr>
          <w:lang w:val="en-GB"/>
        </w:rPr>
        <w:t xml:space="preserve"> </w:t>
      </w:r>
      <w:r w:rsidR="00FB4CE1">
        <w:rPr>
          <w:lang w:val="en-GB"/>
        </w:rPr>
        <w:t xml:space="preserve">which is a distinctively delineated feature, we can </w:t>
      </w:r>
      <w:r w:rsidR="006C01BC">
        <w:rPr>
          <w:lang w:val="en-GB"/>
        </w:rPr>
        <w:t xml:space="preserve">see that the water bodies are mapped very accurately </w:t>
      </w:r>
      <w:r w:rsidR="00C732C2">
        <w:rPr>
          <w:lang w:val="en-GB"/>
        </w:rPr>
        <w:t xml:space="preserve">following the boundaries of the lakes. </w:t>
      </w:r>
      <w:r w:rsidR="00171B25">
        <w:rPr>
          <w:lang w:val="en-GB"/>
        </w:rPr>
        <w:t>The rest of the classes are more challenging to assess visually</w:t>
      </w:r>
      <w:r w:rsidR="008B1462">
        <w:rPr>
          <w:lang w:val="en-GB"/>
        </w:rPr>
        <w:t>.</w:t>
      </w:r>
      <w:r w:rsidR="00893560">
        <w:rPr>
          <w:lang w:val="en-GB"/>
        </w:rPr>
        <w:t xml:space="preserve"> </w:t>
      </w:r>
      <w:r w:rsidR="008B1462">
        <w:rPr>
          <w:lang w:val="en-GB"/>
        </w:rPr>
        <w:t>However,</w:t>
      </w:r>
      <w:r w:rsidR="00893560">
        <w:rPr>
          <w:lang w:val="en-GB"/>
        </w:rPr>
        <w:t xml:space="preserve"> by overlaying the classified map on the</w:t>
      </w:r>
      <w:r w:rsidR="00FB7AFE">
        <w:rPr>
          <w:lang w:val="en-GB"/>
        </w:rPr>
        <w:t xml:space="preserve"> Satellite view of GEE, </w:t>
      </w:r>
      <w:r w:rsidR="0021454A">
        <w:rPr>
          <w:lang w:val="en-GB"/>
        </w:rPr>
        <w:t>a match of the classes appended with reality is indeed present</w:t>
      </w:r>
      <w:r w:rsidR="009B1D9E">
        <w:rPr>
          <w:lang w:val="en-GB"/>
        </w:rPr>
        <w:t xml:space="preserve"> for the classes of Forest and</w:t>
      </w:r>
      <w:r w:rsidR="005E4C53">
        <w:rPr>
          <w:lang w:val="en-GB"/>
        </w:rPr>
        <w:t xml:space="preserve"> Agriculture, even though the last one is an admittedly </w:t>
      </w:r>
      <w:r w:rsidR="00450AAF">
        <w:rPr>
          <w:lang w:val="en-GB"/>
        </w:rPr>
        <w:t xml:space="preserve">a </w:t>
      </w:r>
      <w:r w:rsidR="005E4C53">
        <w:rPr>
          <w:lang w:val="en-GB"/>
        </w:rPr>
        <w:t>diverse class</w:t>
      </w:r>
      <w:r w:rsidR="008B1462">
        <w:rPr>
          <w:lang w:val="en-GB"/>
        </w:rPr>
        <w:t xml:space="preserve"> in signature response.</w:t>
      </w:r>
      <w:r w:rsidR="0041359E">
        <w:rPr>
          <w:lang w:val="en-GB"/>
        </w:rPr>
        <w:t xml:space="preserve"> </w:t>
      </w:r>
      <w:r w:rsidR="009F1D7D">
        <w:rPr>
          <w:lang w:val="en-GB"/>
        </w:rPr>
        <w:t xml:space="preserve">As mentioned in a previous chapter, </w:t>
      </w:r>
      <w:r w:rsidR="00531EB6">
        <w:rPr>
          <w:lang w:val="en-GB"/>
        </w:rPr>
        <w:t xml:space="preserve">a frequent source of confusion for the algorithm was the separation of Impervious </w:t>
      </w:r>
      <w:r w:rsidR="00407274">
        <w:rPr>
          <w:lang w:val="en-GB"/>
        </w:rPr>
        <w:t>areas</w:t>
      </w:r>
      <w:r w:rsidR="00531EB6">
        <w:rPr>
          <w:lang w:val="en-GB"/>
        </w:rPr>
        <w:t xml:space="preserve"> from MLs.</w:t>
      </w:r>
      <w:r w:rsidR="00A134CD">
        <w:rPr>
          <w:lang w:val="en-GB"/>
        </w:rPr>
        <w:t xml:space="preserve"> The </w:t>
      </w:r>
      <w:r w:rsidR="00A134CD" w:rsidRPr="00944F2E">
        <w:rPr>
          <w:color w:val="000000" w:themeColor="text1"/>
          <w:lang w:val="en-GB"/>
        </w:rPr>
        <w:t>region highli</w:t>
      </w:r>
      <w:r w:rsidR="00CB092B" w:rsidRPr="00944F2E">
        <w:rPr>
          <w:color w:val="000000" w:themeColor="text1"/>
          <w:lang w:val="en-GB"/>
        </w:rPr>
        <w:t xml:space="preserve">ghted at the bottom right </w:t>
      </w:r>
      <w:r w:rsidR="00FA182C">
        <w:rPr>
          <w:lang w:val="en-GB"/>
        </w:rPr>
        <w:t>in</w:t>
      </w:r>
      <w:r w:rsidR="00503F44">
        <w:rPr>
          <w:lang w:val="en-GB"/>
        </w:rPr>
        <w:t xml:space="preserve"> a white circle</w:t>
      </w:r>
      <w:r w:rsidR="00CB092B">
        <w:rPr>
          <w:lang w:val="en-GB"/>
        </w:rPr>
        <w:t xml:space="preserve"> is </w:t>
      </w:r>
      <w:r w:rsidR="00053616">
        <w:rPr>
          <w:lang w:val="en-GB"/>
        </w:rPr>
        <w:t xml:space="preserve">the </w:t>
      </w:r>
      <w:r w:rsidR="00CB092B">
        <w:rPr>
          <w:lang w:val="en-GB"/>
        </w:rPr>
        <w:t>coal mine</w:t>
      </w:r>
      <w:r w:rsidR="00053616">
        <w:rPr>
          <w:lang w:val="en-GB"/>
        </w:rPr>
        <w:t xml:space="preserve"> of </w:t>
      </w:r>
      <w:r w:rsidR="00AA4F86">
        <w:rPr>
          <w:lang w:val="en-GB"/>
        </w:rPr>
        <w:t>DEI (electricity provider of Greece)</w:t>
      </w:r>
      <w:r w:rsidR="00922353">
        <w:rPr>
          <w:lang w:val="en-GB"/>
        </w:rPr>
        <w:t xml:space="preserve">, one of the biggest in Greece, and the confusion mentioned before is </w:t>
      </w:r>
      <w:r w:rsidR="002C5076">
        <w:rPr>
          <w:lang w:val="en-GB"/>
        </w:rPr>
        <w:t xml:space="preserve">evident there. </w:t>
      </w:r>
      <w:r w:rsidR="003156D8">
        <w:rPr>
          <w:lang w:val="en-GB"/>
        </w:rPr>
        <w:t xml:space="preserve">This is very much expected </w:t>
      </w:r>
      <w:proofErr w:type="gramStart"/>
      <w:r w:rsidR="00AA4F86">
        <w:rPr>
          <w:lang w:val="en-GB"/>
        </w:rPr>
        <w:t>though</w:t>
      </w:r>
      <w:r w:rsidR="00503F44">
        <w:rPr>
          <w:lang w:val="en-GB"/>
        </w:rPr>
        <w:t>,</w:t>
      </w:r>
      <w:r w:rsidR="00AA4F86">
        <w:rPr>
          <w:lang w:val="en-GB"/>
        </w:rPr>
        <w:t xml:space="preserve"> since</w:t>
      </w:r>
      <w:proofErr w:type="gramEnd"/>
      <w:r w:rsidR="003156D8">
        <w:rPr>
          <w:lang w:val="en-GB"/>
        </w:rPr>
        <w:t xml:space="preserve"> the spectral signatures of these features </w:t>
      </w:r>
      <w:r w:rsidR="00955475">
        <w:rPr>
          <w:lang w:val="en-GB"/>
        </w:rPr>
        <w:t>are</w:t>
      </w:r>
      <w:r w:rsidR="00AA4F86">
        <w:rPr>
          <w:lang w:val="en-GB"/>
        </w:rPr>
        <w:t xml:space="preserve"> </w:t>
      </w:r>
      <w:r w:rsidR="00524BFC">
        <w:rPr>
          <w:lang w:val="en-GB"/>
        </w:rPr>
        <w:t xml:space="preserve">very similar. The </w:t>
      </w:r>
      <w:r w:rsidR="00E342A5">
        <w:rPr>
          <w:lang w:val="en-GB"/>
        </w:rPr>
        <w:t xml:space="preserve">typical Impervious </w:t>
      </w:r>
      <w:r w:rsidR="00C85B1E">
        <w:rPr>
          <w:lang w:val="en-GB"/>
        </w:rPr>
        <w:t>features,</w:t>
      </w:r>
      <w:r w:rsidR="00E342A5">
        <w:rPr>
          <w:lang w:val="en-GB"/>
        </w:rPr>
        <w:t xml:space="preserve"> nevertheless, like the city of </w:t>
      </w:r>
      <w:r w:rsidR="00C85B1E">
        <w:rPr>
          <w:lang w:val="en-GB"/>
        </w:rPr>
        <w:t xml:space="preserve">Bitola, </w:t>
      </w:r>
      <w:proofErr w:type="spellStart"/>
      <w:r w:rsidR="00EE5AD1">
        <w:rPr>
          <w:lang w:val="en-GB"/>
        </w:rPr>
        <w:t>Ptolemaida</w:t>
      </w:r>
      <w:proofErr w:type="spellEnd"/>
      <w:r w:rsidR="00EE5AD1">
        <w:rPr>
          <w:lang w:val="en-GB"/>
        </w:rPr>
        <w:t xml:space="preserve"> and </w:t>
      </w:r>
      <w:proofErr w:type="spellStart"/>
      <w:r w:rsidR="00EE5AD1">
        <w:rPr>
          <w:lang w:val="en-GB"/>
        </w:rPr>
        <w:t>Kozani</w:t>
      </w:r>
      <w:proofErr w:type="spellEnd"/>
      <w:r w:rsidR="00EE5AD1">
        <w:rPr>
          <w:lang w:val="en-GB"/>
        </w:rPr>
        <w:t xml:space="preserve"> (</w:t>
      </w:r>
      <w:r w:rsidR="00EE5AD1" w:rsidRPr="00944F2E">
        <w:rPr>
          <w:color w:val="000000" w:themeColor="text1"/>
          <w:lang w:val="en-GB"/>
        </w:rPr>
        <w:t xml:space="preserve">highlighted in </w:t>
      </w:r>
      <w:r w:rsidR="00EE015C" w:rsidRPr="00944F2E">
        <w:rPr>
          <w:color w:val="000000" w:themeColor="text1"/>
          <w:lang w:val="en-GB"/>
        </w:rPr>
        <w:t>black</w:t>
      </w:r>
      <w:r w:rsidR="00EE5AD1">
        <w:rPr>
          <w:lang w:val="en-GB"/>
        </w:rPr>
        <w:t>) are mapped</w:t>
      </w:r>
      <w:r w:rsidR="00053616">
        <w:rPr>
          <w:lang w:val="en-GB"/>
        </w:rPr>
        <w:t xml:space="preserve"> accurately as well.</w:t>
      </w:r>
    </w:p>
    <w:tbl>
      <w:tblPr>
        <w:tblStyle w:val="TableGrid"/>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58" w:type="dxa"/>
        </w:tblCellMar>
        <w:tblLook w:val="04A0" w:firstRow="1" w:lastRow="0" w:firstColumn="1" w:lastColumn="0" w:noHBand="0" w:noVBand="1"/>
      </w:tblPr>
      <w:tblGrid>
        <w:gridCol w:w="2835"/>
        <w:gridCol w:w="2836"/>
        <w:gridCol w:w="2834"/>
      </w:tblGrid>
      <w:tr w:rsidR="00352FB8" w14:paraId="1A16C5FC" w14:textId="77777777" w:rsidTr="00FA182C">
        <w:trPr>
          <w:jc w:val="center"/>
        </w:trPr>
        <w:tc>
          <w:tcPr>
            <w:tcW w:w="1667" w:type="pct"/>
            <w:vAlign w:val="center"/>
          </w:tcPr>
          <w:p w14:paraId="5057F358" w14:textId="77777777" w:rsidR="00167D35" w:rsidRDefault="005822DE" w:rsidP="00944F2E">
            <w:pPr>
              <w:keepNext/>
              <w:jc w:val="center"/>
            </w:pPr>
            <w:r>
              <w:rPr>
                <w:noProof/>
                <w:lang w:val="en-GB" w:eastAsia="en-GB"/>
              </w:rPr>
              <w:drawing>
                <wp:inline distT="0" distB="0" distL="0" distR="0" wp14:anchorId="2AE47DA6" wp14:editId="4AA37B90">
                  <wp:extent cx="1737360" cy="1700387"/>
                  <wp:effectExtent l="0" t="0" r="0" b="0"/>
                  <wp:docPr id="10" name="Picture 10"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Map&#10;&#10;Description automatically generated"/>
                          <pic:cNvPicPr/>
                        </pic:nvPicPr>
                        <pic:blipFill>
                          <a:blip r:embed="rId26" cstate="print">
                            <a:extLst>
                              <a:ext uri="{28A0092B-C50C-407E-A947-70E740481C1C}">
                                <a14:useLocalDpi xmlns:a14="http://schemas.microsoft.com/office/drawing/2010/main" val="0"/>
                              </a:ext>
                            </a:extLst>
                          </a:blip>
                          <a:stretch>
                            <a:fillRect/>
                          </a:stretch>
                        </pic:blipFill>
                        <pic:spPr>
                          <a:xfrm>
                            <a:off x="0" y="0"/>
                            <a:ext cx="1737360" cy="1700387"/>
                          </a:xfrm>
                          <a:prstGeom prst="rect">
                            <a:avLst/>
                          </a:prstGeom>
                        </pic:spPr>
                      </pic:pic>
                    </a:graphicData>
                  </a:graphic>
                </wp:inline>
              </w:drawing>
            </w:r>
          </w:p>
          <w:p w14:paraId="56366DBB" w14:textId="6C672789" w:rsidR="005822DE" w:rsidRDefault="005D6B0A" w:rsidP="00944F2E">
            <w:pPr>
              <w:pStyle w:val="Caption"/>
            </w:pPr>
            <w:r>
              <w:t>(</w:t>
            </w:r>
            <w:r w:rsidR="00233702">
              <w:t>a</w:t>
            </w:r>
            <w:r>
              <w:t>)</w:t>
            </w:r>
          </w:p>
        </w:tc>
        <w:tc>
          <w:tcPr>
            <w:tcW w:w="1667" w:type="pct"/>
            <w:vAlign w:val="center"/>
          </w:tcPr>
          <w:p w14:paraId="6A3BD7DF" w14:textId="77777777" w:rsidR="005D6B0A" w:rsidRDefault="003F4D5F" w:rsidP="00944F2E">
            <w:pPr>
              <w:keepNext/>
              <w:jc w:val="center"/>
            </w:pPr>
            <w:r>
              <w:rPr>
                <w:noProof/>
                <w:lang w:val="en-GB" w:eastAsia="en-GB"/>
              </w:rPr>
              <w:drawing>
                <wp:inline distT="0" distB="0" distL="0" distR="0" wp14:anchorId="14C60723" wp14:editId="186D0159">
                  <wp:extent cx="1737360" cy="1702021"/>
                  <wp:effectExtent l="0" t="0" r="0" b="0"/>
                  <wp:docPr id="11" name="Picture 11"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Map&#10;&#10;Description automatically generated"/>
                          <pic:cNvPicPr/>
                        </pic:nvPicPr>
                        <pic:blipFill>
                          <a:blip r:embed="rId27" cstate="print">
                            <a:extLst>
                              <a:ext uri="{28A0092B-C50C-407E-A947-70E740481C1C}">
                                <a14:useLocalDpi xmlns:a14="http://schemas.microsoft.com/office/drawing/2010/main" val="0"/>
                              </a:ext>
                            </a:extLst>
                          </a:blip>
                          <a:stretch>
                            <a:fillRect/>
                          </a:stretch>
                        </pic:blipFill>
                        <pic:spPr>
                          <a:xfrm>
                            <a:off x="0" y="0"/>
                            <a:ext cx="1737360" cy="1702021"/>
                          </a:xfrm>
                          <a:prstGeom prst="rect">
                            <a:avLst/>
                          </a:prstGeom>
                        </pic:spPr>
                      </pic:pic>
                    </a:graphicData>
                  </a:graphic>
                </wp:inline>
              </w:drawing>
            </w:r>
          </w:p>
          <w:p w14:paraId="011C79D3" w14:textId="14B444EE" w:rsidR="005822DE" w:rsidRDefault="005D6B0A" w:rsidP="00944F2E">
            <w:pPr>
              <w:pStyle w:val="Caption"/>
            </w:pPr>
            <w:r>
              <w:t>(</w:t>
            </w:r>
            <w:r w:rsidR="00233702">
              <w:t>b</w:t>
            </w:r>
            <w:r>
              <w:t>)</w:t>
            </w:r>
          </w:p>
        </w:tc>
        <w:tc>
          <w:tcPr>
            <w:tcW w:w="1667" w:type="pct"/>
            <w:vAlign w:val="center"/>
          </w:tcPr>
          <w:p w14:paraId="24DF48F1" w14:textId="77777777" w:rsidR="005D6B0A" w:rsidRDefault="003F4D5F" w:rsidP="00336D64">
            <w:pPr>
              <w:keepNext/>
              <w:jc w:val="center"/>
            </w:pPr>
            <w:r>
              <w:rPr>
                <w:noProof/>
                <w:lang w:val="en-GB" w:eastAsia="en-GB"/>
              </w:rPr>
              <w:drawing>
                <wp:inline distT="0" distB="0" distL="0" distR="0" wp14:anchorId="12120F20" wp14:editId="4DFB72B6">
                  <wp:extent cx="1737360" cy="1695483"/>
                  <wp:effectExtent l="0" t="0" r="0" b="0"/>
                  <wp:docPr id="12" name="Picture 12"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Map&#10;&#10;Description automatically generated"/>
                          <pic:cNvPicPr/>
                        </pic:nvPicPr>
                        <pic:blipFill>
                          <a:blip r:embed="rId28" cstate="print">
                            <a:extLst>
                              <a:ext uri="{28A0092B-C50C-407E-A947-70E740481C1C}">
                                <a14:useLocalDpi xmlns:a14="http://schemas.microsoft.com/office/drawing/2010/main" val="0"/>
                              </a:ext>
                            </a:extLst>
                          </a:blip>
                          <a:stretch>
                            <a:fillRect/>
                          </a:stretch>
                        </pic:blipFill>
                        <pic:spPr>
                          <a:xfrm>
                            <a:off x="0" y="0"/>
                            <a:ext cx="1737360" cy="1695483"/>
                          </a:xfrm>
                          <a:prstGeom prst="rect">
                            <a:avLst/>
                          </a:prstGeom>
                        </pic:spPr>
                      </pic:pic>
                    </a:graphicData>
                  </a:graphic>
                </wp:inline>
              </w:drawing>
            </w:r>
          </w:p>
          <w:p w14:paraId="3C7A53CB" w14:textId="69327D7D" w:rsidR="005822DE" w:rsidRDefault="005D6B0A" w:rsidP="00944F2E">
            <w:pPr>
              <w:pStyle w:val="Caption"/>
            </w:pPr>
            <w:r>
              <w:t>(</w:t>
            </w:r>
            <w:r w:rsidR="00233702">
              <w:t>c</w:t>
            </w:r>
            <w:r>
              <w:t>)</w:t>
            </w:r>
          </w:p>
        </w:tc>
      </w:tr>
    </w:tbl>
    <w:p w14:paraId="4AED9C70" w14:textId="4D8452A2" w:rsidR="005822DE" w:rsidRDefault="00C37B56" w:rsidP="00944F2E">
      <w:pPr>
        <w:pStyle w:val="Caption"/>
      </w:pPr>
      <w:bookmarkStart w:id="59" w:name="_Ref90842579"/>
      <w:bookmarkStart w:id="60" w:name="_Toc91583687"/>
      <w:r>
        <w:t xml:space="preserve">Figure </w:t>
      </w:r>
      <w:r w:rsidR="00167D35">
        <w:fldChar w:fldCharType="begin"/>
      </w:r>
      <w:r w:rsidR="00167D35">
        <w:instrText xml:space="preserve"> SEQ Figure \* ARABIC </w:instrText>
      </w:r>
      <w:r w:rsidR="00167D35">
        <w:fldChar w:fldCharType="separate"/>
      </w:r>
      <w:r w:rsidR="00D4790B">
        <w:rPr>
          <w:noProof/>
        </w:rPr>
        <w:t>7</w:t>
      </w:r>
      <w:r w:rsidR="00167D35">
        <w:fldChar w:fldCharType="end"/>
      </w:r>
      <w:bookmarkEnd w:id="59"/>
      <w:r>
        <w:t xml:space="preserve">. </w:t>
      </w:r>
      <w:r w:rsidR="00FF3BAD">
        <w:t xml:space="preserve">Comparison of </w:t>
      </w:r>
      <w:r>
        <w:t>ML class based on (a) Task 2.3</w:t>
      </w:r>
      <w:r w:rsidR="00E6182E">
        <w:t xml:space="preserve"> (black)</w:t>
      </w:r>
      <w:r>
        <w:t>, and (b) Task 2.8</w:t>
      </w:r>
      <w:r w:rsidR="00E6182E">
        <w:t xml:space="preserve"> (red)</w:t>
      </w:r>
      <w:r>
        <w:rPr>
          <w:noProof/>
        </w:rPr>
        <w:t xml:space="preserve"> and (c) 2.8 overlaid on 2.3</w:t>
      </w:r>
      <w:bookmarkEnd w:id="60"/>
    </w:p>
    <w:p w14:paraId="6A22283B" w14:textId="5A01ED5F" w:rsidR="008F3BAE" w:rsidRDefault="00E3351B" w:rsidP="00682CA8">
      <w:pPr>
        <w:rPr>
          <w:lang w:val="en-GB"/>
        </w:rPr>
      </w:pPr>
      <w:r>
        <w:rPr>
          <w:lang w:val="en-GB"/>
        </w:rPr>
        <w:t xml:space="preserve">In </w:t>
      </w:r>
      <w:r w:rsidR="00BC1052" w:rsidRPr="00944F2E">
        <w:rPr>
          <w:color w:val="000000" w:themeColor="text1"/>
          <w:lang w:val="en-GB"/>
        </w:rPr>
        <w:fldChar w:fldCharType="begin"/>
      </w:r>
      <w:r w:rsidR="00BC1052" w:rsidRPr="00944F2E">
        <w:rPr>
          <w:color w:val="000000" w:themeColor="text1"/>
          <w:lang w:val="en-GB"/>
        </w:rPr>
        <w:instrText xml:space="preserve"> REF _Ref90842579 \h </w:instrText>
      </w:r>
      <w:r w:rsidR="00BC1052" w:rsidRPr="00944F2E">
        <w:rPr>
          <w:color w:val="000000" w:themeColor="text1"/>
          <w:lang w:val="en-GB"/>
        </w:rPr>
      </w:r>
      <w:r w:rsidR="00BC1052" w:rsidRPr="00944F2E">
        <w:rPr>
          <w:color w:val="000000" w:themeColor="text1"/>
          <w:lang w:val="en-GB"/>
        </w:rPr>
        <w:fldChar w:fldCharType="separate"/>
      </w:r>
      <w:r w:rsidR="00D4790B">
        <w:t xml:space="preserve">Figure </w:t>
      </w:r>
      <w:r w:rsidR="00D4790B">
        <w:rPr>
          <w:noProof/>
        </w:rPr>
        <w:t>7</w:t>
      </w:r>
      <w:r w:rsidR="00BC1052" w:rsidRPr="00944F2E">
        <w:rPr>
          <w:color w:val="000000" w:themeColor="text1"/>
          <w:lang w:val="en-GB"/>
        </w:rPr>
        <w:fldChar w:fldCharType="end"/>
      </w:r>
      <w:r w:rsidR="009D54CB">
        <w:rPr>
          <w:color w:val="000000" w:themeColor="text1"/>
          <w:lang w:val="en-GB"/>
        </w:rPr>
        <w:t>(b)</w:t>
      </w:r>
      <w:r w:rsidR="00BC1052" w:rsidRPr="00944F2E">
        <w:rPr>
          <w:color w:val="000000" w:themeColor="text1"/>
          <w:lang w:val="en-GB"/>
        </w:rPr>
        <w:t xml:space="preserve"> </w:t>
      </w:r>
      <w:r>
        <w:rPr>
          <w:lang w:val="en-GB"/>
        </w:rPr>
        <w:t>the ML class is e</w:t>
      </w:r>
      <w:r w:rsidR="00E776B4">
        <w:rPr>
          <w:lang w:val="en-GB"/>
        </w:rPr>
        <w:t>xtract</w:t>
      </w:r>
      <w:r>
        <w:rPr>
          <w:lang w:val="en-GB"/>
        </w:rPr>
        <w:t>ed</w:t>
      </w:r>
      <w:r w:rsidR="00E776B4">
        <w:rPr>
          <w:lang w:val="en-GB"/>
        </w:rPr>
        <w:t xml:space="preserve"> </w:t>
      </w:r>
      <w:r>
        <w:rPr>
          <w:lang w:val="en-GB"/>
        </w:rPr>
        <w:t>from the</w:t>
      </w:r>
      <w:r w:rsidR="00E22CD5">
        <w:rPr>
          <w:lang w:val="en-GB"/>
        </w:rPr>
        <w:t xml:space="preserve"> classified image</w:t>
      </w:r>
      <w:r w:rsidR="00E776B4">
        <w:rPr>
          <w:lang w:val="en-GB"/>
        </w:rPr>
        <w:t xml:space="preserve"> </w:t>
      </w:r>
      <w:proofErr w:type="gramStart"/>
      <w:r w:rsidR="00B57938">
        <w:rPr>
          <w:lang w:val="en-GB"/>
        </w:rPr>
        <w:t>in order to</w:t>
      </w:r>
      <w:proofErr w:type="gramEnd"/>
      <w:r w:rsidR="00B57938">
        <w:rPr>
          <w:lang w:val="en-GB"/>
        </w:rPr>
        <w:t xml:space="preserve"> compare it with the 2.3 “</w:t>
      </w:r>
      <w:proofErr w:type="spellStart"/>
      <w:r w:rsidR="00B57938">
        <w:rPr>
          <w:lang w:val="en-GB"/>
        </w:rPr>
        <w:t>ML_Hard_Threholds</w:t>
      </w:r>
      <w:proofErr w:type="spellEnd"/>
      <w:r w:rsidR="00B57938">
        <w:rPr>
          <w:lang w:val="en-GB"/>
        </w:rPr>
        <w:t>” image</w:t>
      </w:r>
      <w:r w:rsidR="009D54CB">
        <w:rPr>
          <w:lang w:val="en-GB"/>
        </w:rPr>
        <w:t xml:space="preserve"> </w:t>
      </w:r>
      <w:r w:rsidR="009D54CB">
        <w:rPr>
          <w:lang w:val="en-GB"/>
        </w:rPr>
        <w:fldChar w:fldCharType="begin"/>
      </w:r>
      <w:r w:rsidR="009D54CB">
        <w:rPr>
          <w:lang w:val="en-GB"/>
        </w:rPr>
        <w:instrText xml:space="preserve"> REF _Ref90842579 \h </w:instrText>
      </w:r>
      <w:r w:rsidR="009D54CB">
        <w:rPr>
          <w:lang w:val="en-GB"/>
        </w:rPr>
      </w:r>
      <w:r w:rsidR="009D54CB">
        <w:rPr>
          <w:lang w:val="en-GB"/>
        </w:rPr>
        <w:fldChar w:fldCharType="separate"/>
      </w:r>
      <w:r w:rsidR="00D4790B">
        <w:t xml:space="preserve">Figure </w:t>
      </w:r>
      <w:r w:rsidR="00D4790B">
        <w:rPr>
          <w:noProof/>
        </w:rPr>
        <w:t>7</w:t>
      </w:r>
      <w:r w:rsidR="009D54CB">
        <w:rPr>
          <w:lang w:val="en-GB"/>
        </w:rPr>
        <w:fldChar w:fldCharType="end"/>
      </w:r>
      <w:r w:rsidR="009D54CB">
        <w:rPr>
          <w:lang w:val="en-GB"/>
        </w:rPr>
        <w:t>(a)</w:t>
      </w:r>
      <w:r w:rsidR="00E22CD5">
        <w:rPr>
          <w:lang w:val="en-GB"/>
        </w:rPr>
        <w:t xml:space="preserve">. </w:t>
      </w:r>
      <w:r w:rsidR="00073948">
        <w:rPr>
          <w:lang w:val="en-GB"/>
        </w:rPr>
        <w:t>A general</w:t>
      </w:r>
      <w:r w:rsidR="00FC16DA">
        <w:rPr>
          <w:lang w:val="en-GB"/>
        </w:rPr>
        <w:t xml:space="preserve"> agreement </w:t>
      </w:r>
      <w:r w:rsidR="00782438">
        <w:rPr>
          <w:lang w:val="en-GB"/>
        </w:rPr>
        <w:t>between the two products is observed</w:t>
      </w:r>
      <w:r w:rsidR="0057074D">
        <w:rPr>
          <w:lang w:val="en-GB"/>
        </w:rPr>
        <w:t>,</w:t>
      </w:r>
      <w:r w:rsidR="00073948">
        <w:rPr>
          <w:lang w:val="en-GB"/>
        </w:rPr>
        <w:t xml:space="preserve"> </w:t>
      </w:r>
      <w:r w:rsidR="002642DC">
        <w:rPr>
          <w:lang w:val="en-GB"/>
        </w:rPr>
        <w:t xml:space="preserve">since the ML class </w:t>
      </w:r>
      <w:r w:rsidR="002254BF">
        <w:rPr>
          <w:lang w:val="en-GB"/>
        </w:rPr>
        <w:t>extent is on accord with the “</w:t>
      </w:r>
      <w:proofErr w:type="spellStart"/>
      <w:r w:rsidR="002254BF">
        <w:rPr>
          <w:lang w:val="en-GB"/>
        </w:rPr>
        <w:t>ML_Hard_Thresholds</w:t>
      </w:r>
      <w:proofErr w:type="spellEnd"/>
      <w:r w:rsidR="002254BF">
        <w:rPr>
          <w:lang w:val="en-GB"/>
        </w:rPr>
        <w:t xml:space="preserve">” </w:t>
      </w:r>
      <w:r w:rsidR="0057074D">
        <w:rPr>
          <w:lang w:val="en-GB"/>
        </w:rPr>
        <w:t xml:space="preserve">mask, covering </w:t>
      </w:r>
      <w:r w:rsidR="00862F62">
        <w:rPr>
          <w:lang w:val="en-GB"/>
        </w:rPr>
        <w:t xml:space="preserve">relatively the same area with some minor differences. </w:t>
      </w:r>
      <w:proofErr w:type="gramStart"/>
      <w:r w:rsidR="00F350CF">
        <w:rPr>
          <w:lang w:val="en-GB"/>
        </w:rPr>
        <w:t>In order to</w:t>
      </w:r>
      <w:proofErr w:type="gramEnd"/>
      <w:r w:rsidR="00F350CF">
        <w:rPr>
          <w:lang w:val="en-GB"/>
        </w:rPr>
        <w:t xml:space="preserve"> </w:t>
      </w:r>
      <w:r w:rsidR="00A1241B">
        <w:rPr>
          <w:lang w:val="en-GB"/>
        </w:rPr>
        <w:t>provide a more accurate comparison</w:t>
      </w:r>
      <w:r w:rsidR="00E611F4">
        <w:rPr>
          <w:lang w:val="en-GB"/>
        </w:rPr>
        <w:t xml:space="preserve"> for the ML class</w:t>
      </w:r>
      <w:r w:rsidR="00B50EA4">
        <w:rPr>
          <w:lang w:val="en-GB"/>
        </w:rPr>
        <w:t>, the area of the MLs</w:t>
      </w:r>
      <w:r w:rsidR="006D3D12">
        <w:rPr>
          <w:lang w:val="en-GB"/>
        </w:rPr>
        <w:t>,</w:t>
      </w:r>
      <w:r w:rsidR="00B50EA4">
        <w:rPr>
          <w:lang w:val="en-GB"/>
        </w:rPr>
        <w:t xml:space="preserve"> based on the task 2.3 and the task 2.8 methodologies</w:t>
      </w:r>
      <w:r w:rsidR="006D3D12">
        <w:rPr>
          <w:lang w:val="en-GB"/>
        </w:rPr>
        <w:t xml:space="preserve"> was computed</w:t>
      </w:r>
      <w:r w:rsidR="004B513E">
        <w:rPr>
          <w:lang w:val="en-GB"/>
        </w:rPr>
        <w:t>. Out of the</w:t>
      </w:r>
      <w:r w:rsidR="00974FBD">
        <w:rPr>
          <w:lang w:val="en-GB"/>
        </w:rPr>
        <w:t xml:space="preserve"> </w:t>
      </w:r>
      <w:r w:rsidR="00974FBD" w:rsidRPr="00974FBD">
        <w:rPr>
          <w:lang w:val="en-GB"/>
        </w:rPr>
        <w:t>856</w:t>
      </w:r>
      <w:r w:rsidR="00882ACB">
        <w:rPr>
          <w:lang w:val="en-GB"/>
        </w:rPr>
        <w:t>,</w:t>
      </w:r>
      <w:r w:rsidR="00974FBD" w:rsidRPr="00974FBD">
        <w:rPr>
          <w:lang w:val="en-GB"/>
        </w:rPr>
        <w:t>179</w:t>
      </w:r>
      <w:r w:rsidR="00C45066">
        <w:rPr>
          <w:lang w:val="en-GB"/>
        </w:rPr>
        <w:t xml:space="preserve"> ha of the total example area, </w:t>
      </w:r>
      <w:r w:rsidR="006115D4" w:rsidRPr="006115D4">
        <w:rPr>
          <w:lang w:val="en-GB"/>
        </w:rPr>
        <w:t>196</w:t>
      </w:r>
      <w:r w:rsidR="00882ACB">
        <w:rPr>
          <w:lang w:val="en-GB"/>
        </w:rPr>
        <w:t>,</w:t>
      </w:r>
      <w:r w:rsidR="006115D4" w:rsidRPr="006115D4">
        <w:rPr>
          <w:lang w:val="en-GB"/>
        </w:rPr>
        <w:t>784</w:t>
      </w:r>
      <w:r w:rsidR="006115D4">
        <w:rPr>
          <w:lang w:val="en-GB"/>
        </w:rPr>
        <w:t xml:space="preserve"> </w:t>
      </w:r>
      <w:r w:rsidR="005643C6">
        <w:rPr>
          <w:lang w:val="en-GB"/>
        </w:rPr>
        <w:t>ha</w:t>
      </w:r>
      <w:r w:rsidR="006115D4">
        <w:rPr>
          <w:lang w:val="en-GB"/>
        </w:rPr>
        <w:t xml:space="preserve"> w</w:t>
      </w:r>
      <w:r w:rsidR="0078530B">
        <w:rPr>
          <w:lang w:val="en-GB"/>
        </w:rPr>
        <w:t>ere</w:t>
      </w:r>
      <w:r w:rsidR="006115D4">
        <w:rPr>
          <w:lang w:val="en-GB"/>
        </w:rPr>
        <w:t xml:space="preserve"> identified as ML from the 2.3 detection methodology</w:t>
      </w:r>
      <w:r w:rsidR="0078530B">
        <w:rPr>
          <w:lang w:val="en-GB"/>
        </w:rPr>
        <w:t xml:space="preserve">, and </w:t>
      </w:r>
      <w:r w:rsidR="0078530B" w:rsidRPr="0078530B">
        <w:rPr>
          <w:lang w:val="en-GB"/>
        </w:rPr>
        <w:t>229</w:t>
      </w:r>
      <w:r w:rsidR="00882ACB">
        <w:rPr>
          <w:lang w:val="en-GB"/>
        </w:rPr>
        <w:t>,</w:t>
      </w:r>
      <w:r w:rsidR="0078530B" w:rsidRPr="0078530B">
        <w:rPr>
          <w:lang w:val="en-GB"/>
        </w:rPr>
        <w:t>323</w:t>
      </w:r>
      <w:r w:rsidR="0078530B">
        <w:rPr>
          <w:lang w:val="en-GB"/>
        </w:rPr>
        <w:t xml:space="preserve"> ha were identified as ML from the </w:t>
      </w:r>
      <w:r w:rsidR="00882ACB">
        <w:rPr>
          <w:lang w:val="en-GB"/>
        </w:rPr>
        <w:t>tool developed in this task, 2.8</w:t>
      </w:r>
      <w:r w:rsidR="00785D4B">
        <w:rPr>
          <w:lang w:val="en-GB"/>
        </w:rPr>
        <w:t xml:space="preserve"> (</w:t>
      </w:r>
      <w:r w:rsidR="00785D4B">
        <w:rPr>
          <w:lang w:val="en-GB"/>
        </w:rPr>
        <w:fldChar w:fldCharType="begin"/>
      </w:r>
      <w:r w:rsidR="00785D4B">
        <w:rPr>
          <w:lang w:val="en-GB"/>
        </w:rPr>
        <w:instrText xml:space="preserve"> REF _Ref90842735 \h </w:instrText>
      </w:r>
      <w:r w:rsidR="00785D4B">
        <w:rPr>
          <w:lang w:val="en-GB"/>
        </w:rPr>
      </w:r>
      <w:r w:rsidR="00785D4B">
        <w:rPr>
          <w:lang w:val="en-GB"/>
        </w:rPr>
        <w:fldChar w:fldCharType="separate"/>
      </w:r>
      <w:r w:rsidR="00D4790B">
        <w:t xml:space="preserve">Table </w:t>
      </w:r>
      <w:r w:rsidR="00D4790B">
        <w:rPr>
          <w:noProof/>
        </w:rPr>
        <w:t>3</w:t>
      </w:r>
      <w:r w:rsidR="00785D4B">
        <w:rPr>
          <w:lang w:val="en-GB"/>
        </w:rPr>
        <w:fldChar w:fldCharType="end"/>
      </w:r>
      <w:r w:rsidR="00785D4B">
        <w:rPr>
          <w:lang w:val="en-GB"/>
        </w:rPr>
        <w:t>)</w:t>
      </w:r>
      <w:r w:rsidR="00882ACB">
        <w:rPr>
          <w:lang w:val="en-GB"/>
        </w:rPr>
        <w:t>.</w:t>
      </w:r>
    </w:p>
    <w:p w14:paraId="293CB046" w14:textId="6D9E9D59" w:rsidR="00AF4F78" w:rsidRDefault="00AF4F78" w:rsidP="00944F2E">
      <w:pPr>
        <w:pStyle w:val="Caption"/>
        <w:keepNext/>
      </w:pPr>
      <w:bookmarkStart w:id="61" w:name="_Ref90842735"/>
      <w:bookmarkStart w:id="62" w:name="_Toc91583691"/>
      <w:r>
        <w:lastRenderedPageBreak/>
        <w:t xml:space="preserve">Table </w:t>
      </w:r>
      <w:r>
        <w:fldChar w:fldCharType="begin"/>
      </w:r>
      <w:r>
        <w:instrText xml:space="preserve"> SEQ Table \* ARABIC </w:instrText>
      </w:r>
      <w:r>
        <w:fldChar w:fldCharType="separate"/>
      </w:r>
      <w:r w:rsidR="00D4790B">
        <w:rPr>
          <w:noProof/>
        </w:rPr>
        <w:t>3</w:t>
      </w:r>
      <w:r>
        <w:fldChar w:fldCharType="end"/>
      </w:r>
      <w:bookmarkEnd w:id="61"/>
      <w:r>
        <w:t>. ML area comparison for example area</w:t>
      </w:r>
      <w:bookmarkEnd w:id="62"/>
    </w:p>
    <w:tbl>
      <w:tblPr>
        <w:tblW w:w="57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40"/>
        <w:gridCol w:w="1440"/>
        <w:gridCol w:w="1440"/>
        <w:gridCol w:w="1440"/>
      </w:tblGrid>
      <w:tr w:rsidR="00FB146B" w:rsidRPr="00C60499" w14:paraId="3AD5FFF7" w14:textId="77777777" w:rsidTr="00944F2E">
        <w:trPr>
          <w:trHeight w:val="510"/>
          <w:jc w:val="center"/>
        </w:trPr>
        <w:tc>
          <w:tcPr>
            <w:tcW w:w="1440" w:type="dxa"/>
            <w:shd w:val="clear" w:color="auto" w:fill="DBE0F4" w:themeFill="accent1" w:themeFillTint="33"/>
            <w:vAlign w:val="center"/>
          </w:tcPr>
          <w:p w14:paraId="7C92D027" w14:textId="12FFC15E" w:rsidR="00FB146B" w:rsidRPr="00C60499" w:rsidRDefault="00FB146B" w:rsidP="00306F4A">
            <w:pPr>
              <w:spacing w:before="0" w:after="0" w:line="240" w:lineRule="auto"/>
              <w:jc w:val="center"/>
              <w:rPr>
                <w:rStyle w:val="Strong"/>
                <w:lang w:val="en-GB"/>
              </w:rPr>
            </w:pPr>
          </w:p>
        </w:tc>
        <w:tc>
          <w:tcPr>
            <w:tcW w:w="1440" w:type="dxa"/>
            <w:shd w:val="clear" w:color="auto" w:fill="DBE0F4" w:themeFill="accent1" w:themeFillTint="33"/>
            <w:vAlign w:val="center"/>
          </w:tcPr>
          <w:p w14:paraId="497BF3F6" w14:textId="3E5E80D3" w:rsidR="00FB146B" w:rsidRPr="00C60499" w:rsidRDefault="00221A44" w:rsidP="00306F4A">
            <w:pPr>
              <w:spacing w:before="0" w:after="0" w:line="240" w:lineRule="auto"/>
              <w:jc w:val="center"/>
              <w:rPr>
                <w:rStyle w:val="Strong"/>
                <w:lang w:val="en-GB"/>
              </w:rPr>
            </w:pPr>
            <w:r>
              <w:rPr>
                <w:rStyle w:val="Strong"/>
                <w:lang w:val="en-GB"/>
              </w:rPr>
              <w:t>Total Area</w:t>
            </w:r>
          </w:p>
        </w:tc>
        <w:tc>
          <w:tcPr>
            <w:tcW w:w="1440" w:type="dxa"/>
            <w:shd w:val="clear" w:color="auto" w:fill="DBE0F4" w:themeFill="accent1" w:themeFillTint="33"/>
            <w:vAlign w:val="center"/>
          </w:tcPr>
          <w:p w14:paraId="274874F6" w14:textId="58B77D63" w:rsidR="00FB146B" w:rsidRPr="00C60499" w:rsidRDefault="00221A44" w:rsidP="00306F4A">
            <w:pPr>
              <w:spacing w:before="0" w:after="0" w:line="240" w:lineRule="auto"/>
              <w:jc w:val="center"/>
              <w:rPr>
                <w:rStyle w:val="Strong"/>
                <w:lang w:val="en-GB"/>
              </w:rPr>
            </w:pPr>
            <w:r>
              <w:rPr>
                <w:rStyle w:val="Strong"/>
                <w:lang w:val="en-GB"/>
              </w:rPr>
              <w:t xml:space="preserve">MLs </w:t>
            </w:r>
            <w:r w:rsidR="00493646">
              <w:rPr>
                <w:rStyle w:val="Strong"/>
                <w:lang w:val="en-GB"/>
              </w:rPr>
              <w:t xml:space="preserve">based on </w:t>
            </w:r>
            <w:r>
              <w:rPr>
                <w:rStyle w:val="Strong"/>
                <w:lang w:val="en-GB"/>
              </w:rPr>
              <w:t>2.3</w:t>
            </w:r>
          </w:p>
        </w:tc>
        <w:tc>
          <w:tcPr>
            <w:tcW w:w="1440" w:type="dxa"/>
            <w:shd w:val="clear" w:color="auto" w:fill="DBE0F4" w:themeFill="accent1" w:themeFillTint="33"/>
            <w:vAlign w:val="center"/>
          </w:tcPr>
          <w:p w14:paraId="4E560CB8" w14:textId="19074B56" w:rsidR="00FB146B" w:rsidRPr="00C60499" w:rsidRDefault="00221A44" w:rsidP="00306F4A">
            <w:pPr>
              <w:spacing w:before="0" w:after="0" w:line="240" w:lineRule="auto"/>
              <w:jc w:val="center"/>
              <w:rPr>
                <w:rStyle w:val="Strong"/>
                <w:lang w:val="en-GB"/>
              </w:rPr>
            </w:pPr>
            <w:r>
              <w:rPr>
                <w:rStyle w:val="Strong"/>
                <w:lang w:val="en-GB"/>
              </w:rPr>
              <w:t xml:space="preserve">MLs </w:t>
            </w:r>
            <w:r w:rsidR="00493646">
              <w:rPr>
                <w:rStyle w:val="Strong"/>
                <w:lang w:val="en-GB"/>
              </w:rPr>
              <w:t>based on</w:t>
            </w:r>
            <w:r>
              <w:rPr>
                <w:rStyle w:val="Strong"/>
                <w:lang w:val="en-GB"/>
              </w:rPr>
              <w:t xml:space="preserve"> 2.8</w:t>
            </w:r>
          </w:p>
        </w:tc>
      </w:tr>
      <w:tr w:rsidR="00FB146B" w:rsidRPr="00C60499" w14:paraId="5E27F185" w14:textId="77777777" w:rsidTr="00944F2E">
        <w:trPr>
          <w:trHeight w:val="458"/>
          <w:jc w:val="center"/>
        </w:trPr>
        <w:tc>
          <w:tcPr>
            <w:tcW w:w="1440" w:type="dxa"/>
            <w:vAlign w:val="center"/>
          </w:tcPr>
          <w:p w14:paraId="671994F1" w14:textId="36960E97" w:rsidR="00FB146B" w:rsidRPr="00AE1A89" w:rsidRDefault="00221A44" w:rsidP="00306F4A">
            <w:pPr>
              <w:spacing w:before="0" w:after="0" w:line="240" w:lineRule="auto"/>
              <w:jc w:val="center"/>
              <w:rPr>
                <w:b/>
                <w:bCs/>
                <w:lang w:val="en-GB"/>
              </w:rPr>
            </w:pPr>
            <w:r>
              <w:rPr>
                <w:b/>
                <w:bCs/>
                <w:lang w:val="en-GB"/>
              </w:rPr>
              <w:t>Area (ha)</w:t>
            </w:r>
          </w:p>
        </w:tc>
        <w:tc>
          <w:tcPr>
            <w:tcW w:w="1440" w:type="dxa"/>
            <w:vAlign w:val="center"/>
          </w:tcPr>
          <w:p w14:paraId="5B73C594" w14:textId="1F3C6E7C" w:rsidR="00FB146B" w:rsidRPr="00C60499" w:rsidRDefault="00D73AB7" w:rsidP="00306F4A">
            <w:pPr>
              <w:spacing w:before="0" w:after="0" w:line="240" w:lineRule="auto"/>
              <w:jc w:val="center"/>
              <w:rPr>
                <w:lang w:val="en-GB"/>
              </w:rPr>
            </w:pPr>
            <w:r w:rsidRPr="00974FBD">
              <w:rPr>
                <w:lang w:val="en-GB"/>
              </w:rPr>
              <w:t>856</w:t>
            </w:r>
            <w:r w:rsidR="00955475">
              <w:rPr>
                <w:lang w:val="en-GB"/>
              </w:rPr>
              <w:t>,</w:t>
            </w:r>
            <w:r w:rsidRPr="00974FBD">
              <w:rPr>
                <w:lang w:val="en-GB"/>
              </w:rPr>
              <w:t>179</w:t>
            </w:r>
          </w:p>
        </w:tc>
        <w:tc>
          <w:tcPr>
            <w:tcW w:w="1440" w:type="dxa"/>
            <w:vAlign w:val="center"/>
          </w:tcPr>
          <w:p w14:paraId="036FAB6A" w14:textId="537F8231" w:rsidR="00FB146B" w:rsidRPr="00C60499" w:rsidRDefault="00D73AB7" w:rsidP="00306F4A">
            <w:pPr>
              <w:spacing w:before="0" w:after="0" w:line="240" w:lineRule="auto"/>
              <w:jc w:val="center"/>
              <w:rPr>
                <w:lang w:val="en-GB"/>
              </w:rPr>
            </w:pPr>
            <w:r w:rsidRPr="006115D4">
              <w:rPr>
                <w:lang w:val="en-GB"/>
              </w:rPr>
              <w:t>196</w:t>
            </w:r>
            <w:r w:rsidR="00955475">
              <w:rPr>
                <w:lang w:val="en-GB"/>
              </w:rPr>
              <w:t>,</w:t>
            </w:r>
            <w:r w:rsidRPr="006115D4">
              <w:rPr>
                <w:lang w:val="en-GB"/>
              </w:rPr>
              <w:t>784</w:t>
            </w:r>
          </w:p>
        </w:tc>
        <w:tc>
          <w:tcPr>
            <w:tcW w:w="1440" w:type="dxa"/>
            <w:vAlign w:val="center"/>
          </w:tcPr>
          <w:p w14:paraId="6E0FC384" w14:textId="20AA4652" w:rsidR="00FB146B" w:rsidRPr="00C60499" w:rsidRDefault="00D73AB7" w:rsidP="00306F4A">
            <w:pPr>
              <w:spacing w:before="0" w:after="0" w:line="240" w:lineRule="auto"/>
              <w:jc w:val="center"/>
              <w:rPr>
                <w:lang w:val="en-GB"/>
              </w:rPr>
            </w:pPr>
            <w:r w:rsidRPr="0078530B">
              <w:rPr>
                <w:lang w:val="en-GB"/>
              </w:rPr>
              <w:t>229</w:t>
            </w:r>
            <w:r w:rsidR="00955475">
              <w:rPr>
                <w:lang w:val="en-GB"/>
              </w:rPr>
              <w:t>,</w:t>
            </w:r>
            <w:r w:rsidRPr="0078530B">
              <w:rPr>
                <w:lang w:val="en-GB"/>
              </w:rPr>
              <w:t>323</w:t>
            </w:r>
          </w:p>
        </w:tc>
      </w:tr>
    </w:tbl>
    <w:p w14:paraId="3F3EAFB8" w14:textId="57032932" w:rsidR="00EE602A" w:rsidRDefault="00135FE5" w:rsidP="00944F2E">
      <w:pPr>
        <w:pStyle w:val="MAIL2"/>
        <w:rPr>
          <w:lang w:val="en-GB"/>
        </w:rPr>
      </w:pPr>
      <w:bookmarkStart w:id="63" w:name="_Toc91583675"/>
      <w:r>
        <w:rPr>
          <w:lang w:val="en-GB"/>
        </w:rPr>
        <w:t xml:space="preserve">MLs detection </w:t>
      </w:r>
      <w:r w:rsidR="00244747">
        <w:rPr>
          <w:lang w:val="en-GB"/>
        </w:rPr>
        <w:t>performance</w:t>
      </w:r>
      <w:bookmarkEnd w:id="63"/>
    </w:p>
    <w:p w14:paraId="6F71CECC" w14:textId="3F898535" w:rsidR="00EC3372" w:rsidRDefault="009C651A" w:rsidP="00542692">
      <w:pPr>
        <w:rPr>
          <w:lang w:val="en-GB"/>
        </w:rPr>
      </w:pPr>
      <w:r>
        <w:rPr>
          <w:lang w:val="en-GB"/>
        </w:rPr>
        <w:t>A quantitative assessmen</w:t>
      </w:r>
      <w:r w:rsidR="008F3BAE">
        <w:rPr>
          <w:lang w:val="en-GB"/>
        </w:rPr>
        <w:t xml:space="preserve">t of the classification algorithm’s performance </w:t>
      </w:r>
      <w:r w:rsidR="00AB6276">
        <w:rPr>
          <w:lang w:val="en-GB"/>
        </w:rPr>
        <w:t xml:space="preserve">was also carried out as mentioned in </w:t>
      </w:r>
      <w:r w:rsidR="00955475">
        <w:rPr>
          <w:lang w:val="en-GB"/>
        </w:rPr>
        <w:t>c</w:t>
      </w:r>
      <w:r w:rsidR="002C496C">
        <w:rPr>
          <w:lang w:val="en-GB"/>
        </w:rPr>
        <w:t xml:space="preserve">hapter </w:t>
      </w:r>
      <w:r w:rsidR="002C496C">
        <w:rPr>
          <w:lang w:val="en-GB"/>
        </w:rPr>
        <w:fldChar w:fldCharType="begin"/>
      </w:r>
      <w:r w:rsidR="002C496C">
        <w:rPr>
          <w:lang w:val="en-GB"/>
        </w:rPr>
        <w:instrText xml:space="preserve"> REF _Ref90038066 \w \h </w:instrText>
      </w:r>
      <w:r w:rsidR="002C496C">
        <w:rPr>
          <w:lang w:val="en-GB"/>
        </w:rPr>
      </w:r>
      <w:r w:rsidR="002C496C">
        <w:rPr>
          <w:lang w:val="en-GB"/>
        </w:rPr>
        <w:fldChar w:fldCharType="separate"/>
      </w:r>
      <w:r w:rsidR="00D4790B">
        <w:rPr>
          <w:lang w:val="en-GB"/>
        </w:rPr>
        <w:t>4.7</w:t>
      </w:r>
      <w:r w:rsidR="002C496C">
        <w:rPr>
          <w:lang w:val="en-GB"/>
        </w:rPr>
        <w:fldChar w:fldCharType="end"/>
      </w:r>
      <w:r w:rsidR="002C496C">
        <w:rPr>
          <w:lang w:val="en-GB"/>
        </w:rPr>
        <w:t xml:space="preserve"> </w:t>
      </w:r>
      <w:r w:rsidR="002C496C">
        <w:rPr>
          <w:lang w:val="en-GB"/>
        </w:rPr>
        <w:fldChar w:fldCharType="begin"/>
      </w:r>
      <w:r w:rsidR="002C496C">
        <w:rPr>
          <w:lang w:val="en-GB"/>
        </w:rPr>
        <w:instrText xml:space="preserve"> REF _Ref90038072 \h </w:instrText>
      </w:r>
      <w:r w:rsidR="002C496C">
        <w:rPr>
          <w:lang w:val="en-GB"/>
        </w:rPr>
      </w:r>
      <w:r w:rsidR="002C496C">
        <w:rPr>
          <w:lang w:val="en-GB"/>
        </w:rPr>
        <w:fldChar w:fldCharType="separate"/>
      </w:r>
      <w:r w:rsidR="00D4790B">
        <w:rPr>
          <w:lang w:val="en-GB"/>
        </w:rPr>
        <w:t>Accuracy Assessment</w:t>
      </w:r>
      <w:r w:rsidR="002C496C">
        <w:rPr>
          <w:lang w:val="en-GB"/>
        </w:rPr>
        <w:fldChar w:fldCharType="end"/>
      </w:r>
      <w:r w:rsidR="002B6B03">
        <w:rPr>
          <w:lang w:val="en-GB"/>
        </w:rPr>
        <w:t>, the results of which are presented on the followin</w:t>
      </w:r>
      <w:r w:rsidR="00D14C72">
        <w:rPr>
          <w:lang w:val="en-GB"/>
        </w:rPr>
        <w:t xml:space="preserve">g </w:t>
      </w:r>
      <w:r w:rsidR="00D14C72">
        <w:rPr>
          <w:lang w:val="en-GB"/>
        </w:rPr>
        <w:fldChar w:fldCharType="begin"/>
      </w:r>
      <w:r w:rsidR="00D14C72">
        <w:rPr>
          <w:lang w:val="en-GB"/>
        </w:rPr>
        <w:instrText xml:space="preserve"> REF _Ref90842711 \h </w:instrText>
      </w:r>
      <w:r w:rsidR="00D14C72">
        <w:rPr>
          <w:lang w:val="en-GB"/>
        </w:rPr>
      </w:r>
      <w:r w:rsidR="00D14C72">
        <w:rPr>
          <w:lang w:val="en-GB"/>
        </w:rPr>
        <w:fldChar w:fldCharType="separate"/>
      </w:r>
      <w:r w:rsidR="00D4790B">
        <w:t xml:space="preserve">Table </w:t>
      </w:r>
      <w:r w:rsidR="00D4790B">
        <w:rPr>
          <w:noProof/>
        </w:rPr>
        <w:t>4</w:t>
      </w:r>
      <w:r w:rsidR="00D14C72">
        <w:rPr>
          <w:lang w:val="en-GB"/>
        </w:rPr>
        <w:fldChar w:fldCharType="end"/>
      </w:r>
      <w:r w:rsidR="002B6B03">
        <w:rPr>
          <w:lang w:val="en-GB"/>
        </w:rPr>
        <w:t xml:space="preserve">. </w:t>
      </w:r>
      <w:r w:rsidR="005B4701">
        <w:rPr>
          <w:lang w:val="en-GB"/>
        </w:rPr>
        <w:t>The UA and PA are produced for each class of interest, however since in this study we are mainly interested in the ML class, the values presented on the Table are the User’s and Producer’s Accuracy for the ML class.</w:t>
      </w:r>
    </w:p>
    <w:p w14:paraId="5149ED66" w14:textId="7FE06CD1" w:rsidR="00670148" w:rsidRDefault="00670148" w:rsidP="00944F2E">
      <w:pPr>
        <w:pStyle w:val="Caption"/>
        <w:keepNext/>
      </w:pPr>
      <w:bookmarkStart w:id="64" w:name="_Ref90842711"/>
      <w:bookmarkStart w:id="65" w:name="_Toc91583692"/>
      <w:r>
        <w:t xml:space="preserve">Table </w:t>
      </w:r>
      <w:r>
        <w:fldChar w:fldCharType="begin"/>
      </w:r>
      <w:r>
        <w:instrText xml:space="preserve"> SEQ Table \* ARABIC </w:instrText>
      </w:r>
      <w:r>
        <w:fldChar w:fldCharType="separate"/>
      </w:r>
      <w:r w:rsidR="00D4790B">
        <w:rPr>
          <w:noProof/>
        </w:rPr>
        <w:t>4</w:t>
      </w:r>
      <w:r>
        <w:fldChar w:fldCharType="end"/>
      </w:r>
      <w:bookmarkEnd w:id="64"/>
      <w:r>
        <w:rPr>
          <w:lang w:val="en-US"/>
        </w:rPr>
        <w:t>. Accuracy Assessment comparison table (2.3 vs 2.8)</w:t>
      </w:r>
      <w:bookmarkEnd w:id="65"/>
    </w:p>
    <w:tbl>
      <w:tblPr>
        <w:tblW w:w="8900" w:type="dxa"/>
        <w:tblInd w:w="-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43" w:type="dxa"/>
        </w:tblCellMar>
        <w:tblLook w:val="04A0" w:firstRow="1" w:lastRow="0" w:firstColumn="1" w:lastColumn="0" w:noHBand="0" w:noVBand="1"/>
      </w:tblPr>
      <w:tblGrid>
        <w:gridCol w:w="1088"/>
        <w:gridCol w:w="810"/>
        <w:gridCol w:w="736"/>
        <w:gridCol w:w="818"/>
        <w:gridCol w:w="968"/>
        <w:gridCol w:w="968"/>
        <w:gridCol w:w="968"/>
        <w:gridCol w:w="828"/>
        <w:gridCol w:w="706"/>
        <w:gridCol w:w="1010"/>
      </w:tblGrid>
      <w:tr w:rsidR="00056726" w:rsidRPr="00A95D9B" w14:paraId="32FE4E3E" w14:textId="77777777" w:rsidTr="00CE7789">
        <w:trPr>
          <w:trHeight w:val="552"/>
        </w:trPr>
        <w:tc>
          <w:tcPr>
            <w:tcW w:w="1088" w:type="dxa"/>
            <w:shd w:val="clear" w:color="auto" w:fill="DBE0F4" w:themeFill="accent1" w:themeFillTint="33"/>
            <w:noWrap/>
            <w:vAlign w:val="center"/>
            <w:hideMark/>
          </w:tcPr>
          <w:p w14:paraId="7A789D50" w14:textId="32E71BF1" w:rsidR="00A95D9B" w:rsidRPr="00944F2E" w:rsidRDefault="00A95D9B" w:rsidP="00944F2E">
            <w:pPr>
              <w:spacing w:before="0" w:after="0" w:line="240" w:lineRule="auto"/>
              <w:jc w:val="left"/>
              <w:rPr>
                <w:rFonts w:eastAsia="Times New Roman" w:cs="Arial"/>
                <w:b/>
                <w:bCs/>
                <w:color w:val="000000"/>
                <w:lang w:val="en-GB" w:eastAsia="en-GB"/>
              </w:rPr>
            </w:pPr>
            <w:r w:rsidRPr="00944F2E">
              <w:rPr>
                <w:rFonts w:eastAsia="Times New Roman" w:cs="Arial"/>
                <w:b/>
                <w:bCs/>
                <w:color w:val="000000"/>
                <w:lang w:val="en-GB" w:eastAsia="en-GB"/>
              </w:rPr>
              <w:t>Country</w:t>
            </w:r>
          </w:p>
        </w:tc>
        <w:tc>
          <w:tcPr>
            <w:tcW w:w="1546" w:type="dxa"/>
            <w:gridSpan w:val="2"/>
            <w:shd w:val="clear" w:color="auto" w:fill="DBE0F4" w:themeFill="accent1" w:themeFillTint="33"/>
            <w:noWrap/>
            <w:vAlign w:val="center"/>
            <w:hideMark/>
          </w:tcPr>
          <w:p w14:paraId="003806DE" w14:textId="77777777" w:rsidR="00A95D9B" w:rsidRPr="00944F2E" w:rsidRDefault="00A95D9B" w:rsidP="00944F2E">
            <w:pPr>
              <w:spacing w:before="0" w:after="0" w:line="240" w:lineRule="auto"/>
              <w:jc w:val="center"/>
              <w:rPr>
                <w:rFonts w:eastAsia="Times New Roman" w:cs="Arial"/>
                <w:b/>
                <w:bCs/>
                <w:color w:val="000000"/>
                <w:lang w:val="en-GB" w:eastAsia="en-GB"/>
              </w:rPr>
            </w:pPr>
            <w:r w:rsidRPr="00944F2E">
              <w:rPr>
                <w:rFonts w:eastAsia="Times New Roman" w:cs="Arial"/>
                <w:b/>
                <w:bCs/>
                <w:color w:val="000000"/>
                <w:lang w:val="en-GB" w:eastAsia="en-GB"/>
              </w:rPr>
              <w:t>Overall Accuracy</w:t>
            </w:r>
          </w:p>
        </w:tc>
        <w:tc>
          <w:tcPr>
            <w:tcW w:w="1786" w:type="dxa"/>
            <w:gridSpan w:val="2"/>
            <w:shd w:val="clear" w:color="auto" w:fill="DBE0F4" w:themeFill="accent1" w:themeFillTint="33"/>
            <w:noWrap/>
            <w:vAlign w:val="center"/>
            <w:hideMark/>
          </w:tcPr>
          <w:p w14:paraId="006C2F6B" w14:textId="77777777" w:rsidR="00A95D9B" w:rsidRPr="00944F2E" w:rsidRDefault="00A95D9B" w:rsidP="00944F2E">
            <w:pPr>
              <w:spacing w:before="0" w:after="0" w:line="240" w:lineRule="auto"/>
              <w:jc w:val="center"/>
              <w:rPr>
                <w:rFonts w:eastAsia="Times New Roman" w:cs="Arial"/>
                <w:b/>
                <w:bCs/>
                <w:color w:val="000000"/>
                <w:lang w:val="en-GB" w:eastAsia="en-GB"/>
              </w:rPr>
            </w:pPr>
            <w:r w:rsidRPr="00944F2E">
              <w:rPr>
                <w:rFonts w:eastAsia="Times New Roman" w:cs="Arial"/>
                <w:b/>
                <w:bCs/>
                <w:color w:val="000000"/>
                <w:lang w:val="en-GB" w:eastAsia="en-GB"/>
              </w:rPr>
              <w:t>User's Accuracy</w:t>
            </w:r>
          </w:p>
        </w:tc>
        <w:tc>
          <w:tcPr>
            <w:tcW w:w="1936" w:type="dxa"/>
            <w:gridSpan w:val="2"/>
            <w:shd w:val="clear" w:color="auto" w:fill="DBE0F4" w:themeFill="accent1" w:themeFillTint="33"/>
            <w:noWrap/>
            <w:vAlign w:val="center"/>
            <w:hideMark/>
          </w:tcPr>
          <w:p w14:paraId="5163DB43" w14:textId="77777777" w:rsidR="00A95D9B" w:rsidRPr="00944F2E" w:rsidRDefault="00A95D9B" w:rsidP="00944F2E">
            <w:pPr>
              <w:spacing w:before="0" w:after="0" w:line="240" w:lineRule="auto"/>
              <w:jc w:val="center"/>
              <w:rPr>
                <w:rFonts w:eastAsia="Times New Roman" w:cs="Arial"/>
                <w:b/>
                <w:bCs/>
                <w:color w:val="000000"/>
                <w:lang w:val="en-GB" w:eastAsia="en-GB"/>
              </w:rPr>
            </w:pPr>
            <w:r w:rsidRPr="00944F2E">
              <w:rPr>
                <w:rFonts w:eastAsia="Times New Roman" w:cs="Arial"/>
                <w:b/>
                <w:bCs/>
                <w:color w:val="000000"/>
                <w:lang w:val="en-GB" w:eastAsia="en-GB"/>
              </w:rPr>
              <w:t>Producer's Accuracy</w:t>
            </w:r>
          </w:p>
        </w:tc>
        <w:tc>
          <w:tcPr>
            <w:tcW w:w="1534" w:type="dxa"/>
            <w:gridSpan w:val="2"/>
            <w:shd w:val="clear" w:color="auto" w:fill="DBE0F4" w:themeFill="accent1" w:themeFillTint="33"/>
            <w:noWrap/>
            <w:vAlign w:val="center"/>
            <w:hideMark/>
          </w:tcPr>
          <w:p w14:paraId="7EDF74D0" w14:textId="77777777" w:rsidR="00A95D9B" w:rsidRPr="00944F2E" w:rsidRDefault="00A95D9B" w:rsidP="00944F2E">
            <w:pPr>
              <w:spacing w:before="0" w:after="0" w:line="240" w:lineRule="auto"/>
              <w:jc w:val="center"/>
              <w:rPr>
                <w:rFonts w:eastAsia="Times New Roman" w:cs="Arial"/>
                <w:b/>
                <w:bCs/>
                <w:color w:val="000000"/>
                <w:lang w:val="en-GB" w:eastAsia="en-GB"/>
              </w:rPr>
            </w:pPr>
            <w:r w:rsidRPr="00944F2E">
              <w:rPr>
                <w:rFonts w:eastAsia="Times New Roman" w:cs="Arial"/>
                <w:b/>
                <w:bCs/>
                <w:color w:val="000000"/>
                <w:lang w:val="en-GB" w:eastAsia="en-GB"/>
              </w:rPr>
              <w:t>Kappa</w:t>
            </w:r>
          </w:p>
        </w:tc>
        <w:tc>
          <w:tcPr>
            <w:tcW w:w="1010" w:type="dxa"/>
            <w:vMerge w:val="restart"/>
            <w:shd w:val="clear" w:color="auto" w:fill="DBE0F4" w:themeFill="accent1" w:themeFillTint="33"/>
            <w:hideMark/>
          </w:tcPr>
          <w:p w14:paraId="5D913C0F" w14:textId="77777777" w:rsidR="00A95D9B" w:rsidRPr="00944F2E" w:rsidRDefault="00A95D9B" w:rsidP="00944F2E">
            <w:pPr>
              <w:spacing w:before="0" w:after="0" w:line="240" w:lineRule="auto"/>
              <w:jc w:val="center"/>
              <w:rPr>
                <w:rFonts w:eastAsia="Times New Roman" w:cs="Arial"/>
                <w:b/>
                <w:bCs/>
                <w:color w:val="000000"/>
                <w:lang w:val="en-GB" w:eastAsia="en-GB"/>
              </w:rPr>
            </w:pPr>
            <w:r w:rsidRPr="00944F2E">
              <w:rPr>
                <w:rFonts w:eastAsia="Times New Roman" w:cs="Arial"/>
                <w:b/>
                <w:bCs/>
                <w:color w:val="000000"/>
                <w:lang w:val="en-GB" w:eastAsia="en-GB"/>
              </w:rPr>
              <w:t>OOB Error Estimate</w:t>
            </w:r>
          </w:p>
        </w:tc>
      </w:tr>
      <w:tr w:rsidR="00056726" w:rsidRPr="00A95D9B" w14:paraId="3B569B78" w14:textId="77777777" w:rsidTr="00CE7789">
        <w:trPr>
          <w:trHeight w:val="312"/>
        </w:trPr>
        <w:tc>
          <w:tcPr>
            <w:tcW w:w="1088" w:type="dxa"/>
            <w:shd w:val="clear" w:color="auto" w:fill="DBE0F4" w:themeFill="accent1" w:themeFillTint="33"/>
            <w:noWrap/>
            <w:hideMark/>
          </w:tcPr>
          <w:p w14:paraId="21B51886" w14:textId="77777777" w:rsidR="00A95D9B" w:rsidRPr="00944F2E" w:rsidRDefault="00A95D9B" w:rsidP="00944F2E">
            <w:pPr>
              <w:spacing w:before="0" w:after="0" w:line="240" w:lineRule="auto"/>
              <w:jc w:val="left"/>
              <w:rPr>
                <w:rFonts w:eastAsia="Times New Roman" w:cs="Arial"/>
                <w:i/>
                <w:iCs/>
                <w:color w:val="000000"/>
                <w:lang w:val="en-GB" w:eastAsia="en-GB"/>
              </w:rPr>
            </w:pPr>
            <w:r w:rsidRPr="00944F2E">
              <w:rPr>
                <w:rFonts w:eastAsia="Times New Roman" w:cs="Arial"/>
                <w:i/>
                <w:iCs/>
                <w:color w:val="000000"/>
                <w:lang w:val="en-GB" w:eastAsia="en-GB"/>
              </w:rPr>
              <w:t>Task</w:t>
            </w:r>
          </w:p>
        </w:tc>
        <w:tc>
          <w:tcPr>
            <w:tcW w:w="810" w:type="dxa"/>
            <w:shd w:val="clear" w:color="auto" w:fill="DBE0F4" w:themeFill="accent1" w:themeFillTint="33"/>
            <w:noWrap/>
            <w:vAlign w:val="bottom"/>
            <w:hideMark/>
          </w:tcPr>
          <w:p w14:paraId="3B7A851A" w14:textId="77777777" w:rsidR="00A95D9B" w:rsidRPr="00944F2E" w:rsidRDefault="00A95D9B" w:rsidP="00944F2E">
            <w:pPr>
              <w:spacing w:before="0" w:after="0" w:line="240" w:lineRule="auto"/>
              <w:jc w:val="center"/>
              <w:rPr>
                <w:rFonts w:eastAsia="Times New Roman" w:cs="Arial"/>
                <w:i/>
                <w:iCs/>
                <w:color w:val="000000"/>
                <w:lang w:val="en-GB" w:eastAsia="en-GB"/>
              </w:rPr>
            </w:pPr>
            <w:r w:rsidRPr="00944F2E">
              <w:rPr>
                <w:rFonts w:eastAsia="Times New Roman" w:cs="Arial"/>
                <w:i/>
                <w:iCs/>
                <w:color w:val="000000"/>
                <w:lang w:val="en-GB" w:eastAsia="en-GB"/>
              </w:rPr>
              <w:t>2.3</w:t>
            </w:r>
          </w:p>
        </w:tc>
        <w:tc>
          <w:tcPr>
            <w:tcW w:w="736" w:type="dxa"/>
            <w:shd w:val="clear" w:color="auto" w:fill="DBE0F4" w:themeFill="accent1" w:themeFillTint="33"/>
            <w:noWrap/>
            <w:vAlign w:val="bottom"/>
            <w:hideMark/>
          </w:tcPr>
          <w:p w14:paraId="665107AA" w14:textId="77777777" w:rsidR="00A95D9B" w:rsidRPr="00944F2E" w:rsidRDefault="00A95D9B" w:rsidP="00944F2E">
            <w:pPr>
              <w:spacing w:before="0" w:after="0" w:line="240" w:lineRule="auto"/>
              <w:jc w:val="center"/>
              <w:rPr>
                <w:rFonts w:eastAsia="Times New Roman" w:cs="Arial"/>
                <w:i/>
                <w:iCs/>
                <w:color w:val="000000"/>
                <w:lang w:val="en-GB" w:eastAsia="en-GB"/>
              </w:rPr>
            </w:pPr>
            <w:r w:rsidRPr="00944F2E">
              <w:rPr>
                <w:rFonts w:eastAsia="Times New Roman" w:cs="Arial"/>
                <w:i/>
                <w:iCs/>
                <w:color w:val="000000"/>
                <w:lang w:val="en-GB" w:eastAsia="en-GB"/>
              </w:rPr>
              <w:t>2.8</w:t>
            </w:r>
          </w:p>
        </w:tc>
        <w:tc>
          <w:tcPr>
            <w:tcW w:w="818" w:type="dxa"/>
            <w:shd w:val="clear" w:color="auto" w:fill="DBE0F4" w:themeFill="accent1" w:themeFillTint="33"/>
            <w:noWrap/>
            <w:vAlign w:val="bottom"/>
            <w:hideMark/>
          </w:tcPr>
          <w:p w14:paraId="4DA00110" w14:textId="77777777" w:rsidR="00A95D9B" w:rsidRPr="00944F2E" w:rsidRDefault="00A95D9B" w:rsidP="00944F2E">
            <w:pPr>
              <w:spacing w:before="0" w:after="0" w:line="240" w:lineRule="auto"/>
              <w:jc w:val="center"/>
              <w:rPr>
                <w:rFonts w:eastAsia="Times New Roman" w:cs="Arial"/>
                <w:i/>
                <w:iCs/>
                <w:color w:val="000000"/>
                <w:lang w:val="en-GB" w:eastAsia="en-GB"/>
              </w:rPr>
            </w:pPr>
            <w:r w:rsidRPr="00944F2E">
              <w:rPr>
                <w:rFonts w:eastAsia="Times New Roman" w:cs="Arial"/>
                <w:i/>
                <w:iCs/>
                <w:color w:val="000000"/>
                <w:lang w:val="en-GB" w:eastAsia="en-GB"/>
              </w:rPr>
              <w:t>2.3</w:t>
            </w:r>
          </w:p>
        </w:tc>
        <w:tc>
          <w:tcPr>
            <w:tcW w:w="968" w:type="dxa"/>
            <w:shd w:val="clear" w:color="auto" w:fill="DBE0F4" w:themeFill="accent1" w:themeFillTint="33"/>
            <w:noWrap/>
            <w:vAlign w:val="bottom"/>
            <w:hideMark/>
          </w:tcPr>
          <w:p w14:paraId="0E55A9C4" w14:textId="77777777" w:rsidR="00A95D9B" w:rsidRPr="00944F2E" w:rsidRDefault="00A95D9B" w:rsidP="00944F2E">
            <w:pPr>
              <w:spacing w:before="0" w:after="0" w:line="240" w:lineRule="auto"/>
              <w:jc w:val="center"/>
              <w:rPr>
                <w:rFonts w:eastAsia="Times New Roman" w:cs="Arial"/>
                <w:i/>
                <w:iCs/>
                <w:color w:val="000000"/>
                <w:lang w:val="en-GB" w:eastAsia="en-GB"/>
              </w:rPr>
            </w:pPr>
            <w:r w:rsidRPr="00944F2E">
              <w:rPr>
                <w:rFonts w:eastAsia="Times New Roman" w:cs="Arial"/>
                <w:i/>
                <w:iCs/>
                <w:color w:val="000000"/>
                <w:lang w:val="en-GB" w:eastAsia="en-GB"/>
              </w:rPr>
              <w:t>2.8</w:t>
            </w:r>
          </w:p>
        </w:tc>
        <w:tc>
          <w:tcPr>
            <w:tcW w:w="968" w:type="dxa"/>
            <w:shd w:val="clear" w:color="auto" w:fill="DBE0F4" w:themeFill="accent1" w:themeFillTint="33"/>
            <w:noWrap/>
            <w:vAlign w:val="bottom"/>
            <w:hideMark/>
          </w:tcPr>
          <w:p w14:paraId="075E8DB6" w14:textId="77777777" w:rsidR="00A95D9B" w:rsidRPr="00944F2E" w:rsidRDefault="00A95D9B" w:rsidP="00944F2E">
            <w:pPr>
              <w:spacing w:before="0" w:after="0" w:line="240" w:lineRule="auto"/>
              <w:jc w:val="center"/>
              <w:rPr>
                <w:rFonts w:eastAsia="Times New Roman" w:cs="Arial"/>
                <w:i/>
                <w:iCs/>
                <w:color w:val="000000"/>
                <w:lang w:val="en-GB" w:eastAsia="en-GB"/>
              </w:rPr>
            </w:pPr>
            <w:r w:rsidRPr="00944F2E">
              <w:rPr>
                <w:rFonts w:eastAsia="Times New Roman" w:cs="Arial"/>
                <w:i/>
                <w:iCs/>
                <w:color w:val="000000"/>
                <w:lang w:val="en-GB" w:eastAsia="en-GB"/>
              </w:rPr>
              <w:t>2.3</w:t>
            </w:r>
          </w:p>
        </w:tc>
        <w:tc>
          <w:tcPr>
            <w:tcW w:w="968" w:type="dxa"/>
            <w:shd w:val="clear" w:color="auto" w:fill="DBE0F4" w:themeFill="accent1" w:themeFillTint="33"/>
            <w:noWrap/>
            <w:vAlign w:val="bottom"/>
            <w:hideMark/>
          </w:tcPr>
          <w:p w14:paraId="516F39DC" w14:textId="77777777" w:rsidR="00A95D9B" w:rsidRPr="00944F2E" w:rsidRDefault="00A95D9B" w:rsidP="00944F2E">
            <w:pPr>
              <w:spacing w:before="0" w:after="0" w:line="240" w:lineRule="auto"/>
              <w:jc w:val="center"/>
              <w:rPr>
                <w:rFonts w:eastAsia="Times New Roman" w:cs="Arial"/>
                <w:i/>
                <w:iCs/>
                <w:color w:val="000000"/>
                <w:lang w:val="en-GB" w:eastAsia="en-GB"/>
              </w:rPr>
            </w:pPr>
            <w:r w:rsidRPr="00944F2E">
              <w:rPr>
                <w:rFonts w:eastAsia="Times New Roman" w:cs="Arial"/>
                <w:i/>
                <w:iCs/>
                <w:color w:val="000000"/>
                <w:lang w:val="en-GB" w:eastAsia="en-GB"/>
              </w:rPr>
              <w:t>2.8</w:t>
            </w:r>
          </w:p>
        </w:tc>
        <w:tc>
          <w:tcPr>
            <w:tcW w:w="828" w:type="dxa"/>
            <w:shd w:val="clear" w:color="auto" w:fill="DBE0F4" w:themeFill="accent1" w:themeFillTint="33"/>
            <w:noWrap/>
            <w:vAlign w:val="bottom"/>
            <w:hideMark/>
          </w:tcPr>
          <w:p w14:paraId="330B9659" w14:textId="77777777" w:rsidR="00A95D9B" w:rsidRPr="00944F2E" w:rsidRDefault="00A95D9B" w:rsidP="00944F2E">
            <w:pPr>
              <w:spacing w:before="0" w:after="0" w:line="240" w:lineRule="auto"/>
              <w:jc w:val="center"/>
              <w:rPr>
                <w:rFonts w:eastAsia="Times New Roman" w:cs="Arial"/>
                <w:i/>
                <w:iCs/>
                <w:color w:val="000000"/>
                <w:lang w:val="en-GB" w:eastAsia="en-GB"/>
              </w:rPr>
            </w:pPr>
            <w:r w:rsidRPr="00944F2E">
              <w:rPr>
                <w:rFonts w:eastAsia="Times New Roman" w:cs="Arial"/>
                <w:i/>
                <w:iCs/>
                <w:color w:val="000000"/>
                <w:lang w:val="en-GB" w:eastAsia="en-GB"/>
              </w:rPr>
              <w:t>2.3</w:t>
            </w:r>
          </w:p>
        </w:tc>
        <w:tc>
          <w:tcPr>
            <w:tcW w:w="706" w:type="dxa"/>
            <w:shd w:val="clear" w:color="auto" w:fill="DBE0F4" w:themeFill="accent1" w:themeFillTint="33"/>
            <w:noWrap/>
            <w:vAlign w:val="bottom"/>
            <w:hideMark/>
          </w:tcPr>
          <w:p w14:paraId="5E939D9C" w14:textId="77777777" w:rsidR="00A95D9B" w:rsidRPr="00944F2E" w:rsidRDefault="00A95D9B" w:rsidP="00944F2E">
            <w:pPr>
              <w:spacing w:before="0" w:after="0" w:line="240" w:lineRule="auto"/>
              <w:jc w:val="center"/>
              <w:rPr>
                <w:rFonts w:eastAsia="Times New Roman" w:cs="Arial"/>
                <w:i/>
                <w:iCs/>
                <w:color w:val="000000"/>
                <w:lang w:val="en-GB" w:eastAsia="en-GB"/>
              </w:rPr>
            </w:pPr>
            <w:r w:rsidRPr="00944F2E">
              <w:rPr>
                <w:rFonts w:eastAsia="Times New Roman" w:cs="Arial"/>
                <w:i/>
                <w:iCs/>
                <w:color w:val="000000"/>
                <w:lang w:val="en-GB" w:eastAsia="en-GB"/>
              </w:rPr>
              <w:t>2.8</w:t>
            </w:r>
          </w:p>
        </w:tc>
        <w:tc>
          <w:tcPr>
            <w:tcW w:w="1010" w:type="dxa"/>
            <w:vMerge/>
            <w:shd w:val="clear" w:color="auto" w:fill="DBE0F4" w:themeFill="accent1" w:themeFillTint="33"/>
            <w:vAlign w:val="center"/>
            <w:hideMark/>
          </w:tcPr>
          <w:p w14:paraId="60125C3C" w14:textId="77777777" w:rsidR="00A95D9B" w:rsidRPr="00944F2E" w:rsidRDefault="00A95D9B" w:rsidP="00944F2E">
            <w:pPr>
              <w:spacing w:before="0" w:after="0" w:line="240" w:lineRule="auto"/>
              <w:jc w:val="left"/>
              <w:rPr>
                <w:rFonts w:eastAsia="Times New Roman" w:cs="Arial"/>
                <w:b/>
                <w:bCs/>
                <w:color w:val="000000"/>
                <w:lang w:val="en-GB" w:eastAsia="en-GB"/>
              </w:rPr>
            </w:pPr>
          </w:p>
        </w:tc>
      </w:tr>
      <w:tr w:rsidR="00A95D9B" w:rsidRPr="00A95D9B" w14:paraId="19A73E41" w14:textId="77777777" w:rsidTr="00CE7789">
        <w:trPr>
          <w:trHeight w:val="312"/>
        </w:trPr>
        <w:tc>
          <w:tcPr>
            <w:tcW w:w="1088" w:type="dxa"/>
            <w:shd w:val="clear" w:color="auto" w:fill="auto"/>
            <w:noWrap/>
            <w:vAlign w:val="bottom"/>
            <w:hideMark/>
          </w:tcPr>
          <w:p w14:paraId="5484C5A6" w14:textId="77777777" w:rsidR="00A95D9B" w:rsidRPr="00944F2E" w:rsidRDefault="00A95D9B" w:rsidP="00944F2E">
            <w:pPr>
              <w:spacing w:before="0" w:after="0" w:line="240" w:lineRule="auto"/>
              <w:jc w:val="left"/>
              <w:rPr>
                <w:rFonts w:eastAsia="Times New Roman" w:cs="Arial"/>
                <w:b/>
                <w:bCs/>
                <w:color w:val="000000"/>
                <w:lang w:val="en-GB" w:eastAsia="en-GB"/>
              </w:rPr>
            </w:pPr>
            <w:r w:rsidRPr="00944F2E">
              <w:rPr>
                <w:rFonts w:eastAsia="Times New Roman" w:cs="Arial"/>
                <w:b/>
                <w:bCs/>
                <w:color w:val="000000"/>
                <w:lang w:val="en-GB" w:eastAsia="en-GB"/>
              </w:rPr>
              <w:t>Greece</w:t>
            </w:r>
          </w:p>
        </w:tc>
        <w:tc>
          <w:tcPr>
            <w:tcW w:w="810" w:type="dxa"/>
            <w:shd w:val="clear" w:color="auto" w:fill="auto"/>
            <w:noWrap/>
            <w:vAlign w:val="bottom"/>
            <w:hideMark/>
          </w:tcPr>
          <w:p w14:paraId="049F4813" w14:textId="3E21E9BD" w:rsidR="00A95D9B" w:rsidRPr="00944F2E" w:rsidRDefault="00A95D9B" w:rsidP="00944F2E">
            <w:pPr>
              <w:spacing w:before="0" w:after="0" w:line="240" w:lineRule="auto"/>
              <w:jc w:val="center"/>
              <w:rPr>
                <w:rFonts w:ascii="Calibri" w:eastAsia="Times New Roman" w:hAnsi="Calibri" w:cs="Calibri"/>
                <w:i/>
                <w:iCs/>
                <w:color w:val="000000"/>
                <w:lang w:val="en-GB" w:eastAsia="en-GB"/>
              </w:rPr>
            </w:pPr>
            <w:r w:rsidRPr="00944F2E">
              <w:rPr>
                <w:rFonts w:eastAsia="Times New Roman" w:cs="Arial"/>
                <w:color w:val="000000"/>
                <w:lang w:val="en-GB" w:eastAsia="en-GB"/>
              </w:rPr>
              <w:t>71.5</w:t>
            </w:r>
          </w:p>
        </w:tc>
        <w:tc>
          <w:tcPr>
            <w:tcW w:w="736" w:type="dxa"/>
            <w:shd w:val="clear" w:color="auto" w:fill="auto"/>
            <w:noWrap/>
            <w:vAlign w:val="bottom"/>
            <w:hideMark/>
          </w:tcPr>
          <w:p w14:paraId="6D9CC16A" w14:textId="27AD52E2" w:rsidR="00A95D9B" w:rsidRPr="00944F2E" w:rsidRDefault="00A95D9B" w:rsidP="00944F2E">
            <w:pPr>
              <w:spacing w:before="0" w:after="0" w:line="240" w:lineRule="auto"/>
              <w:jc w:val="center"/>
              <w:rPr>
                <w:rFonts w:ascii="Calibri" w:eastAsia="Times New Roman" w:hAnsi="Calibri" w:cs="Calibri"/>
                <w:i/>
                <w:iCs/>
                <w:color w:val="000000"/>
                <w:lang w:val="en-GB" w:eastAsia="en-GB"/>
              </w:rPr>
            </w:pPr>
            <w:r w:rsidRPr="00944F2E">
              <w:rPr>
                <w:rFonts w:eastAsia="Times New Roman" w:cs="Arial"/>
                <w:color w:val="000000"/>
                <w:lang w:val="en-GB" w:eastAsia="en-GB"/>
              </w:rPr>
              <w:t>61.4</w:t>
            </w:r>
          </w:p>
        </w:tc>
        <w:tc>
          <w:tcPr>
            <w:tcW w:w="818" w:type="dxa"/>
            <w:shd w:val="clear" w:color="auto" w:fill="auto"/>
            <w:noWrap/>
            <w:vAlign w:val="bottom"/>
            <w:hideMark/>
          </w:tcPr>
          <w:p w14:paraId="31B4E869" w14:textId="38E22316" w:rsidR="00A95D9B" w:rsidRPr="00944F2E" w:rsidRDefault="00A95D9B" w:rsidP="00944F2E">
            <w:pPr>
              <w:spacing w:before="0" w:after="0" w:line="240" w:lineRule="auto"/>
              <w:jc w:val="center"/>
              <w:rPr>
                <w:rFonts w:ascii="Calibri" w:eastAsia="Times New Roman" w:hAnsi="Calibri" w:cs="Calibri"/>
                <w:i/>
                <w:iCs/>
                <w:color w:val="000000"/>
                <w:lang w:val="en-GB" w:eastAsia="en-GB"/>
              </w:rPr>
            </w:pPr>
            <w:r w:rsidRPr="00944F2E">
              <w:rPr>
                <w:rFonts w:eastAsia="Times New Roman" w:cs="Arial"/>
                <w:color w:val="000000"/>
                <w:lang w:val="en-GB" w:eastAsia="en-GB"/>
              </w:rPr>
              <w:t>77.7</w:t>
            </w:r>
          </w:p>
        </w:tc>
        <w:tc>
          <w:tcPr>
            <w:tcW w:w="968" w:type="dxa"/>
            <w:shd w:val="clear" w:color="auto" w:fill="auto"/>
            <w:noWrap/>
            <w:vAlign w:val="bottom"/>
            <w:hideMark/>
          </w:tcPr>
          <w:p w14:paraId="0444C303" w14:textId="76B919B5" w:rsidR="00A95D9B" w:rsidRPr="00944F2E" w:rsidRDefault="00A95D9B" w:rsidP="00944F2E">
            <w:pPr>
              <w:spacing w:before="0" w:after="0" w:line="240" w:lineRule="auto"/>
              <w:jc w:val="center"/>
              <w:rPr>
                <w:rFonts w:ascii="Calibri" w:eastAsia="Times New Roman" w:hAnsi="Calibri" w:cs="Calibri"/>
                <w:i/>
                <w:iCs/>
                <w:color w:val="000000"/>
                <w:lang w:val="en-GB" w:eastAsia="en-GB"/>
              </w:rPr>
            </w:pPr>
            <w:r w:rsidRPr="00944F2E">
              <w:rPr>
                <w:rFonts w:eastAsia="Times New Roman" w:cs="Arial"/>
                <w:color w:val="000000"/>
                <w:lang w:val="en-GB" w:eastAsia="en-GB"/>
              </w:rPr>
              <w:t>73.7</w:t>
            </w:r>
          </w:p>
        </w:tc>
        <w:tc>
          <w:tcPr>
            <w:tcW w:w="968" w:type="dxa"/>
            <w:shd w:val="clear" w:color="auto" w:fill="auto"/>
            <w:noWrap/>
            <w:vAlign w:val="bottom"/>
            <w:hideMark/>
          </w:tcPr>
          <w:p w14:paraId="5CFA0CC6" w14:textId="4399AEE9" w:rsidR="00A95D9B" w:rsidRPr="00944F2E" w:rsidRDefault="00A95D9B" w:rsidP="00944F2E">
            <w:pPr>
              <w:spacing w:before="0" w:after="0" w:line="240" w:lineRule="auto"/>
              <w:jc w:val="center"/>
              <w:rPr>
                <w:rFonts w:ascii="Calibri" w:eastAsia="Times New Roman" w:hAnsi="Calibri" w:cs="Calibri"/>
                <w:i/>
                <w:iCs/>
                <w:color w:val="000000"/>
                <w:lang w:val="en-GB" w:eastAsia="en-GB"/>
              </w:rPr>
            </w:pPr>
            <w:r w:rsidRPr="00944F2E">
              <w:rPr>
                <w:rFonts w:eastAsia="Times New Roman" w:cs="Arial"/>
                <w:color w:val="000000"/>
                <w:lang w:val="en-GB" w:eastAsia="en-GB"/>
              </w:rPr>
              <w:t>73.9</w:t>
            </w:r>
          </w:p>
        </w:tc>
        <w:tc>
          <w:tcPr>
            <w:tcW w:w="968" w:type="dxa"/>
            <w:shd w:val="clear" w:color="auto" w:fill="auto"/>
            <w:noWrap/>
            <w:vAlign w:val="bottom"/>
            <w:hideMark/>
          </w:tcPr>
          <w:p w14:paraId="7FC8FB17" w14:textId="007DAAD2" w:rsidR="00A95D9B" w:rsidRPr="00944F2E" w:rsidRDefault="00A95D9B" w:rsidP="00944F2E">
            <w:pPr>
              <w:spacing w:before="0" w:after="0" w:line="240" w:lineRule="auto"/>
              <w:jc w:val="center"/>
              <w:rPr>
                <w:rFonts w:ascii="Calibri" w:eastAsia="Times New Roman" w:hAnsi="Calibri" w:cs="Calibri"/>
                <w:i/>
                <w:iCs/>
                <w:color w:val="000000"/>
                <w:lang w:val="en-GB" w:eastAsia="en-GB"/>
              </w:rPr>
            </w:pPr>
            <w:r w:rsidRPr="00944F2E">
              <w:rPr>
                <w:rFonts w:eastAsia="Times New Roman" w:cs="Arial"/>
                <w:color w:val="000000"/>
                <w:lang w:val="en-GB" w:eastAsia="en-GB"/>
              </w:rPr>
              <w:t>58.1</w:t>
            </w:r>
          </w:p>
        </w:tc>
        <w:tc>
          <w:tcPr>
            <w:tcW w:w="828" w:type="dxa"/>
            <w:shd w:val="clear" w:color="auto" w:fill="auto"/>
            <w:noWrap/>
            <w:vAlign w:val="bottom"/>
            <w:hideMark/>
          </w:tcPr>
          <w:p w14:paraId="5C55A886" w14:textId="77777777" w:rsidR="00A95D9B" w:rsidRPr="00944F2E" w:rsidRDefault="00A95D9B" w:rsidP="00944F2E">
            <w:pPr>
              <w:spacing w:before="0" w:after="0" w:line="240" w:lineRule="auto"/>
              <w:jc w:val="center"/>
              <w:rPr>
                <w:rFonts w:eastAsia="Times New Roman" w:cs="Arial"/>
                <w:color w:val="000000"/>
                <w:lang w:val="en-GB" w:eastAsia="en-GB"/>
              </w:rPr>
            </w:pPr>
            <w:r w:rsidRPr="00944F2E">
              <w:rPr>
                <w:rFonts w:eastAsia="Times New Roman" w:cs="Arial"/>
                <w:color w:val="000000"/>
                <w:lang w:val="en-GB" w:eastAsia="en-GB"/>
              </w:rPr>
              <w:t>0.41</w:t>
            </w:r>
          </w:p>
        </w:tc>
        <w:tc>
          <w:tcPr>
            <w:tcW w:w="706" w:type="dxa"/>
            <w:shd w:val="clear" w:color="auto" w:fill="auto"/>
            <w:noWrap/>
            <w:vAlign w:val="bottom"/>
            <w:hideMark/>
          </w:tcPr>
          <w:p w14:paraId="5D2F1098" w14:textId="77777777" w:rsidR="00A95D9B" w:rsidRPr="00944F2E" w:rsidRDefault="00A95D9B" w:rsidP="00944F2E">
            <w:pPr>
              <w:spacing w:before="0" w:after="0" w:line="240" w:lineRule="auto"/>
              <w:jc w:val="center"/>
              <w:rPr>
                <w:rFonts w:eastAsia="Times New Roman" w:cs="Arial"/>
                <w:color w:val="000000"/>
                <w:lang w:val="en-GB" w:eastAsia="en-GB"/>
              </w:rPr>
            </w:pPr>
            <w:r w:rsidRPr="00944F2E">
              <w:rPr>
                <w:rFonts w:eastAsia="Times New Roman" w:cs="Arial"/>
                <w:color w:val="000000"/>
                <w:lang w:val="en-GB" w:eastAsia="en-GB"/>
              </w:rPr>
              <w:t>0.23</w:t>
            </w:r>
          </w:p>
        </w:tc>
        <w:tc>
          <w:tcPr>
            <w:tcW w:w="1010" w:type="dxa"/>
            <w:shd w:val="clear" w:color="auto" w:fill="auto"/>
            <w:noWrap/>
            <w:vAlign w:val="bottom"/>
            <w:hideMark/>
          </w:tcPr>
          <w:p w14:paraId="719C70FB" w14:textId="77777777" w:rsidR="00A95D9B" w:rsidRPr="00944F2E" w:rsidRDefault="00A95D9B" w:rsidP="00944F2E">
            <w:pPr>
              <w:spacing w:before="0" w:after="0" w:line="240" w:lineRule="auto"/>
              <w:jc w:val="center"/>
              <w:rPr>
                <w:rFonts w:eastAsia="Times New Roman" w:cs="Arial"/>
                <w:color w:val="000000"/>
                <w:lang w:val="en-GB" w:eastAsia="en-GB"/>
              </w:rPr>
            </w:pPr>
            <w:r w:rsidRPr="00944F2E">
              <w:rPr>
                <w:rFonts w:eastAsia="Times New Roman" w:cs="Arial"/>
                <w:color w:val="000000"/>
                <w:lang w:val="en-GB" w:eastAsia="en-GB"/>
              </w:rPr>
              <w:t>0.26</w:t>
            </w:r>
          </w:p>
        </w:tc>
      </w:tr>
      <w:tr w:rsidR="00A95D9B" w:rsidRPr="00A95D9B" w14:paraId="4BC5DA94" w14:textId="77777777" w:rsidTr="00CE7789">
        <w:trPr>
          <w:trHeight w:val="312"/>
        </w:trPr>
        <w:tc>
          <w:tcPr>
            <w:tcW w:w="1088" w:type="dxa"/>
            <w:shd w:val="clear" w:color="auto" w:fill="auto"/>
            <w:noWrap/>
            <w:vAlign w:val="bottom"/>
            <w:hideMark/>
          </w:tcPr>
          <w:p w14:paraId="400BFAD6" w14:textId="77777777" w:rsidR="00A95D9B" w:rsidRPr="00944F2E" w:rsidRDefault="00A95D9B" w:rsidP="00944F2E">
            <w:pPr>
              <w:spacing w:before="0" w:after="0" w:line="240" w:lineRule="auto"/>
              <w:jc w:val="left"/>
              <w:rPr>
                <w:rFonts w:eastAsia="Times New Roman" w:cs="Arial"/>
                <w:b/>
                <w:bCs/>
                <w:color w:val="000000"/>
                <w:lang w:val="en-GB" w:eastAsia="en-GB"/>
              </w:rPr>
            </w:pPr>
            <w:r w:rsidRPr="00944F2E">
              <w:rPr>
                <w:rFonts w:eastAsia="Times New Roman" w:cs="Arial"/>
                <w:b/>
                <w:bCs/>
                <w:color w:val="000000"/>
                <w:lang w:val="en-GB" w:eastAsia="en-GB"/>
              </w:rPr>
              <w:t>Spain</w:t>
            </w:r>
          </w:p>
        </w:tc>
        <w:tc>
          <w:tcPr>
            <w:tcW w:w="810" w:type="dxa"/>
            <w:shd w:val="clear" w:color="auto" w:fill="auto"/>
            <w:noWrap/>
            <w:vAlign w:val="bottom"/>
            <w:hideMark/>
          </w:tcPr>
          <w:p w14:paraId="26A2B890" w14:textId="43983CA7" w:rsidR="00A95D9B" w:rsidRPr="00944F2E" w:rsidRDefault="00A95D9B" w:rsidP="00944F2E">
            <w:pPr>
              <w:spacing w:before="0" w:after="0" w:line="240" w:lineRule="auto"/>
              <w:jc w:val="center"/>
              <w:rPr>
                <w:rFonts w:ascii="Calibri" w:eastAsia="Times New Roman" w:hAnsi="Calibri" w:cs="Calibri"/>
                <w:i/>
                <w:iCs/>
                <w:color w:val="000000"/>
                <w:lang w:val="en-GB" w:eastAsia="en-GB"/>
              </w:rPr>
            </w:pPr>
            <w:r w:rsidRPr="00944F2E">
              <w:rPr>
                <w:rFonts w:eastAsia="Times New Roman" w:cs="Arial"/>
                <w:color w:val="000000"/>
                <w:lang w:val="en-GB" w:eastAsia="en-GB"/>
              </w:rPr>
              <w:t>82.8</w:t>
            </w:r>
          </w:p>
        </w:tc>
        <w:tc>
          <w:tcPr>
            <w:tcW w:w="736" w:type="dxa"/>
            <w:shd w:val="clear" w:color="auto" w:fill="auto"/>
            <w:noWrap/>
            <w:vAlign w:val="bottom"/>
            <w:hideMark/>
          </w:tcPr>
          <w:p w14:paraId="4B8F3777" w14:textId="3A61699B" w:rsidR="00A95D9B" w:rsidRPr="00944F2E" w:rsidRDefault="00A95D9B" w:rsidP="00944F2E">
            <w:pPr>
              <w:spacing w:before="0" w:after="0" w:line="240" w:lineRule="auto"/>
              <w:jc w:val="center"/>
              <w:rPr>
                <w:rFonts w:ascii="Calibri" w:eastAsia="Times New Roman" w:hAnsi="Calibri" w:cs="Calibri"/>
                <w:i/>
                <w:iCs/>
                <w:color w:val="000000"/>
                <w:lang w:val="en-GB" w:eastAsia="en-GB"/>
              </w:rPr>
            </w:pPr>
            <w:r w:rsidRPr="00944F2E">
              <w:rPr>
                <w:rFonts w:eastAsia="Times New Roman" w:cs="Arial"/>
                <w:color w:val="000000"/>
                <w:lang w:val="en-GB" w:eastAsia="en-GB"/>
              </w:rPr>
              <w:t>73.1</w:t>
            </w:r>
          </w:p>
        </w:tc>
        <w:tc>
          <w:tcPr>
            <w:tcW w:w="818" w:type="dxa"/>
            <w:shd w:val="clear" w:color="auto" w:fill="auto"/>
            <w:noWrap/>
            <w:vAlign w:val="bottom"/>
            <w:hideMark/>
          </w:tcPr>
          <w:p w14:paraId="504FB130" w14:textId="721F7EFD" w:rsidR="00A95D9B" w:rsidRPr="00944F2E" w:rsidRDefault="00A95D9B" w:rsidP="00944F2E">
            <w:pPr>
              <w:spacing w:before="0" w:after="0" w:line="240" w:lineRule="auto"/>
              <w:jc w:val="center"/>
              <w:rPr>
                <w:rFonts w:ascii="Calibri" w:eastAsia="Times New Roman" w:hAnsi="Calibri" w:cs="Calibri"/>
                <w:i/>
                <w:iCs/>
                <w:color w:val="000000"/>
                <w:lang w:val="en-GB" w:eastAsia="en-GB"/>
              </w:rPr>
            </w:pPr>
            <w:r w:rsidRPr="00944F2E">
              <w:rPr>
                <w:rFonts w:eastAsia="Times New Roman" w:cs="Arial"/>
                <w:color w:val="000000"/>
                <w:lang w:val="en-GB" w:eastAsia="en-GB"/>
              </w:rPr>
              <w:t>77.4</w:t>
            </w:r>
          </w:p>
        </w:tc>
        <w:tc>
          <w:tcPr>
            <w:tcW w:w="968" w:type="dxa"/>
            <w:shd w:val="clear" w:color="auto" w:fill="auto"/>
            <w:noWrap/>
            <w:vAlign w:val="bottom"/>
            <w:hideMark/>
          </w:tcPr>
          <w:p w14:paraId="1C4D59ED" w14:textId="6454E5F0" w:rsidR="00A95D9B" w:rsidRPr="00944F2E" w:rsidRDefault="00A95D9B" w:rsidP="00944F2E">
            <w:pPr>
              <w:spacing w:before="0" w:after="0" w:line="240" w:lineRule="auto"/>
              <w:jc w:val="center"/>
              <w:rPr>
                <w:rFonts w:ascii="Calibri" w:eastAsia="Times New Roman" w:hAnsi="Calibri" w:cs="Calibri"/>
                <w:i/>
                <w:iCs/>
                <w:color w:val="000000"/>
                <w:lang w:val="en-GB" w:eastAsia="en-GB"/>
              </w:rPr>
            </w:pPr>
            <w:r w:rsidRPr="00944F2E">
              <w:rPr>
                <w:rFonts w:eastAsia="Times New Roman" w:cs="Arial"/>
                <w:color w:val="000000"/>
                <w:lang w:val="en-GB" w:eastAsia="en-GB"/>
              </w:rPr>
              <w:t>74.3</w:t>
            </w:r>
          </w:p>
        </w:tc>
        <w:tc>
          <w:tcPr>
            <w:tcW w:w="968" w:type="dxa"/>
            <w:shd w:val="clear" w:color="auto" w:fill="auto"/>
            <w:noWrap/>
            <w:vAlign w:val="bottom"/>
            <w:hideMark/>
          </w:tcPr>
          <w:p w14:paraId="5E7FAA9E" w14:textId="495237B8" w:rsidR="00A95D9B" w:rsidRPr="00944F2E" w:rsidRDefault="00A95D9B" w:rsidP="00944F2E">
            <w:pPr>
              <w:spacing w:before="0" w:after="0" w:line="240" w:lineRule="auto"/>
              <w:jc w:val="center"/>
              <w:rPr>
                <w:rFonts w:ascii="Calibri" w:eastAsia="Times New Roman" w:hAnsi="Calibri" w:cs="Calibri"/>
                <w:i/>
                <w:iCs/>
                <w:color w:val="000000"/>
                <w:lang w:val="en-GB" w:eastAsia="en-GB"/>
              </w:rPr>
            </w:pPr>
            <w:r w:rsidRPr="00944F2E">
              <w:rPr>
                <w:rFonts w:eastAsia="Times New Roman" w:cs="Arial"/>
                <w:color w:val="000000"/>
                <w:lang w:val="en-GB" w:eastAsia="en-GB"/>
              </w:rPr>
              <w:t>84.6</w:t>
            </w:r>
          </w:p>
        </w:tc>
        <w:tc>
          <w:tcPr>
            <w:tcW w:w="968" w:type="dxa"/>
            <w:shd w:val="clear" w:color="auto" w:fill="auto"/>
            <w:noWrap/>
            <w:vAlign w:val="bottom"/>
            <w:hideMark/>
          </w:tcPr>
          <w:p w14:paraId="62C16136" w14:textId="28AC37E3" w:rsidR="00A95D9B" w:rsidRPr="00944F2E" w:rsidRDefault="00A95D9B" w:rsidP="00944F2E">
            <w:pPr>
              <w:spacing w:before="0" w:after="0" w:line="240" w:lineRule="auto"/>
              <w:jc w:val="center"/>
              <w:rPr>
                <w:rFonts w:ascii="Calibri" w:eastAsia="Times New Roman" w:hAnsi="Calibri" w:cs="Calibri"/>
                <w:i/>
                <w:iCs/>
                <w:color w:val="000000"/>
                <w:lang w:val="en-GB" w:eastAsia="en-GB"/>
              </w:rPr>
            </w:pPr>
            <w:r w:rsidRPr="00944F2E">
              <w:rPr>
                <w:rFonts w:eastAsia="Times New Roman" w:cs="Arial"/>
                <w:color w:val="000000"/>
                <w:lang w:val="en-GB" w:eastAsia="en-GB"/>
              </w:rPr>
              <w:t>57.2</w:t>
            </w:r>
          </w:p>
        </w:tc>
        <w:tc>
          <w:tcPr>
            <w:tcW w:w="828" w:type="dxa"/>
            <w:shd w:val="clear" w:color="auto" w:fill="auto"/>
            <w:noWrap/>
            <w:vAlign w:val="bottom"/>
            <w:hideMark/>
          </w:tcPr>
          <w:p w14:paraId="2FBB5173" w14:textId="77777777" w:rsidR="00A95D9B" w:rsidRPr="00944F2E" w:rsidRDefault="00A95D9B" w:rsidP="00944F2E">
            <w:pPr>
              <w:spacing w:before="0" w:after="0" w:line="240" w:lineRule="auto"/>
              <w:jc w:val="center"/>
              <w:rPr>
                <w:rFonts w:eastAsia="Times New Roman" w:cs="Arial"/>
                <w:color w:val="000000"/>
                <w:lang w:val="en-GB" w:eastAsia="en-GB"/>
              </w:rPr>
            </w:pPr>
            <w:r w:rsidRPr="00944F2E">
              <w:rPr>
                <w:rFonts w:eastAsia="Times New Roman" w:cs="Arial"/>
                <w:color w:val="000000"/>
                <w:lang w:val="en-GB" w:eastAsia="en-GB"/>
              </w:rPr>
              <w:t>0.65</w:t>
            </w:r>
          </w:p>
        </w:tc>
        <w:tc>
          <w:tcPr>
            <w:tcW w:w="706" w:type="dxa"/>
            <w:shd w:val="clear" w:color="auto" w:fill="auto"/>
            <w:noWrap/>
            <w:vAlign w:val="bottom"/>
            <w:hideMark/>
          </w:tcPr>
          <w:p w14:paraId="403073C8" w14:textId="77777777" w:rsidR="00A95D9B" w:rsidRPr="00944F2E" w:rsidRDefault="00A95D9B" w:rsidP="00944F2E">
            <w:pPr>
              <w:spacing w:before="0" w:after="0" w:line="240" w:lineRule="auto"/>
              <w:jc w:val="center"/>
              <w:rPr>
                <w:rFonts w:eastAsia="Times New Roman" w:cs="Arial"/>
                <w:color w:val="000000"/>
                <w:lang w:val="en-GB" w:eastAsia="en-GB"/>
              </w:rPr>
            </w:pPr>
            <w:r w:rsidRPr="00944F2E">
              <w:rPr>
                <w:rFonts w:eastAsia="Times New Roman" w:cs="Arial"/>
                <w:color w:val="000000"/>
                <w:lang w:val="en-GB" w:eastAsia="en-GB"/>
              </w:rPr>
              <w:t>0.43</w:t>
            </w:r>
          </w:p>
        </w:tc>
        <w:tc>
          <w:tcPr>
            <w:tcW w:w="1010" w:type="dxa"/>
            <w:shd w:val="clear" w:color="auto" w:fill="auto"/>
            <w:noWrap/>
            <w:vAlign w:val="bottom"/>
            <w:hideMark/>
          </w:tcPr>
          <w:p w14:paraId="1DD692AE" w14:textId="77777777" w:rsidR="00A95D9B" w:rsidRPr="00944F2E" w:rsidRDefault="00A95D9B" w:rsidP="00944F2E">
            <w:pPr>
              <w:spacing w:before="0" w:after="0" w:line="240" w:lineRule="auto"/>
              <w:jc w:val="center"/>
              <w:rPr>
                <w:rFonts w:eastAsia="Times New Roman" w:cs="Arial"/>
                <w:color w:val="000000"/>
                <w:lang w:val="en-GB" w:eastAsia="en-GB"/>
              </w:rPr>
            </w:pPr>
            <w:r w:rsidRPr="00944F2E">
              <w:rPr>
                <w:rFonts w:eastAsia="Times New Roman" w:cs="Arial"/>
                <w:color w:val="000000"/>
                <w:lang w:val="en-GB" w:eastAsia="en-GB"/>
              </w:rPr>
              <w:t>0.23</w:t>
            </w:r>
          </w:p>
        </w:tc>
      </w:tr>
      <w:tr w:rsidR="00A95D9B" w:rsidRPr="00A95D9B" w14:paraId="3DB131B8" w14:textId="77777777" w:rsidTr="00CE7789">
        <w:trPr>
          <w:trHeight w:val="312"/>
        </w:trPr>
        <w:tc>
          <w:tcPr>
            <w:tcW w:w="1088" w:type="dxa"/>
            <w:shd w:val="clear" w:color="auto" w:fill="auto"/>
            <w:noWrap/>
            <w:vAlign w:val="bottom"/>
            <w:hideMark/>
          </w:tcPr>
          <w:p w14:paraId="005F308B" w14:textId="77777777" w:rsidR="00A95D9B" w:rsidRPr="00944F2E" w:rsidRDefault="00A95D9B" w:rsidP="00944F2E">
            <w:pPr>
              <w:spacing w:before="0" w:after="0" w:line="240" w:lineRule="auto"/>
              <w:jc w:val="left"/>
              <w:rPr>
                <w:rFonts w:eastAsia="Times New Roman" w:cs="Arial"/>
                <w:b/>
                <w:bCs/>
                <w:color w:val="000000"/>
                <w:lang w:val="en-GB" w:eastAsia="en-GB"/>
              </w:rPr>
            </w:pPr>
            <w:r w:rsidRPr="00944F2E">
              <w:rPr>
                <w:rFonts w:eastAsia="Times New Roman" w:cs="Arial"/>
                <w:b/>
                <w:bCs/>
                <w:color w:val="000000"/>
                <w:lang w:val="en-GB" w:eastAsia="en-GB"/>
              </w:rPr>
              <w:t>Germany</w:t>
            </w:r>
          </w:p>
        </w:tc>
        <w:tc>
          <w:tcPr>
            <w:tcW w:w="810" w:type="dxa"/>
            <w:shd w:val="clear" w:color="auto" w:fill="auto"/>
            <w:noWrap/>
            <w:vAlign w:val="bottom"/>
            <w:hideMark/>
          </w:tcPr>
          <w:p w14:paraId="5ED5F0A1" w14:textId="026F3409" w:rsidR="00A95D9B" w:rsidRPr="00944F2E" w:rsidRDefault="00A95D9B" w:rsidP="00944F2E">
            <w:pPr>
              <w:spacing w:before="0" w:after="0" w:line="240" w:lineRule="auto"/>
              <w:jc w:val="center"/>
              <w:rPr>
                <w:rFonts w:ascii="Calibri" w:eastAsia="Times New Roman" w:hAnsi="Calibri" w:cs="Calibri"/>
                <w:i/>
                <w:iCs/>
                <w:color w:val="000000"/>
                <w:lang w:val="en-GB" w:eastAsia="en-GB"/>
              </w:rPr>
            </w:pPr>
            <w:r w:rsidRPr="00944F2E">
              <w:rPr>
                <w:rFonts w:eastAsia="Times New Roman" w:cs="Arial"/>
                <w:color w:val="000000"/>
                <w:lang w:val="en-GB" w:eastAsia="en-GB"/>
              </w:rPr>
              <w:t>60.6</w:t>
            </w:r>
          </w:p>
        </w:tc>
        <w:tc>
          <w:tcPr>
            <w:tcW w:w="736" w:type="dxa"/>
            <w:shd w:val="clear" w:color="auto" w:fill="auto"/>
            <w:noWrap/>
            <w:vAlign w:val="bottom"/>
            <w:hideMark/>
          </w:tcPr>
          <w:p w14:paraId="507D29CE" w14:textId="5396519D" w:rsidR="00A95D9B" w:rsidRPr="00944F2E" w:rsidRDefault="00A95D9B" w:rsidP="00944F2E">
            <w:pPr>
              <w:spacing w:before="0" w:after="0" w:line="240" w:lineRule="auto"/>
              <w:jc w:val="center"/>
              <w:rPr>
                <w:rFonts w:ascii="Calibri" w:eastAsia="Times New Roman" w:hAnsi="Calibri" w:cs="Calibri"/>
                <w:i/>
                <w:iCs/>
                <w:color w:val="000000"/>
                <w:lang w:val="en-GB" w:eastAsia="en-GB"/>
              </w:rPr>
            </w:pPr>
            <w:r w:rsidRPr="00944F2E">
              <w:rPr>
                <w:rFonts w:eastAsia="Times New Roman" w:cs="Arial"/>
                <w:color w:val="000000"/>
                <w:lang w:val="en-GB" w:eastAsia="en-GB"/>
              </w:rPr>
              <w:t>54.3</w:t>
            </w:r>
          </w:p>
        </w:tc>
        <w:tc>
          <w:tcPr>
            <w:tcW w:w="818" w:type="dxa"/>
            <w:shd w:val="clear" w:color="auto" w:fill="auto"/>
            <w:noWrap/>
            <w:vAlign w:val="bottom"/>
            <w:hideMark/>
          </w:tcPr>
          <w:p w14:paraId="6CB9997A" w14:textId="6D967012" w:rsidR="00A95D9B" w:rsidRPr="00944F2E" w:rsidRDefault="00A95D9B" w:rsidP="00944F2E">
            <w:pPr>
              <w:spacing w:before="0" w:after="0" w:line="240" w:lineRule="auto"/>
              <w:jc w:val="center"/>
              <w:rPr>
                <w:rFonts w:ascii="Calibri" w:eastAsia="Times New Roman" w:hAnsi="Calibri" w:cs="Calibri"/>
                <w:i/>
                <w:iCs/>
                <w:color w:val="000000"/>
                <w:lang w:val="en-GB" w:eastAsia="en-GB"/>
              </w:rPr>
            </w:pPr>
            <w:r w:rsidRPr="00944F2E">
              <w:rPr>
                <w:rFonts w:eastAsia="Times New Roman" w:cs="Arial"/>
                <w:color w:val="000000"/>
                <w:lang w:val="en-GB" w:eastAsia="en-GB"/>
              </w:rPr>
              <w:t>3.6</w:t>
            </w:r>
          </w:p>
        </w:tc>
        <w:tc>
          <w:tcPr>
            <w:tcW w:w="968" w:type="dxa"/>
            <w:shd w:val="clear" w:color="auto" w:fill="auto"/>
            <w:noWrap/>
            <w:vAlign w:val="bottom"/>
            <w:hideMark/>
          </w:tcPr>
          <w:p w14:paraId="2741CEC3" w14:textId="5CACB144" w:rsidR="00A95D9B" w:rsidRPr="00944F2E" w:rsidRDefault="00A95D9B" w:rsidP="00944F2E">
            <w:pPr>
              <w:spacing w:before="0" w:after="0" w:line="240" w:lineRule="auto"/>
              <w:jc w:val="center"/>
              <w:rPr>
                <w:rFonts w:ascii="Calibri" w:eastAsia="Times New Roman" w:hAnsi="Calibri" w:cs="Calibri"/>
                <w:i/>
                <w:iCs/>
                <w:color w:val="000000"/>
                <w:lang w:val="en-GB" w:eastAsia="en-GB"/>
              </w:rPr>
            </w:pPr>
            <w:r w:rsidRPr="00944F2E">
              <w:rPr>
                <w:rFonts w:eastAsia="Times New Roman" w:cs="Arial"/>
                <w:color w:val="000000"/>
                <w:lang w:val="en-GB" w:eastAsia="en-GB"/>
              </w:rPr>
              <w:t>41.9</w:t>
            </w:r>
          </w:p>
        </w:tc>
        <w:tc>
          <w:tcPr>
            <w:tcW w:w="968" w:type="dxa"/>
            <w:shd w:val="clear" w:color="auto" w:fill="auto"/>
            <w:noWrap/>
            <w:vAlign w:val="bottom"/>
            <w:hideMark/>
          </w:tcPr>
          <w:p w14:paraId="22A5E8FB" w14:textId="160F5A67" w:rsidR="00A95D9B" w:rsidRPr="00944F2E" w:rsidRDefault="00A95D9B" w:rsidP="00944F2E">
            <w:pPr>
              <w:spacing w:before="0" w:after="0" w:line="240" w:lineRule="auto"/>
              <w:jc w:val="center"/>
              <w:rPr>
                <w:rFonts w:ascii="Calibri" w:eastAsia="Times New Roman" w:hAnsi="Calibri" w:cs="Calibri"/>
                <w:i/>
                <w:iCs/>
                <w:color w:val="000000"/>
                <w:lang w:val="en-GB" w:eastAsia="en-GB"/>
              </w:rPr>
            </w:pPr>
            <w:r w:rsidRPr="00944F2E">
              <w:rPr>
                <w:rFonts w:eastAsia="Times New Roman" w:cs="Arial"/>
                <w:color w:val="000000"/>
                <w:lang w:val="en-GB" w:eastAsia="en-GB"/>
              </w:rPr>
              <w:t>90.0</w:t>
            </w:r>
          </w:p>
        </w:tc>
        <w:tc>
          <w:tcPr>
            <w:tcW w:w="968" w:type="dxa"/>
            <w:shd w:val="clear" w:color="auto" w:fill="auto"/>
            <w:noWrap/>
            <w:vAlign w:val="bottom"/>
            <w:hideMark/>
          </w:tcPr>
          <w:p w14:paraId="51E7AC5D" w14:textId="65480709" w:rsidR="00A95D9B" w:rsidRPr="00944F2E" w:rsidRDefault="00A95D9B" w:rsidP="00944F2E">
            <w:pPr>
              <w:spacing w:before="0" w:after="0" w:line="240" w:lineRule="auto"/>
              <w:jc w:val="center"/>
              <w:rPr>
                <w:rFonts w:ascii="Calibri" w:eastAsia="Times New Roman" w:hAnsi="Calibri" w:cs="Calibri"/>
                <w:i/>
                <w:iCs/>
                <w:color w:val="000000"/>
                <w:lang w:val="en-GB" w:eastAsia="en-GB"/>
              </w:rPr>
            </w:pPr>
            <w:r w:rsidRPr="00944F2E">
              <w:rPr>
                <w:rFonts w:eastAsia="Times New Roman" w:cs="Arial"/>
                <w:color w:val="000000"/>
                <w:lang w:val="en-GB" w:eastAsia="en-GB"/>
              </w:rPr>
              <w:t>88.5</w:t>
            </w:r>
          </w:p>
        </w:tc>
        <w:tc>
          <w:tcPr>
            <w:tcW w:w="828" w:type="dxa"/>
            <w:shd w:val="clear" w:color="auto" w:fill="auto"/>
            <w:noWrap/>
            <w:vAlign w:val="bottom"/>
            <w:hideMark/>
          </w:tcPr>
          <w:p w14:paraId="3FCC5B0E" w14:textId="77777777" w:rsidR="00A95D9B" w:rsidRPr="00944F2E" w:rsidRDefault="00A95D9B" w:rsidP="00944F2E">
            <w:pPr>
              <w:spacing w:before="0" w:after="0" w:line="240" w:lineRule="auto"/>
              <w:jc w:val="center"/>
              <w:rPr>
                <w:rFonts w:eastAsia="Times New Roman" w:cs="Arial"/>
                <w:color w:val="000000"/>
                <w:lang w:val="en-GB" w:eastAsia="en-GB"/>
              </w:rPr>
            </w:pPr>
            <w:r w:rsidRPr="00944F2E">
              <w:rPr>
                <w:rFonts w:eastAsia="Times New Roman" w:cs="Arial"/>
                <w:color w:val="000000"/>
                <w:lang w:val="en-GB" w:eastAsia="en-GB"/>
              </w:rPr>
              <w:t>0.04</w:t>
            </w:r>
          </w:p>
        </w:tc>
        <w:tc>
          <w:tcPr>
            <w:tcW w:w="706" w:type="dxa"/>
            <w:shd w:val="clear" w:color="auto" w:fill="auto"/>
            <w:noWrap/>
            <w:vAlign w:val="bottom"/>
            <w:hideMark/>
          </w:tcPr>
          <w:p w14:paraId="1DCDF7D0" w14:textId="77777777" w:rsidR="00A95D9B" w:rsidRPr="00944F2E" w:rsidRDefault="00A95D9B" w:rsidP="00944F2E">
            <w:pPr>
              <w:spacing w:before="0" w:after="0" w:line="240" w:lineRule="auto"/>
              <w:jc w:val="center"/>
              <w:rPr>
                <w:rFonts w:eastAsia="Times New Roman" w:cs="Arial"/>
                <w:color w:val="000000"/>
                <w:lang w:val="en-GB" w:eastAsia="en-GB"/>
              </w:rPr>
            </w:pPr>
            <w:r w:rsidRPr="00944F2E">
              <w:rPr>
                <w:rFonts w:eastAsia="Times New Roman" w:cs="Arial"/>
                <w:color w:val="000000"/>
                <w:lang w:val="en-GB" w:eastAsia="en-GB"/>
              </w:rPr>
              <w:t>0.03</w:t>
            </w:r>
          </w:p>
        </w:tc>
        <w:tc>
          <w:tcPr>
            <w:tcW w:w="1010" w:type="dxa"/>
            <w:shd w:val="clear" w:color="auto" w:fill="auto"/>
            <w:noWrap/>
            <w:vAlign w:val="bottom"/>
            <w:hideMark/>
          </w:tcPr>
          <w:p w14:paraId="01A8A43C" w14:textId="77777777" w:rsidR="00A95D9B" w:rsidRPr="00944F2E" w:rsidRDefault="00A95D9B" w:rsidP="00944F2E">
            <w:pPr>
              <w:spacing w:before="0" w:after="0" w:line="240" w:lineRule="auto"/>
              <w:jc w:val="center"/>
              <w:rPr>
                <w:rFonts w:eastAsia="Times New Roman" w:cs="Arial"/>
                <w:color w:val="000000"/>
                <w:lang w:val="en-GB" w:eastAsia="en-GB"/>
              </w:rPr>
            </w:pPr>
            <w:r w:rsidRPr="00944F2E">
              <w:rPr>
                <w:rFonts w:eastAsia="Times New Roman" w:cs="Arial"/>
                <w:color w:val="000000"/>
                <w:lang w:val="en-GB" w:eastAsia="en-GB"/>
              </w:rPr>
              <w:t>0.21</w:t>
            </w:r>
          </w:p>
        </w:tc>
      </w:tr>
      <w:tr w:rsidR="00A95D9B" w:rsidRPr="00A95D9B" w14:paraId="4D0DB566" w14:textId="77777777" w:rsidTr="00CE7789">
        <w:trPr>
          <w:trHeight w:val="312"/>
        </w:trPr>
        <w:tc>
          <w:tcPr>
            <w:tcW w:w="1088" w:type="dxa"/>
            <w:shd w:val="clear" w:color="auto" w:fill="auto"/>
            <w:noWrap/>
            <w:vAlign w:val="bottom"/>
            <w:hideMark/>
          </w:tcPr>
          <w:p w14:paraId="51CD21DB" w14:textId="77777777" w:rsidR="00A95D9B" w:rsidRPr="00944F2E" w:rsidRDefault="00A95D9B" w:rsidP="00944F2E">
            <w:pPr>
              <w:spacing w:before="0" w:after="0" w:line="240" w:lineRule="auto"/>
              <w:jc w:val="left"/>
              <w:rPr>
                <w:rFonts w:eastAsia="Times New Roman" w:cs="Arial"/>
                <w:b/>
                <w:bCs/>
                <w:color w:val="000000"/>
                <w:lang w:val="en-GB" w:eastAsia="en-GB"/>
              </w:rPr>
            </w:pPr>
            <w:r w:rsidRPr="00944F2E">
              <w:rPr>
                <w:rFonts w:eastAsia="Times New Roman" w:cs="Arial"/>
                <w:b/>
                <w:bCs/>
                <w:color w:val="000000"/>
                <w:lang w:val="en-GB" w:eastAsia="en-GB"/>
              </w:rPr>
              <w:t>Poland</w:t>
            </w:r>
          </w:p>
        </w:tc>
        <w:tc>
          <w:tcPr>
            <w:tcW w:w="810" w:type="dxa"/>
            <w:shd w:val="clear" w:color="auto" w:fill="auto"/>
            <w:noWrap/>
            <w:vAlign w:val="bottom"/>
            <w:hideMark/>
          </w:tcPr>
          <w:p w14:paraId="4598B4D6" w14:textId="3501AB21" w:rsidR="00A95D9B" w:rsidRPr="00944F2E" w:rsidRDefault="00A95D9B" w:rsidP="00944F2E">
            <w:pPr>
              <w:spacing w:before="0" w:after="0" w:line="240" w:lineRule="auto"/>
              <w:jc w:val="center"/>
              <w:rPr>
                <w:rFonts w:ascii="Calibri" w:eastAsia="Times New Roman" w:hAnsi="Calibri" w:cs="Calibri"/>
                <w:i/>
                <w:iCs/>
                <w:color w:val="000000"/>
                <w:lang w:val="en-GB" w:eastAsia="en-GB"/>
              </w:rPr>
            </w:pPr>
            <w:r w:rsidRPr="00944F2E">
              <w:rPr>
                <w:rFonts w:eastAsia="Times New Roman" w:cs="Arial"/>
                <w:color w:val="000000"/>
                <w:lang w:val="en-GB" w:eastAsia="en-GB"/>
              </w:rPr>
              <w:t>90.9</w:t>
            </w:r>
          </w:p>
        </w:tc>
        <w:tc>
          <w:tcPr>
            <w:tcW w:w="736" w:type="dxa"/>
            <w:shd w:val="clear" w:color="auto" w:fill="auto"/>
            <w:noWrap/>
            <w:vAlign w:val="bottom"/>
            <w:hideMark/>
          </w:tcPr>
          <w:p w14:paraId="0E5E4D43" w14:textId="2EF26B1A" w:rsidR="00A95D9B" w:rsidRPr="00944F2E" w:rsidRDefault="00A95D9B" w:rsidP="00944F2E">
            <w:pPr>
              <w:spacing w:before="0" w:after="0" w:line="240" w:lineRule="auto"/>
              <w:jc w:val="center"/>
              <w:rPr>
                <w:rFonts w:ascii="Calibri" w:eastAsia="Times New Roman" w:hAnsi="Calibri" w:cs="Calibri"/>
                <w:i/>
                <w:iCs/>
                <w:color w:val="000000"/>
                <w:lang w:val="en-GB" w:eastAsia="en-GB"/>
              </w:rPr>
            </w:pPr>
            <w:r w:rsidRPr="00944F2E">
              <w:rPr>
                <w:rFonts w:eastAsia="Times New Roman" w:cs="Arial"/>
                <w:color w:val="000000"/>
                <w:lang w:val="en-GB" w:eastAsia="en-GB"/>
              </w:rPr>
              <w:t>94.2</w:t>
            </w:r>
          </w:p>
        </w:tc>
        <w:tc>
          <w:tcPr>
            <w:tcW w:w="818" w:type="dxa"/>
            <w:shd w:val="clear" w:color="auto" w:fill="auto"/>
            <w:noWrap/>
            <w:vAlign w:val="bottom"/>
            <w:hideMark/>
          </w:tcPr>
          <w:p w14:paraId="52C6BCCF" w14:textId="70E31508" w:rsidR="00A95D9B" w:rsidRPr="00944F2E" w:rsidRDefault="00A95D9B" w:rsidP="00944F2E">
            <w:pPr>
              <w:spacing w:before="0" w:after="0" w:line="240" w:lineRule="auto"/>
              <w:jc w:val="center"/>
              <w:rPr>
                <w:rFonts w:ascii="Calibri" w:eastAsia="Times New Roman" w:hAnsi="Calibri" w:cs="Calibri"/>
                <w:i/>
                <w:iCs/>
                <w:color w:val="000000"/>
                <w:lang w:val="en-GB" w:eastAsia="en-GB"/>
              </w:rPr>
            </w:pPr>
            <w:r w:rsidRPr="00944F2E">
              <w:rPr>
                <w:rFonts w:eastAsia="Times New Roman" w:cs="Arial"/>
                <w:color w:val="000000"/>
                <w:lang w:val="en-GB" w:eastAsia="en-GB"/>
              </w:rPr>
              <w:t>92.4</w:t>
            </w:r>
          </w:p>
        </w:tc>
        <w:tc>
          <w:tcPr>
            <w:tcW w:w="968" w:type="dxa"/>
            <w:shd w:val="clear" w:color="auto" w:fill="auto"/>
            <w:noWrap/>
            <w:vAlign w:val="bottom"/>
            <w:hideMark/>
          </w:tcPr>
          <w:p w14:paraId="2D463741" w14:textId="68D23607" w:rsidR="00A95D9B" w:rsidRPr="00944F2E" w:rsidRDefault="00A95D9B" w:rsidP="00944F2E">
            <w:pPr>
              <w:spacing w:before="0" w:after="0" w:line="240" w:lineRule="auto"/>
              <w:jc w:val="center"/>
              <w:rPr>
                <w:rFonts w:ascii="Calibri" w:eastAsia="Times New Roman" w:hAnsi="Calibri" w:cs="Calibri"/>
                <w:i/>
                <w:iCs/>
                <w:color w:val="000000"/>
                <w:lang w:val="en-GB" w:eastAsia="en-GB"/>
              </w:rPr>
            </w:pPr>
            <w:r w:rsidRPr="00944F2E">
              <w:rPr>
                <w:rFonts w:eastAsia="Times New Roman" w:cs="Arial"/>
                <w:color w:val="000000"/>
                <w:lang w:val="en-GB" w:eastAsia="en-GB"/>
              </w:rPr>
              <w:t>94.3</w:t>
            </w:r>
          </w:p>
        </w:tc>
        <w:tc>
          <w:tcPr>
            <w:tcW w:w="968" w:type="dxa"/>
            <w:shd w:val="clear" w:color="auto" w:fill="auto"/>
            <w:noWrap/>
            <w:vAlign w:val="bottom"/>
            <w:hideMark/>
          </w:tcPr>
          <w:p w14:paraId="79C27B39" w14:textId="5875AED5" w:rsidR="00A95D9B" w:rsidRPr="00944F2E" w:rsidRDefault="00A95D9B" w:rsidP="00944F2E">
            <w:pPr>
              <w:spacing w:before="0" w:after="0" w:line="240" w:lineRule="auto"/>
              <w:jc w:val="center"/>
              <w:rPr>
                <w:rFonts w:ascii="Calibri" w:eastAsia="Times New Roman" w:hAnsi="Calibri" w:cs="Calibri"/>
                <w:i/>
                <w:iCs/>
                <w:color w:val="000000"/>
                <w:lang w:val="en-GB" w:eastAsia="en-GB"/>
              </w:rPr>
            </w:pPr>
            <w:r w:rsidRPr="00944F2E">
              <w:rPr>
                <w:rFonts w:eastAsia="Times New Roman" w:cs="Arial"/>
                <w:color w:val="000000"/>
                <w:lang w:val="en-GB" w:eastAsia="en-GB"/>
              </w:rPr>
              <w:t>54.2</w:t>
            </w:r>
          </w:p>
        </w:tc>
        <w:tc>
          <w:tcPr>
            <w:tcW w:w="968" w:type="dxa"/>
            <w:shd w:val="clear" w:color="auto" w:fill="auto"/>
            <w:noWrap/>
            <w:vAlign w:val="bottom"/>
            <w:hideMark/>
          </w:tcPr>
          <w:p w14:paraId="34FE25E8" w14:textId="06302D6B" w:rsidR="00A95D9B" w:rsidRPr="00944F2E" w:rsidRDefault="00A95D9B" w:rsidP="00944F2E">
            <w:pPr>
              <w:spacing w:before="0" w:after="0" w:line="240" w:lineRule="auto"/>
              <w:jc w:val="center"/>
              <w:rPr>
                <w:rFonts w:ascii="Calibri" w:eastAsia="Times New Roman" w:hAnsi="Calibri" w:cs="Calibri"/>
                <w:i/>
                <w:iCs/>
                <w:color w:val="000000"/>
                <w:lang w:val="en-GB" w:eastAsia="en-GB"/>
              </w:rPr>
            </w:pPr>
            <w:r w:rsidRPr="00944F2E">
              <w:rPr>
                <w:rFonts w:eastAsia="Times New Roman" w:cs="Arial"/>
                <w:color w:val="000000"/>
                <w:lang w:val="en-GB" w:eastAsia="en-GB"/>
              </w:rPr>
              <w:t>71.0</w:t>
            </w:r>
          </w:p>
        </w:tc>
        <w:tc>
          <w:tcPr>
            <w:tcW w:w="828" w:type="dxa"/>
            <w:shd w:val="clear" w:color="auto" w:fill="auto"/>
            <w:noWrap/>
            <w:vAlign w:val="bottom"/>
            <w:hideMark/>
          </w:tcPr>
          <w:p w14:paraId="1500F3D9" w14:textId="77777777" w:rsidR="00A95D9B" w:rsidRPr="00944F2E" w:rsidRDefault="00A95D9B" w:rsidP="00944F2E">
            <w:pPr>
              <w:spacing w:before="0" w:after="0" w:line="240" w:lineRule="auto"/>
              <w:jc w:val="center"/>
              <w:rPr>
                <w:rFonts w:eastAsia="Times New Roman" w:cs="Arial"/>
                <w:color w:val="000000"/>
                <w:lang w:val="en-GB" w:eastAsia="en-GB"/>
              </w:rPr>
            </w:pPr>
            <w:r w:rsidRPr="00944F2E">
              <w:rPr>
                <w:rFonts w:eastAsia="Times New Roman" w:cs="Arial"/>
                <w:color w:val="000000"/>
                <w:lang w:val="en-GB" w:eastAsia="en-GB"/>
              </w:rPr>
              <w:t>0.64</w:t>
            </w:r>
          </w:p>
        </w:tc>
        <w:tc>
          <w:tcPr>
            <w:tcW w:w="706" w:type="dxa"/>
            <w:shd w:val="clear" w:color="auto" w:fill="auto"/>
            <w:noWrap/>
            <w:vAlign w:val="bottom"/>
            <w:hideMark/>
          </w:tcPr>
          <w:p w14:paraId="60979902" w14:textId="77777777" w:rsidR="00A95D9B" w:rsidRPr="00944F2E" w:rsidRDefault="00A95D9B" w:rsidP="00944F2E">
            <w:pPr>
              <w:spacing w:before="0" w:after="0" w:line="240" w:lineRule="auto"/>
              <w:jc w:val="center"/>
              <w:rPr>
                <w:rFonts w:eastAsia="Times New Roman" w:cs="Arial"/>
                <w:color w:val="000000"/>
                <w:lang w:val="en-GB" w:eastAsia="en-GB"/>
              </w:rPr>
            </w:pPr>
            <w:r w:rsidRPr="00944F2E">
              <w:rPr>
                <w:rFonts w:eastAsia="Times New Roman" w:cs="Arial"/>
                <w:color w:val="000000"/>
                <w:lang w:val="en-GB" w:eastAsia="en-GB"/>
              </w:rPr>
              <w:t>0.77</w:t>
            </w:r>
          </w:p>
        </w:tc>
        <w:tc>
          <w:tcPr>
            <w:tcW w:w="1010" w:type="dxa"/>
            <w:shd w:val="clear" w:color="auto" w:fill="auto"/>
            <w:noWrap/>
            <w:vAlign w:val="bottom"/>
            <w:hideMark/>
          </w:tcPr>
          <w:p w14:paraId="32D5BF03" w14:textId="77777777" w:rsidR="00A95D9B" w:rsidRPr="00944F2E" w:rsidRDefault="00A95D9B" w:rsidP="00944F2E">
            <w:pPr>
              <w:spacing w:before="0" w:after="0" w:line="240" w:lineRule="auto"/>
              <w:jc w:val="center"/>
              <w:rPr>
                <w:rFonts w:eastAsia="Times New Roman" w:cs="Arial"/>
                <w:color w:val="000000"/>
                <w:lang w:val="en-GB" w:eastAsia="en-GB"/>
              </w:rPr>
            </w:pPr>
            <w:r w:rsidRPr="00944F2E">
              <w:rPr>
                <w:rFonts w:eastAsia="Times New Roman" w:cs="Arial"/>
                <w:color w:val="000000"/>
                <w:lang w:val="en-GB" w:eastAsia="en-GB"/>
              </w:rPr>
              <w:t>0.25</w:t>
            </w:r>
          </w:p>
        </w:tc>
      </w:tr>
    </w:tbl>
    <w:p w14:paraId="024122EA" w14:textId="6C913C5B" w:rsidR="00542692" w:rsidRDefault="00542692" w:rsidP="00682CA8">
      <w:pPr>
        <w:rPr>
          <w:lang w:val="en-GB"/>
        </w:rPr>
      </w:pPr>
    </w:p>
    <w:p w14:paraId="0F524784" w14:textId="04948427" w:rsidR="00505A15" w:rsidRDefault="00E77D16" w:rsidP="00682CA8">
      <w:pPr>
        <w:rPr>
          <w:lang w:val="en-GB"/>
        </w:rPr>
      </w:pPr>
      <w:r>
        <w:rPr>
          <w:lang w:val="en-GB"/>
        </w:rPr>
        <w:t>The</w:t>
      </w:r>
      <w:r w:rsidR="00E472F8">
        <w:rPr>
          <w:lang w:val="en-GB"/>
        </w:rPr>
        <w:t xml:space="preserve"> tool’s</w:t>
      </w:r>
      <w:r>
        <w:rPr>
          <w:lang w:val="en-GB"/>
        </w:rPr>
        <w:t xml:space="preserve"> </w:t>
      </w:r>
      <w:r w:rsidR="00E472F8">
        <w:rPr>
          <w:lang w:val="en-GB"/>
        </w:rPr>
        <w:t xml:space="preserve">highest </w:t>
      </w:r>
      <w:r w:rsidR="00780B5A">
        <w:rPr>
          <w:lang w:val="en-GB"/>
        </w:rPr>
        <w:t>accuracy</w:t>
      </w:r>
      <w:r w:rsidR="00E472F8">
        <w:rPr>
          <w:lang w:val="en-GB"/>
        </w:rPr>
        <w:t xml:space="preserve"> was achieved </w:t>
      </w:r>
      <w:r w:rsidR="0067164E">
        <w:rPr>
          <w:lang w:val="en-GB"/>
        </w:rPr>
        <w:t xml:space="preserve">for the test site of Poland, </w:t>
      </w:r>
      <w:r w:rsidR="00780B5A">
        <w:rPr>
          <w:lang w:val="en-GB"/>
        </w:rPr>
        <w:t xml:space="preserve">where the OA reached </w:t>
      </w:r>
      <w:r w:rsidR="0065479B">
        <w:rPr>
          <w:lang w:val="en-GB"/>
        </w:rPr>
        <w:t xml:space="preserve">a value of 94.2%, </w:t>
      </w:r>
      <w:r w:rsidR="009B43F3">
        <w:rPr>
          <w:lang w:val="en-GB"/>
        </w:rPr>
        <w:t xml:space="preserve">UA 94.3%, PA </w:t>
      </w:r>
      <w:proofErr w:type="gramStart"/>
      <w:r w:rsidR="009B43F3">
        <w:rPr>
          <w:lang w:val="en-GB"/>
        </w:rPr>
        <w:t>71%</w:t>
      </w:r>
      <w:proofErr w:type="gramEnd"/>
      <w:r w:rsidR="009B43F3">
        <w:rPr>
          <w:lang w:val="en-GB"/>
        </w:rPr>
        <w:t xml:space="preserve"> and</w:t>
      </w:r>
      <w:r w:rsidR="00BD113B">
        <w:rPr>
          <w:lang w:val="en-GB"/>
        </w:rPr>
        <w:t xml:space="preserve"> K a value of 0.77, which denotes</w:t>
      </w:r>
      <w:r w:rsidR="007A5227">
        <w:rPr>
          <w:lang w:val="en-GB"/>
        </w:rPr>
        <w:t xml:space="preserve"> substantial agreement. </w:t>
      </w:r>
      <w:r w:rsidR="00720815">
        <w:rPr>
          <w:lang w:val="en-GB"/>
        </w:rPr>
        <w:t xml:space="preserve">In addition, the test site of Poland was the only test site that the </w:t>
      </w:r>
      <w:r w:rsidR="004F72FD">
        <w:rPr>
          <w:lang w:val="en-GB"/>
        </w:rPr>
        <w:t>Enhanced Classification tool achieved higher values</w:t>
      </w:r>
      <w:r w:rsidR="006213D5">
        <w:rPr>
          <w:lang w:val="en-GB"/>
        </w:rPr>
        <w:t xml:space="preserve"> in </w:t>
      </w:r>
      <w:proofErr w:type="gramStart"/>
      <w:r w:rsidR="006213D5">
        <w:rPr>
          <w:lang w:val="en-GB"/>
        </w:rPr>
        <w:t>all of</w:t>
      </w:r>
      <w:proofErr w:type="gramEnd"/>
      <w:r w:rsidR="006213D5">
        <w:rPr>
          <w:lang w:val="en-GB"/>
        </w:rPr>
        <w:t xml:space="preserve"> the accuracy metrics</w:t>
      </w:r>
      <w:r w:rsidR="004F72FD">
        <w:rPr>
          <w:lang w:val="en-GB"/>
        </w:rPr>
        <w:t xml:space="preserve"> compared with the </w:t>
      </w:r>
      <w:r w:rsidR="00DB11B3">
        <w:rPr>
          <w:lang w:val="en-GB"/>
        </w:rPr>
        <w:t>methodology of 2.3.</w:t>
      </w:r>
      <w:r w:rsidR="006213D5">
        <w:rPr>
          <w:lang w:val="en-GB"/>
        </w:rPr>
        <w:t xml:space="preserve"> </w:t>
      </w:r>
      <w:r w:rsidR="0026709A">
        <w:rPr>
          <w:lang w:val="en-GB"/>
        </w:rPr>
        <w:t>The test site of Poland is followed by the test site of Spain</w:t>
      </w:r>
      <w:r w:rsidR="00482166">
        <w:rPr>
          <w:lang w:val="en-GB"/>
        </w:rPr>
        <w:t>, in performance accuracy with an OA of 73.1%, UA</w:t>
      </w:r>
      <w:r w:rsidR="00FF3D84">
        <w:rPr>
          <w:lang w:val="en-GB"/>
        </w:rPr>
        <w:t xml:space="preserve"> 74.3%, PA 57.2% and K</w:t>
      </w:r>
      <w:r w:rsidR="007F39CD">
        <w:rPr>
          <w:lang w:val="en-GB"/>
        </w:rPr>
        <w:t xml:space="preserve"> 0.43</w:t>
      </w:r>
      <w:r w:rsidR="00EC11C7">
        <w:rPr>
          <w:lang w:val="en-GB"/>
        </w:rPr>
        <w:t>. Third in rank comes the test site of Greece</w:t>
      </w:r>
      <w:r w:rsidR="007E7C77">
        <w:rPr>
          <w:lang w:val="en-GB"/>
        </w:rPr>
        <w:t xml:space="preserve"> for which an OA</w:t>
      </w:r>
      <w:r w:rsidR="0091355B">
        <w:rPr>
          <w:lang w:val="en-GB"/>
        </w:rPr>
        <w:t xml:space="preserve">, UA, </w:t>
      </w:r>
      <w:proofErr w:type="gramStart"/>
      <w:r w:rsidR="0091355B">
        <w:rPr>
          <w:lang w:val="en-GB"/>
        </w:rPr>
        <w:t>PA</w:t>
      </w:r>
      <w:proofErr w:type="gramEnd"/>
      <w:r w:rsidR="0091355B">
        <w:rPr>
          <w:lang w:val="en-GB"/>
        </w:rPr>
        <w:t xml:space="preserve"> and K</w:t>
      </w:r>
      <w:r w:rsidR="007E7C77">
        <w:rPr>
          <w:lang w:val="en-GB"/>
        </w:rPr>
        <w:t xml:space="preserve"> of </w:t>
      </w:r>
      <w:r w:rsidR="00EA39C7">
        <w:rPr>
          <w:lang w:val="en-GB"/>
        </w:rPr>
        <w:t>61.4%</w:t>
      </w:r>
      <w:r w:rsidR="0091355B">
        <w:rPr>
          <w:lang w:val="en-GB"/>
        </w:rPr>
        <w:t xml:space="preserve">, 73.7%, </w:t>
      </w:r>
      <w:r w:rsidR="00933B6C">
        <w:rPr>
          <w:lang w:val="en-GB"/>
        </w:rPr>
        <w:t>58.1% and 0.23</w:t>
      </w:r>
      <w:r w:rsidR="00EA39C7">
        <w:rPr>
          <w:lang w:val="en-GB"/>
        </w:rPr>
        <w:t xml:space="preserve"> was achieved</w:t>
      </w:r>
      <w:r w:rsidR="00933B6C">
        <w:rPr>
          <w:lang w:val="en-GB"/>
        </w:rPr>
        <w:t xml:space="preserve"> respectively.</w:t>
      </w:r>
      <w:r w:rsidR="00CE357C">
        <w:rPr>
          <w:lang w:val="en-GB"/>
        </w:rPr>
        <w:t xml:space="preserve"> </w:t>
      </w:r>
      <w:r w:rsidR="00AE45D9">
        <w:rPr>
          <w:lang w:val="en-GB"/>
        </w:rPr>
        <w:t xml:space="preserve">The </w:t>
      </w:r>
      <w:r w:rsidR="00E22F6A">
        <w:rPr>
          <w:lang w:val="en-GB"/>
        </w:rPr>
        <w:t xml:space="preserve">tool’s manifested </w:t>
      </w:r>
      <w:r w:rsidR="00AE45D9">
        <w:rPr>
          <w:lang w:val="en-GB"/>
        </w:rPr>
        <w:t xml:space="preserve">accuracy in the test sites of Greece and Spain is evidently lower than what was achieved </w:t>
      </w:r>
      <w:r w:rsidR="00E22F6A">
        <w:rPr>
          <w:lang w:val="en-GB"/>
        </w:rPr>
        <w:t>from the 2.3 methodology</w:t>
      </w:r>
      <w:r w:rsidR="00E8735C">
        <w:rPr>
          <w:lang w:val="en-GB"/>
        </w:rPr>
        <w:t>. Finally, in the test site of Germany</w:t>
      </w:r>
      <w:r w:rsidR="00286104">
        <w:rPr>
          <w:lang w:val="en-GB"/>
        </w:rPr>
        <w:t xml:space="preserve"> a slight reduction in OA </w:t>
      </w:r>
      <w:r w:rsidR="00BF03DE">
        <w:rPr>
          <w:lang w:val="en-GB"/>
        </w:rPr>
        <w:t>(54.3%</w:t>
      </w:r>
      <w:r w:rsidR="0080696D">
        <w:rPr>
          <w:lang w:val="en-GB"/>
        </w:rPr>
        <w:t xml:space="preserve"> from 60.6%</w:t>
      </w:r>
      <w:r w:rsidR="00BF03DE">
        <w:rPr>
          <w:lang w:val="en-GB"/>
        </w:rPr>
        <w:t xml:space="preserve">) </w:t>
      </w:r>
      <w:r w:rsidR="00286104">
        <w:rPr>
          <w:lang w:val="en-GB"/>
        </w:rPr>
        <w:t>and</w:t>
      </w:r>
      <w:r w:rsidR="00BF03DE">
        <w:rPr>
          <w:lang w:val="en-GB"/>
        </w:rPr>
        <w:t xml:space="preserve"> PA (88.5%</w:t>
      </w:r>
      <w:r w:rsidR="0080696D">
        <w:rPr>
          <w:lang w:val="en-GB"/>
        </w:rPr>
        <w:t xml:space="preserve"> from 90 %</w:t>
      </w:r>
      <w:r w:rsidR="00BF03DE">
        <w:rPr>
          <w:lang w:val="en-GB"/>
        </w:rPr>
        <w:t>) is observed</w:t>
      </w:r>
      <w:r w:rsidR="00C02A0E">
        <w:rPr>
          <w:lang w:val="en-GB"/>
        </w:rPr>
        <w:t>, but also a significant increase in UA (41.9% from 3.6%).</w:t>
      </w:r>
    </w:p>
    <w:p w14:paraId="28BC454D" w14:textId="66F98617" w:rsidR="002D1248" w:rsidRPr="00944F2E" w:rsidRDefault="008963F4" w:rsidP="002D1248">
      <w:r>
        <w:rPr>
          <w:lang w:val="en-GB"/>
        </w:rPr>
        <w:t>Since one of the objectives of this Task was to create a tool that would augment the precision in the detection of MLs</w:t>
      </w:r>
      <w:r w:rsidR="00EB5879">
        <w:rPr>
          <w:lang w:val="en-GB"/>
        </w:rPr>
        <w:t>,</w:t>
      </w:r>
      <w:r>
        <w:rPr>
          <w:lang w:val="en-GB"/>
        </w:rPr>
        <w:t xml:space="preserve"> </w:t>
      </w:r>
      <w:r w:rsidR="00AF534D">
        <w:rPr>
          <w:lang w:val="en-GB"/>
        </w:rPr>
        <w:t xml:space="preserve">these values </w:t>
      </w:r>
      <w:r w:rsidR="00792647">
        <w:rPr>
          <w:lang w:val="en-GB"/>
        </w:rPr>
        <w:t>may not seem i</w:t>
      </w:r>
      <w:r w:rsidR="00A017D7">
        <w:rPr>
          <w:lang w:val="en-GB"/>
        </w:rPr>
        <w:t>nspiring at first</w:t>
      </w:r>
      <w:r w:rsidR="00EB5879">
        <w:rPr>
          <w:lang w:val="en-GB"/>
        </w:rPr>
        <w:t xml:space="preserve">. </w:t>
      </w:r>
      <w:r w:rsidR="00EB5879">
        <w:rPr>
          <w:lang w:val="en-GB"/>
        </w:rPr>
        <w:lastRenderedPageBreak/>
        <w:t xml:space="preserve">Nevertheless, two things </w:t>
      </w:r>
      <w:r w:rsidR="00246368">
        <w:rPr>
          <w:lang w:val="en-GB"/>
        </w:rPr>
        <w:t>ought to be mentioned</w:t>
      </w:r>
      <w:r w:rsidR="003506E3">
        <w:rPr>
          <w:lang w:val="en-GB"/>
        </w:rPr>
        <w:t xml:space="preserve">; </w:t>
      </w:r>
      <w:r w:rsidR="00E24CA2">
        <w:rPr>
          <w:lang w:val="en-GB"/>
        </w:rPr>
        <w:t xml:space="preserve">Firstly, the temporal advantage of this tool should not </w:t>
      </w:r>
      <w:r w:rsidR="00717293">
        <w:rPr>
          <w:lang w:val="en-GB"/>
        </w:rPr>
        <w:t>be</w:t>
      </w:r>
      <w:r w:rsidR="00EB1DF6">
        <w:t xml:space="preserve"> underestimated.</w:t>
      </w:r>
      <w:r w:rsidR="0087196C">
        <w:t xml:space="preserve"> </w:t>
      </w:r>
      <w:r w:rsidR="00E63DE4">
        <w:t>Contrary to the methodology developed in Task 2.3</w:t>
      </w:r>
      <w:r w:rsidR="00205DE1">
        <w:t>,</w:t>
      </w:r>
      <w:r w:rsidR="00E63DE4">
        <w:t xml:space="preserve"> </w:t>
      </w:r>
      <w:r w:rsidR="00205DE1">
        <w:t>w</w:t>
      </w:r>
      <w:r w:rsidR="00E0116E" w:rsidRPr="00E0116E">
        <w:t>ith this tool, MLs can be mapped for any place in the European boundaries and for any point in time</w:t>
      </w:r>
      <w:r w:rsidR="00553A36">
        <w:t xml:space="preserve"> from 2017</w:t>
      </w:r>
      <w:r w:rsidR="0088608A">
        <w:t>, that the Sentinel-2 SR image collection is available, onwards.</w:t>
      </w:r>
      <w:r w:rsidR="004E3244">
        <w:t xml:space="preserve"> Secondly,</w:t>
      </w:r>
      <w:r w:rsidR="005E47EB" w:rsidRPr="005E47EB">
        <w:t xml:space="preserve"> it should be noted that this is not an assessment on the performance of the whole LC classification</w:t>
      </w:r>
      <w:r w:rsidR="009811A8">
        <w:t xml:space="preserve"> algorithm</w:t>
      </w:r>
      <w:r w:rsidR="005E47EB" w:rsidRPr="005E47EB">
        <w:t xml:space="preserve">, rather than an assessment on the mapping accuracy of the MLs class, which is sampled from </w:t>
      </w:r>
      <w:r w:rsidR="009811A8">
        <w:t>the “</w:t>
      </w:r>
      <w:proofErr w:type="spellStart"/>
      <w:r w:rsidR="009811A8">
        <w:t>ML_Hard_Thresholds</w:t>
      </w:r>
      <w:proofErr w:type="spellEnd"/>
      <w:r w:rsidR="009811A8">
        <w:t>”</w:t>
      </w:r>
      <w:r w:rsidR="005E47EB" w:rsidRPr="005E47EB">
        <w:t xml:space="preserve"> layer </w:t>
      </w:r>
      <w:r w:rsidR="00D773C1">
        <w:t>which achieved an</w:t>
      </w:r>
      <w:r w:rsidR="005E47EB" w:rsidRPr="005E47EB">
        <w:t xml:space="preserve"> ~68% OA.</w:t>
      </w:r>
    </w:p>
    <w:p w14:paraId="04E30967" w14:textId="77777777" w:rsidR="00682CA8" w:rsidRDefault="00682CA8" w:rsidP="00682CA8">
      <w:pPr>
        <w:pStyle w:val="Heading1"/>
        <w:rPr>
          <w:lang w:val="en-GB"/>
        </w:rPr>
      </w:pPr>
      <w:bookmarkStart w:id="66" w:name="_Ref90841659"/>
      <w:bookmarkStart w:id="67" w:name="_Ref90841662"/>
      <w:bookmarkStart w:id="68" w:name="_Toc91583676"/>
      <w:r>
        <w:rPr>
          <w:lang w:val="en-GB"/>
        </w:rPr>
        <w:t>Case study</w:t>
      </w:r>
      <w:bookmarkEnd w:id="66"/>
      <w:bookmarkEnd w:id="67"/>
      <w:bookmarkEnd w:id="68"/>
    </w:p>
    <w:p w14:paraId="514F12C3" w14:textId="1AE51A49" w:rsidR="00382774" w:rsidRDefault="00382774" w:rsidP="00682CA8">
      <w:pPr>
        <w:rPr>
          <w:lang w:val="en-GB"/>
        </w:rPr>
      </w:pPr>
      <w:r>
        <w:rPr>
          <w:lang w:val="en-GB"/>
        </w:rPr>
        <w:t xml:space="preserve">This dependency </w:t>
      </w:r>
      <w:r w:rsidR="004C01F8">
        <w:rPr>
          <w:lang w:val="en-GB"/>
        </w:rPr>
        <w:t>on the “</w:t>
      </w:r>
      <w:proofErr w:type="spellStart"/>
      <w:r w:rsidR="004C01F8">
        <w:rPr>
          <w:lang w:val="en-GB"/>
        </w:rPr>
        <w:t>ML_Hard_Thresholds</w:t>
      </w:r>
      <w:proofErr w:type="spellEnd"/>
      <w:r w:rsidR="004C01F8">
        <w:rPr>
          <w:lang w:val="en-GB"/>
        </w:rPr>
        <w:t>” layer raises the following question:</w:t>
      </w:r>
      <w:r w:rsidR="00A64EEE">
        <w:rPr>
          <w:lang w:val="en-GB"/>
        </w:rPr>
        <w:t xml:space="preserve"> </w:t>
      </w:r>
      <w:r w:rsidR="00A64EEE" w:rsidRPr="00944F2E">
        <w:rPr>
          <w:rStyle w:val="Emphasis"/>
        </w:rPr>
        <w:t xml:space="preserve">“What is the tool’s potential in </w:t>
      </w:r>
      <w:r w:rsidR="00C45E61" w:rsidRPr="00944F2E">
        <w:rPr>
          <w:rStyle w:val="Emphasis"/>
        </w:rPr>
        <w:t xml:space="preserve">detecting </w:t>
      </w:r>
      <w:r w:rsidR="0026035E" w:rsidRPr="00944F2E">
        <w:rPr>
          <w:rStyle w:val="Emphasis"/>
        </w:rPr>
        <w:t xml:space="preserve">MLs, </w:t>
      </w:r>
      <w:r w:rsidR="00C7366C">
        <w:rPr>
          <w:rStyle w:val="Emphasis"/>
        </w:rPr>
        <w:t>if</w:t>
      </w:r>
      <w:r w:rsidR="0026035E" w:rsidRPr="00944F2E">
        <w:rPr>
          <w:rStyle w:val="Emphasis"/>
        </w:rPr>
        <w:t xml:space="preserve"> training data</w:t>
      </w:r>
      <w:r w:rsidR="00554214" w:rsidRPr="00944F2E">
        <w:rPr>
          <w:rStyle w:val="Emphasis"/>
        </w:rPr>
        <w:t xml:space="preserve"> of higher quality</w:t>
      </w:r>
      <w:r w:rsidR="0026035E" w:rsidRPr="00944F2E">
        <w:rPr>
          <w:rStyle w:val="Emphasis"/>
        </w:rPr>
        <w:t xml:space="preserve"> for the ML class</w:t>
      </w:r>
      <w:r w:rsidR="00554214" w:rsidRPr="00944F2E">
        <w:rPr>
          <w:rStyle w:val="Emphasis"/>
        </w:rPr>
        <w:t xml:space="preserve"> </w:t>
      </w:r>
      <w:r w:rsidR="00616569">
        <w:rPr>
          <w:rStyle w:val="Emphasis"/>
        </w:rPr>
        <w:t>are</w:t>
      </w:r>
      <w:r w:rsidR="00554214" w:rsidRPr="00944F2E">
        <w:rPr>
          <w:rStyle w:val="Emphasis"/>
        </w:rPr>
        <w:t xml:space="preserve"> available?”</w:t>
      </w:r>
    </w:p>
    <w:p w14:paraId="69C0A934" w14:textId="50F409BD" w:rsidR="00E82F09" w:rsidRDefault="00423FDE" w:rsidP="00682CA8">
      <w:pPr>
        <w:rPr>
          <w:lang w:val="en-GB"/>
        </w:rPr>
      </w:pPr>
      <w:r>
        <w:rPr>
          <w:lang w:val="en-GB"/>
        </w:rPr>
        <w:t>In this Chapter</w:t>
      </w:r>
      <w:r w:rsidR="00BF5711">
        <w:rPr>
          <w:lang w:val="en-GB"/>
        </w:rPr>
        <w:t xml:space="preserve"> the answer to</w:t>
      </w:r>
      <w:r w:rsidR="007C47AD">
        <w:rPr>
          <w:lang w:val="en-GB"/>
        </w:rPr>
        <w:t xml:space="preserve"> this question will be </w:t>
      </w:r>
      <w:r w:rsidR="00BF5711">
        <w:rPr>
          <w:lang w:val="en-GB"/>
        </w:rPr>
        <w:t>explored</w:t>
      </w:r>
      <w:r w:rsidR="007C47AD">
        <w:rPr>
          <w:lang w:val="en-GB"/>
        </w:rPr>
        <w:t xml:space="preserve">, under the hypothesis that with accurate training data, the </w:t>
      </w:r>
      <w:r w:rsidR="00557F6E">
        <w:rPr>
          <w:lang w:val="en-GB"/>
        </w:rPr>
        <w:t>Enhanced Classification tool is able to provide</w:t>
      </w:r>
      <w:r w:rsidR="00F1341C">
        <w:rPr>
          <w:lang w:val="en-GB"/>
        </w:rPr>
        <w:t xml:space="preserve"> augmented precision results. </w:t>
      </w:r>
      <w:r w:rsidR="006760C8">
        <w:rPr>
          <w:lang w:val="en-GB"/>
        </w:rPr>
        <w:t xml:space="preserve">Therefore, </w:t>
      </w:r>
      <w:r w:rsidR="00950F99" w:rsidRPr="00E82F09">
        <w:rPr>
          <w:lang w:val="en-GB"/>
        </w:rPr>
        <w:t>in th</w:t>
      </w:r>
      <w:r w:rsidR="00950F99">
        <w:rPr>
          <w:lang w:val="en-GB"/>
        </w:rPr>
        <w:t>is</w:t>
      </w:r>
      <w:r w:rsidR="00950F99" w:rsidRPr="00E82F09">
        <w:rPr>
          <w:lang w:val="en-GB"/>
        </w:rPr>
        <w:t xml:space="preserve"> case study </w:t>
      </w:r>
      <w:r w:rsidR="001F06C6">
        <w:rPr>
          <w:lang w:val="en-GB"/>
        </w:rPr>
        <w:t>t</w:t>
      </w:r>
      <w:r w:rsidR="00E82F09" w:rsidRPr="00E82F09">
        <w:rPr>
          <w:lang w:val="en-GB"/>
        </w:rPr>
        <w:t xml:space="preserve">he same methodology as described </w:t>
      </w:r>
      <w:r w:rsidR="001F06C6">
        <w:rPr>
          <w:lang w:val="en-GB"/>
        </w:rPr>
        <w:t xml:space="preserve">in Chapter </w:t>
      </w:r>
      <w:r w:rsidR="001F06C6">
        <w:rPr>
          <w:lang w:val="en-GB"/>
        </w:rPr>
        <w:fldChar w:fldCharType="begin"/>
      </w:r>
      <w:r w:rsidR="001F06C6">
        <w:rPr>
          <w:lang w:val="en-GB"/>
        </w:rPr>
        <w:instrText xml:space="preserve"> REF _Ref90662946 \r \h </w:instrText>
      </w:r>
      <w:r w:rsidR="001F06C6">
        <w:rPr>
          <w:lang w:val="en-GB"/>
        </w:rPr>
      </w:r>
      <w:r w:rsidR="001F06C6">
        <w:rPr>
          <w:lang w:val="en-GB"/>
        </w:rPr>
        <w:fldChar w:fldCharType="separate"/>
      </w:r>
      <w:r w:rsidR="00D4790B">
        <w:rPr>
          <w:lang w:val="en-GB"/>
        </w:rPr>
        <w:t>4.6</w:t>
      </w:r>
      <w:r w:rsidR="001F06C6">
        <w:rPr>
          <w:lang w:val="en-GB"/>
        </w:rPr>
        <w:fldChar w:fldCharType="end"/>
      </w:r>
      <w:r w:rsidR="001F06C6">
        <w:rPr>
          <w:lang w:val="en-GB"/>
        </w:rPr>
        <w:t xml:space="preserve"> </w:t>
      </w:r>
      <w:r w:rsidR="001F06C6">
        <w:rPr>
          <w:lang w:val="en-GB"/>
        </w:rPr>
        <w:fldChar w:fldCharType="begin"/>
      </w:r>
      <w:r w:rsidR="001F06C6">
        <w:rPr>
          <w:lang w:val="en-GB"/>
        </w:rPr>
        <w:instrText xml:space="preserve"> REF _Ref90662953 \h </w:instrText>
      </w:r>
      <w:r w:rsidR="001F06C6">
        <w:rPr>
          <w:lang w:val="en-GB"/>
        </w:rPr>
      </w:r>
      <w:r w:rsidR="001F06C6">
        <w:rPr>
          <w:lang w:val="en-GB"/>
        </w:rPr>
        <w:fldChar w:fldCharType="separate"/>
      </w:r>
      <w:r w:rsidR="00D4790B">
        <w:rPr>
          <w:lang w:val="en-GB"/>
        </w:rPr>
        <w:t>Classification Tool Development</w:t>
      </w:r>
      <w:r w:rsidR="001F06C6">
        <w:rPr>
          <w:lang w:val="en-GB"/>
        </w:rPr>
        <w:fldChar w:fldCharType="end"/>
      </w:r>
      <w:r w:rsidR="00E82F09" w:rsidRPr="00E82F09">
        <w:rPr>
          <w:lang w:val="en-GB"/>
        </w:rPr>
        <w:t xml:space="preserve"> w</w:t>
      </w:r>
      <w:r w:rsidR="00950F99">
        <w:rPr>
          <w:lang w:val="en-GB"/>
        </w:rPr>
        <w:t>ill be</w:t>
      </w:r>
      <w:r w:rsidR="00E82F09" w:rsidRPr="00E82F09">
        <w:rPr>
          <w:lang w:val="en-GB"/>
        </w:rPr>
        <w:t xml:space="preserve"> followed</w:t>
      </w:r>
      <w:r w:rsidR="00950F99">
        <w:rPr>
          <w:lang w:val="en-GB"/>
        </w:rPr>
        <w:t>,</w:t>
      </w:r>
      <w:r w:rsidR="00E82F09" w:rsidRPr="00E82F09">
        <w:rPr>
          <w:lang w:val="en-GB"/>
        </w:rPr>
        <w:t xml:space="preserve"> with the only difference that the ML class </w:t>
      </w:r>
      <w:r w:rsidR="001745E9">
        <w:rPr>
          <w:lang w:val="en-GB"/>
        </w:rPr>
        <w:t>will be</w:t>
      </w:r>
      <w:r w:rsidR="00E82F09" w:rsidRPr="00E82F09">
        <w:rPr>
          <w:lang w:val="en-GB"/>
        </w:rPr>
        <w:t xml:space="preserve"> sampled from a portion of the ML reference polygons, and the rest </w:t>
      </w:r>
      <w:r w:rsidR="00933530">
        <w:rPr>
          <w:lang w:val="en-GB"/>
        </w:rPr>
        <w:t>will be</w:t>
      </w:r>
      <w:r w:rsidR="00E82F09" w:rsidRPr="00E82F09">
        <w:rPr>
          <w:lang w:val="en-GB"/>
        </w:rPr>
        <w:t xml:space="preserve"> used for validation.</w:t>
      </w:r>
    </w:p>
    <w:p w14:paraId="14EC6FB0" w14:textId="3B3EF001" w:rsidR="00682CA8" w:rsidRDefault="00D640D2" w:rsidP="00682CA8">
      <w:pPr>
        <w:rPr>
          <w:lang w:val="en-GB"/>
        </w:rPr>
      </w:pPr>
      <w:r>
        <w:rPr>
          <w:lang w:val="en-GB"/>
        </w:rPr>
        <w:t xml:space="preserve">This case study will be </w:t>
      </w:r>
      <w:r w:rsidR="0048293A">
        <w:rPr>
          <w:lang w:val="en-GB"/>
        </w:rPr>
        <w:t>performed</w:t>
      </w:r>
      <w:r>
        <w:rPr>
          <w:lang w:val="en-GB"/>
        </w:rPr>
        <w:t xml:space="preserve"> only for the test sites of Greece and Spain, since </w:t>
      </w:r>
      <w:r w:rsidR="00835259">
        <w:rPr>
          <w:lang w:val="en-GB"/>
        </w:rPr>
        <w:t>for these test sites an abundance of reference polygons w</w:t>
      </w:r>
      <w:r w:rsidR="0048293A">
        <w:rPr>
          <w:lang w:val="en-GB"/>
        </w:rPr>
        <w:t>as</w:t>
      </w:r>
      <w:r w:rsidR="00835259">
        <w:rPr>
          <w:lang w:val="en-GB"/>
        </w:rPr>
        <w:t xml:space="preserve"> provided</w:t>
      </w:r>
      <w:r w:rsidR="009749D1">
        <w:rPr>
          <w:lang w:val="en-GB"/>
        </w:rPr>
        <w:t xml:space="preserve">, for the realization of the Task 2.4, </w:t>
      </w:r>
      <w:r w:rsidR="00A8399C">
        <w:rPr>
          <w:lang w:val="en-GB"/>
        </w:rPr>
        <w:t xml:space="preserve">hence sufficient samples will be available both for the training and the validation of the algorithm. </w:t>
      </w:r>
      <w:r w:rsidR="00874195">
        <w:rPr>
          <w:lang w:val="en-GB"/>
        </w:rPr>
        <w:t xml:space="preserve">The workflow that was followed </w:t>
      </w:r>
      <w:r w:rsidR="00604395">
        <w:rPr>
          <w:lang w:val="en-GB"/>
        </w:rPr>
        <w:t xml:space="preserve">to </w:t>
      </w:r>
      <w:r w:rsidR="001D3168">
        <w:rPr>
          <w:lang w:val="en-GB"/>
        </w:rPr>
        <w:t xml:space="preserve">split the samples into training and validation </w:t>
      </w:r>
      <w:r w:rsidR="007E479B">
        <w:rPr>
          <w:lang w:val="en-GB"/>
        </w:rPr>
        <w:t>i</w:t>
      </w:r>
      <w:r w:rsidR="00FD4258">
        <w:rPr>
          <w:lang w:val="en-GB"/>
        </w:rPr>
        <w:t xml:space="preserve">ncludes </w:t>
      </w:r>
      <w:r w:rsidR="00D64BE4">
        <w:rPr>
          <w:lang w:val="en-GB"/>
        </w:rPr>
        <w:t>a random sampling on the reference polygons</w:t>
      </w:r>
      <w:r w:rsidR="00935FD6">
        <w:rPr>
          <w:lang w:val="en-GB"/>
        </w:rPr>
        <w:t xml:space="preserve"> and the addition of an extra column with random numbers from 0 to 1</w:t>
      </w:r>
      <w:r w:rsidR="007E479B">
        <w:rPr>
          <w:lang w:val="en-GB"/>
        </w:rPr>
        <w:t>.</w:t>
      </w:r>
      <w:r w:rsidR="00935FD6">
        <w:rPr>
          <w:lang w:val="en-GB"/>
        </w:rPr>
        <w:t xml:space="preserve"> Then a threshold value is applied on the</w:t>
      </w:r>
      <w:r w:rsidR="00A7002C">
        <w:rPr>
          <w:lang w:val="en-GB"/>
        </w:rPr>
        <w:t xml:space="preserve"> latter column</w:t>
      </w:r>
      <w:r w:rsidR="00154414">
        <w:rPr>
          <w:lang w:val="en-GB"/>
        </w:rPr>
        <w:t xml:space="preserve"> of the ML samples</w:t>
      </w:r>
      <w:r w:rsidR="00A7002C">
        <w:rPr>
          <w:lang w:val="en-GB"/>
        </w:rPr>
        <w:t xml:space="preserve"> and the points </w:t>
      </w:r>
      <w:r w:rsidR="00320995">
        <w:rPr>
          <w:lang w:val="en-GB"/>
        </w:rPr>
        <w:t>below</w:t>
      </w:r>
      <w:r w:rsidR="00A7002C">
        <w:rPr>
          <w:lang w:val="en-GB"/>
        </w:rPr>
        <w:t xml:space="preserve"> the specified threshold are used for training of the ML class</w:t>
      </w:r>
      <w:r w:rsidR="00154414">
        <w:rPr>
          <w:lang w:val="en-GB"/>
        </w:rPr>
        <w:t xml:space="preserve">. The rest ML and </w:t>
      </w:r>
      <w:proofErr w:type="gramStart"/>
      <w:r w:rsidR="00154414">
        <w:rPr>
          <w:lang w:val="en-GB"/>
        </w:rPr>
        <w:t>all of</w:t>
      </w:r>
      <w:proofErr w:type="gramEnd"/>
      <w:r w:rsidR="00154414">
        <w:rPr>
          <w:lang w:val="en-GB"/>
        </w:rPr>
        <w:t xml:space="preserve"> the </w:t>
      </w:r>
      <w:proofErr w:type="spellStart"/>
      <w:r w:rsidR="00154414">
        <w:rPr>
          <w:lang w:val="en-GB"/>
        </w:rPr>
        <w:t>nML</w:t>
      </w:r>
      <w:proofErr w:type="spellEnd"/>
      <w:r w:rsidR="00154414">
        <w:rPr>
          <w:lang w:val="en-GB"/>
        </w:rPr>
        <w:t xml:space="preserve"> samples are used later for the accuracy assessment.</w:t>
      </w:r>
      <w:r w:rsidR="009B41C4">
        <w:rPr>
          <w:lang w:val="en-GB"/>
        </w:rPr>
        <w:t xml:space="preserve"> After many trials, the appropriate threshold value for </w:t>
      </w:r>
      <w:r w:rsidR="009F3B0F">
        <w:rPr>
          <w:lang w:val="en-GB"/>
        </w:rPr>
        <w:t>Greece was decided to 0.1, while for Spain 0.5.</w:t>
      </w:r>
    </w:p>
    <w:p w14:paraId="617642F7" w14:textId="706BA44D" w:rsidR="00B23982" w:rsidRDefault="00D15B34" w:rsidP="00682CA8">
      <w:pPr>
        <w:rPr>
          <w:lang w:val="en-GB"/>
        </w:rPr>
      </w:pPr>
      <w:r>
        <w:rPr>
          <w:lang w:val="en-GB"/>
        </w:rPr>
        <w:t xml:space="preserve">The same example area </w:t>
      </w:r>
      <w:r w:rsidR="008F34B0">
        <w:rPr>
          <w:lang w:val="en-GB"/>
        </w:rPr>
        <w:t xml:space="preserve">will be used </w:t>
      </w:r>
      <w:r w:rsidR="00DD11A1">
        <w:rPr>
          <w:lang w:val="en-GB"/>
        </w:rPr>
        <w:t>here</w:t>
      </w:r>
      <w:r w:rsidR="008F34B0">
        <w:rPr>
          <w:lang w:val="en-GB"/>
        </w:rPr>
        <w:t xml:space="preserve"> to compare visually how the distribution of the ML class</w:t>
      </w:r>
      <w:r w:rsidR="00DD11A1">
        <w:rPr>
          <w:lang w:val="en-GB"/>
        </w:rPr>
        <w:t xml:space="preserve"> changes depending on the </w:t>
      </w:r>
      <w:r w:rsidR="00F45CFE">
        <w:rPr>
          <w:lang w:val="en-GB"/>
        </w:rPr>
        <w:t xml:space="preserve">training </w:t>
      </w:r>
      <w:r w:rsidR="004D3889">
        <w:rPr>
          <w:lang w:val="en-GB"/>
        </w:rPr>
        <w:t>data input</w:t>
      </w:r>
      <w:r w:rsidR="00785D4B">
        <w:rPr>
          <w:lang w:val="en-GB"/>
        </w:rPr>
        <w:t xml:space="preserve"> </w:t>
      </w:r>
      <w:r w:rsidR="00785D4B">
        <w:rPr>
          <w:lang w:val="en-GB"/>
        </w:rPr>
        <w:fldChar w:fldCharType="begin"/>
      </w:r>
      <w:r w:rsidR="00785D4B">
        <w:rPr>
          <w:lang w:val="en-GB"/>
        </w:rPr>
        <w:instrText xml:space="preserve"> REF _Ref90842764 \h </w:instrText>
      </w:r>
      <w:r w:rsidR="00785D4B">
        <w:rPr>
          <w:lang w:val="en-GB"/>
        </w:rPr>
      </w:r>
      <w:r w:rsidR="00785D4B">
        <w:rPr>
          <w:lang w:val="en-GB"/>
        </w:rPr>
        <w:fldChar w:fldCharType="separate"/>
      </w:r>
      <w:r w:rsidR="00D4790B">
        <w:t xml:space="preserve">Figure </w:t>
      </w:r>
      <w:r w:rsidR="00D4790B">
        <w:rPr>
          <w:noProof/>
        </w:rPr>
        <w:t>8</w:t>
      </w:r>
      <w:r w:rsidR="00785D4B">
        <w:rPr>
          <w:lang w:val="en-GB"/>
        </w:rPr>
        <w:fldChar w:fldCharType="end"/>
      </w:r>
      <w:r w:rsidR="004D3889">
        <w:rPr>
          <w:lang w:val="en-GB"/>
        </w:rPr>
        <w:t xml:space="preserve">. </w:t>
      </w:r>
      <w:r w:rsidR="0075544E">
        <w:rPr>
          <w:lang w:val="en-GB"/>
        </w:rPr>
        <w:t>There is a discernible change</w:t>
      </w:r>
      <w:r w:rsidR="00A32234">
        <w:rPr>
          <w:lang w:val="en-GB"/>
        </w:rPr>
        <w:t xml:space="preserve"> between the two methods in the distribution of the ML class</w:t>
      </w:r>
      <w:r w:rsidR="003200AF">
        <w:rPr>
          <w:lang w:val="en-GB"/>
        </w:rPr>
        <w:t xml:space="preserve">, and in the second </w:t>
      </w:r>
      <w:r w:rsidR="00AA6B77">
        <w:rPr>
          <w:lang w:val="en-GB"/>
        </w:rPr>
        <w:t>method, the ML class is clearly more constrained</w:t>
      </w:r>
      <w:r w:rsidR="00A37199">
        <w:rPr>
          <w:lang w:val="en-GB"/>
        </w:rPr>
        <w:t xml:space="preserve">. </w:t>
      </w:r>
      <w:r w:rsidR="00742087">
        <w:rPr>
          <w:lang w:val="en-GB"/>
        </w:rPr>
        <w:t>Computation</w:t>
      </w:r>
      <w:r w:rsidR="00A37199">
        <w:rPr>
          <w:lang w:val="en-GB"/>
        </w:rPr>
        <w:t xml:space="preserve">-wise the </w:t>
      </w:r>
      <w:r w:rsidR="00A60CD0">
        <w:rPr>
          <w:lang w:val="en-GB"/>
        </w:rPr>
        <w:t xml:space="preserve">occupied area </w:t>
      </w:r>
      <w:r w:rsidR="00A60CD0">
        <w:rPr>
          <w:lang w:val="en-GB"/>
        </w:rPr>
        <w:lastRenderedPageBreak/>
        <w:t>of the ML class</w:t>
      </w:r>
      <w:r w:rsidR="00742087">
        <w:rPr>
          <w:lang w:val="en-GB"/>
        </w:rPr>
        <w:t xml:space="preserve"> in the example</w:t>
      </w:r>
      <w:r w:rsidR="00F5545E">
        <w:rPr>
          <w:lang w:val="en-GB"/>
        </w:rPr>
        <w:t xml:space="preserve"> area</w:t>
      </w:r>
      <w:r w:rsidR="00A60CD0">
        <w:rPr>
          <w:lang w:val="en-GB"/>
        </w:rPr>
        <w:t xml:space="preserve"> </w:t>
      </w:r>
      <w:r w:rsidR="000D462D">
        <w:rPr>
          <w:lang w:val="en-GB"/>
        </w:rPr>
        <w:t>based on</w:t>
      </w:r>
      <w:r w:rsidR="00A60CD0">
        <w:rPr>
          <w:lang w:val="en-GB"/>
        </w:rPr>
        <w:t xml:space="preserve"> the general methodology </w:t>
      </w:r>
      <w:r w:rsidR="00F5545E">
        <w:rPr>
          <w:lang w:val="en-GB"/>
        </w:rPr>
        <w:t xml:space="preserve">was </w:t>
      </w:r>
      <w:r w:rsidR="00E51FD2">
        <w:rPr>
          <w:lang w:val="en-GB"/>
        </w:rPr>
        <w:t>1</w:t>
      </w:r>
      <w:r w:rsidR="00A47396">
        <w:rPr>
          <w:lang w:val="en-GB"/>
        </w:rPr>
        <w:t>96</w:t>
      </w:r>
      <w:r w:rsidR="00E51FD2">
        <w:rPr>
          <w:lang w:val="en-GB"/>
        </w:rPr>
        <w:t xml:space="preserve">,784 </w:t>
      </w:r>
      <w:r w:rsidR="00F5545E">
        <w:rPr>
          <w:lang w:val="en-GB"/>
        </w:rPr>
        <w:t xml:space="preserve">ha, while </w:t>
      </w:r>
      <w:r w:rsidR="000D462D">
        <w:rPr>
          <w:lang w:val="en-GB"/>
        </w:rPr>
        <w:t>based on</w:t>
      </w:r>
      <w:r w:rsidR="00132B32">
        <w:rPr>
          <w:lang w:val="en-GB"/>
        </w:rPr>
        <w:t xml:space="preserve"> </w:t>
      </w:r>
      <w:r w:rsidR="00F5545E">
        <w:rPr>
          <w:lang w:val="en-GB"/>
        </w:rPr>
        <w:t>th</w:t>
      </w:r>
      <w:r w:rsidR="000D462D">
        <w:rPr>
          <w:lang w:val="en-GB"/>
        </w:rPr>
        <w:t>e</w:t>
      </w:r>
      <w:r w:rsidR="00F5545E">
        <w:rPr>
          <w:lang w:val="en-GB"/>
        </w:rPr>
        <w:t xml:space="preserve"> case study </w:t>
      </w:r>
      <w:r w:rsidR="000D462D">
        <w:rPr>
          <w:lang w:val="en-GB"/>
        </w:rPr>
        <w:t xml:space="preserve">methodology </w:t>
      </w:r>
      <w:r w:rsidR="00F5545E">
        <w:rPr>
          <w:lang w:val="en-GB"/>
        </w:rPr>
        <w:t>it has been</w:t>
      </w:r>
      <w:r w:rsidR="00AB7FBB">
        <w:rPr>
          <w:lang w:val="en-GB"/>
        </w:rPr>
        <w:t xml:space="preserve"> reduced to </w:t>
      </w:r>
      <w:r w:rsidR="00A47396">
        <w:rPr>
          <w:lang w:val="en-GB"/>
        </w:rPr>
        <w:t xml:space="preserve">156,567 </w:t>
      </w:r>
      <w:r w:rsidR="00AB7FBB">
        <w:rPr>
          <w:lang w:val="en-GB"/>
        </w:rPr>
        <w:t>ha.</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72" w:type="dxa"/>
        </w:tblCellMar>
        <w:tblLook w:val="04A0" w:firstRow="1" w:lastRow="0" w:firstColumn="1" w:lastColumn="0" w:noHBand="0" w:noVBand="1"/>
      </w:tblPr>
      <w:tblGrid>
        <w:gridCol w:w="4247"/>
        <w:gridCol w:w="4248"/>
      </w:tblGrid>
      <w:tr w:rsidR="00AB7FBB" w14:paraId="256DEFE6" w14:textId="77777777" w:rsidTr="00944F2E">
        <w:tc>
          <w:tcPr>
            <w:tcW w:w="4247" w:type="dxa"/>
          </w:tcPr>
          <w:p w14:paraId="1DA24526" w14:textId="77777777" w:rsidR="00B71B76" w:rsidRDefault="00AB7FBB" w:rsidP="00944F2E">
            <w:pPr>
              <w:keepNext/>
              <w:jc w:val="center"/>
            </w:pPr>
            <w:r>
              <w:rPr>
                <w:noProof/>
                <w:lang w:val="en-GB" w:eastAsia="en-GB"/>
              </w:rPr>
              <w:drawing>
                <wp:inline distT="0" distB="0" distL="0" distR="0" wp14:anchorId="77DFD3B6" wp14:editId="77F16841">
                  <wp:extent cx="2377440" cy="1965961"/>
                  <wp:effectExtent l="19050" t="19050" r="22860" b="15240"/>
                  <wp:docPr id="9" name="Picture 9"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Map&#10;&#10;Description automatically generated"/>
                          <pic:cNvPicPr/>
                        </pic:nvPicPr>
                        <pic:blipFill rotWithShape="1">
                          <a:blip r:embed="rId29" cstate="print">
                            <a:extLst>
                              <a:ext uri="{28A0092B-C50C-407E-A947-70E740481C1C}">
                                <a14:useLocalDpi xmlns:a14="http://schemas.microsoft.com/office/drawing/2010/main" val="0"/>
                              </a:ext>
                            </a:extLst>
                          </a:blip>
                          <a:srcRect l="10582" t="12773" r="6878" b="4839"/>
                          <a:stretch/>
                        </pic:blipFill>
                        <pic:spPr bwMode="auto">
                          <a:xfrm>
                            <a:off x="0" y="0"/>
                            <a:ext cx="2377440" cy="1965961"/>
                          </a:xfrm>
                          <a:prstGeom prst="rect">
                            <a:avLst/>
                          </a:prstGeom>
                          <a:ln w="12700">
                            <a:solidFill>
                              <a:schemeClr val="tx1"/>
                            </a:solidFill>
                          </a:ln>
                          <a:extLst>
                            <a:ext uri="{53640926-AAD7-44D8-BBD7-CCE9431645EC}">
                              <a14:shadowObscured xmlns:a14="http://schemas.microsoft.com/office/drawing/2010/main"/>
                            </a:ext>
                          </a:extLst>
                        </pic:spPr>
                      </pic:pic>
                    </a:graphicData>
                  </a:graphic>
                </wp:inline>
              </w:drawing>
            </w:r>
          </w:p>
          <w:p w14:paraId="58734E18" w14:textId="0E0A3645" w:rsidR="00AB7FBB" w:rsidRDefault="00B71B76" w:rsidP="00944F2E">
            <w:pPr>
              <w:pStyle w:val="Caption"/>
            </w:pPr>
            <w:r>
              <w:t>(a)</w:t>
            </w:r>
          </w:p>
        </w:tc>
        <w:tc>
          <w:tcPr>
            <w:tcW w:w="4248" w:type="dxa"/>
          </w:tcPr>
          <w:p w14:paraId="31F4F381" w14:textId="77777777" w:rsidR="00B71B76" w:rsidRDefault="00C4791C" w:rsidP="00B71B76">
            <w:pPr>
              <w:keepNext/>
              <w:jc w:val="center"/>
            </w:pPr>
            <w:r>
              <w:rPr>
                <w:noProof/>
                <w:lang w:val="en-GB" w:eastAsia="en-GB"/>
              </w:rPr>
              <w:drawing>
                <wp:inline distT="0" distB="0" distL="0" distR="0" wp14:anchorId="7A516314" wp14:editId="7A7F107B">
                  <wp:extent cx="2377440" cy="1948340"/>
                  <wp:effectExtent l="19050" t="19050" r="22860" b="13970"/>
                  <wp:docPr id="13" name="Picture 13"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Map&#10;&#10;Description automatically generated"/>
                          <pic:cNvPicPr/>
                        </pic:nvPicPr>
                        <pic:blipFill rotWithShape="1">
                          <a:blip r:embed="rId30" cstate="print">
                            <a:extLst>
                              <a:ext uri="{28A0092B-C50C-407E-A947-70E740481C1C}">
                                <a14:useLocalDpi xmlns:a14="http://schemas.microsoft.com/office/drawing/2010/main" val="0"/>
                              </a:ext>
                            </a:extLst>
                          </a:blip>
                          <a:srcRect l="13228" t="11782" r="7232" b="2834"/>
                          <a:stretch/>
                        </pic:blipFill>
                        <pic:spPr bwMode="auto">
                          <a:xfrm>
                            <a:off x="0" y="0"/>
                            <a:ext cx="2377440" cy="1948340"/>
                          </a:xfrm>
                          <a:prstGeom prst="rect">
                            <a:avLst/>
                          </a:prstGeom>
                          <a:ln w="12700">
                            <a:solidFill>
                              <a:schemeClr val="tx1"/>
                            </a:solidFill>
                          </a:ln>
                          <a:extLst>
                            <a:ext uri="{53640926-AAD7-44D8-BBD7-CCE9431645EC}">
                              <a14:shadowObscured xmlns:a14="http://schemas.microsoft.com/office/drawing/2010/main"/>
                            </a:ext>
                          </a:extLst>
                        </pic:spPr>
                      </pic:pic>
                    </a:graphicData>
                  </a:graphic>
                </wp:inline>
              </w:drawing>
            </w:r>
          </w:p>
          <w:p w14:paraId="5A87C3C3" w14:textId="74F6C284" w:rsidR="00AB7FBB" w:rsidRDefault="00B71B76" w:rsidP="00944F2E">
            <w:pPr>
              <w:pStyle w:val="Caption"/>
            </w:pPr>
            <w:r>
              <w:t xml:space="preserve">(b) </w:t>
            </w:r>
          </w:p>
        </w:tc>
      </w:tr>
    </w:tbl>
    <w:p w14:paraId="739B7814" w14:textId="279E9B9E" w:rsidR="00AB7FBB" w:rsidRDefault="00B71B76" w:rsidP="00944F2E">
      <w:pPr>
        <w:pStyle w:val="Caption"/>
      </w:pPr>
      <w:bookmarkStart w:id="69" w:name="_Ref90842764"/>
      <w:bookmarkStart w:id="70" w:name="_Toc91583688"/>
      <w:r>
        <w:t xml:space="preserve">Figure </w:t>
      </w:r>
      <w:r>
        <w:fldChar w:fldCharType="begin"/>
      </w:r>
      <w:r>
        <w:instrText xml:space="preserve"> SEQ Figure \* ARABIC </w:instrText>
      </w:r>
      <w:r>
        <w:fldChar w:fldCharType="separate"/>
      </w:r>
      <w:r w:rsidR="00D4790B">
        <w:rPr>
          <w:noProof/>
        </w:rPr>
        <w:t>8</w:t>
      </w:r>
      <w:r>
        <w:fldChar w:fldCharType="end"/>
      </w:r>
      <w:bookmarkEnd w:id="69"/>
      <w:r>
        <w:t>. ML class in example area (a) General methodology, (b) Case study methodology</w:t>
      </w:r>
      <w:bookmarkEnd w:id="70"/>
    </w:p>
    <w:p w14:paraId="3ED34D52" w14:textId="5B76921D" w:rsidR="00BE2914" w:rsidRPr="00944F2E" w:rsidRDefault="009F3B0F" w:rsidP="00D75928">
      <w:pPr>
        <w:rPr>
          <w:lang w:val="en-GB"/>
        </w:rPr>
      </w:pPr>
      <w:r>
        <w:rPr>
          <w:lang w:val="en-GB"/>
        </w:rPr>
        <w:t>Moving on to t</w:t>
      </w:r>
      <w:r w:rsidR="00AF3D53">
        <w:rPr>
          <w:lang w:val="en-GB"/>
        </w:rPr>
        <w:t>he</w:t>
      </w:r>
      <w:r w:rsidR="00452CF0">
        <w:rPr>
          <w:lang w:val="en-GB"/>
        </w:rPr>
        <w:t xml:space="preserve"> results of the primary </w:t>
      </w:r>
      <w:r w:rsidR="00B11B06">
        <w:rPr>
          <w:lang w:val="en-GB"/>
        </w:rPr>
        <w:t>aim</w:t>
      </w:r>
      <w:r w:rsidR="00BC2119">
        <w:rPr>
          <w:lang w:val="en-GB"/>
        </w:rPr>
        <w:t xml:space="preserve"> of </w:t>
      </w:r>
      <w:r w:rsidR="00B11B06">
        <w:rPr>
          <w:lang w:val="en-GB"/>
        </w:rPr>
        <w:t>this</w:t>
      </w:r>
      <w:r w:rsidR="00EA1D78">
        <w:rPr>
          <w:lang w:val="en-GB"/>
        </w:rPr>
        <w:t xml:space="preserve"> case study,</w:t>
      </w:r>
      <w:r w:rsidR="00352FB8">
        <w:rPr>
          <w:lang w:val="en-GB"/>
        </w:rPr>
        <w:t xml:space="preserve"> the accuracy assessment, as it </w:t>
      </w:r>
      <w:r w:rsidR="00FA67F7">
        <w:rPr>
          <w:lang w:val="en-GB"/>
        </w:rPr>
        <w:t xml:space="preserve">was performed </w:t>
      </w:r>
      <w:r w:rsidR="003A586A">
        <w:rPr>
          <w:lang w:val="en-GB"/>
        </w:rPr>
        <w:t xml:space="preserve">for the test sites of Greece and Spain, the results are summarised in the following </w:t>
      </w:r>
      <w:r w:rsidR="007437FF">
        <w:rPr>
          <w:lang w:val="en-GB"/>
        </w:rPr>
        <w:t>t</w:t>
      </w:r>
      <w:r w:rsidR="003A586A">
        <w:rPr>
          <w:lang w:val="en-GB"/>
        </w:rPr>
        <w:t>able</w:t>
      </w:r>
      <w:r w:rsidR="007437FF">
        <w:rPr>
          <w:lang w:val="en-GB"/>
        </w:rPr>
        <w:t xml:space="preserve"> (</w:t>
      </w:r>
      <w:r w:rsidR="007437FF">
        <w:rPr>
          <w:lang w:val="en-GB"/>
        </w:rPr>
        <w:fldChar w:fldCharType="begin"/>
      </w:r>
      <w:r w:rsidR="007437FF">
        <w:rPr>
          <w:lang w:val="en-GB"/>
        </w:rPr>
        <w:instrText xml:space="preserve"> REF _Ref90842787 \h </w:instrText>
      </w:r>
      <w:r w:rsidR="007437FF">
        <w:rPr>
          <w:lang w:val="en-GB"/>
        </w:rPr>
      </w:r>
      <w:r w:rsidR="007437FF">
        <w:rPr>
          <w:lang w:val="en-GB"/>
        </w:rPr>
        <w:fldChar w:fldCharType="separate"/>
      </w:r>
      <w:r w:rsidR="00D4790B">
        <w:t xml:space="preserve">Table </w:t>
      </w:r>
      <w:r w:rsidR="00D4790B">
        <w:rPr>
          <w:noProof/>
        </w:rPr>
        <w:t>5</w:t>
      </w:r>
      <w:r w:rsidR="007437FF">
        <w:rPr>
          <w:lang w:val="en-GB"/>
        </w:rPr>
        <w:fldChar w:fldCharType="end"/>
      </w:r>
      <w:r w:rsidR="007437FF">
        <w:rPr>
          <w:lang w:val="en-GB"/>
        </w:rPr>
        <w:t>)</w:t>
      </w:r>
      <w:r w:rsidR="003A586A">
        <w:rPr>
          <w:lang w:val="en-GB"/>
        </w:rPr>
        <w:t>.</w:t>
      </w:r>
      <w:r w:rsidR="006738D6">
        <w:rPr>
          <w:lang w:val="en-GB"/>
        </w:rPr>
        <w:t xml:space="preserve"> For the test site of </w:t>
      </w:r>
      <w:r w:rsidR="00590045">
        <w:rPr>
          <w:lang w:val="en-GB"/>
        </w:rPr>
        <w:t>Greece,</w:t>
      </w:r>
      <w:r w:rsidR="006738D6">
        <w:rPr>
          <w:lang w:val="en-GB"/>
        </w:rPr>
        <w:t xml:space="preserve"> t</w:t>
      </w:r>
      <w:r w:rsidR="00A37D42">
        <w:rPr>
          <w:lang w:val="en-GB"/>
        </w:rPr>
        <w:t xml:space="preserve">he OA increased </w:t>
      </w:r>
      <w:r w:rsidR="00333EE9">
        <w:rPr>
          <w:lang w:val="en-GB"/>
        </w:rPr>
        <w:t>from 71.5% in Task 2.3, and 61.4% in the general methodology of the Task 2.8</w:t>
      </w:r>
      <w:r w:rsidR="00005028">
        <w:rPr>
          <w:lang w:val="en-GB"/>
        </w:rPr>
        <w:t>, to 77.7%</w:t>
      </w:r>
      <w:r w:rsidR="00E812D0">
        <w:rPr>
          <w:lang w:val="en-GB"/>
        </w:rPr>
        <w:t xml:space="preserve">, while </w:t>
      </w:r>
      <w:r w:rsidR="00F828A4">
        <w:rPr>
          <w:lang w:val="en-GB"/>
        </w:rPr>
        <w:t>the K value</w:t>
      </w:r>
      <w:r w:rsidR="004B0810">
        <w:rPr>
          <w:lang w:val="en-GB"/>
        </w:rPr>
        <w:t xml:space="preserve"> from 0.41, and 0.23 to 0.54 respectively</w:t>
      </w:r>
      <w:r w:rsidR="00587F74">
        <w:rPr>
          <w:lang w:val="en-GB"/>
        </w:rPr>
        <w:t xml:space="preserve">. </w:t>
      </w:r>
      <w:r w:rsidR="00506F65">
        <w:rPr>
          <w:lang w:val="en-GB"/>
        </w:rPr>
        <w:t>For the test site of Spain</w:t>
      </w:r>
      <w:r w:rsidR="00ED6465">
        <w:rPr>
          <w:lang w:val="en-GB"/>
        </w:rPr>
        <w:t xml:space="preserve"> OA was 82.8% and 73.1% in Task 2.3 and the previous methodology </w:t>
      </w:r>
      <w:r w:rsidR="00644091">
        <w:rPr>
          <w:lang w:val="en-GB"/>
        </w:rPr>
        <w:t>respectively and</w:t>
      </w:r>
      <w:r w:rsidR="002240CE">
        <w:rPr>
          <w:lang w:val="en-GB"/>
        </w:rPr>
        <w:t xml:space="preserve"> reached the 86.1% with the current one and the K value </w:t>
      </w:r>
      <w:r w:rsidR="00675166">
        <w:rPr>
          <w:lang w:val="en-GB"/>
        </w:rPr>
        <w:t>from</w:t>
      </w:r>
      <w:r w:rsidR="002240CE">
        <w:rPr>
          <w:lang w:val="en-GB"/>
        </w:rPr>
        <w:t xml:space="preserve"> 0.65 and 0.43</w:t>
      </w:r>
      <w:r w:rsidR="00675166">
        <w:rPr>
          <w:lang w:val="en-GB"/>
        </w:rPr>
        <w:t xml:space="preserve"> increased as well to 0.66. </w:t>
      </w:r>
      <w:r w:rsidR="008D368D">
        <w:rPr>
          <w:lang w:val="en-GB"/>
        </w:rPr>
        <w:t>Moreover</w:t>
      </w:r>
      <w:r w:rsidR="00644091">
        <w:rPr>
          <w:lang w:val="en-GB"/>
        </w:rPr>
        <w:t>, the OOB Error Estimate, which is the generalization error</w:t>
      </w:r>
      <w:r w:rsidR="003509F3">
        <w:rPr>
          <w:lang w:val="en-GB"/>
        </w:rPr>
        <w:t xml:space="preserve"> as the forest</w:t>
      </w:r>
      <w:r w:rsidR="00806DBC">
        <w:rPr>
          <w:lang w:val="en-GB"/>
        </w:rPr>
        <w:t>-building</w:t>
      </w:r>
      <w:r w:rsidR="003509F3">
        <w:rPr>
          <w:lang w:val="en-GB"/>
        </w:rPr>
        <w:t xml:space="preserve"> progresses</w:t>
      </w:r>
      <w:r w:rsidR="00806DBC">
        <w:rPr>
          <w:lang w:val="en-GB"/>
        </w:rPr>
        <w:t>, reduced in both cases to 0.16.</w:t>
      </w:r>
    </w:p>
    <w:p w14:paraId="06832740" w14:textId="7AF592F3" w:rsidR="003D205A" w:rsidRDefault="003D205A" w:rsidP="00944F2E">
      <w:pPr>
        <w:pStyle w:val="Caption"/>
        <w:keepNext/>
      </w:pPr>
      <w:bookmarkStart w:id="71" w:name="_Ref90842787"/>
      <w:bookmarkStart w:id="72" w:name="_Toc91583693"/>
      <w:r>
        <w:t xml:space="preserve">Table </w:t>
      </w:r>
      <w:r>
        <w:fldChar w:fldCharType="begin"/>
      </w:r>
      <w:r>
        <w:instrText xml:space="preserve"> SEQ Table \* ARABIC </w:instrText>
      </w:r>
      <w:r>
        <w:fldChar w:fldCharType="separate"/>
      </w:r>
      <w:r w:rsidR="00D4790B">
        <w:rPr>
          <w:noProof/>
        </w:rPr>
        <w:t>5</w:t>
      </w:r>
      <w:r>
        <w:fldChar w:fldCharType="end"/>
      </w:r>
      <w:bookmarkEnd w:id="71"/>
      <w:r>
        <w:t xml:space="preserve">. </w:t>
      </w:r>
      <w:r w:rsidR="00382BA8">
        <w:t>Accuracy</w:t>
      </w:r>
      <w:r>
        <w:t xml:space="preserve"> assessment comparison table (2.3 vs 2.8 case study)</w:t>
      </w:r>
      <w:bookmarkEnd w:id="72"/>
    </w:p>
    <w:tbl>
      <w:tblPr>
        <w:tblW w:w="81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0"/>
        <w:gridCol w:w="735"/>
        <w:gridCol w:w="706"/>
        <w:gridCol w:w="1004"/>
        <w:gridCol w:w="814"/>
        <w:gridCol w:w="789"/>
        <w:gridCol w:w="1131"/>
        <w:gridCol w:w="789"/>
        <w:gridCol w:w="1131"/>
      </w:tblGrid>
      <w:tr w:rsidR="00C468C4" w:rsidRPr="00F019E3" w14:paraId="4E57F930" w14:textId="77777777" w:rsidTr="00944F2E">
        <w:trPr>
          <w:trHeight w:val="584"/>
          <w:jc w:val="center"/>
        </w:trPr>
        <w:tc>
          <w:tcPr>
            <w:tcW w:w="1060" w:type="dxa"/>
            <w:shd w:val="clear" w:color="auto" w:fill="DBE0F4" w:themeFill="accent1" w:themeFillTint="33"/>
            <w:noWrap/>
            <w:hideMark/>
          </w:tcPr>
          <w:p w14:paraId="2F4B3971" w14:textId="0DA2EFB9" w:rsidR="00C468C4" w:rsidRPr="00944F2E" w:rsidRDefault="00C468C4" w:rsidP="00944F2E">
            <w:pPr>
              <w:spacing w:before="0" w:after="0" w:line="240" w:lineRule="auto"/>
              <w:jc w:val="center"/>
              <w:rPr>
                <w:rFonts w:eastAsia="Times New Roman" w:cs="Arial"/>
                <w:b/>
                <w:bCs/>
                <w:color w:val="000000"/>
                <w:lang w:val="en-GB" w:eastAsia="en-GB"/>
              </w:rPr>
            </w:pPr>
            <w:r w:rsidRPr="00944F2E">
              <w:rPr>
                <w:rFonts w:eastAsia="Times New Roman" w:cs="Arial"/>
                <w:b/>
                <w:bCs/>
                <w:color w:val="000000"/>
                <w:lang w:val="en-GB" w:eastAsia="en-GB"/>
              </w:rPr>
              <w:t>Country</w:t>
            </w:r>
          </w:p>
        </w:tc>
        <w:tc>
          <w:tcPr>
            <w:tcW w:w="2445" w:type="dxa"/>
            <w:gridSpan w:val="3"/>
            <w:shd w:val="clear" w:color="auto" w:fill="DBE0F4" w:themeFill="accent1" w:themeFillTint="33"/>
            <w:noWrap/>
            <w:hideMark/>
          </w:tcPr>
          <w:p w14:paraId="12DDBE11" w14:textId="224FD34B" w:rsidR="00C468C4" w:rsidRPr="00F019E3" w:rsidRDefault="00C468C4" w:rsidP="007F38F7">
            <w:pPr>
              <w:spacing w:before="0" w:after="0" w:line="240" w:lineRule="auto"/>
              <w:jc w:val="center"/>
              <w:rPr>
                <w:rFonts w:eastAsia="Times New Roman" w:cs="Arial"/>
                <w:b/>
                <w:bCs/>
                <w:color w:val="000000"/>
                <w:lang w:val="en-GB" w:eastAsia="en-GB"/>
              </w:rPr>
            </w:pPr>
            <w:r w:rsidRPr="00944F2E">
              <w:rPr>
                <w:rFonts w:eastAsia="Times New Roman" w:cs="Arial"/>
                <w:b/>
                <w:bCs/>
                <w:color w:val="000000"/>
                <w:lang w:val="en-GB" w:eastAsia="en-GB"/>
              </w:rPr>
              <w:t xml:space="preserve">Overall Accuracy </w:t>
            </w:r>
            <w:r>
              <w:rPr>
                <w:rFonts w:eastAsia="Times New Roman" w:cs="Arial"/>
                <w:b/>
                <w:bCs/>
                <w:color w:val="000000"/>
                <w:lang w:val="en-GB" w:eastAsia="en-GB"/>
              </w:rPr>
              <w:br/>
            </w:r>
            <w:r w:rsidRPr="00944F2E">
              <w:rPr>
                <w:rFonts w:eastAsia="Times New Roman" w:cs="Arial"/>
                <w:b/>
                <w:bCs/>
                <w:color w:val="000000"/>
                <w:lang w:val="en-GB" w:eastAsia="en-GB"/>
              </w:rPr>
              <w:t>(%)</w:t>
            </w:r>
          </w:p>
        </w:tc>
        <w:tc>
          <w:tcPr>
            <w:tcW w:w="2734" w:type="dxa"/>
            <w:gridSpan w:val="3"/>
            <w:shd w:val="clear" w:color="auto" w:fill="DBE0F4" w:themeFill="accent1" w:themeFillTint="33"/>
          </w:tcPr>
          <w:p w14:paraId="0E7737D0" w14:textId="0593507F" w:rsidR="00C468C4" w:rsidRPr="00944F2E" w:rsidRDefault="00C468C4" w:rsidP="00944F2E">
            <w:pPr>
              <w:spacing w:before="0" w:after="0" w:line="240" w:lineRule="auto"/>
              <w:jc w:val="center"/>
              <w:rPr>
                <w:rFonts w:eastAsia="Times New Roman" w:cs="Arial"/>
                <w:b/>
                <w:bCs/>
                <w:color w:val="000000"/>
                <w:lang w:val="en-GB" w:eastAsia="en-GB"/>
              </w:rPr>
            </w:pPr>
            <w:r w:rsidRPr="00944F2E">
              <w:rPr>
                <w:rFonts w:eastAsia="Times New Roman" w:cs="Arial"/>
                <w:b/>
                <w:bCs/>
                <w:color w:val="000000"/>
                <w:lang w:val="en-GB" w:eastAsia="en-GB"/>
              </w:rPr>
              <w:t>Kappa</w:t>
            </w:r>
          </w:p>
        </w:tc>
        <w:tc>
          <w:tcPr>
            <w:tcW w:w="1920" w:type="dxa"/>
            <w:gridSpan w:val="2"/>
            <w:shd w:val="clear" w:color="auto" w:fill="DBE0F4" w:themeFill="accent1" w:themeFillTint="33"/>
            <w:hideMark/>
          </w:tcPr>
          <w:p w14:paraId="0EA4D180" w14:textId="77777777" w:rsidR="00C468C4" w:rsidRPr="00944F2E" w:rsidRDefault="00C468C4" w:rsidP="00944F2E">
            <w:pPr>
              <w:spacing w:before="0" w:after="0" w:line="240" w:lineRule="auto"/>
              <w:jc w:val="center"/>
              <w:rPr>
                <w:rFonts w:eastAsia="Times New Roman" w:cs="Arial"/>
                <w:b/>
                <w:bCs/>
                <w:color w:val="000000"/>
                <w:lang w:val="en-GB" w:eastAsia="en-GB"/>
              </w:rPr>
            </w:pPr>
            <w:r w:rsidRPr="00944F2E">
              <w:rPr>
                <w:rFonts w:eastAsia="Times New Roman" w:cs="Arial"/>
                <w:b/>
                <w:bCs/>
                <w:color w:val="000000"/>
                <w:lang w:val="en-GB" w:eastAsia="en-GB"/>
              </w:rPr>
              <w:t>OOB Error Estimate</w:t>
            </w:r>
          </w:p>
        </w:tc>
      </w:tr>
      <w:tr w:rsidR="00C468C4" w:rsidRPr="00F019E3" w14:paraId="5212E633" w14:textId="77777777" w:rsidTr="00944F2E">
        <w:trPr>
          <w:trHeight w:val="288"/>
          <w:jc w:val="center"/>
        </w:trPr>
        <w:tc>
          <w:tcPr>
            <w:tcW w:w="1060" w:type="dxa"/>
            <w:shd w:val="clear" w:color="auto" w:fill="DBE0F4" w:themeFill="accent1" w:themeFillTint="33"/>
            <w:noWrap/>
            <w:hideMark/>
          </w:tcPr>
          <w:p w14:paraId="1FFF96AF" w14:textId="77777777" w:rsidR="00C468C4" w:rsidRPr="00944F2E" w:rsidRDefault="00C468C4" w:rsidP="00944F2E">
            <w:pPr>
              <w:spacing w:before="0" w:after="0" w:line="240" w:lineRule="auto"/>
              <w:jc w:val="left"/>
              <w:rPr>
                <w:rFonts w:eastAsia="Times New Roman" w:cs="Arial"/>
                <w:i/>
                <w:iCs/>
                <w:color w:val="000000"/>
                <w:lang w:val="en-GB" w:eastAsia="en-GB"/>
              </w:rPr>
            </w:pPr>
            <w:r w:rsidRPr="00944F2E">
              <w:rPr>
                <w:rFonts w:eastAsia="Times New Roman" w:cs="Arial"/>
                <w:i/>
                <w:iCs/>
                <w:color w:val="000000"/>
                <w:lang w:val="en-GB" w:eastAsia="en-GB"/>
              </w:rPr>
              <w:t>Task</w:t>
            </w:r>
          </w:p>
        </w:tc>
        <w:tc>
          <w:tcPr>
            <w:tcW w:w="735" w:type="dxa"/>
            <w:shd w:val="clear" w:color="auto" w:fill="DBE0F4" w:themeFill="accent1" w:themeFillTint="33"/>
            <w:noWrap/>
            <w:vAlign w:val="bottom"/>
            <w:hideMark/>
          </w:tcPr>
          <w:p w14:paraId="2B446ECC" w14:textId="77777777" w:rsidR="00C468C4" w:rsidRPr="00944F2E" w:rsidRDefault="00C468C4" w:rsidP="00944F2E">
            <w:pPr>
              <w:spacing w:before="0" w:after="0" w:line="240" w:lineRule="auto"/>
              <w:jc w:val="center"/>
              <w:rPr>
                <w:rFonts w:eastAsia="Times New Roman" w:cs="Arial"/>
                <w:i/>
                <w:iCs/>
                <w:color w:val="000000"/>
                <w:lang w:val="en-GB" w:eastAsia="en-GB"/>
              </w:rPr>
            </w:pPr>
            <w:r w:rsidRPr="00944F2E">
              <w:rPr>
                <w:rFonts w:eastAsia="Times New Roman" w:cs="Arial"/>
                <w:i/>
                <w:iCs/>
                <w:color w:val="000000"/>
                <w:lang w:val="en-GB" w:eastAsia="en-GB"/>
              </w:rPr>
              <w:t>2.3</w:t>
            </w:r>
          </w:p>
        </w:tc>
        <w:tc>
          <w:tcPr>
            <w:tcW w:w="706" w:type="dxa"/>
            <w:shd w:val="clear" w:color="auto" w:fill="DBE0F4" w:themeFill="accent1" w:themeFillTint="33"/>
            <w:noWrap/>
            <w:vAlign w:val="bottom"/>
          </w:tcPr>
          <w:p w14:paraId="7B5B5CED" w14:textId="6A7836D5" w:rsidR="00C468C4" w:rsidRPr="00944F2E" w:rsidRDefault="00C468C4" w:rsidP="00944F2E">
            <w:pPr>
              <w:spacing w:before="0" w:after="0" w:line="240" w:lineRule="auto"/>
              <w:jc w:val="center"/>
              <w:rPr>
                <w:rFonts w:eastAsia="Times New Roman" w:cs="Arial"/>
                <w:i/>
                <w:iCs/>
                <w:color w:val="000000"/>
                <w:lang w:val="en-GB" w:eastAsia="en-GB"/>
              </w:rPr>
            </w:pPr>
            <w:r>
              <w:rPr>
                <w:rFonts w:eastAsia="Times New Roman" w:cs="Arial"/>
                <w:i/>
                <w:iCs/>
                <w:color w:val="000000"/>
                <w:lang w:val="en-GB" w:eastAsia="en-GB"/>
              </w:rPr>
              <w:t>2.8</w:t>
            </w:r>
          </w:p>
        </w:tc>
        <w:tc>
          <w:tcPr>
            <w:tcW w:w="1004" w:type="dxa"/>
            <w:shd w:val="clear" w:color="auto" w:fill="DBE0F4" w:themeFill="accent1" w:themeFillTint="33"/>
            <w:vAlign w:val="bottom"/>
          </w:tcPr>
          <w:p w14:paraId="648D779A" w14:textId="6E58874A" w:rsidR="00C468C4" w:rsidRPr="00F019E3" w:rsidRDefault="00C468C4" w:rsidP="00F067B9">
            <w:pPr>
              <w:spacing w:before="0" w:after="0" w:line="240" w:lineRule="auto"/>
              <w:jc w:val="center"/>
              <w:rPr>
                <w:rFonts w:eastAsia="Times New Roman" w:cs="Arial"/>
                <w:i/>
                <w:iCs/>
                <w:color w:val="000000"/>
                <w:lang w:val="en-GB" w:eastAsia="en-GB"/>
              </w:rPr>
            </w:pPr>
            <w:r w:rsidRPr="00C51CC1">
              <w:rPr>
                <w:rFonts w:eastAsia="Times New Roman" w:cs="Arial"/>
                <w:i/>
                <w:iCs/>
                <w:color w:val="000000"/>
                <w:lang w:val="en-GB" w:eastAsia="en-GB"/>
              </w:rPr>
              <w:t>2.8 (</w:t>
            </w:r>
            <w:r>
              <w:rPr>
                <w:rFonts w:eastAsia="Times New Roman" w:cs="Arial"/>
                <w:i/>
                <w:iCs/>
                <w:color w:val="000000"/>
                <w:lang w:val="en-GB" w:eastAsia="en-GB"/>
              </w:rPr>
              <w:t>cs</w:t>
            </w:r>
            <w:r w:rsidRPr="00C51CC1">
              <w:rPr>
                <w:rFonts w:eastAsia="Times New Roman" w:cs="Arial"/>
                <w:i/>
                <w:iCs/>
                <w:color w:val="000000"/>
                <w:lang w:val="en-GB" w:eastAsia="en-GB"/>
              </w:rPr>
              <w:t>)</w:t>
            </w:r>
          </w:p>
        </w:tc>
        <w:tc>
          <w:tcPr>
            <w:tcW w:w="814" w:type="dxa"/>
            <w:shd w:val="clear" w:color="auto" w:fill="DBE0F4" w:themeFill="accent1" w:themeFillTint="33"/>
            <w:vAlign w:val="bottom"/>
          </w:tcPr>
          <w:p w14:paraId="25993F40" w14:textId="72206E84" w:rsidR="00C468C4" w:rsidRPr="007E6456" w:rsidRDefault="00C468C4" w:rsidP="00F067B9">
            <w:pPr>
              <w:spacing w:before="0" w:after="0" w:line="240" w:lineRule="auto"/>
              <w:jc w:val="center"/>
              <w:rPr>
                <w:rFonts w:eastAsia="Times New Roman" w:cs="Arial"/>
                <w:i/>
                <w:iCs/>
                <w:color w:val="000000"/>
                <w:lang w:val="en-GB" w:eastAsia="en-GB"/>
              </w:rPr>
            </w:pPr>
            <w:r w:rsidRPr="00C51CC1">
              <w:rPr>
                <w:rFonts w:eastAsia="Times New Roman" w:cs="Arial"/>
                <w:i/>
                <w:iCs/>
                <w:color w:val="000000"/>
                <w:lang w:val="en-GB" w:eastAsia="en-GB"/>
              </w:rPr>
              <w:t>2.3</w:t>
            </w:r>
          </w:p>
        </w:tc>
        <w:tc>
          <w:tcPr>
            <w:tcW w:w="789" w:type="dxa"/>
            <w:shd w:val="clear" w:color="auto" w:fill="DBE0F4" w:themeFill="accent1" w:themeFillTint="33"/>
            <w:noWrap/>
            <w:vAlign w:val="bottom"/>
          </w:tcPr>
          <w:p w14:paraId="7B08E19C" w14:textId="7CD822E2" w:rsidR="00C468C4" w:rsidRPr="00944F2E" w:rsidRDefault="00C468C4" w:rsidP="00944F2E">
            <w:pPr>
              <w:spacing w:before="0" w:after="0" w:line="240" w:lineRule="auto"/>
              <w:jc w:val="center"/>
              <w:rPr>
                <w:rFonts w:eastAsia="Times New Roman" w:cs="Arial"/>
                <w:i/>
                <w:iCs/>
                <w:color w:val="000000"/>
                <w:lang w:val="en-GB" w:eastAsia="en-GB"/>
              </w:rPr>
            </w:pPr>
            <w:r>
              <w:rPr>
                <w:rFonts w:eastAsia="Times New Roman" w:cs="Arial"/>
                <w:i/>
                <w:iCs/>
                <w:color w:val="000000"/>
                <w:lang w:val="en-GB" w:eastAsia="en-GB"/>
              </w:rPr>
              <w:t>2.8</w:t>
            </w:r>
          </w:p>
        </w:tc>
        <w:tc>
          <w:tcPr>
            <w:tcW w:w="1131" w:type="dxa"/>
            <w:shd w:val="clear" w:color="auto" w:fill="DBE0F4" w:themeFill="accent1" w:themeFillTint="33"/>
            <w:noWrap/>
            <w:vAlign w:val="bottom"/>
            <w:hideMark/>
          </w:tcPr>
          <w:p w14:paraId="1EC42512" w14:textId="043FD106" w:rsidR="00C468C4" w:rsidRPr="00944F2E" w:rsidRDefault="00C468C4" w:rsidP="00944F2E">
            <w:pPr>
              <w:spacing w:before="0" w:after="0" w:line="240" w:lineRule="auto"/>
              <w:jc w:val="center"/>
              <w:rPr>
                <w:rFonts w:eastAsia="Times New Roman" w:cs="Arial"/>
                <w:i/>
                <w:iCs/>
                <w:color w:val="000000"/>
                <w:lang w:val="en-GB" w:eastAsia="en-GB"/>
              </w:rPr>
            </w:pPr>
            <w:r w:rsidRPr="00944F2E">
              <w:rPr>
                <w:rFonts w:eastAsia="Times New Roman" w:cs="Arial"/>
                <w:i/>
                <w:iCs/>
                <w:color w:val="000000"/>
                <w:lang w:val="en-GB" w:eastAsia="en-GB"/>
              </w:rPr>
              <w:t>2.8 (</w:t>
            </w:r>
            <w:r>
              <w:rPr>
                <w:rFonts w:eastAsia="Times New Roman" w:cs="Arial"/>
                <w:i/>
                <w:iCs/>
                <w:color w:val="000000"/>
                <w:lang w:val="en-GB" w:eastAsia="en-GB"/>
              </w:rPr>
              <w:t>cs</w:t>
            </w:r>
            <w:r w:rsidRPr="00944F2E">
              <w:rPr>
                <w:rFonts w:eastAsia="Times New Roman" w:cs="Arial"/>
                <w:i/>
                <w:iCs/>
                <w:color w:val="000000"/>
                <w:lang w:val="en-GB" w:eastAsia="en-GB"/>
              </w:rPr>
              <w:t>)</w:t>
            </w:r>
          </w:p>
        </w:tc>
        <w:tc>
          <w:tcPr>
            <w:tcW w:w="789" w:type="dxa"/>
            <w:shd w:val="clear" w:color="auto" w:fill="DBE0F4" w:themeFill="accent1" w:themeFillTint="33"/>
            <w:noWrap/>
            <w:vAlign w:val="bottom"/>
            <w:hideMark/>
          </w:tcPr>
          <w:p w14:paraId="65CEDFB4" w14:textId="77777777" w:rsidR="00C468C4" w:rsidRPr="00944F2E" w:rsidRDefault="00C468C4" w:rsidP="00944F2E">
            <w:pPr>
              <w:spacing w:before="0" w:after="0" w:line="240" w:lineRule="auto"/>
              <w:jc w:val="center"/>
              <w:rPr>
                <w:rFonts w:eastAsia="Times New Roman" w:cs="Arial"/>
                <w:i/>
                <w:iCs/>
                <w:color w:val="000000"/>
                <w:lang w:val="en-GB" w:eastAsia="en-GB"/>
              </w:rPr>
            </w:pPr>
            <w:r w:rsidRPr="00944F2E">
              <w:rPr>
                <w:rFonts w:eastAsia="Times New Roman" w:cs="Arial"/>
                <w:i/>
                <w:iCs/>
                <w:color w:val="000000"/>
                <w:lang w:val="en-GB" w:eastAsia="en-GB"/>
              </w:rPr>
              <w:t>2.8</w:t>
            </w:r>
          </w:p>
        </w:tc>
        <w:tc>
          <w:tcPr>
            <w:tcW w:w="1131" w:type="dxa"/>
            <w:shd w:val="clear" w:color="auto" w:fill="DBE0F4" w:themeFill="accent1" w:themeFillTint="33"/>
            <w:noWrap/>
            <w:vAlign w:val="bottom"/>
            <w:hideMark/>
          </w:tcPr>
          <w:p w14:paraId="4C68F71F" w14:textId="7CAB71C2" w:rsidR="00C468C4" w:rsidRPr="00944F2E" w:rsidRDefault="00C468C4" w:rsidP="00944F2E">
            <w:pPr>
              <w:spacing w:before="0" w:after="0" w:line="240" w:lineRule="auto"/>
              <w:jc w:val="center"/>
              <w:rPr>
                <w:rFonts w:eastAsia="Times New Roman" w:cs="Arial"/>
                <w:i/>
                <w:iCs/>
                <w:color w:val="000000"/>
                <w:lang w:val="en-GB" w:eastAsia="en-GB"/>
              </w:rPr>
            </w:pPr>
            <w:r w:rsidRPr="00944F2E">
              <w:rPr>
                <w:rFonts w:eastAsia="Times New Roman" w:cs="Arial"/>
                <w:i/>
                <w:iCs/>
                <w:color w:val="000000"/>
                <w:lang w:val="en-GB" w:eastAsia="en-GB"/>
              </w:rPr>
              <w:t>2.8 (</w:t>
            </w:r>
            <w:r>
              <w:rPr>
                <w:rFonts w:eastAsia="Times New Roman" w:cs="Arial"/>
                <w:i/>
                <w:iCs/>
                <w:color w:val="000000"/>
                <w:lang w:val="en-GB" w:eastAsia="en-GB"/>
              </w:rPr>
              <w:t>cs</w:t>
            </w:r>
            <w:r w:rsidRPr="00944F2E">
              <w:rPr>
                <w:rFonts w:eastAsia="Times New Roman" w:cs="Arial"/>
                <w:i/>
                <w:iCs/>
                <w:color w:val="000000"/>
                <w:lang w:val="en-GB" w:eastAsia="en-GB"/>
              </w:rPr>
              <w:t>)</w:t>
            </w:r>
          </w:p>
        </w:tc>
      </w:tr>
      <w:tr w:rsidR="00C468C4" w:rsidRPr="00F019E3" w14:paraId="4484F011" w14:textId="77777777" w:rsidTr="00944F2E">
        <w:trPr>
          <w:trHeight w:val="312"/>
          <w:jc w:val="center"/>
        </w:trPr>
        <w:tc>
          <w:tcPr>
            <w:tcW w:w="1060" w:type="dxa"/>
            <w:shd w:val="clear" w:color="auto" w:fill="auto"/>
            <w:noWrap/>
            <w:vAlign w:val="bottom"/>
            <w:hideMark/>
          </w:tcPr>
          <w:p w14:paraId="3A160BC5" w14:textId="77777777" w:rsidR="00C468C4" w:rsidRPr="00944F2E" w:rsidRDefault="00C468C4" w:rsidP="00944F2E">
            <w:pPr>
              <w:spacing w:before="0" w:after="0" w:line="240" w:lineRule="auto"/>
              <w:jc w:val="left"/>
              <w:rPr>
                <w:rFonts w:eastAsia="Times New Roman" w:cs="Arial"/>
                <w:color w:val="000000"/>
                <w:sz w:val="24"/>
                <w:szCs w:val="24"/>
                <w:lang w:val="en-GB" w:eastAsia="en-GB"/>
              </w:rPr>
            </w:pPr>
            <w:r w:rsidRPr="00944F2E">
              <w:rPr>
                <w:rFonts w:eastAsia="Times New Roman" w:cs="Arial"/>
                <w:color w:val="000000"/>
                <w:sz w:val="24"/>
                <w:szCs w:val="24"/>
                <w:lang w:val="en-GB" w:eastAsia="en-GB"/>
              </w:rPr>
              <w:t>Greece</w:t>
            </w:r>
          </w:p>
        </w:tc>
        <w:tc>
          <w:tcPr>
            <w:tcW w:w="735" w:type="dxa"/>
            <w:shd w:val="clear" w:color="auto" w:fill="auto"/>
            <w:noWrap/>
            <w:vAlign w:val="bottom"/>
            <w:hideMark/>
          </w:tcPr>
          <w:p w14:paraId="7ACE44DA" w14:textId="4482A19C" w:rsidR="00C468C4" w:rsidRPr="00944F2E" w:rsidRDefault="00C468C4" w:rsidP="00944F2E">
            <w:pPr>
              <w:spacing w:before="0" w:after="0" w:line="240" w:lineRule="auto"/>
              <w:jc w:val="center"/>
              <w:rPr>
                <w:rFonts w:eastAsia="Times New Roman" w:cs="Arial"/>
                <w:color w:val="000000"/>
                <w:lang w:val="en-GB" w:eastAsia="en-GB"/>
              </w:rPr>
            </w:pPr>
            <w:r w:rsidRPr="00944F2E">
              <w:rPr>
                <w:rFonts w:eastAsia="Times New Roman" w:cs="Arial"/>
                <w:color w:val="000000"/>
                <w:lang w:val="en-GB" w:eastAsia="en-GB"/>
              </w:rPr>
              <w:t>71.5</w:t>
            </w:r>
          </w:p>
        </w:tc>
        <w:tc>
          <w:tcPr>
            <w:tcW w:w="706" w:type="dxa"/>
            <w:shd w:val="clear" w:color="auto" w:fill="auto"/>
            <w:noWrap/>
            <w:vAlign w:val="bottom"/>
          </w:tcPr>
          <w:p w14:paraId="5634598D" w14:textId="22179849" w:rsidR="00C468C4" w:rsidRPr="00944F2E" w:rsidRDefault="00C468C4" w:rsidP="00944F2E">
            <w:pPr>
              <w:spacing w:before="0" w:after="0" w:line="240" w:lineRule="auto"/>
              <w:jc w:val="center"/>
              <w:rPr>
                <w:rFonts w:eastAsia="Times New Roman" w:cs="Arial"/>
                <w:color w:val="000000"/>
                <w:lang w:val="en-GB" w:eastAsia="en-GB"/>
              </w:rPr>
            </w:pPr>
            <w:r w:rsidRPr="00944F2E">
              <w:rPr>
                <w:rFonts w:eastAsia="Times New Roman" w:cs="Arial"/>
                <w:color w:val="000000"/>
                <w:lang w:val="en-GB" w:eastAsia="en-GB"/>
              </w:rPr>
              <w:t>61.4</w:t>
            </w:r>
          </w:p>
        </w:tc>
        <w:tc>
          <w:tcPr>
            <w:tcW w:w="1004" w:type="dxa"/>
            <w:vAlign w:val="bottom"/>
          </w:tcPr>
          <w:p w14:paraId="346135DA" w14:textId="554B1D70" w:rsidR="00C468C4" w:rsidRPr="00944F2E" w:rsidRDefault="00C468C4" w:rsidP="00F067B9">
            <w:pPr>
              <w:spacing w:before="0" w:after="0" w:line="240" w:lineRule="auto"/>
              <w:jc w:val="center"/>
              <w:rPr>
                <w:rFonts w:eastAsia="Times New Roman" w:cs="Arial"/>
                <w:color w:val="00B050"/>
                <w:lang w:val="en-GB" w:eastAsia="en-GB"/>
              </w:rPr>
            </w:pPr>
            <w:r w:rsidRPr="00944F2E">
              <w:rPr>
                <w:rFonts w:eastAsia="Times New Roman" w:cs="Arial"/>
                <w:color w:val="00B050"/>
                <w:lang w:val="en-GB" w:eastAsia="en-GB"/>
              </w:rPr>
              <w:t>77.7</w:t>
            </w:r>
          </w:p>
        </w:tc>
        <w:tc>
          <w:tcPr>
            <w:tcW w:w="814" w:type="dxa"/>
            <w:vAlign w:val="bottom"/>
          </w:tcPr>
          <w:p w14:paraId="701090F7" w14:textId="613CACEC" w:rsidR="00C468C4" w:rsidRPr="00944F2E" w:rsidRDefault="00C468C4" w:rsidP="00F067B9">
            <w:pPr>
              <w:spacing w:before="0" w:after="0" w:line="240" w:lineRule="auto"/>
              <w:jc w:val="center"/>
              <w:rPr>
                <w:rFonts w:eastAsia="Times New Roman" w:cs="Arial"/>
                <w:color w:val="000000"/>
                <w:lang w:val="en-GB" w:eastAsia="en-GB"/>
              </w:rPr>
            </w:pPr>
            <w:r w:rsidRPr="00944F2E">
              <w:rPr>
                <w:rFonts w:eastAsia="Times New Roman" w:cs="Arial"/>
                <w:color w:val="000000"/>
                <w:lang w:val="en-GB" w:eastAsia="en-GB"/>
              </w:rPr>
              <w:t>0.41</w:t>
            </w:r>
          </w:p>
        </w:tc>
        <w:tc>
          <w:tcPr>
            <w:tcW w:w="789" w:type="dxa"/>
            <w:shd w:val="clear" w:color="auto" w:fill="auto"/>
            <w:noWrap/>
            <w:vAlign w:val="bottom"/>
          </w:tcPr>
          <w:p w14:paraId="315C67E4" w14:textId="7CB74FC8" w:rsidR="00C468C4" w:rsidRPr="00944F2E" w:rsidRDefault="00C468C4" w:rsidP="00944F2E">
            <w:pPr>
              <w:spacing w:before="0" w:after="0" w:line="240" w:lineRule="auto"/>
              <w:jc w:val="center"/>
              <w:rPr>
                <w:rFonts w:eastAsia="Times New Roman" w:cs="Arial"/>
                <w:color w:val="000000"/>
                <w:lang w:val="en-GB" w:eastAsia="en-GB"/>
              </w:rPr>
            </w:pPr>
            <w:r>
              <w:rPr>
                <w:rFonts w:eastAsia="Times New Roman" w:cs="Arial"/>
                <w:color w:val="000000"/>
                <w:lang w:val="en-GB" w:eastAsia="en-GB"/>
              </w:rPr>
              <w:t>0.23</w:t>
            </w:r>
          </w:p>
        </w:tc>
        <w:tc>
          <w:tcPr>
            <w:tcW w:w="1131" w:type="dxa"/>
            <w:shd w:val="clear" w:color="auto" w:fill="auto"/>
            <w:noWrap/>
            <w:vAlign w:val="bottom"/>
            <w:hideMark/>
          </w:tcPr>
          <w:p w14:paraId="410A5E5C" w14:textId="77777777" w:rsidR="00C468C4" w:rsidRPr="00944F2E" w:rsidRDefault="00C468C4" w:rsidP="00944F2E">
            <w:pPr>
              <w:spacing w:before="0" w:after="0" w:line="240" w:lineRule="auto"/>
              <w:jc w:val="center"/>
              <w:rPr>
                <w:rFonts w:eastAsia="Times New Roman" w:cs="Arial"/>
                <w:color w:val="00B050"/>
                <w:lang w:val="en-GB" w:eastAsia="en-GB"/>
              </w:rPr>
            </w:pPr>
            <w:r w:rsidRPr="00944F2E">
              <w:rPr>
                <w:rFonts w:eastAsia="Times New Roman" w:cs="Arial"/>
                <w:color w:val="00B050"/>
                <w:lang w:val="en-GB" w:eastAsia="en-GB"/>
              </w:rPr>
              <w:t>0.54</w:t>
            </w:r>
          </w:p>
        </w:tc>
        <w:tc>
          <w:tcPr>
            <w:tcW w:w="789" w:type="dxa"/>
            <w:shd w:val="clear" w:color="auto" w:fill="auto"/>
            <w:noWrap/>
            <w:vAlign w:val="bottom"/>
            <w:hideMark/>
          </w:tcPr>
          <w:p w14:paraId="45D2C2AB" w14:textId="77777777" w:rsidR="00C468C4" w:rsidRPr="00944F2E" w:rsidRDefault="00C468C4" w:rsidP="00944F2E">
            <w:pPr>
              <w:spacing w:before="0" w:after="0" w:line="240" w:lineRule="auto"/>
              <w:jc w:val="center"/>
              <w:rPr>
                <w:rFonts w:eastAsia="Times New Roman" w:cs="Arial"/>
                <w:color w:val="000000"/>
                <w:lang w:val="en-GB" w:eastAsia="en-GB"/>
              </w:rPr>
            </w:pPr>
            <w:r w:rsidRPr="00944F2E">
              <w:rPr>
                <w:rFonts w:eastAsia="Times New Roman" w:cs="Arial"/>
                <w:color w:val="000000"/>
                <w:lang w:val="en-GB" w:eastAsia="en-GB"/>
              </w:rPr>
              <w:t>0.26</w:t>
            </w:r>
          </w:p>
        </w:tc>
        <w:tc>
          <w:tcPr>
            <w:tcW w:w="1131" w:type="dxa"/>
            <w:shd w:val="clear" w:color="auto" w:fill="auto"/>
            <w:noWrap/>
            <w:vAlign w:val="bottom"/>
            <w:hideMark/>
          </w:tcPr>
          <w:p w14:paraId="4182EC65" w14:textId="77777777" w:rsidR="00C468C4" w:rsidRPr="00944F2E" w:rsidRDefault="00C468C4" w:rsidP="00944F2E">
            <w:pPr>
              <w:spacing w:before="0" w:after="0" w:line="240" w:lineRule="auto"/>
              <w:jc w:val="center"/>
              <w:rPr>
                <w:rFonts w:eastAsia="Times New Roman" w:cs="Arial"/>
                <w:color w:val="000000"/>
                <w:lang w:val="en-GB" w:eastAsia="en-GB"/>
              </w:rPr>
            </w:pPr>
            <w:r w:rsidRPr="00944F2E">
              <w:rPr>
                <w:rFonts w:eastAsia="Times New Roman" w:cs="Arial"/>
                <w:color w:val="000000"/>
                <w:lang w:val="en-GB" w:eastAsia="en-GB"/>
              </w:rPr>
              <w:t>0.16</w:t>
            </w:r>
          </w:p>
        </w:tc>
      </w:tr>
      <w:tr w:rsidR="00C468C4" w:rsidRPr="00F019E3" w14:paraId="01E5A2DE" w14:textId="77777777" w:rsidTr="00944F2E">
        <w:trPr>
          <w:trHeight w:val="312"/>
          <w:jc w:val="center"/>
        </w:trPr>
        <w:tc>
          <w:tcPr>
            <w:tcW w:w="1060" w:type="dxa"/>
            <w:shd w:val="clear" w:color="auto" w:fill="auto"/>
            <w:noWrap/>
            <w:vAlign w:val="bottom"/>
            <w:hideMark/>
          </w:tcPr>
          <w:p w14:paraId="3AFA8AED" w14:textId="77777777" w:rsidR="00C468C4" w:rsidRPr="00944F2E" w:rsidRDefault="00C468C4" w:rsidP="00944F2E">
            <w:pPr>
              <w:spacing w:before="0" w:after="0" w:line="240" w:lineRule="auto"/>
              <w:jc w:val="left"/>
              <w:rPr>
                <w:rFonts w:eastAsia="Times New Roman" w:cs="Arial"/>
                <w:color w:val="000000"/>
                <w:sz w:val="24"/>
                <w:szCs w:val="24"/>
                <w:lang w:val="en-GB" w:eastAsia="en-GB"/>
              </w:rPr>
            </w:pPr>
            <w:r w:rsidRPr="00944F2E">
              <w:rPr>
                <w:rFonts w:eastAsia="Times New Roman" w:cs="Arial"/>
                <w:color w:val="000000"/>
                <w:sz w:val="24"/>
                <w:szCs w:val="24"/>
                <w:lang w:val="en-GB" w:eastAsia="en-GB"/>
              </w:rPr>
              <w:t>Spain</w:t>
            </w:r>
          </w:p>
        </w:tc>
        <w:tc>
          <w:tcPr>
            <w:tcW w:w="735" w:type="dxa"/>
            <w:shd w:val="clear" w:color="auto" w:fill="auto"/>
            <w:noWrap/>
            <w:vAlign w:val="bottom"/>
            <w:hideMark/>
          </w:tcPr>
          <w:p w14:paraId="38B07C44" w14:textId="39DDF302" w:rsidR="00C468C4" w:rsidRPr="00944F2E" w:rsidRDefault="00C468C4" w:rsidP="00944F2E">
            <w:pPr>
              <w:spacing w:before="0" w:after="0" w:line="240" w:lineRule="auto"/>
              <w:jc w:val="center"/>
              <w:rPr>
                <w:rFonts w:eastAsia="Times New Roman" w:cs="Arial"/>
                <w:color w:val="000000"/>
                <w:lang w:val="en-GB" w:eastAsia="en-GB"/>
              </w:rPr>
            </w:pPr>
            <w:r w:rsidRPr="00944F2E">
              <w:rPr>
                <w:rFonts w:eastAsia="Times New Roman" w:cs="Arial"/>
                <w:color w:val="000000"/>
                <w:lang w:val="en-GB" w:eastAsia="en-GB"/>
              </w:rPr>
              <w:t>82.8</w:t>
            </w:r>
          </w:p>
        </w:tc>
        <w:tc>
          <w:tcPr>
            <w:tcW w:w="706" w:type="dxa"/>
            <w:shd w:val="clear" w:color="auto" w:fill="auto"/>
            <w:noWrap/>
            <w:vAlign w:val="bottom"/>
          </w:tcPr>
          <w:p w14:paraId="659C1232" w14:textId="627A37F3" w:rsidR="00C468C4" w:rsidRPr="00944F2E" w:rsidRDefault="00C468C4" w:rsidP="00944F2E">
            <w:pPr>
              <w:spacing w:before="0" w:after="0" w:line="240" w:lineRule="auto"/>
              <w:jc w:val="center"/>
              <w:rPr>
                <w:rFonts w:eastAsia="Times New Roman" w:cs="Arial"/>
                <w:color w:val="000000"/>
                <w:lang w:val="en-GB" w:eastAsia="en-GB"/>
              </w:rPr>
            </w:pPr>
            <w:r w:rsidRPr="00944F2E">
              <w:rPr>
                <w:rFonts w:eastAsia="Times New Roman" w:cs="Arial"/>
                <w:color w:val="000000"/>
                <w:lang w:val="en-GB" w:eastAsia="en-GB"/>
              </w:rPr>
              <w:t>73.1</w:t>
            </w:r>
          </w:p>
        </w:tc>
        <w:tc>
          <w:tcPr>
            <w:tcW w:w="1004" w:type="dxa"/>
            <w:vAlign w:val="bottom"/>
          </w:tcPr>
          <w:p w14:paraId="626B4FF3" w14:textId="3DB53FC2" w:rsidR="00C468C4" w:rsidRPr="00944F2E" w:rsidRDefault="00C468C4" w:rsidP="00F067B9">
            <w:pPr>
              <w:spacing w:before="0" w:after="0" w:line="240" w:lineRule="auto"/>
              <w:jc w:val="center"/>
              <w:rPr>
                <w:rFonts w:eastAsia="Times New Roman" w:cs="Arial"/>
                <w:color w:val="00B050"/>
                <w:lang w:val="en-GB" w:eastAsia="en-GB"/>
              </w:rPr>
            </w:pPr>
            <w:r w:rsidRPr="00944F2E">
              <w:rPr>
                <w:rFonts w:eastAsia="Times New Roman" w:cs="Arial"/>
                <w:color w:val="00B050"/>
                <w:lang w:val="en-GB" w:eastAsia="en-GB"/>
              </w:rPr>
              <w:t>86.1</w:t>
            </w:r>
          </w:p>
        </w:tc>
        <w:tc>
          <w:tcPr>
            <w:tcW w:w="814" w:type="dxa"/>
            <w:vAlign w:val="bottom"/>
          </w:tcPr>
          <w:p w14:paraId="26E66C95" w14:textId="6FC2B405" w:rsidR="00C468C4" w:rsidRPr="00944F2E" w:rsidRDefault="00C468C4" w:rsidP="00F067B9">
            <w:pPr>
              <w:spacing w:before="0" w:after="0" w:line="240" w:lineRule="auto"/>
              <w:jc w:val="center"/>
              <w:rPr>
                <w:rFonts w:eastAsia="Times New Roman" w:cs="Arial"/>
                <w:color w:val="000000"/>
                <w:lang w:val="en-GB" w:eastAsia="en-GB"/>
              </w:rPr>
            </w:pPr>
            <w:r w:rsidRPr="00944F2E">
              <w:rPr>
                <w:rFonts w:eastAsia="Times New Roman" w:cs="Arial"/>
                <w:color w:val="000000"/>
                <w:lang w:val="en-GB" w:eastAsia="en-GB"/>
              </w:rPr>
              <w:t>0.65</w:t>
            </w:r>
          </w:p>
        </w:tc>
        <w:tc>
          <w:tcPr>
            <w:tcW w:w="789" w:type="dxa"/>
            <w:shd w:val="clear" w:color="auto" w:fill="auto"/>
            <w:noWrap/>
            <w:vAlign w:val="bottom"/>
          </w:tcPr>
          <w:p w14:paraId="2F72EBAC" w14:textId="5F70CD94" w:rsidR="00C468C4" w:rsidRPr="00944F2E" w:rsidRDefault="00C468C4" w:rsidP="00944F2E">
            <w:pPr>
              <w:spacing w:before="0" w:after="0" w:line="240" w:lineRule="auto"/>
              <w:jc w:val="center"/>
              <w:rPr>
                <w:rFonts w:eastAsia="Times New Roman" w:cs="Arial"/>
                <w:color w:val="000000"/>
                <w:lang w:val="en-GB" w:eastAsia="en-GB"/>
              </w:rPr>
            </w:pPr>
            <w:r>
              <w:rPr>
                <w:rFonts w:eastAsia="Times New Roman" w:cs="Arial"/>
                <w:color w:val="000000"/>
                <w:lang w:val="en-GB" w:eastAsia="en-GB"/>
              </w:rPr>
              <w:t>0.43</w:t>
            </w:r>
          </w:p>
        </w:tc>
        <w:tc>
          <w:tcPr>
            <w:tcW w:w="1131" w:type="dxa"/>
            <w:shd w:val="clear" w:color="auto" w:fill="auto"/>
            <w:noWrap/>
            <w:vAlign w:val="bottom"/>
            <w:hideMark/>
          </w:tcPr>
          <w:p w14:paraId="66C7E15A" w14:textId="77777777" w:rsidR="00C468C4" w:rsidRPr="00944F2E" w:rsidRDefault="00C468C4" w:rsidP="00944F2E">
            <w:pPr>
              <w:spacing w:before="0" w:after="0" w:line="240" w:lineRule="auto"/>
              <w:jc w:val="center"/>
              <w:rPr>
                <w:rFonts w:eastAsia="Times New Roman" w:cs="Arial"/>
                <w:color w:val="00B050"/>
                <w:lang w:val="en-GB" w:eastAsia="en-GB"/>
              </w:rPr>
            </w:pPr>
            <w:r w:rsidRPr="00944F2E">
              <w:rPr>
                <w:rFonts w:eastAsia="Times New Roman" w:cs="Arial"/>
                <w:color w:val="00B050"/>
                <w:lang w:val="en-GB" w:eastAsia="en-GB"/>
              </w:rPr>
              <w:t>0.66</w:t>
            </w:r>
          </w:p>
        </w:tc>
        <w:tc>
          <w:tcPr>
            <w:tcW w:w="789" w:type="dxa"/>
            <w:shd w:val="clear" w:color="auto" w:fill="auto"/>
            <w:noWrap/>
            <w:vAlign w:val="bottom"/>
            <w:hideMark/>
          </w:tcPr>
          <w:p w14:paraId="1D1D188F" w14:textId="77777777" w:rsidR="00C468C4" w:rsidRPr="00944F2E" w:rsidRDefault="00C468C4" w:rsidP="00944F2E">
            <w:pPr>
              <w:spacing w:before="0" w:after="0" w:line="240" w:lineRule="auto"/>
              <w:jc w:val="center"/>
              <w:rPr>
                <w:rFonts w:eastAsia="Times New Roman" w:cs="Arial"/>
                <w:color w:val="000000"/>
                <w:lang w:val="en-GB" w:eastAsia="en-GB"/>
              </w:rPr>
            </w:pPr>
            <w:r w:rsidRPr="00944F2E">
              <w:rPr>
                <w:rFonts w:eastAsia="Times New Roman" w:cs="Arial"/>
                <w:color w:val="000000"/>
                <w:lang w:val="en-GB" w:eastAsia="en-GB"/>
              </w:rPr>
              <w:t>0.23</w:t>
            </w:r>
          </w:p>
        </w:tc>
        <w:tc>
          <w:tcPr>
            <w:tcW w:w="1131" w:type="dxa"/>
            <w:shd w:val="clear" w:color="auto" w:fill="auto"/>
            <w:noWrap/>
            <w:vAlign w:val="bottom"/>
            <w:hideMark/>
          </w:tcPr>
          <w:p w14:paraId="0043D7C8" w14:textId="77777777" w:rsidR="00C468C4" w:rsidRPr="00944F2E" w:rsidRDefault="00C468C4" w:rsidP="00944F2E">
            <w:pPr>
              <w:spacing w:before="0" w:after="0" w:line="240" w:lineRule="auto"/>
              <w:jc w:val="center"/>
              <w:rPr>
                <w:rFonts w:eastAsia="Times New Roman" w:cs="Arial"/>
                <w:color w:val="000000"/>
                <w:lang w:val="en-GB" w:eastAsia="en-GB"/>
              </w:rPr>
            </w:pPr>
            <w:r w:rsidRPr="00944F2E">
              <w:rPr>
                <w:rFonts w:eastAsia="Times New Roman" w:cs="Arial"/>
                <w:color w:val="000000"/>
                <w:lang w:val="en-GB" w:eastAsia="en-GB"/>
              </w:rPr>
              <w:t>0.16</w:t>
            </w:r>
          </w:p>
        </w:tc>
      </w:tr>
    </w:tbl>
    <w:p w14:paraId="004790EC" w14:textId="26C00D62" w:rsidR="00FD4509" w:rsidRDefault="00FD4509" w:rsidP="00D75928">
      <w:pPr>
        <w:rPr>
          <w:lang w:val="en-GB"/>
        </w:rPr>
      </w:pPr>
    </w:p>
    <w:p w14:paraId="2E40A3D6" w14:textId="6C93F9BD" w:rsidR="0056184B" w:rsidRDefault="00CA28AD" w:rsidP="00CA28AD">
      <w:pPr>
        <w:pStyle w:val="MAIL1"/>
      </w:pPr>
      <w:bookmarkStart w:id="73" w:name="_Toc91583677"/>
      <w:r>
        <w:lastRenderedPageBreak/>
        <w:t>Conclusions</w:t>
      </w:r>
      <w:bookmarkEnd w:id="73"/>
    </w:p>
    <w:p w14:paraId="6DF3758B" w14:textId="07099AF7" w:rsidR="00CA28AD" w:rsidRDefault="00070824" w:rsidP="00CA28AD">
      <w:pPr>
        <w:rPr>
          <w:lang w:val="en-GB"/>
        </w:rPr>
      </w:pPr>
      <w:r>
        <w:rPr>
          <w:lang w:val="en-GB"/>
        </w:rPr>
        <w:t xml:space="preserve">Under the framework of the </w:t>
      </w:r>
      <w:r w:rsidRPr="002A71FB">
        <w:rPr>
          <w:b/>
          <w:i/>
          <w:iCs/>
          <w:color w:val="31479E" w:themeColor="accent1" w:themeShade="BF"/>
        </w:rPr>
        <w:t>MAIL</w:t>
      </w:r>
      <w:r>
        <w:rPr>
          <w:lang w:val="en-GB"/>
        </w:rPr>
        <w:t xml:space="preserve"> project Task 2.8 “Augment</w:t>
      </w:r>
      <w:r w:rsidR="00DB5F3B">
        <w:rPr>
          <w:lang w:val="en-GB"/>
        </w:rPr>
        <w:t xml:space="preserve"> precision in MLs detection”, the </w:t>
      </w:r>
      <w:r w:rsidR="00FD4CE8">
        <w:rPr>
          <w:lang w:val="en-GB"/>
        </w:rPr>
        <w:t>“</w:t>
      </w:r>
      <w:r w:rsidR="00DB5F3B">
        <w:rPr>
          <w:lang w:val="en-GB"/>
        </w:rPr>
        <w:t>Enhanced Classification</w:t>
      </w:r>
      <w:r w:rsidR="00FD4CE8">
        <w:rPr>
          <w:lang w:val="en-GB"/>
        </w:rPr>
        <w:t>”</w:t>
      </w:r>
      <w:r w:rsidR="00DB5F3B">
        <w:rPr>
          <w:lang w:val="en-GB"/>
        </w:rPr>
        <w:t xml:space="preserve"> tool</w:t>
      </w:r>
      <w:r w:rsidR="005B15AC">
        <w:rPr>
          <w:lang w:val="en-GB"/>
        </w:rPr>
        <w:t>,</w:t>
      </w:r>
      <w:r w:rsidR="00DB5F3B">
        <w:rPr>
          <w:lang w:val="en-GB"/>
        </w:rPr>
        <w:t xml:space="preserve"> </w:t>
      </w:r>
      <w:r w:rsidR="00767FAA">
        <w:rPr>
          <w:lang w:val="en-GB"/>
        </w:rPr>
        <w:t xml:space="preserve">based on the RF classifier </w:t>
      </w:r>
      <w:r w:rsidR="00900C5B">
        <w:rPr>
          <w:lang w:val="en-GB"/>
        </w:rPr>
        <w:t>and a time series analysis</w:t>
      </w:r>
      <w:r w:rsidR="005B15AC">
        <w:rPr>
          <w:lang w:val="en-GB"/>
        </w:rPr>
        <w:t>,</w:t>
      </w:r>
      <w:r w:rsidR="00900C5B">
        <w:rPr>
          <w:lang w:val="en-GB"/>
        </w:rPr>
        <w:t xml:space="preserve"> </w:t>
      </w:r>
      <w:r w:rsidR="00DB5F3B">
        <w:rPr>
          <w:lang w:val="en-GB"/>
        </w:rPr>
        <w:t xml:space="preserve">was </w:t>
      </w:r>
      <w:proofErr w:type="gramStart"/>
      <w:r w:rsidR="00DB5F3B">
        <w:rPr>
          <w:lang w:val="en-GB"/>
        </w:rPr>
        <w:t>developed</w:t>
      </w:r>
      <w:proofErr w:type="gramEnd"/>
      <w:r w:rsidR="00DB5F3B">
        <w:rPr>
          <w:lang w:val="en-GB"/>
        </w:rPr>
        <w:t xml:space="preserve"> </w:t>
      </w:r>
      <w:r w:rsidR="00D04B06">
        <w:rPr>
          <w:lang w:val="en-GB"/>
        </w:rPr>
        <w:t xml:space="preserve">and is going to be incorporated in the Final </w:t>
      </w:r>
      <w:r w:rsidR="00D04B06" w:rsidRPr="00944F2E">
        <w:rPr>
          <w:b/>
          <w:i/>
          <w:iCs/>
          <w:color w:val="31479E" w:themeColor="accent1" w:themeShade="BF"/>
        </w:rPr>
        <w:t>MAIL</w:t>
      </w:r>
      <w:r w:rsidR="00D04B06">
        <w:rPr>
          <w:lang w:val="en-GB"/>
        </w:rPr>
        <w:t xml:space="preserve"> Web application. </w:t>
      </w:r>
      <w:r w:rsidR="007F2C1E">
        <w:rPr>
          <w:lang w:val="en-GB"/>
        </w:rPr>
        <w:t xml:space="preserve">The tool achieved a </w:t>
      </w:r>
      <w:r w:rsidR="00803939">
        <w:rPr>
          <w:lang w:val="en-GB"/>
        </w:rPr>
        <w:t>61.4%,</w:t>
      </w:r>
      <w:r w:rsidR="00C453A4">
        <w:rPr>
          <w:lang w:val="en-GB"/>
        </w:rPr>
        <w:t xml:space="preserve"> 73.1%, 54.3% and 94.2% OA for the test sites of Greece, Spain</w:t>
      </w:r>
      <w:r w:rsidR="0041561C">
        <w:rPr>
          <w:lang w:val="en-GB"/>
        </w:rPr>
        <w:t>, Germany</w:t>
      </w:r>
      <w:r w:rsidR="00FD4CE8">
        <w:rPr>
          <w:lang w:val="en-GB"/>
        </w:rPr>
        <w:t>,</w:t>
      </w:r>
      <w:r w:rsidR="0041561C">
        <w:rPr>
          <w:lang w:val="en-GB"/>
        </w:rPr>
        <w:t xml:space="preserve"> and Poland</w:t>
      </w:r>
      <w:r w:rsidR="005B59E2">
        <w:rPr>
          <w:lang w:val="en-GB"/>
        </w:rPr>
        <w:t xml:space="preserve"> respectively. </w:t>
      </w:r>
      <w:r w:rsidR="009E2C27">
        <w:rPr>
          <w:lang w:val="en-GB"/>
        </w:rPr>
        <w:t>Apart from running efficiently thanks to the RF classifier, t</w:t>
      </w:r>
      <w:r w:rsidR="005B59E2">
        <w:rPr>
          <w:lang w:val="en-GB"/>
        </w:rPr>
        <w:t xml:space="preserve">he tool’s major </w:t>
      </w:r>
      <w:r w:rsidR="00F17A5D">
        <w:rPr>
          <w:lang w:val="en-GB"/>
        </w:rPr>
        <w:t>advantage is that</w:t>
      </w:r>
      <w:r w:rsidR="00FD4CE8">
        <w:rPr>
          <w:lang w:val="en-GB"/>
        </w:rPr>
        <w:t>,</w:t>
      </w:r>
      <w:r w:rsidR="009E2F20">
        <w:rPr>
          <w:lang w:val="en-GB"/>
        </w:rPr>
        <w:t xml:space="preserve"> thanks to the methodology developed in Task 2.3</w:t>
      </w:r>
      <w:r w:rsidR="00FD4CE8">
        <w:rPr>
          <w:lang w:val="en-GB"/>
        </w:rPr>
        <w:t>, it</w:t>
      </w:r>
      <w:r w:rsidR="009E2F20">
        <w:rPr>
          <w:lang w:val="en-GB"/>
        </w:rPr>
        <w:t xml:space="preserve"> can be</w:t>
      </w:r>
      <w:r w:rsidR="0074351A">
        <w:rPr>
          <w:lang w:val="en-GB"/>
        </w:rPr>
        <w:t xml:space="preserve"> applied and identify potentially suitable for afforestation MLs </w:t>
      </w:r>
      <w:r w:rsidR="001B7B6C">
        <w:rPr>
          <w:lang w:val="en-GB"/>
        </w:rPr>
        <w:t>in</w:t>
      </w:r>
      <w:r w:rsidR="004F5163">
        <w:rPr>
          <w:lang w:val="en-GB"/>
        </w:rPr>
        <w:t xml:space="preserve"> any point in time; it is therefore a futureproof tool.</w:t>
      </w:r>
    </w:p>
    <w:p w14:paraId="104FC450" w14:textId="2E3B4D6D" w:rsidR="00217BB8" w:rsidRDefault="00217BB8" w:rsidP="00CA28AD">
      <w:pPr>
        <w:rPr>
          <w:lang w:val="en-GB"/>
        </w:rPr>
      </w:pPr>
      <w:r>
        <w:rPr>
          <w:lang w:val="en-GB"/>
        </w:rPr>
        <w:t xml:space="preserve">In a case study that the reference ML and </w:t>
      </w:r>
      <w:proofErr w:type="spellStart"/>
      <w:r>
        <w:rPr>
          <w:lang w:val="en-GB"/>
        </w:rPr>
        <w:t>nML</w:t>
      </w:r>
      <w:proofErr w:type="spellEnd"/>
      <w:r>
        <w:rPr>
          <w:lang w:val="en-GB"/>
        </w:rPr>
        <w:t xml:space="preserve"> polygons </w:t>
      </w:r>
      <w:r w:rsidR="000202E4">
        <w:rPr>
          <w:lang w:val="en-GB"/>
        </w:rPr>
        <w:t xml:space="preserve">of Task 2.4 </w:t>
      </w:r>
      <w:r w:rsidR="008844F0">
        <w:rPr>
          <w:lang w:val="en-GB"/>
        </w:rPr>
        <w:t xml:space="preserve">were split to training </w:t>
      </w:r>
      <w:r w:rsidR="003E6599">
        <w:rPr>
          <w:lang w:val="en-GB"/>
        </w:rPr>
        <w:t>and validation data, the tool achieved higher accuracy in the test sites of Greece and Spain than the methodology of Task 2.3, proving that</w:t>
      </w:r>
      <w:r w:rsidR="00FF38BE">
        <w:rPr>
          <w:lang w:val="en-GB"/>
        </w:rPr>
        <w:t xml:space="preserve"> the tool </w:t>
      </w:r>
      <w:proofErr w:type="gramStart"/>
      <w:r w:rsidR="00FF38BE">
        <w:rPr>
          <w:lang w:val="en-GB"/>
        </w:rPr>
        <w:t>is able to</w:t>
      </w:r>
      <w:proofErr w:type="gramEnd"/>
      <w:r w:rsidR="00FF38BE">
        <w:rPr>
          <w:lang w:val="en-GB"/>
        </w:rPr>
        <w:t xml:space="preserve"> detect </w:t>
      </w:r>
      <w:r w:rsidR="000202E4">
        <w:rPr>
          <w:lang w:val="en-GB"/>
        </w:rPr>
        <w:t xml:space="preserve">MLs </w:t>
      </w:r>
      <w:r w:rsidR="00FF38BE">
        <w:rPr>
          <w:lang w:val="en-GB"/>
        </w:rPr>
        <w:t xml:space="preserve">with good accuracy, as long as </w:t>
      </w:r>
      <w:r w:rsidR="000202E4">
        <w:rPr>
          <w:lang w:val="en-GB"/>
        </w:rPr>
        <w:t>high-quality</w:t>
      </w:r>
      <w:r w:rsidR="00AE3031">
        <w:rPr>
          <w:lang w:val="en-GB"/>
        </w:rPr>
        <w:t xml:space="preserve"> training data for MLs are available. </w:t>
      </w:r>
      <w:r w:rsidR="005B15AC">
        <w:rPr>
          <w:lang w:val="en-GB"/>
        </w:rPr>
        <w:t xml:space="preserve">Furthermore, it is proven once again, that </w:t>
      </w:r>
      <w:r w:rsidR="00E722E6">
        <w:rPr>
          <w:lang w:val="en-GB"/>
        </w:rPr>
        <w:t xml:space="preserve">the RF classifier is a very efficient and accurate classifier, able to handle </w:t>
      </w:r>
      <w:r w:rsidR="00A30EAA">
        <w:rPr>
          <w:lang w:val="en-GB"/>
        </w:rPr>
        <w:t xml:space="preserve">big amounts of data, </w:t>
      </w:r>
      <w:r w:rsidR="00833528">
        <w:rPr>
          <w:lang w:val="en-GB"/>
        </w:rPr>
        <w:t>as well as the fact that good input results in good output</w:t>
      </w:r>
      <w:r w:rsidR="001D3C2C">
        <w:rPr>
          <w:lang w:val="en-GB"/>
        </w:rPr>
        <w:t>.</w:t>
      </w:r>
    </w:p>
    <w:p w14:paraId="65896F71" w14:textId="088281A1" w:rsidR="002E27F8" w:rsidRPr="00944F2E" w:rsidRDefault="002E27F8" w:rsidP="00CA28AD">
      <w:pPr>
        <w:rPr>
          <w:lang w:val="en-GB"/>
        </w:rPr>
      </w:pPr>
      <w:r>
        <w:rPr>
          <w:lang w:val="en-GB"/>
        </w:rPr>
        <w:t>Finally, this case study suggests that</w:t>
      </w:r>
      <w:r w:rsidR="00ED0A4A">
        <w:rPr>
          <w:lang w:val="en-GB"/>
        </w:rPr>
        <w:t xml:space="preserve"> in the future</w:t>
      </w:r>
      <w:r>
        <w:rPr>
          <w:lang w:val="en-GB"/>
        </w:rPr>
        <w:t xml:space="preserve"> </w:t>
      </w:r>
      <w:r w:rsidR="00ED0A4A">
        <w:rPr>
          <w:lang w:val="en-GB"/>
        </w:rPr>
        <w:t xml:space="preserve">the tool’s functionality should </w:t>
      </w:r>
      <w:r w:rsidR="003E1005">
        <w:rPr>
          <w:lang w:val="en-GB"/>
        </w:rPr>
        <w:t>be extended</w:t>
      </w:r>
      <w:r w:rsidR="005F09FB">
        <w:rPr>
          <w:lang w:val="en-GB"/>
        </w:rPr>
        <w:t xml:space="preserve"> in order the user to be able and provide</w:t>
      </w:r>
      <w:r w:rsidR="00D35B71">
        <w:rPr>
          <w:lang w:val="en-GB"/>
        </w:rPr>
        <w:t xml:space="preserve"> its own reference data for the training of the ML class.</w:t>
      </w:r>
      <w:r w:rsidR="0004122E">
        <w:rPr>
          <w:lang w:val="en-GB"/>
        </w:rPr>
        <w:t xml:space="preserve"> </w:t>
      </w:r>
      <w:r w:rsidR="00590FB3">
        <w:rPr>
          <w:lang w:val="en-GB"/>
        </w:rPr>
        <w:t xml:space="preserve">Until then, the user </w:t>
      </w:r>
      <w:r w:rsidR="00B63969">
        <w:rPr>
          <w:lang w:val="en-GB"/>
        </w:rPr>
        <w:t>is advised to</w:t>
      </w:r>
      <w:r w:rsidR="00590FB3">
        <w:rPr>
          <w:lang w:val="en-GB"/>
        </w:rPr>
        <w:t xml:space="preserve"> take into consideration </w:t>
      </w:r>
      <w:r w:rsidR="005E1EE2">
        <w:rPr>
          <w:lang w:val="en-GB"/>
        </w:rPr>
        <w:t xml:space="preserve">the OA documented here </w:t>
      </w:r>
      <w:r w:rsidR="00C8083D">
        <w:rPr>
          <w:lang w:val="en-GB"/>
        </w:rPr>
        <w:t>and utilize all the other</w:t>
      </w:r>
      <w:r w:rsidR="003F3256">
        <w:rPr>
          <w:lang w:val="en-GB"/>
        </w:rPr>
        <w:t xml:space="preserve"> options available in the</w:t>
      </w:r>
      <w:r w:rsidR="00C8083D">
        <w:rPr>
          <w:lang w:val="en-GB"/>
        </w:rPr>
        <w:t xml:space="preserve"> Decision </w:t>
      </w:r>
      <w:r w:rsidR="003F3256">
        <w:rPr>
          <w:lang w:val="en-GB"/>
        </w:rPr>
        <w:t xml:space="preserve">Support System of the </w:t>
      </w:r>
      <w:r w:rsidR="003F3256" w:rsidRPr="00944F2E">
        <w:rPr>
          <w:b/>
          <w:i/>
          <w:iCs/>
          <w:color w:val="31479E" w:themeColor="accent1" w:themeShade="BF"/>
        </w:rPr>
        <w:t>MAIL</w:t>
      </w:r>
      <w:r w:rsidR="003F3256">
        <w:rPr>
          <w:lang w:val="en-GB"/>
        </w:rPr>
        <w:t xml:space="preserve"> web application</w:t>
      </w:r>
      <w:r w:rsidR="00C8083D">
        <w:rPr>
          <w:lang w:val="en-GB"/>
        </w:rPr>
        <w:t xml:space="preserve"> </w:t>
      </w:r>
      <w:r w:rsidR="005E1EE2">
        <w:rPr>
          <w:lang w:val="en-GB"/>
        </w:rPr>
        <w:t xml:space="preserve">before </w:t>
      </w:r>
      <w:r w:rsidR="00C8083D">
        <w:rPr>
          <w:lang w:val="en-GB"/>
        </w:rPr>
        <w:t xml:space="preserve">concluding </w:t>
      </w:r>
      <w:r w:rsidR="00B63969">
        <w:rPr>
          <w:lang w:val="en-GB"/>
        </w:rPr>
        <w:t>on the final area on which the afforestation project will take place.</w:t>
      </w:r>
    </w:p>
    <w:p w14:paraId="3C241636" w14:textId="4922E756" w:rsidR="00C25F91" w:rsidRPr="00C60499" w:rsidRDefault="000C506A" w:rsidP="009B3BE6">
      <w:pPr>
        <w:rPr>
          <w:lang w:val="en-GB"/>
        </w:rPr>
      </w:pPr>
      <w:r>
        <w:rPr>
          <w:lang w:val="en-GB"/>
        </w:rPr>
        <w:br w:type="page"/>
      </w:r>
    </w:p>
    <w:p w14:paraId="4F74E198" w14:textId="77777777" w:rsidR="009B3BE6" w:rsidRDefault="009B3BE6" w:rsidP="00C25F91">
      <w:pPr>
        <w:pStyle w:val="Heading1"/>
        <w:numPr>
          <w:ilvl w:val="0"/>
          <w:numId w:val="0"/>
        </w:numPr>
        <w:rPr>
          <w:lang w:val="en-GB"/>
        </w:rPr>
      </w:pPr>
      <w:bookmarkStart w:id="74" w:name="_Toc223361319"/>
      <w:bookmarkStart w:id="75" w:name="_Toc91583678"/>
      <w:r w:rsidRPr="00C60499">
        <w:rPr>
          <w:lang w:val="en-GB"/>
        </w:rPr>
        <w:lastRenderedPageBreak/>
        <w:t>References</w:t>
      </w:r>
      <w:bookmarkEnd w:id="74"/>
      <w:bookmarkEnd w:id="75"/>
    </w:p>
    <w:p w14:paraId="12274B35" w14:textId="6F323E74"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Pr>
          <w:lang w:val="en-GB"/>
        </w:rPr>
        <w:fldChar w:fldCharType="begin" w:fldLock="1"/>
      </w:r>
      <w:r w:rsidRPr="0080583C">
        <w:rPr>
          <w:lang w:val="en-GB"/>
        </w:rPr>
        <w:instrText xml:space="preserve">ADDIN Mendeley Bibliography CSL_BIBLIOGRAPHY </w:instrText>
      </w:r>
      <w:r>
        <w:rPr>
          <w:lang w:val="en-GB"/>
        </w:rPr>
        <w:fldChar w:fldCharType="separate"/>
      </w:r>
      <w:r w:rsidRPr="0080583C">
        <w:rPr>
          <w:rFonts w:cs="Arial"/>
          <w:noProof/>
          <w:szCs w:val="24"/>
        </w:rPr>
        <w:t xml:space="preserve">Al-Nahmi, F., Saddiqi, O., Hilali, A., Rhinane, H., Baidder, L., El Arabi, H., &amp; Khanbari, K. (2017). </w:t>
      </w:r>
      <w:r w:rsidR="00094751" w:rsidRPr="0080583C">
        <w:rPr>
          <w:rFonts w:cs="Arial"/>
          <w:noProof/>
          <w:szCs w:val="24"/>
        </w:rPr>
        <w:t>Application</w:t>
      </w:r>
      <w:r w:rsidRPr="0080583C">
        <w:rPr>
          <w:rFonts w:cs="Arial"/>
          <w:noProof/>
          <w:szCs w:val="24"/>
        </w:rPr>
        <w:t xml:space="preserve"> of </w:t>
      </w:r>
      <w:r w:rsidR="00094751" w:rsidRPr="0080583C">
        <w:rPr>
          <w:rFonts w:cs="Arial"/>
          <w:noProof/>
          <w:szCs w:val="24"/>
        </w:rPr>
        <w:t xml:space="preserve">remote sensing in geological mapping, case study </w:t>
      </w:r>
      <w:r w:rsidR="00094751">
        <w:rPr>
          <w:rFonts w:cs="Arial"/>
          <w:noProof/>
          <w:szCs w:val="24"/>
        </w:rPr>
        <w:t>A</w:t>
      </w:r>
      <w:r w:rsidR="00094751" w:rsidRPr="0080583C">
        <w:rPr>
          <w:rFonts w:cs="Arial"/>
          <w:noProof/>
          <w:szCs w:val="24"/>
        </w:rPr>
        <w:t xml:space="preserve">l </w:t>
      </w:r>
      <w:r w:rsidR="00094751">
        <w:rPr>
          <w:rFonts w:cs="Arial"/>
          <w:noProof/>
          <w:szCs w:val="24"/>
        </w:rPr>
        <w:t>M</w:t>
      </w:r>
      <w:r w:rsidR="00094751" w:rsidRPr="0080583C">
        <w:rPr>
          <w:rFonts w:cs="Arial"/>
          <w:noProof/>
          <w:szCs w:val="24"/>
        </w:rPr>
        <w:t xml:space="preserve">aghrabah area - </w:t>
      </w:r>
      <w:r w:rsidR="00094751">
        <w:rPr>
          <w:rFonts w:cs="Arial"/>
          <w:noProof/>
          <w:szCs w:val="24"/>
        </w:rPr>
        <w:t>H</w:t>
      </w:r>
      <w:r w:rsidR="00094751" w:rsidRPr="0080583C">
        <w:rPr>
          <w:rFonts w:cs="Arial"/>
          <w:noProof/>
          <w:szCs w:val="24"/>
        </w:rPr>
        <w:t xml:space="preserve">ajjah region, </w:t>
      </w:r>
      <w:r w:rsidR="00094751">
        <w:rPr>
          <w:rFonts w:cs="Arial"/>
          <w:noProof/>
          <w:szCs w:val="24"/>
        </w:rPr>
        <w:t>Y</w:t>
      </w:r>
      <w:r w:rsidR="00094751" w:rsidRPr="0080583C">
        <w:rPr>
          <w:rFonts w:cs="Arial"/>
          <w:noProof/>
          <w:szCs w:val="24"/>
        </w:rPr>
        <w:t xml:space="preserve">emen. </w:t>
      </w:r>
      <w:r w:rsidRPr="0080583C">
        <w:rPr>
          <w:rFonts w:cs="Arial"/>
          <w:i/>
          <w:iCs/>
          <w:noProof/>
          <w:szCs w:val="24"/>
        </w:rPr>
        <w:t>ISPRS Annals of the Photogrammetry, Remote Sensing and Spatial Information Sciences</w:t>
      </w:r>
      <w:r w:rsidRPr="0080583C">
        <w:rPr>
          <w:rFonts w:cs="Arial"/>
          <w:noProof/>
          <w:szCs w:val="24"/>
        </w:rPr>
        <w:t xml:space="preserve">, </w:t>
      </w:r>
      <w:r w:rsidRPr="0080583C">
        <w:rPr>
          <w:rFonts w:cs="Arial"/>
          <w:i/>
          <w:iCs/>
          <w:noProof/>
          <w:szCs w:val="24"/>
        </w:rPr>
        <w:t>4</w:t>
      </w:r>
      <w:r w:rsidRPr="0080583C">
        <w:rPr>
          <w:rFonts w:cs="Arial"/>
          <w:noProof/>
          <w:szCs w:val="24"/>
        </w:rPr>
        <w:t>(4W4), 63–71. https://doi.org/10.5194/isprs-annals-IV-4-W4-63-2017</w:t>
      </w:r>
    </w:p>
    <w:p w14:paraId="087CEE13"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Alcantara, C., Kuemmerle, T., Baumann, M., Bragina, E. V., Griffiths, P., Hostert, P., Knorn, J., Müller, D., Prishchepov, A. V., Schierhorn, F., Sieber, A., &amp; Radeloff, V. C. (2013). Mapping the extent of abandoned farmland in Central and Eastern Europe using MODIS time series satellite data. </w:t>
      </w:r>
      <w:r w:rsidRPr="0080583C">
        <w:rPr>
          <w:rFonts w:cs="Arial"/>
          <w:i/>
          <w:iCs/>
          <w:noProof/>
          <w:szCs w:val="24"/>
        </w:rPr>
        <w:t>Environmental Research Letters</w:t>
      </w:r>
      <w:r w:rsidRPr="0080583C">
        <w:rPr>
          <w:rFonts w:cs="Arial"/>
          <w:noProof/>
          <w:szCs w:val="24"/>
        </w:rPr>
        <w:t xml:space="preserve">, </w:t>
      </w:r>
      <w:r w:rsidRPr="0080583C">
        <w:rPr>
          <w:rFonts w:cs="Arial"/>
          <w:i/>
          <w:iCs/>
          <w:noProof/>
          <w:szCs w:val="24"/>
        </w:rPr>
        <w:t>8</w:t>
      </w:r>
      <w:r w:rsidRPr="0080583C">
        <w:rPr>
          <w:rFonts w:cs="Arial"/>
          <w:noProof/>
          <w:szCs w:val="24"/>
        </w:rPr>
        <w:t>(3). https://doi.org/10.1088/1748-9326/8/3/035035</w:t>
      </w:r>
    </w:p>
    <w:p w14:paraId="3BC5FCC2"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As-syakur, A. R., Adnyana, I. W. S., Arthana, I. W., &amp; Nuarsa, I. W. (2012). Enhanced Built-Up and Bareness Index (EBBI) for Mapping Built-Up and Bare Land in an Urban Area. </w:t>
      </w:r>
      <w:r w:rsidRPr="0080583C">
        <w:rPr>
          <w:rFonts w:cs="Arial"/>
          <w:i/>
          <w:iCs/>
          <w:noProof/>
          <w:szCs w:val="24"/>
        </w:rPr>
        <w:t>Remote Sensing</w:t>
      </w:r>
      <w:r w:rsidRPr="0080583C">
        <w:rPr>
          <w:rFonts w:cs="Arial"/>
          <w:noProof/>
          <w:szCs w:val="24"/>
        </w:rPr>
        <w:t xml:space="preserve">, </w:t>
      </w:r>
      <w:r w:rsidRPr="0080583C">
        <w:rPr>
          <w:rFonts w:cs="Arial"/>
          <w:i/>
          <w:iCs/>
          <w:noProof/>
          <w:szCs w:val="24"/>
        </w:rPr>
        <w:t>4</w:t>
      </w:r>
      <w:r w:rsidRPr="0080583C">
        <w:rPr>
          <w:rFonts w:cs="Arial"/>
          <w:noProof/>
          <w:szCs w:val="24"/>
        </w:rPr>
        <w:t>(10), 2957–2970. https://doi.org/10.3390/rs4102957</w:t>
      </w:r>
    </w:p>
    <w:p w14:paraId="357E7E9C"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Bai, Z. G., Dent, D. L., Olsson, L., &amp; Schaepman, M. E. (2008). Global Assessment of Land Degradation and Improvement 1. Identification by remote sensing. In </w:t>
      </w:r>
      <w:r w:rsidRPr="0080583C">
        <w:rPr>
          <w:rFonts w:cs="Arial"/>
          <w:i/>
          <w:iCs/>
          <w:noProof/>
          <w:szCs w:val="24"/>
        </w:rPr>
        <w:t>GLADA Report 5</w:t>
      </w:r>
      <w:r w:rsidRPr="0080583C">
        <w:rPr>
          <w:rFonts w:cs="Arial"/>
          <w:noProof/>
          <w:szCs w:val="24"/>
        </w:rPr>
        <w:t>.</w:t>
      </w:r>
    </w:p>
    <w:p w14:paraId="50CC023C"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Banko, G. (1998). </w:t>
      </w:r>
      <w:r w:rsidRPr="00183828">
        <w:rPr>
          <w:rFonts w:cs="Arial"/>
          <w:i/>
          <w:iCs/>
          <w:noProof/>
          <w:szCs w:val="24"/>
        </w:rPr>
        <w:t>A Review of Assessing the Accuracy of Classifications of Remotely Sensed Data and of Methods Including Remote Sensing Data in Forest Inventory</w:t>
      </w:r>
      <w:r w:rsidRPr="0080583C">
        <w:rPr>
          <w:rFonts w:cs="Arial"/>
          <w:noProof/>
          <w:szCs w:val="24"/>
        </w:rPr>
        <w:t>. IR-98-081.</w:t>
      </w:r>
    </w:p>
    <w:p w14:paraId="3D7E904A"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Biau, G., &amp; Scornet, E. (2016). A random forest guided tour. </w:t>
      </w:r>
      <w:r w:rsidRPr="0080583C">
        <w:rPr>
          <w:rFonts w:cs="Arial"/>
          <w:i/>
          <w:iCs/>
          <w:noProof/>
          <w:szCs w:val="24"/>
        </w:rPr>
        <w:t>Test</w:t>
      </w:r>
      <w:r w:rsidRPr="0080583C">
        <w:rPr>
          <w:rFonts w:cs="Arial"/>
          <w:noProof/>
          <w:szCs w:val="24"/>
        </w:rPr>
        <w:t xml:space="preserve">, </w:t>
      </w:r>
      <w:r w:rsidRPr="0080583C">
        <w:rPr>
          <w:rFonts w:cs="Arial"/>
          <w:i/>
          <w:iCs/>
          <w:noProof/>
          <w:szCs w:val="24"/>
        </w:rPr>
        <w:t>25</w:t>
      </w:r>
      <w:r w:rsidRPr="0080583C">
        <w:rPr>
          <w:rFonts w:cs="Arial"/>
          <w:noProof/>
          <w:szCs w:val="24"/>
        </w:rPr>
        <w:t>(2), 197–227. https://doi.org/10.1007/S11749-016-0481-7/FIGURES/4</w:t>
      </w:r>
    </w:p>
    <w:p w14:paraId="3B722E37"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Box, E. O., Holben, B. N., &amp; Kalb, V. (1989). Accuracy of the AVHRR vegetation index as a predictor of biomass, primary productivity and net CO2 flux. </w:t>
      </w:r>
      <w:r w:rsidRPr="0080583C">
        <w:rPr>
          <w:rFonts w:cs="Arial"/>
          <w:i/>
          <w:iCs/>
          <w:noProof/>
          <w:szCs w:val="24"/>
        </w:rPr>
        <w:t>Vegetatio</w:t>
      </w:r>
      <w:r w:rsidRPr="0080583C">
        <w:rPr>
          <w:rFonts w:cs="Arial"/>
          <w:noProof/>
          <w:szCs w:val="24"/>
        </w:rPr>
        <w:t xml:space="preserve">, </w:t>
      </w:r>
      <w:r w:rsidRPr="0080583C">
        <w:rPr>
          <w:rFonts w:cs="Arial"/>
          <w:i/>
          <w:iCs/>
          <w:noProof/>
          <w:szCs w:val="24"/>
        </w:rPr>
        <w:t>80</w:t>
      </w:r>
      <w:r w:rsidRPr="0080583C">
        <w:rPr>
          <w:rFonts w:cs="Arial"/>
          <w:noProof/>
          <w:szCs w:val="24"/>
        </w:rPr>
        <w:t>(2), 71–89. https://doi.org/10.1007/BF00048034</w:t>
      </w:r>
    </w:p>
    <w:p w14:paraId="2663CAD3"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Breiman, L. (1999). </w:t>
      </w:r>
      <w:r w:rsidRPr="00183828">
        <w:rPr>
          <w:rFonts w:cs="Arial"/>
          <w:i/>
          <w:iCs/>
          <w:noProof/>
          <w:szCs w:val="24"/>
        </w:rPr>
        <w:t>Random Forests-Random Features</w:t>
      </w:r>
      <w:r w:rsidRPr="0080583C">
        <w:rPr>
          <w:rFonts w:cs="Arial"/>
          <w:noProof/>
          <w:szCs w:val="24"/>
        </w:rPr>
        <w:t>.</w:t>
      </w:r>
    </w:p>
    <w:p w14:paraId="5D68C822"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Carlson, B. Z., Corona, M. C., Dentant, C., Bonet, R., Thuiller, W., &amp; Choler, P. (2017). Observed long-term greening of alpine vegetation - A case study in the French Alps. </w:t>
      </w:r>
      <w:r w:rsidRPr="0080583C">
        <w:rPr>
          <w:rFonts w:cs="Arial"/>
          <w:i/>
          <w:iCs/>
          <w:noProof/>
          <w:szCs w:val="24"/>
        </w:rPr>
        <w:t>Environmental Research Letters</w:t>
      </w:r>
      <w:r w:rsidRPr="0080583C">
        <w:rPr>
          <w:rFonts w:cs="Arial"/>
          <w:noProof/>
          <w:szCs w:val="24"/>
        </w:rPr>
        <w:t xml:space="preserve">, </w:t>
      </w:r>
      <w:r w:rsidRPr="0080583C">
        <w:rPr>
          <w:rFonts w:cs="Arial"/>
          <w:i/>
          <w:iCs/>
          <w:noProof/>
          <w:szCs w:val="24"/>
        </w:rPr>
        <w:t>12</w:t>
      </w:r>
      <w:r w:rsidRPr="0080583C">
        <w:rPr>
          <w:rFonts w:cs="Arial"/>
          <w:noProof/>
          <w:szCs w:val="24"/>
        </w:rPr>
        <w:t>(11). https://doi.org/10.1088/1748-9326/aa84bd</w:t>
      </w:r>
    </w:p>
    <w:p w14:paraId="17D2A522"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Ciria, C., Sanz, M., Carrasco, J., &amp; Ciria, P. (2019). Identification of Arable Marginal Lands under Rainfed Conditions for Bioenergy Purposes in Spain. </w:t>
      </w:r>
      <w:r w:rsidRPr="0080583C">
        <w:rPr>
          <w:rFonts w:cs="Arial"/>
          <w:i/>
          <w:iCs/>
          <w:noProof/>
          <w:szCs w:val="24"/>
        </w:rPr>
        <w:t>Sustainability</w:t>
      </w:r>
      <w:r w:rsidRPr="0080583C">
        <w:rPr>
          <w:rFonts w:cs="Arial"/>
          <w:noProof/>
          <w:szCs w:val="24"/>
        </w:rPr>
        <w:t xml:space="preserve">, </w:t>
      </w:r>
      <w:r w:rsidRPr="0080583C">
        <w:rPr>
          <w:rFonts w:cs="Arial"/>
          <w:i/>
          <w:iCs/>
          <w:noProof/>
          <w:szCs w:val="24"/>
        </w:rPr>
        <w:t>11</w:t>
      </w:r>
      <w:r w:rsidRPr="0080583C">
        <w:rPr>
          <w:rFonts w:cs="Arial"/>
          <w:noProof/>
          <w:szCs w:val="24"/>
        </w:rPr>
        <w:t>(7), 1833. https://doi.org/10.3390/su11071833</w:t>
      </w:r>
    </w:p>
    <w:p w14:paraId="0715C898"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lastRenderedPageBreak/>
        <w:t xml:space="preserve">Clinton, N. (2017). EEUS Time Series. </w:t>
      </w:r>
      <w:r w:rsidRPr="0080583C">
        <w:rPr>
          <w:rFonts w:cs="Arial"/>
          <w:i/>
          <w:iCs/>
          <w:noProof/>
          <w:szCs w:val="24"/>
        </w:rPr>
        <w:t>Earth Engine User Summit</w:t>
      </w:r>
      <w:r w:rsidRPr="0080583C">
        <w:rPr>
          <w:rFonts w:cs="Arial"/>
          <w:noProof/>
          <w:szCs w:val="24"/>
        </w:rPr>
        <w:t>.</w:t>
      </w:r>
    </w:p>
    <w:p w14:paraId="69BD2E62"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Cohen, J. (1960). A Coefficient of Agreement for Nominal Scales. </w:t>
      </w:r>
      <w:r w:rsidRPr="0080583C">
        <w:rPr>
          <w:rFonts w:cs="Arial"/>
          <w:i/>
          <w:iCs/>
          <w:noProof/>
          <w:szCs w:val="24"/>
        </w:rPr>
        <w:t>Educational and Psychological Measurement</w:t>
      </w:r>
      <w:r w:rsidRPr="0080583C">
        <w:rPr>
          <w:rFonts w:cs="Arial"/>
          <w:noProof/>
          <w:szCs w:val="24"/>
        </w:rPr>
        <w:t xml:space="preserve">, </w:t>
      </w:r>
      <w:r w:rsidRPr="0080583C">
        <w:rPr>
          <w:rFonts w:cs="Arial"/>
          <w:i/>
          <w:iCs/>
          <w:noProof/>
          <w:szCs w:val="24"/>
        </w:rPr>
        <w:t>20</w:t>
      </w:r>
      <w:r w:rsidRPr="0080583C">
        <w:rPr>
          <w:rFonts w:cs="Arial"/>
          <w:noProof/>
          <w:szCs w:val="24"/>
        </w:rPr>
        <w:t>(1), 37–46. https://doi.org/10.1177/001316446002000104</w:t>
      </w:r>
    </w:p>
    <w:p w14:paraId="19A9442A"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Conejo, G. R., Verde, N., Georgiadis, C., Tassopoulou, M., Krupinski, M., Grommy, E., Aleksandrowicz, S., &amp; Pérez, T. J. (2021). D2.3 | Report on Methodology development. In </w:t>
      </w:r>
      <w:r w:rsidRPr="0080583C">
        <w:rPr>
          <w:rFonts w:cs="Arial"/>
          <w:i/>
          <w:iCs/>
          <w:noProof/>
          <w:szCs w:val="24"/>
        </w:rPr>
        <w:t>MAIL: Identifying Marginal Lands in Europe and strengthening their contribution potentialities in a CO2 sequestration strategy</w:t>
      </w:r>
      <w:r w:rsidRPr="0080583C">
        <w:rPr>
          <w:rFonts w:cs="Arial"/>
          <w:noProof/>
          <w:szCs w:val="24"/>
        </w:rPr>
        <w:t>.</w:t>
      </w:r>
    </w:p>
    <w:p w14:paraId="0DA8BB94"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Congalton, R. G. (1991a). A review of assessing the accuracy of classifications of remotely sensed data. </w:t>
      </w:r>
      <w:r w:rsidRPr="0080583C">
        <w:rPr>
          <w:rFonts w:cs="Arial"/>
          <w:i/>
          <w:iCs/>
          <w:noProof/>
          <w:szCs w:val="24"/>
        </w:rPr>
        <w:t>Remote Sensing of Environment</w:t>
      </w:r>
      <w:r w:rsidRPr="0080583C">
        <w:rPr>
          <w:rFonts w:cs="Arial"/>
          <w:noProof/>
          <w:szCs w:val="24"/>
        </w:rPr>
        <w:t xml:space="preserve">, </w:t>
      </w:r>
      <w:r w:rsidRPr="0080583C">
        <w:rPr>
          <w:rFonts w:cs="Arial"/>
          <w:i/>
          <w:iCs/>
          <w:noProof/>
          <w:szCs w:val="24"/>
        </w:rPr>
        <w:t>37</w:t>
      </w:r>
      <w:r w:rsidRPr="0080583C">
        <w:rPr>
          <w:rFonts w:cs="Arial"/>
          <w:noProof/>
          <w:szCs w:val="24"/>
        </w:rPr>
        <w:t>(1), 35–46.</w:t>
      </w:r>
    </w:p>
    <w:p w14:paraId="1D30D8B6"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Congalton, R. G. (1991b). A review of assessing the accuracy of classifications of remotely sensed data. </w:t>
      </w:r>
      <w:r w:rsidRPr="0080583C">
        <w:rPr>
          <w:rFonts w:cs="Arial"/>
          <w:i/>
          <w:iCs/>
          <w:noProof/>
          <w:szCs w:val="24"/>
        </w:rPr>
        <w:t>Remote Sensing of Environment</w:t>
      </w:r>
      <w:r w:rsidRPr="0080583C">
        <w:rPr>
          <w:rFonts w:cs="Arial"/>
          <w:noProof/>
          <w:szCs w:val="24"/>
        </w:rPr>
        <w:t xml:space="preserve">, </w:t>
      </w:r>
      <w:r w:rsidRPr="0080583C">
        <w:rPr>
          <w:rFonts w:cs="Arial"/>
          <w:i/>
          <w:iCs/>
          <w:noProof/>
          <w:szCs w:val="24"/>
        </w:rPr>
        <w:t>37</w:t>
      </w:r>
      <w:r w:rsidRPr="0080583C">
        <w:rPr>
          <w:rFonts w:cs="Arial"/>
          <w:noProof/>
          <w:szCs w:val="24"/>
        </w:rPr>
        <w:t>(1), 35–46. https://doi.org/10.1016/0034-4257(91)90048-B</w:t>
      </w:r>
    </w:p>
    <w:p w14:paraId="75F67D94"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Dara, A., Baumann, M., Kuemmerle, T., Pflugmacher, D., Rabe, A., Griffiths, P., Hölzel, N., Kamp, J., Freitag, M., &amp; Hostert, P. (2018). Mapping the timing of cropland abandonment and recultivation in northern Kazakhstan using annual Landsat time series. </w:t>
      </w:r>
      <w:r w:rsidRPr="0080583C">
        <w:rPr>
          <w:rFonts w:cs="Arial"/>
          <w:i/>
          <w:iCs/>
          <w:noProof/>
          <w:szCs w:val="24"/>
        </w:rPr>
        <w:t>Remote Sensing of Environment</w:t>
      </w:r>
      <w:r w:rsidRPr="0080583C">
        <w:rPr>
          <w:rFonts w:cs="Arial"/>
          <w:noProof/>
          <w:szCs w:val="24"/>
        </w:rPr>
        <w:t xml:space="preserve">, </w:t>
      </w:r>
      <w:r w:rsidRPr="0080583C">
        <w:rPr>
          <w:rFonts w:cs="Arial"/>
          <w:i/>
          <w:iCs/>
          <w:noProof/>
          <w:szCs w:val="24"/>
        </w:rPr>
        <w:t>213</w:t>
      </w:r>
      <w:r w:rsidRPr="0080583C">
        <w:rPr>
          <w:rFonts w:cs="Arial"/>
          <w:noProof/>
          <w:szCs w:val="24"/>
        </w:rPr>
        <w:t>(May), 49–60. https://doi.org/10.1016/j.rse.2018.05.005</w:t>
      </w:r>
    </w:p>
    <w:p w14:paraId="0C3C9134"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Davis, J. C., &amp; Sampson, R. J. (1986). </w:t>
      </w:r>
      <w:r w:rsidRPr="0080583C">
        <w:rPr>
          <w:rFonts w:cs="Arial"/>
          <w:i/>
          <w:iCs/>
          <w:noProof/>
          <w:szCs w:val="24"/>
        </w:rPr>
        <w:t>Statistics and data analysis in geology</w:t>
      </w:r>
      <w:r w:rsidRPr="0080583C">
        <w:rPr>
          <w:rFonts w:cs="Arial"/>
          <w:noProof/>
          <w:szCs w:val="24"/>
        </w:rPr>
        <w:t xml:space="preserve"> (Vol. 646). Wiley New York.</w:t>
      </w:r>
    </w:p>
    <w:p w14:paraId="0A9B23E1"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ESA. (2020a). </w:t>
      </w:r>
      <w:r w:rsidRPr="0080583C">
        <w:rPr>
          <w:rFonts w:cs="Arial"/>
          <w:i/>
          <w:iCs/>
          <w:noProof/>
          <w:szCs w:val="24"/>
        </w:rPr>
        <w:t xml:space="preserve">Missions - Sentinel-1 </w:t>
      </w:r>
      <w:r w:rsidRPr="0080583C">
        <w:rPr>
          <w:rFonts w:cs="Arial"/>
          <w:noProof/>
          <w:szCs w:val="24"/>
        </w:rPr>
        <w:t>. Sentinel Online. https://sentinel.esa.int/web/sentinel/missions/sentinel-1</w:t>
      </w:r>
    </w:p>
    <w:p w14:paraId="7CBC13C0"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ESA. (2020b). </w:t>
      </w:r>
      <w:r w:rsidRPr="0080583C">
        <w:rPr>
          <w:rFonts w:cs="Arial"/>
          <w:i/>
          <w:iCs/>
          <w:noProof/>
          <w:szCs w:val="24"/>
        </w:rPr>
        <w:t>Missions - Sentinel-2</w:t>
      </w:r>
      <w:r w:rsidRPr="0080583C">
        <w:rPr>
          <w:rFonts w:cs="Arial"/>
          <w:noProof/>
          <w:szCs w:val="24"/>
        </w:rPr>
        <w:t>. Sentinel Online. https://sentinel.esa.int/web/sentinel/missions/sentinel-2</w:t>
      </w:r>
    </w:p>
    <w:p w14:paraId="564EA29C"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Geudtner, D., Torres, R., Snoeij, P., Davidson, M., &amp; Rommen, B. (2014). Sentinel-1 System capabilities and applications. </w:t>
      </w:r>
      <w:r w:rsidRPr="0080583C">
        <w:rPr>
          <w:rFonts w:cs="Arial"/>
          <w:i/>
          <w:iCs/>
          <w:noProof/>
          <w:szCs w:val="24"/>
        </w:rPr>
        <w:t>2014 IEEE Geoscience and Remote Sensing Symposium</w:t>
      </w:r>
      <w:r w:rsidRPr="0080583C">
        <w:rPr>
          <w:rFonts w:cs="Arial"/>
          <w:noProof/>
          <w:szCs w:val="24"/>
        </w:rPr>
        <w:t>, 1457–1460. https://doi.org/10.1109/IGARSS.2014.6946711</w:t>
      </w:r>
    </w:p>
    <w:p w14:paraId="21C1303D"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Google developers. (2021). </w:t>
      </w:r>
      <w:r w:rsidRPr="0080583C">
        <w:rPr>
          <w:rFonts w:cs="Arial"/>
          <w:i/>
          <w:iCs/>
          <w:noProof/>
          <w:szCs w:val="24"/>
        </w:rPr>
        <w:t>Sentinel-1 Algorithms</w:t>
      </w:r>
      <w:r w:rsidRPr="0080583C">
        <w:rPr>
          <w:rFonts w:cs="Arial"/>
          <w:noProof/>
          <w:szCs w:val="24"/>
        </w:rPr>
        <w:t>. Google Earth Engine. https://developers.google.com/earth-engine/guides/sentinel1</w:t>
      </w:r>
    </w:p>
    <w:p w14:paraId="0B64476A"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Gorelick, N., Hancher, M., Dixon, M., Ilyushchenko, S., Thau, D., &amp; Moore, R. (2017). Google Earth Engine: Planetary-scale geospatial analysis for everyone. </w:t>
      </w:r>
      <w:r w:rsidRPr="0080583C">
        <w:rPr>
          <w:rFonts w:cs="Arial"/>
          <w:i/>
          <w:iCs/>
          <w:noProof/>
          <w:szCs w:val="24"/>
        </w:rPr>
        <w:t>Remote Sensing of Environment</w:t>
      </w:r>
      <w:r w:rsidRPr="0080583C">
        <w:rPr>
          <w:rFonts w:cs="Arial"/>
          <w:noProof/>
          <w:szCs w:val="24"/>
        </w:rPr>
        <w:t xml:space="preserve">, </w:t>
      </w:r>
      <w:r w:rsidRPr="0080583C">
        <w:rPr>
          <w:rFonts w:cs="Arial"/>
          <w:i/>
          <w:iCs/>
          <w:noProof/>
          <w:szCs w:val="24"/>
        </w:rPr>
        <w:t>202</w:t>
      </w:r>
      <w:r w:rsidRPr="0080583C">
        <w:rPr>
          <w:rFonts w:cs="Arial"/>
          <w:noProof/>
          <w:szCs w:val="24"/>
        </w:rPr>
        <w:t>, 18–27. https://doi.org/10.1016/j.rse.2017.06.031</w:t>
      </w:r>
    </w:p>
    <w:p w14:paraId="21146A47"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Huang, H., Roy, D. P., Boschetti, L., Zhang, H. K., Yan, L., Kumar, S. S., Gomez-</w:t>
      </w:r>
      <w:r w:rsidRPr="0080583C">
        <w:rPr>
          <w:rFonts w:cs="Arial"/>
          <w:noProof/>
          <w:szCs w:val="24"/>
        </w:rPr>
        <w:lastRenderedPageBreak/>
        <w:t xml:space="preserve">Dans, J., &amp; Li, J. (2016). Separability analysis of Sentinel-2A Multi-Spectral Instrument (MSI) data for burned area discrimination. </w:t>
      </w:r>
      <w:r w:rsidRPr="0080583C">
        <w:rPr>
          <w:rFonts w:cs="Arial"/>
          <w:i/>
          <w:iCs/>
          <w:noProof/>
          <w:szCs w:val="24"/>
        </w:rPr>
        <w:t>Remote Sensing</w:t>
      </w:r>
      <w:r w:rsidRPr="0080583C">
        <w:rPr>
          <w:rFonts w:cs="Arial"/>
          <w:noProof/>
          <w:szCs w:val="24"/>
        </w:rPr>
        <w:t xml:space="preserve">, </w:t>
      </w:r>
      <w:r w:rsidRPr="0080583C">
        <w:rPr>
          <w:rFonts w:cs="Arial"/>
          <w:i/>
          <w:iCs/>
          <w:noProof/>
          <w:szCs w:val="24"/>
        </w:rPr>
        <w:t>8</w:t>
      </w:r>
      <w:r w:rsidRPr="0080583C">
        <w:rPr>
          <w:rFonts w:cs="Arial"/>
          <w:noProof/>
          <w:szCs w:val="24"/>
        </w:rPr>
        <w:t>(10). https://doi.org/10.3390/rs8100873</w:t>
      </w:r>
    </w:p>
    <w:p w14:paraId="273DE52F"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Huete, A., Didan, K., Miura, T., Rodriguez, E. ., Gao, X., &amp; Ferreira, L. . (2002). Overview of the radiometric and biophysical performance of the MODIS vegetation indices. </w:t>
      </w:r>
      <w:r w:rsidRPr="0080583C">
        <w:rPr>
          <w:rFonts w:cs="Arial"/>
          <w:i/>
          <w:iCs/>
          <w:noProof/>
          <w:szCs w:val="24"/>
        </w:rPr>
        <w:t>Remote Sensing of Environment</w:t>
      </w:r>
      <w:r w:rsidRPr="0080583C">
        <w:rPr>
          <w:rFonts w:cs="Arial"/>
          <w:noProof/>
          <w:szCs w:val="24"/>
        </w:rPr>
        <w:t xml:space="preserve">, </w:t>
      </w:r>
      <w:r w:rsidRPr="0080583C">
        <w:rPr>
          <w:rFonts w:cs="Arial"/>
          <w:i/>
          <w:iCs/>
          <w:noProof/>
          <w:szCs w:val="24"/>
        </w:rPr>
        <w:t>83</w:t>
      </w:r>
      <w:r w:rsidRPr="0080583C">
        <w:rPr>
          <w:rFonts w:cs="Arial"/>
          <w:noProof/>
          <w:szCs w:val="24"/>
        </w:rPr>
        <w:t>(1–2), 195–213. https://doi.org/10.1016/S0034-4257(02)00096-2</w:t>
      </w:r>
    </w:p>
    <w:p w14:paraId="0C8E092E"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Huete, A. R. (1988). A soil-adjusted vegetation index (SAVI). </w:t>
      </w:r>
      <w:r w:rsidRPr="0080583C">
        <w:rPr>
          <w:rFonts w:cs="Arial"/>
          <w:i/>
          <w:iCs/>
          <w:noProof/>
          <w:szCs w:val="24"/>
        </w:rPr>
        <w:t>Remote Sensing of Environment</w:t>
      </w:r>
      <w:r w:rsidRPr="0080583C">
        <w:rPr>
          <w:rFonts w:cs="Arial"/>
          <w:noProof/>
          <w:szCs w:val="24"/>
        </w:rPr>
        <w:t xml:space="preserve">, </w:t>
      </w:r>
      <w:r w:rsidRPr="0080583C">
        <w:rPr>
          <w:rFonts w:cs="Arial"/>
          <w:i/>
          <w:iCs/>
          <w:noProof/>
          <w:szCs w:val="24"/>
        </w:rPr>
        <w:t>25</w:t>
      </w:r>
      <w:r w:rsidRPr="0080583C">
        <w:rPr>
          <w:rFonts w:cs="Arial"/>
          <w:noProof/>
          <w:szCs w:val="24"/>
        </w:rPr>
        <w:t>(3), 295–309. https://doi.org/10.1016/0034-4257(88)90106-X</w:t>
      </w:r>
    </w:p>
    <w:p w14:paraId="4002D9AA"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Jakubauskas, M. E., Legates, D. R., &amp; Kastens, J. H. (2002). Crop identification using harmonic analysis of time-series AVHRR NDVI data. </w:t>
      </w:r>
      <w:r w:rsidRPr="0080583C">
        <w:rPr>
          <w:rFonts w:cs="Arial"/>
          <w:i/>
          <w:iCs/>
          <w:noProof/>
          <w:szCs w:val="24"/>
        </w:rPr>
        <w:t>Computers and Electronics in Agriculture</w:t>
      </w:r>
      <w:r w:rsidRPr="0080583C">
        <w:rPr>
          <w:rFonts w:cs="Arial"/>
          <w:noProof/>
          <w:szCs w:val="24"/>
        </w:rPr>
        <w:t xml:space="preserve">, </w:t>
      </w:r>
      <w:r w:rsidRPr="0080583C">
        <w:rPr>
          <w:rFonts w:cs="Arial"/>
          <w:i/>
          <w:iCs/>
          <w:noProof/>
          <w:szCs w:val="24"/>
        </w:rPr>
        <w:t>37</w:t>
      </w:r>
      <w:r w:rsidRPr="0080583C">
        <w:rPr>
          <w:rFonts w:cs="Arial"/>
          <w:noProof/>
          <w:szCs w:val="24"/>
        </w:rPr>
        <w:t>(1–3), 127–139. https://doi.org/10.1016/S0168-1699(02)00116-3</w:t>
      </w:r>
    </w:p>
    <w:p w14:paraId="48653230"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Jensen, J. R. (1996). </w:t>
      </w:r>
      <w:r w:rsidRPr="00183828">
        <w:rPr>
          <w:rFonts w:cs="Arial"/>
          <w:i/>
          <w:iCs/>
          <w:noProof/>
          <w:szCs w:val="24"/>
        </w:rPr>
        <w:t>Introductory digital image processing: a remote sensing perspective.</w:t>
      </w:r>
      <w:r w:rsidRPr="0080583C">
        <w:rPr>
          <w:rFonts w:cs="Arial"/>
          <w:noProof/>
          <w:szCs w:val="24"/>
        </w:rPr>
        <w:t xml:space="preserve"> (Issue Ed. 2). Prentice-Hall Inc.</w:t>
      </w:r>
    </w:p>
    <w:p w14:paraId="6D4336B3"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Kolecka, N. (2021). Greening trends and their relationship with agricultural land abandonment across Poland. </w:t>
      </w:r>
      <w:r w:rsidRPr="0080583C">
        <w:rPr>
          <w:rFonts w:cs="Arial"/>
          <w:i/>
          <w:iCs/>
          <w:noProof/>
          <w:szCs w:val="24"/>
        </w:rPr>
        <w:t>Remote Sensing of Environment</w:t>
      </w:r>
      <w:r w:rsidRPr="0080583C">
        <w:rPr>
          <w:rFonts w:cs="Arial"/>
          <w:noProof/>
          <w:szCs w:val="24"/>
        </w:rPr>
        <w:t xml:space="preserve">, </w:t>
      </w:r>
      <w:r w:rsidRPr="0080583C">
        <w:rPr>
          <w:rFonts w:cs="Arial"/>
          <w:i/>
          <w:iCs/>
          <w:noProof/>
          <w:szCs w:val="24"/>
        </w:rPr>
        <w:t>257</w:t>
      </w:r>
      <w:r w:rsidRPr="0080583C">
        <w:rPr>
          <w:rFonts w:cs="Arial"/>
          <w:noProof/>
          <w:szCs w:val="24"/>
        </w:rPr>
        <w:t>(January), 112340. https://doi.org/10.1016/j.rse.2021.112340</w:t>
      </w:r>
    </w:p>
    <w:p w14:paraId="46965402"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Kruppa, J., Schwarz, A., Arminger, G., &amp; Ziegler, A. (2013). Consumer credit risk: Individual probability estimates using machine learning. </w:t>
      </w:r>
      <w:r w:rsidRPr="0080583C">
        <w:rPr>
          <w:rFonts w:cs="Arial"/>
          <w:i/>
          <w:iCs/>
          <w:noProof/>
          <w:szCs w:val="24"/>
        </w:rPr>
        <w:t>Expert Systems with Applications</w:t>
      </w:r>
      <w:r w:rsidRPr="0080583C">
        <w:rPr>
          <w:rFonts w:cs="Arial"/>
          <w:noProof/>
          <w:szCs w:val="24"/>
        </w:rPr>
        <w:t xml:space="preserve">, </w:t>
      </w:r>
      <w:r w:rsidRPr="0080583C">
        <w:rPr>
          <w:rFonts w:cs="Arial"/>
          <w:i/>
          <w:iCs/>
          <w:noProof/>
          <w:szCs w:val="24"/>
        </w:rPr>
        <w:t>40</w:t>
      </w:r>
      <w:r w:rsidRPr="0080583C">
        <w:rPr>
          <w:rFonts w:cs="Arial"/>
          <w:noProof/>
          <w:szCs w:val="24"/>
        </w:rPr>
        <w:t>(13), 5125–5131. https://doi.org/10.1016/j.eswa.2013.03.019</w:t>
      </w:r>
    </w:p>
    <w:p w14:paraId="1021A89F"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Kuc, G., &amp; Chormański, J. (2019). Sentinel-2 Imagery for Mapping and Monitoring Imperviousness in Urban Areas. </w:t>
      </w:r>
      <w:r w:rsidRPr="0080583C">
        <w:rPr>
          <w:rFonts w:cs="Arial"/>
          <w:i/>
          <w:iCs/>
          <w:noProof/>
          <w:szCs w:val="24"/>
        </w:rPr>
        <w:t>The International Archives of the Photogrammetry, Remote Sensing and Spatial Information Sciences</w:t>
      </w:r>
      <w:r w:rsidRPr="0080583C">
        <w:rPr>
          <w:rFonts w:cs="Arial"/>
          <w:noProof/>
          <w:szCs w:val="24"/>
        </w:rPr>
        <w:t xml:space="preserve">, </w:t>
      </w:r>
      <w:r w:rsidRPr="0080583C">
        <w:rPr>
          <w:rFonts w:cs="Arial"/>
          <w:i/>
          <w:iCs/>
          <w:noProof/>
          <w:szCs w:val="24"/>
        </w:rPr>
        <w:t>XLII</w:t>
      </w:r>
      <w:r w:rsidRPr="0080583C">
        <w:rPr>
          <w:rFonts w:cs="Arial"/>
          <w:noProof/>
          <w:szCs w:val="24"/>
        </w:rPr>
        <w:t>-</w:t>
      </w:r>
      <w:r w:rsidRPr="0080583C">
        <w:rPr>
          <w:rFonts w:cs="Arial"/>
          <w:i/>
          <w:iCs/>
          <w:noProof/>
          <w:szCs w:val="24"/>
        </w:rPr>
        <w:t>1/W2</w:t>
      </w:r>
      <w:r w:rsidRPr="0080583C">
        <w:rPr>
          <w:rFonts w:cs="Arial"/>
          <w:noProof/>
          <w:szCs w:val="24"/>
        </w:rPr>
        <w:t>(Evaluation and Benchmarking Sensors, Systems and Geospatial Data in Photogrammetry and Remote Sensing), 43–47. https://doi.org/10.5194/isprs-archives-XLII-1-W2-43-2019</w:t>
      </w:r>
    </w:p>
    <w:p w14:paraId="764E91B5"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Kuemmerle, T., Hostert, P., Radeloff, V. C., Van Der Linden, S., Perzanowski, K., &amp; Kruhlov, I. (2008). Cross-border comparison of post-socialist farmland abandonment in the Carpathians. </w:t>
      </w:r>
      <w:r w:rsidRPr="0080583C">
        <w:rPr>
          <w:rFonts w:cs="Arial"/>
          <w:i/>
          <w:iCs/>
          <w:noProof/>
          <w:szCs w:val="24"/>
        </w:rPr>
        <w:t>Ecosystems</w:t>
      </w:r>
      <w:r w:rsidRPr="0080583C">
        <w:rPr>
          <w:rFonts w:cs="Arial"/>
          <w:noProof/>
          <w:szCs w:val="24"/>
        </w:rPr>
        <w:t xml:space="preserve">, </w:t>
      </w:r>
      <w:r w:rsidRPr="0080583C">
        <w:rPr>
          <w:rFonts w:cs="Arial"/>
          <w:i/>
          <w:iCs/>
          <w:noProof/>
          <w:szCs w:val="24"/>
        </w:rPr>
        <w:t>11</w:t>
      </w:r>
      <w:r w:rsidRPr="0080583C">
        <w:rPr>
          <w:rFonts w:cs="Arial"/>
          <w:noProof/>
          <w:szCs w:val="24"/>
        </w:rPr>
        <w:t>(4), 614–628. https://doi.org/10.1007/s10021-008-9146-z</w:t>
      </w:r>
    </w:p>
    <w:p w14:paraId="3F38C491"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Lavreniuk, M., Kussul, N., Meretsky, M., Lukin, V., Abramov, S., &amp; Rubel, O. (2017). Impact of SAR data filtering on crop classification accuracy. </w:t>
      </w:r>
      <w:r w:rsidRPr="0080583C">
        <w:rPr>
          <w:rFonts w:cs="Arial"/>
          <w:i/>
          <w:iCs/>
          <w:noProof/>
          <w:szCs w:val="24"/>
        </w:rPr>
        <w:t>2017 IEEE 1st Ukraine Conference on Electrical and Computer Engineering, UKRCON 2017 - Proceedings</w:t>
      </w:r>
      <w:r w:rsidRPr="0080583C">
        <w:rPr>
          <w:rFonts w:cs="Arial"/>
          <w:noProof/>
          <w:szCs w:val="24"/>
        </w:rPr>
        <w:t>, 912–917. https://doi.org/10.1109/UKRCON.2017.8100381</w:t>
      </w:r>
    </w:p>
    <w:p w14:paraId="7FD9B33B"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lastRenderedPageBreak/>
        <w:t xml:space="preserve">Lewis, S., &amp; Kelly, M. (2014). Mapping the Potential for Biofuel Production on Marginal Lands: Differences in Definitions, Data and Models across Scales. </w:t>
      </w:r>
      <w:r w:rsidRPr="0080583C">
        <w:rPr>
          <w:rFonts w:cs="Arial"/>
          <w:i/>
          <w:iCs/>
          <w:noProof/>
          <w:szCs w:val="24"/>
        </w:rPr>
        <w:t>ISPRS International Journal of Geo-Information</w:t>
      </w:r>
      <w:r w:rsidRPr="0080583C">
        <w:rPr>
          <w:rFonts w:cs="Arial"/>
          <w:noProof/>
          <w:szCs w:val="24"/>
        </w:rPr>
        <w:t xml:space="preserve">, </w:t>
      </w:r>
      <w:r w:rsidRPr="0080583C">
        <w:rPr>
          <w:rFonts w:cs="Arial"/>
          <w:i/>
          <w:iCs/>
          <w:noProof/>
          <w:szCs w:val="24"/>
        </w:rPr>
        <w:t>3</w:t>
      </w:r>
      <w:r w:rsidRPr="0080583C">
        <w:rPr>
          <w:rFonts w:cs="Arial"/>
          <w:noProof/>
          <w:szCs w:val="24"/>
        </w:rPr>
        <w:t>(2), 430–459. https://doi.org/10.3390/ijgi3020430</w:t>
      </w:r>
    </w:p>
    <w:p w14:paraId="5DBDE65A"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Liu, Y., Li, Y., Li, S., &amp; Motesharrei, S. (2015). Spatial and temporal patterns of global NDVI trends: Correlations with climate and human factors. </w:t>
      </w:r>
      <w:r w:rsidRPr="0080583C">
        <w:rPr>
          <w:rFonts w:cs="Arial"/>
          <w:i/>
          <w:iCs/>
          <w:noProof/>
          <w:szCs w:val="24"/>
        </w:rPr>
        <w:t>Remote Sensing</w:t>
      </w:r>
      <w:r w:rsidRPr="0080583C">
        <w:rPr>
          <w:rFonts w:cs="Arial"/>
          <w:noProof/>
          <w:szCs w:val="24"/>
        </w:rPr>
        <w:t xml:space="preserve">, </w:t>
      </w:r>
      <w:r w:rsidRPr="0080583C">
        <w:rPr>
          <w:rFonts w:cs="Arial"/>
          <w:i/>
          <w:iCs/>
          <w:noProof/>
          <w:szCs w:val="24"/>
        </w:rPr>
        <w:t>7</w:t>
      </w:r>
      <w:r w:rsidRPr="0080583C">
        <w:rPr>
          <w:rFonts w:cs="Arial"/>
          <w:noProof/>
          <w:szCs w:val="24"/>
        </w:rPr>
        <w:t>(10), 13233–13250. https://doi.org/10.3390/rs71013233</w:t>
      </w:r>
    </w:p>
    <w:p w14:paraId="593AF7B7"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Löw, F., Fliemann, E., Abdullaev, I., Conrad, C., &amp; Lamers, J. P. A. (2015). Mapping abandoned agricultural land in Kyzyl-Orda, Kazakhstan using satellite remote sensing. </w:t>
      </w:r>
      <w:r w:rsidRPr="0080583C">
        <w:rPr>
          <w:rFonts w:cs="Arial"/>
          <w:i/>
          <w:iCs/>
          <w:noProof/>
          <w:szCs w:val="24"/>
        </w:rPr>
        <w:t>Applied Geography</w:t>
      </w:r>
      <w:r w:rsidRPr="0080583C">
        <w:rPr>
          <w:rFonts w:cs="Arial"/>
          <w:noProof/>
          <w:szCs w:val="24"/>
        </w:rPr>
        <w:t xml:space="preserve">, </w:t>
      </w:r>
      <w:r w:rsidRPr="0080583C">
        <w:rPr>
          <w:rFonts w:cs="Arial"/>
          <w:i/>
          <w:iCs/>
          <w:noProof/>
          <w:szCs w:val="24"/>
        </w:rPr>
        <w:t>62</w:t>
      </w:r>
      <w:r w:rsidRPr="0080583C">
        <w:rPr>
          <w:rFonts w:cs="Arial"/>
          <w:noProof/>
          <w:szCs w:val="24"/>
        </w:rPr>
        <w:t>, 377–390. https://doi.org/10.1016/j.apgeog.2015.05.009</w:t>
      </w:r>
    </w:p>
    <w:p w14:paraId="463E0C55"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Malinowski, R., Lewiński, S., Rybicki, M., Gromny, E., Jenerowicz, M., Krupiński, M., Nowakowski, A., Wojtkowski, C., Krupiński, M., &amp; Krätzschmar, E. (2020). Automated Production of a Land Cover/Use Map of Europe Based on Sentinel-2 Imagery. </w:t>
      </w:r>
      <w:r w:rsidRPr="0080583C">
        <w:rPr>
          <w:rFonts w:cs="Arial"/>
          <w:i/>
          <w:iCs/>
          <w:noProof/>
          <w:szCs w:val="24"/>
        </w:rPr>
        <w:t>Remote Sensing</w:t>
      </w:r>
      <w:r w:rsidRPr="0080583C">
        <w:rPr>
          <w:rFonts w:cs="Arial"/>
          <w:noProof/>
          <w:szCs w:val="24"/>
        </w:rPr>
        <w:t xml:space="preserve">, </w:t>
      </w:r>
      <w:r w:rsidRPr="0080583C">
        <w:rPr>
          <w:rFonts w:cs="Arial"/>
          <w:i/>
          <w:iCs/>
          <w:noProof/>
          <w:szCs w:val="24"/>
        </w:rPr>
        <w:t>12</w:t>
      </w:r>
      <w:r w:rsidRPr="0080583C">
        <w:rPr>
          <w:rFonts w:cs="Arial"/>
          <w:noProof/>
          <w:szCs w:val="24"/>
        </w:rPr>
        <w:t>(21), 3523.</w:t>
      </w:r>
    </w:p>
    <w:p w14:paraId="556C0573"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Mitri, G., Nader, M., Abou Dagher, M., &amp; Gebrael, K. (2020). Investigating the performance of sentinel-2A and Landsat 8 imagery in mapping shoreline changes. </w:t>
      </w:r>
      <w:r w:rsidRPr="0080583C">
        <w:rPr>
          <w:rFonts w:cs="Arial"/>
          <w:i/>
          <w:iCs/>
          <w:noProof/>
          <w:szCs w:val="24"/>
        </w:rPr>
        <w:t>Journal of Coastal Conservation</w:t>
      </w:r>
      <w:r w:rsidRPr="0080583C">
        <w:rPr>
          <w:rFonts w:cs="Arial"/>
          <w:noProof/>
          <w:szCs w:val="24"/>
        </w:rPr>
        <w:t xml:space="preserve">, </w:t>
      </w:r>
      <w:r w:rsidRPr="0080583C">
        <w:rPr>
          <w:rFonts w:cs="Arial"/>
          <w:i/>
          <w:iCs/>
          <w:noProof/>
          <w:szCs w:val="24"/>
        </w:rPr>
        <w:t>24</w:t>
      </w:r>
      <w:r w:rsidRPr="0080583C">
        <w:rPr>
          <w:rFonts w:cs="Arial"/>
          <w:noProof/>
          <w:szCs w:val="24"/>
        </w:rPr>
        <w:t>(3). https://doi.org/10.1007/s11852-020-00758-4</w:t>
      </w:r>
    </w:p>
    <w:p w14:paraId="2C19EE30"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Nalepa, R. A., &amp; Bauer, D. M. (2012). Marginal lands: the role of remote sensing in constructing landscapes for agrofuel development. </w:t>
      </w:r>
      <w:r w:rsidRPr="0080583C">
        <w:rPr>
          <w:rFonts w:cs="Arial"/>
          <w:i/>
          <w:iCs/>
          <w:noProof/>
          <w:szCs w:val="24"/>
        </w:rPr>
        <w:t>Journal of Peasant Studies</w:t>
      </w:r>
      <w:r w:rsidRPr="0080583C">
        <w:rPr>
          <w:rFonts w:cs="Arial"/>
          <w:noProof/>
          <w:szCs w:val="24"/>
        </w:rPr>
        <w:t xml:space="preserve">, </w:t>
      </w:r>
      <w:r w:rsidRPr="0080583C">
        <w:rPr>
          <w:rFonts w:cs="Arial"/>
          <w:i/>
          <w:iCs/>
          <w:noProof/>
          <w:szCs w:val="24"/>
        </w:rPr>
        <w:t>39</w:t>
      </w:r>
      <w:r w:rsidRPr="0080583C">
        <w:rPr>
          <w:rFonts w:cs="Arial"/>
          <w:noProof/>
          <w:szCs w:val="24"/>
        </w:rPr>
        <w:t>(2), 403–422. https://doi.org/10.1080/03066150.2012.665890</w:t>
      </w:r>
    </w:p>
    <w:p w14:paraId="79D36001"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Osgouei, P. E., Kaya, S., Sertel, E., &amp; Alganci, U. (2019). Separating Built-Up Areas from Bare Land in Mediterranean Cities Using Sentinel-2A Imagery. </w:t>
      </w:r>
      <w:r w:rsidRPr="0080583C">
        <w:rPr>
          <w:rFonts w:cs="Arial"/>
          <w:i/>
          <w:iCs/>
          <w:noProof/>
          <w:szCs w:val="24"/>
        </w:rPr>
        <w:t>Remote Sensing 2019, Vol. 11, Page 345</w:t>
      </w:r>
      <w:r w:rsidRPr="0080583C">
        <w:rPr>
          <w:rFonts w:cs="Arial"/>
          <w:noProof/>
          <w:szCs w:val="24"/>
        </w:rPr>
        <w:t xml:space="preserve">, </w:t>
      </w:r>
      <w:r w:rsidRPr="0080583C">
        <w:rPr>
          <w:rFonts w:cs="Arial"/>
          <w:i/>
          <w:iCs/>
          <w:noProof/>
          <w:szCs w:val="24"/>
        </w:rPr>
        <w:t>11</w:t>
      </w:r>
      <w:r w:rsidRPr="0080583C">
        <w:rPr>
          <w:rFonts w:cs="Arial"/>
          <w:noProof/>
          <w:szCs w:val="24"/>
        </w:rPr>
        <w:t>(3), 345. https://doi.org/10.3390/RS11030345</w:t>
      </w:r>
    </w:p>
    <w:p w14:paraId="3D170BE3"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Oshiro, T. M., Perez, P. S., &amp; Baranauskas, J. A. (2012). How Many Trees in a Random Forest? </w:t>
      </w:r>
      <w:r w:rsidRPr="0080583C">
        <w:rPr>
          <w:rFonts w:cs="Arial"/>
          <w:i/>
          <w:iCs/>
          <w:noProof/>
          <w:szCs w:val="24"/>
        </w:rPr>
        <w:t>Machine Learning and Data Mining in Pattern Recognition</w:t>
      </w:r>
      <w:r w:rsidRPr="0080583C">
        <w:rPr>
          <w:rFonts w:cs="Arial"/>
          <w:noProof/>
          <w:szCs w:val="24"/>
        </w:rPr>
        <w:t xml:space="preserve">, </w:t>
      </w:r>
      <w:r w:rsidRPr="0080583C">
        <w:rPr>
          <w:rFonts w:cs="Arial"/>
          <w:i/>
          <w:iCs/>
          <w:noProof/>
          <w:szCs w:val="24"/>
        </w:rPr>
        <w:t>7376 LNAI</w:t>
      </w:r>
      <w:r w:rsidRPr="0080583C">
        <w:rPr>
          <w:rFonts w:cs="Arial"/>
          <w:noProof/>
          <w:szCs w:val="24"/>
        </w:rPr>
        <w:t>, 154–168. https://doi.org/10.1007/978-3-642-31537-4_13</w:t>
      </w:r>
    </w:p>
    <w:p w14:paraId="382FD151"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Pal, M. (2007). Random forest classifier for remote sensing classification. </w:t>
      </w:r>
      <w:r w:rsidRPr="0080583C">
        <w:rPr>
          <w:rFonts w:cs="Arial"/>
          <w:i/>
          <w:iCs/>
          <w:noProof/>
          <w:szCs w:val="24"/>
        </w:rPr>
        <w:t>International Journal of Remote Sensing</w:t>
      </w:r>
      <w:r w:rsidRPr="0080583C">
        <w:rPr>
          <w:rFonts w:cs="Arial"/>
          <w:noProof/>
          <w:szCs w:val="24"/>
        </w:rPr>
        <w:t xml:space="preserve">, </w:t>
      </w:r>
      <w:r w:rsidRPr="0080583C">
        <w:rPr>
          <w:rFonts w:cs="Arial"/>
          <w:i/>
          <w:iCs/>
          <w:noProof/>
          <w:szCs w:val="24"/>
        </w:rPr>
        <w:t>26</w:t>
      </w:r>
      <w:r w:rsidRPr="0080583C">
        <w:rPr>
          <w:rFonts w:cs="Arial"/>
          <w:noProof/>
          <w:szCs w:val="24"/>
        </w:rPr>
        <w:t>(1), 217–222. https://doi.org/10.1080/01431160412331269698</w:t>
      </w:r>
    </w:p>
    <w:p w14:paraId="1D7DDFB4"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Peter, B. G., Messina, J. P., &amp; Snapp, S. S. (2018). A Multiscalar Approach to Mapping Marginal Agricultural Land: Smallholder Agriculture in Malawi. </w:t>
      </w:r>
      <w:r w:rsidRPr="0080583C">
        <w:rPr>
          <w:rFonts w:cs="Arial"/>
          <w:i/>
          <w:iCs/>
          <w:noProof/>
          <w:szCs w:val="24"/>
        </w:rPr>
        <w:t>Annals of the American Association of Geographers</w:t>
      </w:r>
      <w:r w:rsidRPr="0080583C">
        <w:rPr>
          <w:rFonts w:cs="Arial"/>
          <w:noProof/>
          <w:szCs w:val="24"/>
        </w:rPr>
        <w:t xml:space="preserve">, </w:t>
      </w:r>
      <w:r w:rsidRPr="0080583C">
        <w:rPr>
          <w:rFonts w:cs="Arial"/>
          <w:i/>
          <w:iCs/>
          <w:noProof/>
          <w:szCs w:val="24"/>
        </w:rPr>
        <w:t>108</w:t>
      </w:r>
      <w:r w:rsidRPr="0080583C">
        <w:rPr>
          <w:rFonts w:cs="Arial"/>
          <w:noProof/>
          <w:szCs w:val="24"/>
        </w:rPr>
        <w:t xml:space="preserve">(4), 989–1005. </w:t>
      </w:r>
      <w:r w:rsidRPr="0080583C">
        <w:rPr>
          <w:rFonts w:cs="Arial"/>
          <w:noProof/>
          <w:szCs w:val="24"/>
        </w:rPr>
        <w:lastRenderedPageBreak/>
        <w:t>https://doi.org/10.1080/24694452.2017.1403877</w:t>
      </w:r>
    </w:p>
    <w:p w14:paraId="00FBB69D"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Peterson, U., &amp; Aunap, R. (1998). Changes in agricultural land use in Estonia in the 1990s detected with multitemporal Landsat MSS imagery. </w:t>
      </w:r>
      <w:r w:rsidRPr="0080583C">
        <w:rPr>
          <w:rFonts w:cs="Arial"/>
          <w:i/>
          <w:iCs/>
          <w:noProof/>
          <w:szCs w:val="24"/>
        </w:rPr>
        <w:t>Landscape and Urban Planning</w:t>
      </w:r>
      <w:r w:rsidRPr="0080583C">
        <w:rPr>
          <w:rFonts w:cs="Arial"/>
          <w:noProof/>
          <w:szCs w:val="24"/>
        </w:rPr>
        <w:t xml:space="preserve">, </w:t>
      </w:r>
      <w:r w:rsidRPr="0080583C">
        <w:rPr>
          <w:rFonts w:cs="Arial"/>
          <w:i/>
          <w:iCs/>
          <w:noProof/>
          <w:szCs w:val="24"/>
        </w:rPr>
        <w:t>41</w:t>
      </w:r>
      <w:r w:rsidRPr="0080583C">
        <w:rPr>
          <w:rFonts w:cs="Arial"/>
          <w:noProof/>
          <w:szCs w:val="24"/>
        </w:rPr>
        <w:t>(3–4), 193–201. https://doi.org/10.1016/S0169-2046(98)00058-9</w:t>
      </w:r>
    </w:p>
    <w:p w14:paraId="53995DAE"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Rayner, J. N. (1971). </w:t>
      </w:r>
      <w:r w:rsidRPr="00183828">
        <w:rPr>
          <w:rFonts w:cs="Arial"/>
          <w:i/>
          <w:iCs/>
          <w:noProof/>
          <w:szCs w:val="24"/>
        </w:rPr>
        <w:t>Introduction to spectral analysis</w:t>
      </w:r>
      <w:r w:rsidRPr="0080583C">
        <w:rPr>
          <w:rFonts w:cs="Arial"/>
          <w:noProof/>
          <w:szCs w:val="24"/>
        </w:rPr>
        <w:t>.</w:t>
      </w:r>
    </w:p>
    <w:p w14:paraId="3DABC257"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Sallustio, L., Pettenella, D., Merlini, P., Romano, R., Salvati, L., Marchetti, M., &amp; Corona, P. (2018). Assessing the economic marginality of agricultural lands in Italy to support land use planning. </w:t>
      </w:r>
      <w:r w:rsidRPr="0080583C">
        <w:rPr>
          <w:rFonts w:cs="Arial"/>
          <w:i/>
          <w:iCs/>
          <w:noProof/>
          <w:szCs w:val="24"/>
        </w:rPr>
        <w:t>Land Use Policy</w:t>
      </w:r>
      <w:r w:rsidRPr="0080583C">
        <w:rPr>
          <w:rFonts w:cs="Arial"/>
          <w:noProof/>
          <w:szCs w:val="24"/>
        </w:rPr>
        <w:t xml:space="preserve">, </w:t>
      </w:r>
      <w:r w:rsidRPr="0080583C">
        <w:rPr>
          <w:rFonts w:cs="Arial"/>
          <w:i/>
          <w:iCs/>
          <w:noProof/>
          <w:szCs w:val="24"/>
        </w:rPr>
        <w:t>76</w:t>
      </w:r>
      <w:r w:rsidRPr="0080583C">
        <w:rPr>
          <w:rFonts w:cs="Arial"/>
          <w:noProof/>
          <w:szCs w:val="24"/>
        </w:rPr>
        <w:t>, 526–534. https://doi.org/10.1016/j.landusepol.2018.02.033</w:t>
      </w:r>
    </w:p>
    <w:p w14:paraId="014B58A7"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Sim, J., &amp; Wright, C. C. (2005). The Kappa Statistic in Reliability Studies: Use, Interpretation, and Sample Size Requirements. </w:t>
      </w:r>
      <w:r w:rsidRPr="0080583C">
        <w:rPr>
          <w:rFonts w:cs="Arial"/>
          <w:i/>
          <w:iCs/>
          <w:noProof/>
          <w:szCs w:val="24"/>
        </w:rPr>
        <w:t>Physical Therapy</w:t>
      </w:r>
      <w:r w:rsidRPr="0080583C">
        <w:rPr>
          <w:rFonts w:cs="Arial"/>
          <w:noProof/>
          <w:szCs w:val="24"/>
        </w:rPr>
        <w:t xml:space="preserve">, </w:t>
      </w:r>
      <w:r w:rsidRPr="0080583C">
        <w:rPr>
          <w:rFonts w:cs="Arial"/>
          <w:i/>
          <w:iCs/>
          <w:noProof/>
          <w:szCs w:val="24"/>
        </w:rPr>
        <w:t>85</w:t>
      </w:r>
      <w:r w:rsidRPr="0080583C">
        <w:rPr>
          <w:rFonts w:cs="Arial"/>
          <w:noProof/>
          <w:szCs w:val="24"/>
        </w:rPr>
        <w:t>(3), 257–268. https://doi.org/10.1093/ptj/85.3.257</w:t>
      </w:r>
    </w:p>
    <w:p w14:paraId="4294B85D"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Tucker, C. J. (1979). Red and photographic infrared linear combinations for monitoring vegetation. </w:t>
      </w:r>
      <w:r w:rsidRPr="0080583C">
        <w:rPr>
          <w:rFonts w:cs="Arial"/>
          <w:i/>
          <w:iCs/>
          <w:noProof/>
          <w:szCs w:val="24"/>
        </w:rPr>
        <w:t>Remote Sensing of Environment</w:t>
      </w:r>
      <w:r w:rsidRPr="0080583C">
        <w:rPr>
          <w:rFonts w:cs="Arial"/>
          <w:noProof/>
          <w:szCs w:val="24"/>
        </w:rPr>
        <w:t xml:space="preserve">, </w:t>
      </w:r>
      <w:r w:rsidRPr="0080583C">
        <w:rPr>
          <w:rFonts w:cs="Arial"/>
          <w:i/>
          <w:iCs/>
          <w:noProof/>
          <w:szCs w:val="24"/>
        </w:rPr>
        <w:t>8</w:t>
      </w:r>
      <w:r w:rsidRPr="0080583C">
        <w:rPr>
          <w:rFonts w:cs="Arial"/>
          <w:noProof/>
          <w:szCs w:val="24"/>
        </w:rPr>
        <w:t>(2), 127–150. https://doi.org/10.1016/0034-4257(79)90013-0</w:t>
      </w:r>
    </w:p>
    <w:p w14:paraId="5E719C61"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Van Deventer, A. P., Ward, A. D., Gowda, P. H., &amp; Lyon, J. G. (1997). Using thematic mapper data to identify contrasting soil plains and tillage practices. </w:t>
      </w:r>
      <w:r w:rsidRPr="0080583C">
        <w:rPr>
          <w:rFonts w:cs="Arial"/>
          <w:i/>
          <w:iCs/>
          <w:noProof/>
          <w:szCs w:val="24"/>
        </w:rPr>
        <w:t>Photogrammetric Engineering and Remote Sensing</w:t>
      </w:r>
      <w:r w:rsidRPr="0080583C">
        <w:rPr>
          <w:rFonts w:cs="Arial"/>
          <w:noProof/>
          <w:szCs w:val="24"/>
        </w:rPr>
        <w:t xml:space="preserve">, </w:t>
      </w:r>
      <w:r w:rsidRPr="0080583C">
        <w:rPr>
          <w:rFonts w:cs="Arial"/>
          <w:i/>
          <w:iCs/>
          <w:noProof/>
          <w:szCs w:val="24"/>
        </w:rPr>
        <w:t>63</w:t>
      </w:r>
      <w:r w:rsidRPr="0080583C">
        <w:rPr>
          <w:rFonts w:cs="Arial"/>
          <w:noProof/>
          <w:szCs w:val="24"/>
        </w:rPr>
        <w:t>, 87–93.</w:t>
      </w:r>
    </w:p>
    <w:p w14:paraId="47891D50"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Yin, H., Prishchepov, A. V., Kuemmerle, T., Bleyhl, B., Buchner, J., &amp; Radeloff, V. C. (2018). Mapping agricultural land abandonment from spatial and temporal segmentation of Landsat time series. </w:t>
      </w:r>
      <w:r w:rsidRPr="0080583C">
        <w:rPr>
          <w:rFonts w:cs="Arial"/>
          <w:i/>
          <w:iCs/>
          <w:noProof/>
          <w:szCs w:val="24"/>
        </w:rPr>
        <w:t>Remote Sensing of Environment</w:t>
      </w:r>
      <w:r w:rsidRPr="0080583C">
        <w:rPr>
          <w:rFonts w:cs="Arial"/>
          <w:noProof/>
          <w:szCs w:val="24"/>
        </w:rPr>
        <w:t xml:space="preserve">, </w:t>
      </w:r>
      <w:r w:rsidRPr="0080583C">
        <w:rPr>
          <w:rFonts w:cs="Arial"/>
          <w:i/>
          <w:iCs/>
          <w:noProof/>
          <w:szCs w:val="24"/>
        </w:rPr>
        <w:t>210</w:t>
      </w:r>
      <w:r w:rsidRPr="0080583C">
        <w:rPr>
          <w:rFonts w:cs="Arial"/>
          <w:noProof/>
          <w:szCs w:val="24"/>
        </w:rPr>
        <w:t>(January), 12–24. https://doi.org/10.1016/j.rse.2018.02.050</w:t>
      </w:r>
    </w:p>
    <w:p w14:paraId="72366B5D"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szCs w:val="24"/>
        </w:rPr>
      </w:pPr>
      <w:r w:rsidRPr="0080583C">
        <w:rPr>
          <w:rFonts w:cs="Arial"/>
          <w:noProof/>
          <w:szCs w:val="24"/>
        </w:rPr>
        <w:t xml:space="preserve">Zha, Y., Gao, J., &amp; Ni, S. (2003). Use of normalized difference built-up index in automatically mapping urban areas from TM imagery. </w:t>
      </w:r>
      <w:r w:rsidRPr="0080583C">
        <w:rPr>
          <w:rFonts w:cs="Arial"/>
          <w:i/>
          <w:iCs/>
          <w:noProof/>
          <w:szCs w:val="24"/>
        </w:rPr>
        <w:t>International Journal of Remote Sensing</w:t>
      </w:r>
      <w:r w:rsidRPr="0080583C">
        <w:rPr>
          <w:rFonts w:cs="Arial"/>
          <w:noProof/>
          <w:szCs w:val="24"/>
        </w:rPr>
        <w:t xml:space="preserve">, </w:t>
      </w:r>
      <w:r w:rsidRPr="0080583C">
        <w:rPr>
          <w:rFonts w:cs="Arial"/>
          <w:i/>
          <w:iCs/>
          <w:noProof/>
          <w:szCs w:val="24"/>
        </w:rPr>
        <w:t>24</w:t>
      </w:r>
      <w:r w:rsidRPr="0080583C">
        <w:rPr>
          <w:rFonts w:cs="Arial"/>
          <w:noProof/>
          <w:szCs w:val="24"/>
        </w:rPr>
        <w:t>(3), 583–594. https://doi.org/10.1080/01431160304987</w:t>
      </w:r>
    </w:p>
    <w:p w14:paraId="2CC1BECE" w14:textId="77777777" w:rsidR="0080583C" w:rsidRPr="0080583C" w:rsidRDefault="0080583C" w:rsidP="00183828">
      <w:pPr>
        <w:pStyle w:val="ListParagraph"/>
        <w:widowControl w:val="0"/>
        <w:numPr>
          <w:ilvl w:val="0"/>
          <w:numId w:val="29"/>
        </w:numPr>
        <w:autoSpaceDE w:val="0"/>
        <w:autoSpaceDN w:val="0"/>
        <w:adjustRightInd w:val="0"/>
        <w:ind w:hanging="450"/>
        <w:rPr>
          <w:rFonts w:cs="Arial"/>
          <w:noProof/>
        </w:rPr>
      </w:pPr>
      <w:r w:rsidRPr="0080583C">
        <w:rPr>
          <w:rFonts w:cs="Arial"/>
          <w:noProof/>
          <w:szCs w:val="24"/>
        </w:rPr>
        <w:t xml:space="preserve">Zollini, S., Alicandro, M., Cuevas-González, M., Baiocchi, V., Dominici, D., &amp; Buscema, P. M. (2019). Shoreline Extraction Based on an Active Connection Matrix (ACM) Image Enhancement Strategy. </w:t>
      </w:r>
      <w:r w:rsidRPr="0080583C">
        <w:rPr>
          <w:rFonts w:cs="Arial"/>
          <w:i/>
          <w:iCs/>
          <w:noProof/>
          <w:szCs w:val="24"/>
        </w:rPr>
        <w:t>Journal of Marine Science and Engineering</w:t>
      </w:r>
      <w:r w:rsidRPr="0080583C">
        <w:rPr>
          <w:rFonts w:cs="Arial"/>
          <w:noProof/>
          <w:szCs w:val="24"/>
        </w:rPr>
        <w:t xml:space="preserve">, </w:t>
      </w:r>
      <w:r w:rsidRPr="0080583C">
        <w:rPr>
          <w:rFonts w:cs="Arial"/>
          <w:i/>
          <w:iCs/>
          <w:noProof/>
          <w:szCs w:val="24"/>
        </w:rPr>
        <w:t>8</w:t>
      </w:r>
      <w:r w:rsidRPr="0080583C">
        <w:rPr>
          <w:rFonts w:cs="Arial"/>
          <w:noProof/>
          <w:szCs w:val="24"/>
        </w:rPr>
        <w:t>(1), 9. https://doi.org/10.3390/jmse8010009</w:t>
      </w:r>
    </w:p>
    <w:p w14:paraId="0274FCA1" w14:textId="0025C9EE" w:rsidR="000C506A" w:rsidRDefault="0080583C" w:rsidP="0080583C">
      <w:pPr>
        <w:rPr>
          <w:lang w:val="en-GB"/>
        </w:rPr>
      </w:pPr>
      <w:r>
        <w:rPr>
          <w:lang w:val="en-GB"/>
        </w:rPr>
        <w:fldChar w:fldCharType="end"/>
      </w:r>
      <w:r w:rsidR="000C506A">
        <w:rPr>
          <w:lang w:val="en-GB"/>
        </w:rPr>
        <w:br w:type="page"/>
      </w:r>
    </w:p>
    <w:p w14:paraId="3BDDE7A6" w14:textId="77777777" w:rsidR="009B3BE6" w:rsidRPr="00C60499" w:rsidRDefault="009B3BE6" w:rsidP="00183828">
      <w:pPr>
        <w:pStyle w:val="Heading1"/>
        <w:numPr>
          <w:ilvl w:val="0"/>
          <w:numId w:val="0"/>
        </w:numPr>
        <w:jc w:val="left"/>
        <w:rPr>
          <w:lang w:val="en-GB"/>
        </w:rPr>
      </w:pPr>
      <w:bookmarkStart w:id="76" w:name="_Toc223361321"/>
      <w:bookmarkStart w:id="77" w:name="_Toc91583679"/>
      <w:r w:rsidRPr="00C60499">
        <w:rPr>
          <w:lang w:val="en-GB"/>
        </w:rPr>
        <w:lastRenderedPageBreak/>
        <w:t>Annex II: Table of figures</w:t>
      </w:r>
      <w:bookmarkEnd w:id="76"/>
      <w:bookmarkEnd w:id="77"/>
    </w:p>
    <w:p w14:paraId="275A23B1" w14:textId="234DF04B" w:rsidR="002A71FB" w:rsidRDefault="00121AB0">
      <w:pPr>
        <w:pStyle w:val="TableofFigures"/>
        <w:tabs>
          <w:tab w:val="right" w:leader="dot" w:pos="8495"/>
        </w:tabs>
        <w:rPr>
          <w:rFonts w:asciiTheme="minorHAnsi" w:eastAsiaTheme="minorEastAsia" w:hAnsiTheme="minorHAnsi" w:cstheme="minorBidi"/>
          <w:noProof/>
          <w:lang w:val="el-GR" w:eastAsia="el-GR"/>
        </w:rPr>
      </w:pPr>
      <w:r w:rsidRPr="00C60499">
        <w:fldChar w:fldCharType="begin"/>
      </w:r>
      <w:r w:rsidR="009B3BE6" w:rsidRPr="00C60499">
        <w:instrText xml:space="preserve"> TOC \h \z \c "Figure" </w:instrText>
      </w:r>
      <w:r w:rsidRPr="00C60499">
        <w:fldChar w:fldCharType="separate"/>
      </w:r>
      <w:hyperlink w:anchor="_Toc91583681" w:history="1">
        <w:r w:rsidR="002A71FB" w:rsidRPr="00D06591">
          <w:rPr>
            <w:rStyle w:val="Hyperlink"/>
            <w:noProof/>
          </w:rPr>
          <w:t>Figure 1. Harmonic model (Clinton, 2017)</w:t>
        </w:r>
        <w:r w:rsidR="002A71FB">
          <w:rPr>
            <w:noProof/>
            <w:webHidden/>
          </w:rPr>
          <w:tab/>
        </w:r>
        <w:r w:rsidR="002A71FB">
          <w:rPr>
            <w:noProof/>
            <w:webHidden/>
          </w:rPr>
          <w:fldChar w:fldCharType="begin"/>
        </w:r>
        <w:r w:rsidR="002A71FB">
          <w:rPr>
            <w:noProof/>
            <w:webHidden/>
          </w:rPr>
          <w:instrText xml:space="preserve"> PAGEREF _Toc91583681 \h </w:instrText>
        </w:r>
        <w:r w:rsidR="002A71FB">
          <w:rPr>
            <w:noProof/>
            <w:webHidden/>
          </w:rPr>
        </w:r>
        <w:r w:rsidR="002A71FB">
          <w:rPr>
            <w:noProof/>
            <w:webHidden/>
          </w:rPr>
          <w:fldChar w:fldCharType="separate"/>
        </w:r>
        <w:r w:rsidR="00D4790B">
          <w:rPr>
            <w:noProof/>
            <w:webHidden/>
          </w:rPr>
          <w:t>16</w:t>
        </w:r>
        <w:r w:rsidR="002A71FB">
          <w:rPr>
            <w:noProof/>
            <w:webHidden/>
          </w:rPr>
          <w:fldChar w:fldCharType="end"/>
        </w:r>
      </w:hyperlink>
    </w:p>
    <w:p w14:paraId="4818054F" w14:textId="559C6B31" w:rsidR="002A71FB" w:rsidRDefault="002A71FB">
      <w:pPr>
        <w:pStyle w:val="TableofFigures"/>
        <w:tabs>
          <w:tab w:val="right" w:leader="dot" w:pos="8495"/>
        </w:tabs>
        <w:rPr>
          <w:rFonts w:asciiTheme="minorHAnsi" w:eastAsiaTheme="minorEastAsia" w:hAnsiTheme="minorHAnsi" w:cstheme="minorBidi"/>
          <w:noProof/>
          <w:lang w:val="el-GR" w:eastAsia="el-GR"/>
        </w:rPr>
      </w:pPr>
      <w:hyperlink w:anchor="_Toc91583682" w:history="1">
        <w:r w:rsidRPr="00D06591">
          <w:rPr>
            <w:rStyle w:val="Hyperlink"/>
            <w:noProof/>
          </w:rPr>
          <w:t>Figure 2. Pan-European Basemap training image workflow. Source: personal compilation of Georgios Spanos.</w:t>
        </w:r>
        <w:r>
          <w:rPr>
            <w:noProof/>
            <w:webHidden/>
          </w:rPr>
          <w:tab/>
        </w:r>
        <w:r>
          <w:rPr>
            <w:noProof/>
            <w:webHidden/>
          </w:rPr>
          <w:fldChar w:fldCharType="begin"/>
        </w:r>
        <w:r>
          <w:rPr>
            <w:noProof/>
            <w:webHidden/>
          </w:rPr>
          <w:instrText xml:space="preserve"> PAGEREF _Toc91583682 \h </w:instrText>
        </w:r>
        <w:r>
          <w:rPr>
            <w:noProof/>
            <w:webHidden/>
          </w:rPr>
        </w:r>
        <w:r>
          <w:rPr>
            <w:noProof/>
            <w:webHidden/>
          </w:rPr>
          <w:fldChar w:fldCharType="separate"/>
        </w:r>
        <w:r w:rsidR="00D4790B">
          <w:rPr>
            <w:noProof/>
            <w:webHidden/>
          </w:rPr>
          <w:t>21</w:t>
        </w:r>
        <w:r>
          <w:rPr>
            <w:noProof/>
            <w:webHidden/>
          </w:rPr>
          <w:fldChar w:fldCharType="end"/>
        </w:r>
      </w:hyperlink>
    </w:p>
    <w:p w14:paraId="5C907087" w14:textId="7C6A3686" w:rsidR="002A71FB" w:rsidRDefault="002A71FB">
      <w:pPr>
        <w:pStyle w:val="TableofFigures"/>
        <w:tabs>
          <w:tab w:val="right" w:leader="dot" w:pos="8495"/>
        </w:tabs>
        <w:rPr>
          <w:rFonts w:asciiTheme="minorHAnsi" w:eastAsiaTheme="minorEastAsia" w:hAnsiTheme="minorHAnsi" w:cstheme="minorBidi"/>
          <w:noProof/>
          <w:lang w:val="el-GR" w:eastAsia="el-GR"/>
        </w:rPr>
      </w:pPr>
      <w:hyperlink w:anchor="_Toc91583683" w:history="1">
        <w:r w:rsidRPr="00D06591">
          <w:rPr>
            <w:rStyle w:val="Hyperlink"/>
            <w:noProof/>
          </w:rPr>
          <w:t>Figure 3. MLs Classification algorithm workflow. Source: personal compilation of Georgios Spanos.</w:t>
        </w:r>
        <w:r>
          <w:rPr>
            <w:noProof/>
            <w:webHidden/>
          </w:rPr>
          <w:tab/>
        </w:r>
        <w:r>
          <w:rPr>
            <w:noProof/>
            <w:webHidden/>
          </w:rPr>
          <w:fldChar w:fldCharType="begin"/>
        </w:r>
        <w:r>
          <w:rPr>
            <w:noProof/>
            <w:webHidden/>
          </w:rPr>
          <w:instrText xml:space="preserve"> PAGEREF _Toc91583683 \h </w:instrText>
        </w:r>
        <w:r>
          <w:rPr>
            <w:noProof/>
            <w:webHidden/>
          </w:rPr>
        </w:r>
        <w:r>
          <w:rPr>
            <w:noProof/>
            <w:webHidden/>
          </w:rPr>
          <w:fldChar w:fldCharType="separate"/>
        </w:r>
        <w:r w:rsidR="00D4790B">
          <w:rPr>
            <w:noProof/>
            <w:webHidden/>
          </w:rPr>
          <w:t>23</w:t>
        </w:r>
        <w:r>
          <w:rPr>
            <w:noProof/>
            <w:webHidden/>
          </w:rPr>
          <w:fldChar w:fldCharType="end"/>
        </w:r>
      </w:hyperlink>
    </w:p>
    <w:p w14:paraId="2C39DA2A" w14:textId="43984C66" w:rsidR="002A71FB" w:rsidRDefault="002A71FB">
      <w:pPr>
        <w:pStyle w:val="TableofFigures"/>
        <w:tabs>
          <w:tab w:val="right" w:leader="dot" w:pos="8495"/>
        </w:tabs>
        <w:rPr>
          <w:rFonts w:asciiTheme="minorHAnsi" w:eastAsiaTheme="minorEastAsia" w:hAnsiTheme="minorHAnsi" w:cstheme="minorBidi"/>
          <w:noProof/>
          <w:lang w:val="el-GR" w:eastAsia="el-GR"/>
        </w:rPr>
      </w:pPr>
      <w:hyperlink w:anchor="_Toc91583684" w:history="1">
        <w:r w:rsidRPr="00D06591">
          <w:rPr>
            <w:rStyle w:val="Hyperlink"/>
            <w:noProof/>
          </w:rPr>
          <w:t>Figure 4. Accuracy Assessment methodology workflow. Source: personal compilation of Georgios Spanos.</w:t>
        </w:r>
        <w:r>
          <w:rPr>
            <w:noProof/>
            <w:webHidden/>
          </w:rPr>
          <w:tab/>
        </w:r>
        <w:r>
          <w:rPr>
            <w:noProof/>
            <w:webHidden/>
          </w:rPr>
          <w:fldChar w:fldCharType="begin"/>
        </w:r>
        <w:r>
          <w:rPr>
            <w:noProof/>
            <w:webHidden/>
          </w:rPr>
          <w:instrText xml:space="preserve"> PAGEREF _Toc91583684 \h </w:instrText>
        </w:r>
        <w:r>
          <w:rPr>
            <w:noProof/>
            <w:webHidden/>
          </w:rPr>
        </w:r>
        <w:r>
          <w:rPr>
            <w:noProof/>
            <w:webHidden/>
          </w:rPr>
          <w:fldChar w:fldCharType="separate"/>
        </w:r>
        <w:r w:rsidR="00D4790B">
          <w:rPr>
            <w:noProof/>
            <w:webHidden/>
          </w:rPr>
          <w:t>25</w:t>
        </w:r>
        <w:r>
          <w:rPr>
            <w:noProof/>
            <w:webHidden/>
          </w:rPr>
          <w:fldChar w:fldCharType="end"/>
        </w:r>
      </w:hyperlink>
    </w:p>
    <w:p w14:paraId="42733F0C" w14:textId="582048FE" w:rsidR="002A71FB" w:rsidRDefault="002A71FB">
      <w:pPr>
        <w:pStyle w:val="TableofFigures"/>
        <w:tabs>
          <w:tab w:val="right" w:leader="dot" w:pos="8495"/>
        </w:tabs>
        <w:rPr>
          <w:rFonts w:asciiTheme="minorHAnsi" w:eastAsiaTheme="minorEastAsia" w:hAnsiTheme="minorHAnsi" w:cstheme="minorBidi"/>
          <w:noProof/>
          <w:lang w:val="el-GR" w:eastAsia="el-GR"/>
        </w:rPr>
      </w:pPr>
      <w:hyperlink w:anchor="_Toc91583685" w:history="1">
        <w:r w:rsidRPr="00D06591">
          <w:rPr>
            <w:rStyle w:val="Hyperlink"/>
            <w:noProof/>
          </w:rPr>
          <w:t>Figure 5. Location of example area</w:t>
        </w:r>
        <w:r>
          <w:rPr>
            <w:noProof/>
            <w:webHidden/>
          </w:rPr>
          <w:tab/>
        </w:r>
        <w:r>
          <w:rPr>
            <w:noProof/>
            <w:webHidden/>
          </w:rPr>
          <w:fldChar w:fldCharType="begin"/>
        </w:r>
        <w:r>
          <w:rPr>
            <w:noProof/>
            <w:webHidden/>
          </w:rPr>
          <w:instrText xml:space="preserve"> PAGEREF _Toc91583685 \h </w:instrText>
        </w:r>
        <w:r>
          <w:rPr>
            <w:noProof/>
            <w:webHidden/>
          </w:rPr>
        </w:r>
        <w:r>
          <w:rPr>
            <w:noProof/>
            <w:webHidden/>
          </w:rPr>
          <w:fldChar w:fldCharType="separate"/>
        </w:r>
        <w:r w:rsidR="00D4790B">
          <w:rPr>
            <w:noProof/>
            <w:webHidden/>
          </w:rPr>
          <w:t>28</w:t>
        </w:r>
        <w:r>
          <w:rPr>
            <w:noProof/>
            <w:webHidden/>
          </w:rPr>
          <w:fldChar w:fldCharType="end"/>
        </w:r>
      </w:hyperlink>
    </w:p>
    <w:p w14:paraId="5A467544" w14:textId="4A598DDF" w:rsidR="002A71FB" w:rsidRDefault="002A71FB">
      <w:pPr>
        <w:pStyle w:val="TableofFigures"/>
        <w:tabs>
          <w:tab w:val="right" w:leader="dot" w:pos="8495"/>
        </w:tabs>
        <w:rPr>
          <w:rFonts w:asciiTheme="minorHAnsi" w:eastAsiaTheme="minorEastAsia" w:hAnsiTheme="minorHAnsi" w:cstheme="minorBidi"/>
          <w:noProof/>
          <w:lang w:val="el-GR" w:eastAsia="el-GR"/>
        </w:rPr>
      </w:pPr>
      <w:hyperlink w:anchor="_Toc91583686" w:history="1">
        <w:r w:rsidRPr="00D06591">
          <w:rPr>
            <w:rStyle w:val="Hyperlink"/>
            <w:noProof/>
          </w:rPr>
          <w:t>Figure 6. Output of enhanced classification algorithm</w:t>
        </w:r>
        <w:r>
          <w:rPr>
            <w:noProof/>
            <w:webHidden/>
          </w:rPr>
          <w:tab/>
        </w:r>
        <w:r>
          <w:rPr>
            <w:noProof/>
            <w:webHidden/>
          </w:rPr>
          <w:fldChar w:fldCharType="begin"/>
        </w:r>
        <w:r>
          <w:rPr>
            <w:noProof/>
            <w:webHidden/>
          </w:rPr>
          <w:instrText xml:space="preserve"> PAGEREF _Toc91583686 \h </w:instrText>
        </w:r>
        <w:r>
          <w:rPr>
            <w:noProof/>
            <w:webHidden/>
          </w:rPr>
        </w:r>
        <w:r>
          <w:rPr>
            <w:noProof/>
            <w:webHidden/>
          </w:rPr>
          <w:fldChar w:fldCharType="separate"/>
        </w:r>
        <w:r w:rsidR="00D4790B">
          <w:rPr>
            <w:noProof/>
            <w:webHidden/>
          </w:rPr>
          <w:t>28</w:t>
        </w:r>
        <w:r>
          <w:rPr>
            <w:noProof/>
            <w:webHidden/>
          </w:rPr>
          <w:fldChar w:fldCharType="end"/>
        </w:r>
      </w:hyperlink>
    </w:p>
    <w:p w14:paraId="5C0D9D99" w14:textId="07E7981B" w:rsidR="002A71FB" w:rsidRDefault="002A71FB">
      <w:pPr>
        <w:pStyle w:val="TableofFigures"/>
        <w:tabs>
          <w:tab w:val="right" w:leader="dot" w:pos="8495"/>
        </w:tabs>
        <w:rPr>
          <w:rFonts w:asciiTheme="minorHAnsi" w:eastAsiaTheme="minorEastAsia" w:hAnsiTheme="minorHAnsi" w:cstheme="minorBidi"/>
          <w:noProof/>
          <w:lang w:val="el-GR" w:eastAsia="el-GR"/>
        </w:rPr>
      </w:pPr>
      <w:hyperlink w:anchor="_Toc91583687" w:history="1">
        <w:r w:rsidRPr="00D06591">
          <w:rPr>
            <w:rStyle w:val="Hyperlink"/>
            <w:noProof/>
          </w:rPr>
          <w:t>Figure 7. Comparison of ML class based on (a) Task 2.3 (black), and (b) Task 2.8 (red) and (c) 2.8 overlaid on 2.3</w:t>
        </w:r>
        <w:r>
          <w:rPr>
            <w:noProof/>
            <w:webHidden/>
          </w:rPr>
          <w:tab/>
        </w:r>
        <w:r>
          <w:rPr>
            <w:noProof/>
            <w:webHidden/>
          </w:rPr>
          <w:fldChar w:fldCharType="begin"/>
        </w:r>
        <w:r>
          <w:rPr>
            <w:noProof/>
            <w:webHidden/>
          </w:rPr>
          <w:instrText xml:space="preserve"> PAGEREF _Toc91583687 \h </w:instrText>
        </w:r>
        <w:r>
          <w:rPr>
            <w:noProof/>
            <w:webHidden/>
          </w:rPr>
        </w:r>
        <w:r>
          <w:rPr>
            <w:noProof/>
            <w:webHidden/>
          </w:rPr>
          <w:fldChar w:fldCharType="separate"/>
        </w:r>
        <w:r w:rsidR="00D4790B">
          <w:rPr>
            <w:noProof/>
            <w:webHidden/>
          </w:rPr>
          <w:t>29</w:t>
        </w:r>
        <w:r>
          <w:rPr>
            <w:noProof/>
            <w:webHidden/>
          </w:rPr>
          <w:fldChar w:fldCharType="end"/>
        </w:r>
      </w:hyperlink>
    </w:p>
    <w:p w14:paraId="1163E601" w14:textId="055BD446" w:rsidR="002A71FB" w:rsidRDefault="002A71FB">
      <w:pPr>
        <w:pStyle w:val="TableofFigures"/>
        <w:tabs>
          <w:tab w:val="right" w:leader="dot" w:pos="8495"/>
        </w:tabs>
        <w:rPr>
          <w:rFonts w:asciiTheme="minorHAnsi" w:eastAsiaTheme="minorEastAsia" w:hAnsiTheme="minorHAnsi" w:cstheme="minorBidi"/>
          <w:noProof/>
          <w:lang w:val="el-GR" w:eastAsia="el-GR"/>
        </w:rPr>
      </w:pPr>
      <w:hyperlink w:anchor="_Toc91583688" w:history="1">
        <w:r w:rsidRPr="00D06591">
          <w:rPr>
            <w:rStyle w:val="Hyperlink"/>
            <w:noProof/>
          </w:rPr>
          <w:t>Figure 8. ML class in example area (a) General methodology, (b) Case study methodology</w:t>
        </w:r>
        <w:r>
          <w:rPr>
            <w:noProof/>
            <w:webHidden/>
          </w:rPr>
          <w:tab/>
        </w:r>
        <w:r>
          <w:rPr>
            <w:noProof/>
            <w:webHidden/>
          </w:rPr>
          <w:fldChar w:fldCharType="begin"/>
        </w:r>
        <w:r>
          <w:rPr>
            <w:noProof/>
            <w:webHidden/>
          </w:rPr>
          <w:instrText xml:space="preserve"> PAGEREF _Toc91583688 \h </w:instrText>
        </w:r>
        <w:r>
          <w:rPr>
            <w:noProof/>
            <w:webHidden/>
          </w:rPr>
        </w:r>
        <w:r>
          <w:rPr>
            <w:noProof/>
            <w:webHidden/>
          </w:rPr>
          <w:fldChar w:fldCharType="separate"/>
        </w:r>
        <w:r w:rsidR="00D4790B">
          <w:rPr>
            <w:noProof/>
            <w:webHidden/>
          </w:rPr>
          <w:t>32</w:t>
        </w:r>
        <w:r>
          <w:rPr>
            <w:noProof/>
            <w:webHidden/>
          </w:rPr>
          <w:fldChar w:fldCharType="end"/>
        </w:r>
      </w:hyperlink>
    </w:p>
    <w:p w14:paraId="31DD66E0" w14:textId="407B6BA9" w:rsidR="009B3BE6" w:rsidRPr="00C60499" w:rsidRDefault="00121AB0" w:rsidP="00183828">
      <w:pPr>
        <w:jc w:val="left"/>
        <w:rPr>
          <w:lang w:val="en-GB"/>
        </w:rPr>
      </w:pPr>
      <w:r w:rsidRPr="00C60499">
        <w:rPr>
          <w:lang w:val="en-GB"/>
        </w:rPr>
        <w:fldChar w:fldCharType="end"/>
      </w:r>
    </w:p>
    <w:p w14:paraId="15C067FC" w14:textId="77777777" w:rsidR="006D1E47" w:rsidRDefault="006D1E47" w:rsidP="006D1E47">
      <w:pPr>
        <w:pStyle w:val="Heading1"/>
        <w:numPr>
          <w:ilvl w:val="0"/>
          <w:numId w:val="0"/>
        </w:numPr>
      </w:pPr>
      <w:bookmarkStart w:id="78" w:name="_Toc382650074"/>
      <w:bookmarkStart w:id="79" w:name="_Toc91583680"/>
      <w:r>
        <w:t>Annex III: List of Tables</w:t>
      </w:r>
      <w:bookmarkEnd w:id="78"/>
      <w:bookmarkEnd w:id="79"/>
    </w:p>
    <w:p w14:paraId="2E700775" w14:textId="0DE9B605" w:rsidR="002A71FB" w:rsidRDefault="005D744F">
      <w:pPr>
        <w:pStyle w:val="TableofFigures"/>
        <w:tabs>
          <w:tab w:val="right" w:leader="dot" w:pos="8495"/>
        </w:tabs>
        <w:rPr>
          <w:rFonts w:asciiTheme="minorHAnsi" w:eastAsiaTheme="minorEastAsia" w:hAnsiTheme="minorHAnsi" w:cstheme="minorBidi"/>
          <w:noProof/>
          <w:lang w:val="el-GR" w:eastAsia="el-GR"/>
        </w:rPr>
      </w:pPr>
      <w:r>
        <w:rPr>
          <w:noProof/>
        </w:rPr>
        <w:fldChar w:fldCharType="begin"/>
      </w:r>
      <w:r>
        <w:rPr>
          <w:noProof/>
        </w:rPr>
        <w:instrText xml:space="preserve"> TOC \h \z \c "Table" </w:instrText>
      </w:r>
      <w:r>
        <w:rPr>
          <w:noProof/>
        </w:rPr>
        <w:fldChar w:fldCharType="separate"/>
      </w:r>
      <w:hyperlink w:anchor="_Toc91583689" w:history="1">
        <w:r w:rsidR="002A71FB" w:rsidRPr="00262DFB">
          <w:rPr>
            <w:rStyle w:val="Hyperlink"/>
            <w:noProof/>
          </w:rPr>
          <w:t>Table 1. The summary of literature review about marginal lands detection using satellite imagery.</w:t>
        </w:r>
        <w:r w:rsidR="002A71FB">
          <w:rPr>
            <w:noProof/>
            <w:webHidden/>
          </w:rPr>
          <w:tab/>
        </w:r>
        <w:r w:rsidR="002A71FB">
          <w:rPr>
            <w:noProof/>
            <w:webHidden/>
          </w:rPr>
          <w:fldChar w:fldCharType="begin"/>
        </w:r>
        <w:r w:rsidR="002A71FB">
          <w:rPr>
            <w:noProof/>
            <w:webHidden/>
          </w:rPr>
          <w:instrText xml:space="preserve"> PAGEREF _Toc91583689 \h </w:instrText>
        </w:r>
        <w:r w:rsidR="002A71FB">
          <w:rPr>
            <w:noProof/>
            <w:webHidden/>
          </w:rPr>
        </w:r>
        <w:r w:rsidR="002A71FB">
          <w:rPr>
            <w:noProof/>
            <w:webHidden/>
          </w:rPr>
          <w:fldChar w:fldCharType="separate"/>
        </w:r>
        <w:r w:rsidR="00D4790B">
          <w:rPr>
            <w:noProof/>
            <w:webHidden/>
          </w:rPr>
          <w:t>10</w:t>
        </w:r>
        <w:r w:rsidR="002A71FB">
          <w:rPr>
            <w:noProof/>
            <w:webHidden/>
          </w:rPr>
          <w:fldChar w:fldCharType="end"/>
        </w:r>
      </w:hyperlink>
    </w:p>
    <w:p w14:paraId="1ADAE87A" w14:textId="31A28822" w:rsidR="002A71FB" w:rsidRDefault="002A71FB">
      <w:pPr>
        <w:pStyle w:val="TableofFigures"/>
        <w:tabs>
          <w:tab w:val="right" w:leader="dot" w:pos="8495"/>
        </w:tabs>
        <w:rPr>
          <w:rFonts w:asciiTheme="minorHAnsi" w:eastAsiaTheme="minorEastAsia" w:hAnsiTheme="minorHAnsi" w:cstheme="minorBidi"/>
          <w:noProof/>
          <w:lang w:val="el-GR" w:eastAsia="el-GR"/>
        </w:rPr>
      </w:pPr>
      <w:hyperlink w:anchor="_Toc91583690" w:history="1">
        <w:r w:rsidRPr="00262DFB">
          <w:rPr>
            <w:rStyle w:val="Hyperlink"/>
            <w:noProof/>
          </w:rPr>
          <w:t>Table 2. Sample points allocation per country</w:t>
        </w:r>
        <w:r>
          <w:rPr>
            <w:noProof/>
            <w:webHidden/>
          </w:rPr>
          <w:tab/>
        </w:r>
        <w:r>
          <w:rPr>
            <w:noProof/>
            <w:webHidden/>
          </w:rPr>
          <w:fldChar w:fldCharType="begin"/>
        </w:r>
        <w:r>
          <w:rPr>
            <w:noProof/>
            <w:webHidden/>
          </w:rPr>
          <w:instrText xml:space="preserve"> PAGEREF _Toc91583690 \h </w:instrText>
        </w:r>
        <w:r>
          <w:rPr>
            <w:noProof/>
            <w:webHidden/>
          </w:rPr>
        </w:r>
        <w:r>
          <w:rPr>
            <w:noProof/>
            <w:webHidden/>
          </w:rPr>
          <w:fldChar w:fldCharType="separate"/>
        </w:r>
        <w:r w:rsidR="00D4790B">
          <w:rPr>
            <w:noProof/>
            <w:webHidden/>
          </w:rPr>
          <w:t>26</w:t>
        </w:r>
        <w:r>
          <w:rPr>
            <w:noProof/>
            <w:webHidden/>
          </w:rPr>
          <w:fldChar w:fldCharType="end"/>
        </w:r>
      </w:hyperlink>
    </w:p>
    <w:p w14:paraId="5B15430C" w14:textId="06F79918" w:rsidR="002A71FB" w:rsidRDefault="002A71FB">
      <w:pPr>
        <w:pStyle w:val="TableofFigures"/>
        <w:tabs>
          <w:tab w:val="right" w:leader="dot" w:pos="8495"/>
        </w:tabs>
        <w:rPr>
          <w:rFonts w:asciiTheme="minorHAnsi" w:eastAsiaTheme="minorEastAsia" w:hAnsiTheme="minorHAnsi" w:cstheme="minorBidi"/>
          <w:noProof/>
          <w:lang w:val="el-GR" w:eastAsia="el-GR"/>
        </w:rPr>
      </w:pPr>
      <w:hyperlink w:anchor="_Toc91583691" w:history="1">
        <w:r w:rsidRPr="00262DFB">
          <w:rPr>
            <w:rStyle w:val="Hyperlink"/>
            <w:noProof/>
          </w:rPr>
          <w:t>Table 3. ML area comparison for example area</w:t>
        </w:r>
        <w:r>
          <w:rPr>
            <w:noProof/>
            <w:webHidden/>
          </w:rPr>
          <w:tab/>
        </w:r>
        <w:r>
          <w:rPr>
            <w:noProof/>
            <w:webHidden/>
          </w:rPr>
          <w:fldChar w:fldCharType="begin"/>
        </w:r>
        <w:r>
          <w:rPr>
            <w:noProof/>
            <w:webHidden/>
          </w:rPr>
          <w:instrText xml:space="preserve"> PAGEREF _Toc91583691 \h </w:instrText>
        </w:r>
        <w:r>
          <w:rPr>
            <w:noProof/>
            <w:webHidden/>
          </w:rPr>
        </w:r>
        <w:r>
          <w:rPr>
            <w:noProof/>
            <w:webHidden/>
          </w:rPr>
          <w:fldChar w:fldCharType="separate"/>
        </w:r>
        <w:r w:rsidR="00D4790B">
          <w:rPr>
            <w:noProof/>
            <w:webHidden/>
          </w:rPr>
          <w:t>30</w:t>
        </w:r>
        <w:r>
          <w:rPr>
            <w:noProof/>
            <w:webHidden/>
          </w:rPr>
          <w:fldChar w:fldCharType="end"/>
        </w:r>
      </w:hyperlink>
    </w:p>
    <w:p w14:paraId="59B9FC13" w14:textId="44458820" w:rsidR="002A71FB" w:rsidRDefault="002A71FB">
      <w:pPr>
        <w:pStyle w:val="TableofFigures"/>
        <w:tabs>
          <w:tab w:val="right" w:leader="dot" w:pos="8495"/>
        </w:tabs>
        <w:rPr>
          <w:rFonts w:asciiTheme="minorHAnsi" w:eastAsiaTheme="minorEastAsia" w:hAnsiTheme="minorHAnsi" w:cstheme="minorBidi"/>
          <w:noProof/>
          <w:lang w:val="el-GR" w:eastAsia="el-GR"/>
        </w:rPr>
      </w:pPr>
      <w:hyperlink w:anchor="_Toc91583692" w:history="1">
        <w:r w:rsidRPr="00262DFB">
          <w:rPr>
            <w:rStyle w:val="Hyperlink"/>
            <w:noProof/>
          </w:rPr>
          <w:t>Table 4</w:t>
        </w:r>
        <w:r w:rsidRPr="00262DFB">
          <w:rPr>
            <w:rStyle w:val="Hyperlink"/>
            <w:noProof/>
            <w:lang w:val="en-US"/>
          </w:rPr>
          <w:t>. Accuracy Assessment comparison table (2.3 vs 2.8)</w:t>
        </w:r>
        <w:r>
          <w:rPr>
            <w:noProof/>
            <w:webHidden/>
          </w:rPr>
          <w:tab/>
        </w:r>
        <w:r>
          <w:rPr>
            <w:noProof/>
            <w:webHidden/>
          </w:rPr>
          <w:fldChar w:fldCharType="begin"/>
        </w:r>
        <w:r>
          <w:rPr>
            <w:noProof/>
            <w:webHidden/>
          </w:rPr>
          <w:instrText xml:space="preserve"> PAGEREF _Toc91583692 \h </w:instrText>
        </w:r>
        <w:r>
          <w:rPr>
            <w:noProof/>
            <w:webHidden/>
          </w:rPr>
        </w:r>
        <w:r>
          <w:rPr>
            <w:noProof/>
            <w:webHidden/>
          </w:rPr>
          <w:fldChar w:fldCharType="separate"/>
        </w:r>
        <w:r w:rsidR="00D4790B">
          <w:rPr>
            <w:noProof/>
            <w:webHidden/>
          </w:rPr>
          <w:t>30</w:t>
        </w:r>
        <w:r>
          <w:rPr>
            <w:noProof/>
            <w:webHidden/>
          </w:rPr>
          <w:fldChar w:fldCharType="end"/>
        </w:r>
      </w:hyperlink>
    </w:p>
    <w:p w14:paraId="4F084123" w14:textId="750896CA" w:rsidR="002A71FB" w:rsidRDefault="002A71FB">
      <w:pPr>
        <w:pStyle w:val="TableofFigures"/>
        <w:tabs>
          <w:tab w:val="right" w:leader="dot" w:pos="8495"/>
        </w:tabs>
        <w:rPr>
          <w:rFonts w:asciiTheme="minorHAnsi" w:eastAsiaTheme="minorEastAsia" w:hAnsiTheme="minorHAnsi" w:cstheme="minorBidi"/>
          <w:noProof/>
          <w:lang w:val="el-GR" w:eastAsia="el-GR"/>
        </w:rPr>
      </w:pPr>
      <w:hyperlink w:anchor="_Toc91583693" w:history="1">
        <w:r w:rsidRPr="00262DFB">
          <w:rPr>
            <w:rStyle w:val="Hyperlink"/>
            <w:noProof/>
          </w:rPr>
          <w:t>Table 5. Accuracy assessment comparison table (2.3 vs 2.8 case study)</w:t>
        </w:r>
        <w:r>
          <w:rPr>
            <w:noProof/>
            <w:webHidden/>
          </w:rPr>
          <w:tab/>
        </w:r>
        <w:r>
          <w:rPr>
            <w:noProof/>
            <w:webHidden/>
          </w:rPr>
          <w:fldChar w:fldCharType="begin"/>
        </w:r>
        <w:r>
          <w:rPr>
            <w:noProof/>
            <w:webHidden/>
          </w:rPr>
          <w:instrText xml:space="preserve"> PAGEREF _Toc91583693 \h </w:instrText>
        </w:r>
        <w:r>
          <w:rPr>
            <w:noProof/>
            <w:webHidden/>
          </w:rPr>
        </w:r>
        <w:r>
          <w:rPr>
            <w:noProof/>
            <w:webHidden/>
          </w:rPr>
          <w:fldChar w:fldCharType="separate"/>
        </w:r>
        <w:r w:rsidR="00D4790B">
          <w:rPr>
            <w:noProof/>
            <w:webHidden/>
          </w:rPr>
          <w:t>32</w:t>
        </w:r>
        <w:r>
          <w:rPr>
            <w:noProof/>
            <w:webHidden/>
          </w:rPr>
          <w:fldChar w:fldCharType="end"/>
        </w:r>
      </w:hyperlink>
    </w:p>
    <w:p w14:paraId="1161E267" w14:textId="0AB7CC8F" w:rsidR="009B3BE6" w:rsidRPr="00C60499" w:rsidRDefault="005D744F" w:rsidP="00183828">
      <w:pPr>
        <w:jc w:val="left"/>
        <w:rPr>
          <w:lang w:val="en-GB"/>
        </w:rPr>
      </w:pPr>
      <w:r>
        <w:rPr>
          <w:noProof/>
        </w:rPr>
        <w:fldChar w:fldCharType="end"/>
      </w:r>
    </w:p>
    <w:sectPr w:rsidR="009B3BE6" w:rsidRPr="00C60499" w:rsidSect="007A7DFA">
      <w:headerReference w:type="default" r:id="rId31"/>
      <w:pgSz w:w="11907" w:h="16839" w:code="9"/>
      <w:pgMar w:top="1701" w:right="1701" w:bottom="1701" w:left="1701" w:header="850"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B3FC2B" w14:textId="77777777" w:rsidR="0010003A" w:rsidRDefault="0010003A" w:rsidP="00D21C20">
      <w:pPr>
        <w:spacing w:before="0" w:after="0" w:line="240" w:lineRule="auto"/>
      </w:pPr>
      <w:r>
        <w:separator/>
      </w:r>
    </w:p>
  </w:endnote>
  <w:endnote w:type="continuationSeparator" w:id="0">
    <w:p w14:paraId="02639547" w14:textId="77777777" w:rsidR="0010003A" w:rsidRDefault="0010003A" w:rsidP="00D21C20">
      <w:pPr>
        <w:spacing w:before="0" w:after="0" w:line="240" w:lineRule="auto"/>
      </w:pPr>
      <w:r>
        <w:continuationSeparator/>
      </w:r>
    </w:p>
  </w:endnote>
  <w:endnote w:type="continuationNotice" w:id="1">
    <w:p w14:paraId="7BC6488E" w14:textId="77777777" w:rsidR="0010003A" w:rsidRDefault="0010003A">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E52C1" w14:textId="64EA69F4" w:rsidR="0093471C" w:rsidRDefault="0093471C">
    <w:pPr>
      <w:jc w:val="center"/>
    </w:pPr>
    <w:r>
      <w:rPr>
        <w:sz w:val="20"/>
        <w:szCs w:val="20"/>
      </w:rPr>
      <w:t>[</w:t>
    </w:r>
    <w:r>
      <w:rPr>
        <w:sz w:val="20"/>
        <w:szCs w:val="20"/>
      </w:rPr>
      <w:fldChar w:fldCharType="begin"/>
    </w:r>
    <w:r>
      <w:rPr>
        <w:sz w:val="20"/>
        <w:szCs w:val="20"/>
      </w:rPr>
      <w:instrText>PAGE</w:instrText>
    </w:r>
    <w:r>
      <w:rPr>
        <w:sz w:val="20"/>
        <w:szCs w:val="20"/>
      </w:rPr>
      <w:fldChar w:fldCharType="separate"/>
    </w:r>
    <w:r w:rsidR="00595D64">
      <w:rPr>
        <w:noProof/>
        <w:sz w:val="20"/>
        <w:szCs w:val="20"/>
      </w:rPr>
      <w:t>2</w:t>
    </w:r>
    <w:r>
      <w:rPr>
        <w:sz w:val="20"/>
        <w:szCs w:val="20"/>
      </w:rPr>
      <w:fldChar w:fldCharType="end"/>
    </w:r>
    <w:r>
      <w:rPr>
        <w:sz w:val="20"/>
        <w:szCs w:val="20"/>
      </w:rPr>
      <w:t>|</w:t>
    </w:r>
    <w:r>
      <w:rPr>
        <w:sz w:val="20"/>
        <w:szCs w:val="20"/>
      </w:rPr>
      <w:fldChar w:fldCharType="begin"/>
    </w:r>
    <w:r>
      <w:rPr>
        <w:sz w:val="20"/>
        <w:szCs w:val="20"/>
      </w:rPr>
      <w:instrText>NUMPAGES</w:instrText>
    </w:r>
    <w:r>
      <w:rPr>
        <w:sz w:val="20"/>
        <w:szCs w:val="20"/>
      </w:rPr>
      <w:fldChar w:fldCharType="separate"/>
    </w:r>
    <w:r w:rsidR="00595D64">
      <w:rPr>
        <w:noProof/>
        <w:sz w:val="20"/>
        <w:szCs w:val="20"/>
      </w:rPr>
      <w:t>40</w:t>
    </w:r>
    <w:r>
      <w:rPr>
        <w:sz w:val="20"/>
        <w:szCs w:val="20"/>
      </w:rPr>
      <w:fldChar w:fldCharType="end"/>
    </w:r>
    <w:r>
      <w:rPr>
        <w:sz w:val="20"/>
        <w:szCs w:val="20"/>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F5885E" w14:textId="77777777" w:rsidR="0093471C" w:rsidRDefault="0093471C">
    <w:pPr>
      <w:pBdr>
        <w:top w:val="single" w:sz="4" w:space="1" w:color="000000"/>
        <w:left w:val="nil"/>
        <w:bottom w:val="nil"/>
        <w:right w:val="nil"/>
        <w:between w:val="nil"/>
      </w:pBdr>
      <w:tabs>
        <w:tab w:val="center" w:pos="4320"/>
        <w:tab w:val="right" w:pos="8640"/>
      </w:tabs>
      <w:spacing w:before="0" w:after="0" w:line="240" w:lineRule="auto"/>
      <w:jc w:val="center"/>
      <w:rPr>
        <w:color w:val="000000"/>
        <w:sz w:val="20"/>
        <w:szCs w:val="20"/>
      </w:rPr>
    </w:pPr>
    <w:r>
      <w:rPr>
        <w:rFonts w:eastAsia="Arial" w:cs="Arial"/>
        <w:color w:val="000000"/>
        <w:sz w:val="20"/>
        <w:szCs w:val="20"/>
      </w:rPr>
      <w:t>Deliverable D2.7 reflects only the authors’ views, and the Agency is not responsible for any use that may be made of the information it contains.</w:t>
    </w:r>
  </w:p>
  <w:p w14:paraId="0F7D41F6" w14:textId="77777777" w:rsidR="0093471C" w:rsidRDefault="0093471C">
    <w:pPr>
      <w:pBdr>
        <w:top w:val="nil"/>
        <w:left w:val="nil"/>
        <w:bottom w:val="nil"/>
        <w:right w:val="nil"/>
        <w:between w:val="nil"/>
      </w:pBdr>
      <w:tabs>
        <w:tab w:val="center" w:pos="4320"/>
        <w:tab w:val="right" w:pos="8640"/>
      </w:tabs>
      <w:spacing w:before="0"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4E4A85" w14:textId="77777777" w:rsidR="0010003A" w:rsidRDefault="0010003A" w:rsidP="00D21C20">
      <w:pPr>
        <w:spacing w:before="0" w:after="0" w:line="240" w:lineRule="auto"/>
      </w:pPr>
      <w:r>
        <w:separator/>
      </w:r>
    </w:p>
  </w:footnote>
  <w:footnote w:type="continuationSeparator" w:id="0">
    <w:p w14:paraId="2D9414C0" w14:textId="77777777" w:rsidR="0010003A" w:rsidRDefault="0010003A" w:rsidP="00D21C20">
      <w:pPr>
        <w:spacing w:before="0" w:after="0" w:line="240" w:lineRule="auto"/>
      </w:pPr>
      <w:r>
        <w:continuationSeparator/>
      </w:r>
    </w:p>
  </w:footnote>
  <w:footnote w:type="continuationNotice" w:id="1">
    <w:p w14:paraId="2BB66E21" w14:textId="77777777" w:rsidR="0010003A" w:rsidRDefault="0010003A">
      <w:pPr>
        <w:spacing w:before="0" w:after="0" w:line="240" w:lineRule="auto"/>
      </w:pPr>
    </w:p>
  </w:footnote>
  <w:footnote w:id="2">
    <w:p w14:paraId="144AE238" w14:textId="77777777" w:rsidR="0093471C" w:rsidRPr="00C60499" w:rsidRDefault="0093471C" w:rsidP="000909EF">
      <w:pPr>
        <w:spacing w:before="0" w:after="0" w:line="240" w:lineRule="auto"/>
      </w:pPr>
      <w:r>
        <w:rPr>
          <w:rStyle w:val="FootnoteReference"/>
        </w:rPr>
        <w:footnoteRef/>
      </w:r>
      <w:r>
        <w:t xml:space="preserve"> </w:t>
      </w:r>
      <w:r w:rsidRPr="00C60499">
        <w:rPr>
          <w:rStyle w:val="Strong"/>
          <w:sz w:val="20"/>
        </w:rPr>
        <w:t>R</w:t>
      </w:r>
      <w:r w:rsidRPr="00C60499">
        <w:rPr>
          <w:sz w:val="20"/>
        </w:rPr>
        <w:t xml:space="preserve"> = Report, </w:t>
      </w:r>
      <w:r w:rsidRPr="00C60499">
        <w:rPr>
          <w:rStyle w:val="Strong"/>
          <w:sz w:val="20"/>
        </w:rPr>
        <w:t>P</w:t>
      </w:r>
      <w:r w:rsidRPr="00C60499">
        <w:rPr>
          <w:sz w:val="20"/>
        </w:rPr>
        <w:t xml:space="preserve"> = Prototype, </w:t>
      </w:r>
      <w:r w:rsidRPr="00C60499">
        <w:rPr>
          <w:rStyle w:val="Strong"/>
          <w:sz w:val="20"/>
        </w:rPr>
        <w:t>D</w:t>
      </w:r>
      <w:r w:rsidRPr="00C60499">
        <w:rPr>
          <w:sz w:val="20"/>
        </w:rPr>
        <w:t xml:space="preserve"> = Demonstrator, </w:t>
      </w:r>
      <w:r w:rsidRPr="00C60499">
        <w:rPr>
          <w:rStyle w:val="Strong"/>
          <w:sz w:val="20"/>
        </w:rPr>
        <w:t>O</w:t>
      </w:r>
      <w:r w:rsidRPr="00C60499">
        <w:rPr>
          <w:sz w:val="20"/>
        </w:rPr>
        <w:t xml:space="preserve"> = Other</w:t>
      </w:r>
    </w:p>
  </w:footnote>
  <w:footnote w:id="3">
    <w:p w14:paraId="17D54980" w14:textId="77777777" w:rsidR="0093471C" w:rsidRPr="00C60499" w:rsidRDefault="0093471C" w:rsidP="000909EF">
      <w:pPr>
        <w:spacing w:before="0" w:after="0" w:line="240" w:lineRule="auto"/>
        <w:rPr>
          <w:sz w:val="20"/>
        </w:rPr>
      </w:pPr>
      <w:r>
        <w:rPr>
          <w:rStyle w:val="FootnoteReference"/>
        </w:rPr>
        <w:footnoteRef/>
      </w:r>
      <w:r>
        <w:t xml:space="preserve"> </w:t>
      </w:r>
      <w:r w:rsidRPr="00C60499">
        <w:rPr>
          <w:rStyle w:val="Strong"/>
          <w:sz w:val="20"/>
        </w:rPr>
        <w:t>PU</w:t>
      </w:r>
      <w:r w:rsidRPr="00C60499">
        <w:rPr>
          <w:sz w:val="20"/>
        </w:rPr>
        <w:t xml:space="preserve"> = Public, </w:t>
      </w:r>
      <w:r w:rsidRPr="00C60499">
        <w:rPr>
          <w:rStyle w:val="Strong"/>
          <w:sz w:val="20"/>
        </w:rPr>
        <w:t>PP</w:t>
      </w:r>
      <w:r w:rsidRPr="00C60499">
        <w:rPr>
          <w:sz w:val="20"/>
        </w:rPr>
        <w:t xml:space="preserve"> = Restricted to other </w:t>
      </w:r>
      <w:proofErr w:type="spellStart"/>
      <w:r w:rsidRPr="00C60499">
        <w:rPr>
          <w:sz w:val="20"/>
        </w:rPr>
        <w:t>programme</w:t>
      </w:r>
      <w:proofErr w:type="spellEnd"/>
      <w:r w:rsidRPr="00C60499">
        <w:rPr>
          <w:sz w:val="20"/>
        </w:rPr>
        <w:t xml:space="preserve"> participants (including the Commission Services), </w:t>
      </w:r>
      <w:r w:rsidRPr="00C60499">
        <w:rPr>
          <w:rStyle w:val="Strong"/>
          <w:sz w:val="20"/>
        </w:rPr>
        <w:t>RE</w:t>
      </w:r>
      <w:r w:rsidRPr="00C60499">
        <w:rPr>
          <w:sz w:val="20"/>
        </w:rPr>
        <w:t xml:space="preserve"> = Restricted to a group specified by the consortium (including the Commission Services), </w:t>
      </w:r>
      <w:r w:rsidRPr="00C60499">
        <w:rPr>
          <w:rStyle w:val="Strong"/>
          <w:sz w:val="20"/>
        </w:rPr>
        <w:t>CO</w:t>
      </w:r>
      <w:r w:rsidRPr="00C60499">
        <w:rPr>
          <w:sz w:val="20"/>
        </w:rPr>
        <w:t xml:space="preserve"> = Confidential, only for members of the consortium (including the Commission Services).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82E295" w14:textId="77777777" w:rsidR="0093471C" w:rsidRDefault="0093471C">
    <w:pPr>
      <w:widowControl w:val="0"/>
      <w:pBdr>
        <w:top w:val="nil"/>
        <w:left w:val="nil"/>
        <w:bottom w:val="nil"/>
        <w:right w:val="nil"/>
        <w:between w:val="nil"/>
      </w:pBdr>
      <w:spacing w:before="0" w:after="0" w:line="276" w:lineRule="auto"/>
      <w:jc w:val="left"/>
      <w:rPr>
        <w:color w:val="000000"/>
      </w:rPr>
    </w:pPr>
  </w:p>
  <w:tbl>
    <w:tblPr>
      <w:tblW w:w="83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200"/>
      <w:gridCol w:w="4197"/>
    </w:tblGrid>
    <w:tr w:rsidR="0093471C" w14:paraId="1E696554" w14:textId="77777777">
      <w:tc>
        <w:tcPr>
          <w:tcW w:w="4200" w:type="dxa"/>
          <w:tcBorders>
            <w:top w:val="nil"/>
            <w:left w:val="nil"/>
            <w:right w:val="nil"/>
          </w:tcBorders>
        </w:tcPr>
        <w:p w14:paraId="463B66FD" w14:textId="77777777" w:rsidR="0093471C" w:rsidRDefault="0093471C">
          <w:pPr>
            <w:pBdr>
              <w:top w:val="nil"/>
              <w:left w:val="nil"/>
              <w:bottom w:val="nil"/>
              <w:right w:val="nil"/>
              <w:between w:val="nil"/>
            </w:pBdr>
            <w:tabs>
              <w:tab w:val="center" w:pos="4320"/>
              <w:tab w:val="right" w:pos="8640"/>
            </w:tabs>
            <w:spacing w:line="240" w:lineRule="auto"/>
            <w:rPr>
              <w:color w:val="000000"/>
              <w:sz w:val="20"/>
              <w:szCs w:val="20"/>
            </w:rPr>
          </w:pPr>
          <w:r>
            <w:rPr>
              <w:rFonts w:eastAsia="Arial" w:cs="Arial"/>
              <w:color w:val="000000"/>
              <w:sz w:val="20"/>
              <w:szCs w:val="20"/>
            </w:rPr>
            <w:t>[D2.7] Report on Augmenting precision</w:t>
          </w:r>
        </w:p>
      </w:tc>
      <w:tc>
        <w:tcPr>
          <w:tcW w:w="4197" w:type="dxa"/>
          <w:tcBorders>
            <w:top w:val="nil"/>
            <w:left w:val="nil"/>
            <w:right w:val="nil"/>
          </w:tcBorders>
        </w:tcPr>
        <w:p w14:paraId="6FEAD139" w14:textId="77777777" w:rsidR="0093471C" w:rsidRDefault="0093471C">
          <w:pPr>
            <w:pBdr>
              <w:top w:val="nil"/>
              <w:left w:val="nil"/>
              <w:bottom w:val="nil"/>
              <w:right w:val="nil"/>
              <w:between w:val="nil"/>
            </w:pBdr>
            <w:tabs>
              <w:tab w:val="center" w:pos="4320"/>
              <w:tab w:val="right" w:pos="8640"/>
            </w:tabs>
            <w:spacing w:line="240" w:lineRule="auto"/>
            <w:jc w:val="right"/>
            <w:rPr>
              <w:color w:val="000000"/>
              <w:sz w:val="20"/>
              <w:szCs w:val="20"/>
            </w:rPr>
          </w:pPr>
          <w:r>
            <w:rPr>
              <w:noProof/>
              <w:color w:val="000000"/>
              <w:sz w:val="20"/>
              <w:szCs w:val="20"/>
              <w:lang w:val="en-GB" w:eastAsia="en-GB"/>
            </w:rPr>
            <w:drawing>
              <wp:inline distT="0" distB="0" distL="0" distR="0" wp14:anchorId="7B19CFA9" wp14:editId="28407FEE">
                <wp:extent cx="546883" cy="418204"/>
                <wp:effectExtent l="0" t="0" r="0" b="0"/>
                <wp:docPr id="14"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
                        <a:srcRect/>
                        <a:stretch>
                          <a:fillRect/>
                        </a:stretch>
                      </pic:blipFill>
                      <pic:spPr>
                        <a:xfrm>
                          <a:off x="0" y="0"/>
                          <a:ext cx="546883" cy="418204"/>
                        </a:xfrm>
                        <a:prstGeom prst="rect">
                          <a:avLst/>
                        </a:prstGeom>
                        <a:ln/>
                      </pic:spPr>
                    </pic:pic>
                  </a:graphicData>
                </a:graphic>
              </wp:inline>
            </w:drawing>
          </w:r>
        </w:p>
      </w:tc>
    </w:tr>
  </w:tbl>
  <w:p w14:paraId="4C611777" w14:textId="77777777" w:rsidR="0093471C" w:rsidRDefault="0093471C">
    <w:pPr>
      <w:pBdr>
        <w:top w:val="nil"/>
        <w:left w:val="nil"/>
        <w:bottom w:val="nil"/>
        <w:right w:val="nil"/>
        <w:between w:val="nil"/>
      </w:pBdr>
      <w:tabs>
        <w:tab w:val="center" w:pos="4320"/>
        <w:tab w:val="right" w:pos="8640"/>
      </w:tabs>
      <w:spacing w:before="0" w:after="0" w:line="240" w:lineRule="auto"/>
      <w:rPr>
        <w:color w:val="000000"/>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D1A4A" w14:textId="77777777" w:rsidR="0093471C" w:rsidRDefault="0093471C">
    <w:pPr>
      <w:widowControl w:val="0"/>
      <w:pBdr>
        <w:top w:val="nil"/>
        <w:left w:val="nil"/>
        <w:bottom w:val="nil"/>
        <w:right w:val="nil"/>
        <w:between w:val="nil"/>
      </w:pBdr>
      <w:spacing w:before="0" w:after="0" w:line="276" w:lineRule="auto"/>
      <w:jc w:val="left"/>
      <w:rPr>
        <w:sz w:val="20"/>
        <w:szCs w:val="20"/>
      </w:rPr>
    </w:pPr>
  </w:p>
  <w:tbl>
    <w:tblPr>
      <w:tblW w:w="8397" w:type="dxa"/>
      <w:tblInd w:w="108" w:type="dxa"/>
      <w:tblLayout w:type="fixed"/>
      <w:tblLook w:val="0400" w:firstRow="0" w:lastRow="0" w:firstColumn="0" w:lastColumn="0" w:noHBand="0" w:noVBand="1"/>
    </w:tblPr>
    <w:tblGrid>
      <w:gridCol w:w="2798"/>
      <w:gridCol w:w="2495"/>
      <w:gridCol w:w="3104"/>
    </w:tblGrid>
    <w:tr w:rsidR="0093471C" w14:paraId="79020957" w14:textId="77777777">
      <w:trPr>
        <w:trHeight w:val="1276"/>
      </w:trPr>
      <w:tc>
        <w:tcPr>
          <w:tcW w:w="2798" w:type="dxa"/>
          <w:vAlign w:val="center"/>
        </w:tcPr>
        <w:p w14:paraId="59E62A99" w14:textId="77777777" w:rsidR="0093471C" w:rsidRDefault="0093471C">
          <w:pPr>
            <w:spacing w:before="0" w:after="0" w:line="240" w:lineRule="auto"/>
            <w:jc w:val="left"/>
            <w:rPr>
              <w:color w:val="00477F"/>
            </w:rPr>
          </w:pPr>
          <w:r>
            <w:rPr>
              <w:noProof/>
              <w:color w:val="00477F"/>
              <w:lang w:val="en-GB" w:eastAsia="en-GB"/>
            </w:rPr>
            <w:drawing>
              <wp:inline distT="0" distB="0" distL="0" distR="0" wp14:anchorId="4D7898EA" wp14:editId="268F1F7A">
                <wp:extent cx="910422" cy="607205"/>
                <wp:effectExtent l="0" t="0" r="0" b="0"/>
                <wp:docPr id="15"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1"/>
                        <a:srcRect/>
                        <a:stretch>
                          <a:fillRect/>
                        </a:stretch>
                      </pic:blipFill>
                      <pic:spPr>
                        <a:xfrm>
                          <a:off x="0" y="0"/>
                          <a:ext cx="910422" cy="607205"/>
                        </a:xfrm>
                        <a:prstGeom prst="rect">
                          <a:avLst/>
                        </a:prstGeom>
                        <a:ln/>
                      </pic:spPr>
                    </pic:pic>
                  </a:graphicData>
                </a:graphic>
              </wp:inline>
            </w:drawing>
          </w:r>
        </w:p>
      </w:tc>
      <w:tc>
        <w:tcPr>
          <w:tcW w:w="2495" w:type="dxa"/>
          <w:vAlign w:val="center"/>
        </w:tcPr>
        <w:p w14:paraId="6DFD25BE" w14:textId="77777777" w:rsidR="0093471C" w:rsidRDefault="0093471C">
          <w:pPr>
            <w:spacing w:before="0" w:after="0" w:line="240" w:lineRule="auto"/>
            <w:jc w:val="center"/>
          </w:pPr>
        </w:p>
      </w:tc>
      <w:tc>
        <w:tcPr>
          <w:tcW w:w="3104" w:type="dxa"/>
          <w:vAlign w:val="center"/>
        </w:tcPr>
        <w:p w14:paraId="239DD506" w14:textId="77777777" w:rsidR="0093471C" w:rsidRDefault="0093471C">
          <w:pPr>
            <w:spacing w:before="0" w:after="0" w:line="240" w:lineRule="auto"/>
            <w:jc w:val="right"/>
          </w:pPr>
        </w:p>
      </w:tc>
    </w:tr>
  </w:tbl>
  <w:p w14:paraId="5E2D375B" w14:textId="77777777" w:rsidR="0093471C" w:rsidRDefault="0093471C">
    <w:pPr>
      <w:pBdr>
        <w:top w:val="nil"/>
        <w:left w:val="nil"/>
        <w:bottom w:val="nil"/>
        <w:right w:val="nil"/>
        <w:between w:val="nil"/>
      </w:pBdr>
      <w:tabs>
        <w:tab w:val="center" w:pos="4320"/>
        <w:tab w:val="right" w:pos="8640"/>
      </w:tabs>
      <w:spacing w:before="0" w:after="0" w:line="240" w:lineRule="auto"/>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Ind w:w="108" w:type="dxa"/>
      <w:tblLook w:val="04A0" w:firstRow="1" w:lastRow="0" w:firstColumn="1" w:lastColumn="0" w:noHBand="0" w:noVBand="1"/>
    </w:tblPr>
    <w:tblGrid>
      <w:gridCol w:w="4200"/>
      <w:gridCol w:w="4197"/>
    </w:tblGrid>
    <w:tr w:rsidR="0093471C" w14:paraId="3A5C2462" w14:textId="77777777" w:rsidTr="00FD04F7">
      <w:tc>
        <w:tcPr>
          <w:tcW w:w="4252" w:type="dxa"/>
          <w:tcBorders>
            <w:top w:val="nil"/>
            <w:left w:val="nil"/>
            <w:right w:val="nil"/>
          </w:tcBorders>
        </w:tcPr>
        <w:p w14:paraId="362BBC67" w14:textId="45CFB5D2" w:rsidR="0093471C" w:rsidRDefault="0093471C" w:rsidP="00633522">
          <w:pPr>
            <w:pStyle w:val="Header"/>
            <w:numPr>
              <w:ilvl w:val="0"/>
              <w:numId w:val="0"/>
            </w:numPr>
            <w:ind w:left="360"/>
            <w:rPr>
              <w:sz w:val="20"/>
              <w:lang w:val="en-GB"/>
            </w:rPr>
          </w:pPr>
          <w:r w:rsidRPr="00A822F2">
            <w:rPr>
              <w:sz w:val="20"/>
            </w:rPr>
            <w:t>[</w:t>
          </w:r>
          <w:r w:rsidRPr="00C60499">
            <w:rPr>
              <w:sz w:val="20"/>
              <w:lang w:val="en-GB"/>
            </w:rPr>
            <w:t>D</w:t>
          </w:r>
          <w:r>
            <w:rPr>
              <w:sz w:val="20"/>
              <w:lang w:val="en-GB"/>
            </w:rPr>
            <w:t>2</w:t>
          </w:r>
          <w:r w:rsidRPr="00C60499">
            <w:rPr>
              <w:sz w:val="20"/>
              <w:lang w:val="en-GB"/>
            </w:rPr>
            <w:t>.</w:t>
          </w:r>
          <w:r>
            <w:rPr>
              <w:sz w:val="20"/>
            </w:rPr>
            <w:t>7</w:t>
          </w:r>
          <w:r w:rsidRPr="00A822F2">
            <w:rPr>
              <w:sz w:val="20"/>
            </w:rPr>
            <w:t xml:space="preserve">] </w:t>
          </w:r>
          <w:r>
            <w:rPr>
              <w:sz w:val="20"/>
            </w:rPr>
            <w:t>Report on Augmenting precision</w:t>
          </w:r>
        </w:p>
      </w:tc>
      <w:tc>
        <w:tcPr>
          <w:tcW w:w="4253" w:type="dxa"/>
          <w:tcBorders>
            <w:top w:val="nil"/>
            <w:left w:val="nil"/>
            <w:right w:val="nil"/>
          </w:tcBorders>
        </w:tcPr>
        <w:p w14:paraId="46E78167" w14:textId="77777777" w:rsidR="0093471C" w:rsidRDefault="0093471C" w:rsidP="00633522">
          <w:pPr>
            <w:pStyle w:val="Header"/>
            <w:numPr>
              <w:ilvl w:val="0"/>
              <w:numId w:val="0"/>
            </w:numPr>
            <w:ind w:left="360"/>
            <w:jc w:val="right"/>
            <w:rPr>
              <w:sz w:val="20"/>
              <w:lang w:val="en-GB"/>
            </w:rPr>
          </w:pPr>
          <w:r>
            <w:rPr>
              <w:noProof/>
              <w:sz w:val="20"/>
              <w:lang w:val="en-GB" w:eastAsia="en-GB"/>
            </w:rPr>
            <w:drawing>
              <wp:inline distT="0" distB="0" distL="0" distR="0" wp14:anchorId="10A008AA" wp14:editId="66790CB1">
                <wp:extent cx="546883" cy="418204"/>
                <wp:effectExtent l="0" t="0" r="5715" b="127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ASON_LOGO_TRANSPARENT_BL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46883" cy="418204"/>
                        </a:xfrm>
                        <a:prstGeom prst="rect">
                          <a:avLst/>
                        </a:prstGeom>
                      </pic:spPr>
                    </pic:pic>
                  </a:graphicData>
                </a:graphic>
              </wp:inline>
            </w:drawing>
          </w:r>
        </w:p>
      </w:tc>
    </w:tr>
  </w:tbl>
  <w:p w14:paraId="7BECA6E1" w14:textId="77777777" w:rsidR="0093471C" w:rsidRDefault="0093471C" w:rsidP="00944F2E">
    <w:pPr>
      <w:pStyle w:val="Header"/>
      <w:numPr>
        <w:ilvl w:val="0"/>
        <w:numId w:val="0"/>
      </w:num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33AC40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F86DD5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562B5E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ECE37D8"/>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C9BCD3C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D3059B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B32A7E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164465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F5C8A4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008E45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37D4E98"/>
    <w:multiLevelType w:val="hybridMultilevel"/>
    <w:tmpl w:val="CE9CF568"/>
    <w:lvl w:ilvl="0" w:tplc="2E0CF3A2">
      <w:start w:val="1"/>
      <w:numFmt w:val="decimal"/>
      <w:pStyle w:val="Bibliography"/>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15:restartNumberingAfterBreak="0">
    <w:nsid w:val="1EA13188"/>
    <w:multiLevelType w:val="hybridMultilevel"/>
    <w:tmpl w:val="F5C299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36E7EF7"/>
    <w:multiLevelType w:val="hybridMultilevel"/>
    <w:tmpl w:val="2CDE901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CCF38F4"/>
    <w:multiLevelType w:val="hybridMultilevel"/>
    <w:tmpl w:val="62C81AB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21E5889"/>
    <w:multiLevelType w:val="hybridMultilevel"/>
    <w:tmpl w:val="AFA28C7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B7719C"/>
    <w:multiLevelType w:val="hybridMultilevel"/>
    <w:tmpl w:val="6BE80A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8C2339B"/>
    <w:multiLevelType w:val="hybridMultilevel"/>
    <w:tmpl w:val="F7E6ED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96E026D"/>
    <w:multiLevelType w:val="hybridMultilevel"/>
    <w:tmpl w:val="94AE6928"/>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8" w15:restartNumberingAfterBreak="0">
    <w:nsid w:val="3B2D7F78"/>
    <w:multiLevelType w:val="hybridMultilevel"/>
    <w:tmpl w:val="DC3ECF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D262CBF"/>
    <w:multiLevelType w:val="hybridMultilevel"/>
    <w:tmpl w:val="C87AABF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FE02C5D"/>
    <w:multiLevelType w:val="hybridMultilevel"/>
    <w:tmpl w:val="6BFE5A8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45E659B8"/>
    <w:multiLevelType w:val="hybridMultilevel"/>
    <w:tmpl w:val="6EDC69E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4D835D17"/>
    <w:multiLevelType w:val="multilevel"/>
    <w:tmpl w:val="2926F3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0B16664"/>
    <w:multiLevelType w:val="multilevel"/>
    <w:tmpl w:val="D070117A"/>
    <w:lvl w:ilvl="0">
      <w:start w:val="1"/>
      <w:numFmt w:val="decimal"/>
      <w:pStyle w:val="Heading1"/>
      <w:lvlText w:val="%1."/>
      <w:lvlJc w:val="left"/>
      <w:pPr>
        <w:ind w:left="360" w:hanging="360"/>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4" w15:restartNumberingAfterBreak="0">
    <w:nsid w:val="555E4032"/>
    <w:multiLevelType w:val="hybridMultilevel"/>
    <w:tmpl w:val="133428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56C5DB4"/>
    <w:multiLevelType w:val="hybridMultilevel"/>
    <w:tmpl w:val="2E4224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8CE7E57"/>
    <w:multiLevelType w:val="multilevel"/>
    <w:tmpl w:val="3F4CB456"/>
    <w:lvl w:ilvl="0">
      <w:start w:val="1"/>
      <w:numFmt w:val="bullet"/>
      <w:pStyle w:val="Header"/>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7" w15:restartNumberingAfterBreak="0">
    <w:nsid w:val="6CBA5C93"/>
    <w:multiLevelType w:val="hybridMultilevel"/>
    <w:tmpl w:val="6C5ECF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3461A90"/>
    <w:multiLevelType w:val="hybridMultilevel"/>
    <w:tmpl w:val="728A99B2"/>
    <w:lvl w:ilvl="0" w:tplc="A8DA4DB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3"/>
  </w:num>
  <w:num w:numId="2">
    <w:abstractNumId w:val="22"/>
  </w:num>
  <w:num w:numId="3">
    <w:abstractNumId w:val="7"/>
  </w:num>
  <w:num w:numId="4">
    <w:abstractNumId w:val="9"/>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10"/>
  </w:num>
  <w:num w:numId="14">
    <w:abstractNumId w:val="14"/>
  </w:num>
  <w:num w:numId="15">
    <w:abstractNumId w:val="13"/>
  </w:num>
  <w:num w:numId="16">
    <w:abstractNumId w:val="20"/>
  </w:num>
  <w:num w:numId="17">
    <w:abstractNumId w:val="21"/>
  </w:num>
  <w:num w:numId="18">
    <w:abstractNumId w:val="16"/>
  </w:num>
  <w:num w:numId="19">
    <w:abstractNumId w:val="18"/>
  </w:num>
  <w:num w:numId="20">
    <w:abstractNumId w:val="15"/>
  </w:num>
  <w:num w:numId="21">
    <w:abstractNumId w:val="27"/>
  </w:num>
  <w:num w:numId="22">
    <w:abstractNumId w:val="12"/>
  </w:num>
  <w:num w:numId="23">
    <w:abstractNumId w:val="19"/>
  </w:num>
  <w:num w:numId="24">
    <w:abstractNumId w:val="11"/>
  </w:num>
  <w:num w:numId="25">
    <w:abstractNumId w:val="24"/>
  </w:num>
  <w:num w:numId="26">
    <w:abstractNumId w:val="25"/>
  </w:num>
  <w:num w:numId="27">
    <w:abstractNumId w:val="26"/>
  </w:num>
  <w:num w:numId="28">
    <w:abstractNumId w:val="17"/>
  </w:num>
  <w:num w:numId="29">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1C20"/>
    <w:rsid w:val="0000125A"/>
    <w:rsid w:val="00002249"/>
    <w:rsid w:val="000022A7"/>
    <w:rsid w:val="00002675"/>
    <w:rsid w:val="00002710"/>
    <w:rsid w:val="00002EBD"/>
    <w:rsid w:val="00003909"/>
    <w:rsid w:val="0000420D"/>
    <w:rsid w:val="00004D3A"/>
    <w:rsid w:val="00004F50"/>
    <w:rsid w:val="00005028"/>
    <w:rsid w:val="00005C0A"/>
    <w:rsid w:val="00010EB9"/>
    <w:rsid w:val="00011750"/>
    <w:rsid w:val="00011E4A"/>
    <w:rsid w:val="0001228D"/>
    <w:rsid w:val="00013452"/>
    <w:rsid w:val="00013BCB"/>
    <w:rsid w:val="00014BE9"/>
    <w:rsid w:val="000160C3"/>
    <w:rsid w:val="000173C7"/>
    <w:rsid w:val="00017647"/>
    <w:rsid w:val="000202E4"/>
    <w:rsid w:val="00023062"/>
    <w:rsid w:val="00023385"/>
    <w:rsid w:val="00023533"/>
    <w:rsid w:val="000236A9"/>
    <w:rsid w:val="00023C26"/>
    <w:rsid w:val="00026507"/>
    <w:rsid w:val="0003170D"/>
    <w:rsid w:val="00031B74"/>
    <w:rsid w:val="000320F7"/>
    <w:rsid w:val="00032273"/>
    <w:rsid w:val="0003252D"/>
    <w:rsid w:val="000327E9"/>
    <w:rsid w:val="0003403D"/>
    <w:rsid w:val="00035BF4"/>
    <w:rsid w:val="00035C65"/>
    <w:rsid w:val="0003790B"/>
    <w:rsid w:val="00037989"/>
    <w:rsid w:val="0004076A"/>
    <w:rsid w:val="0004122E"/>
    <w:rsid w:val="00041C70"/>
    <w:rsid w:val="00041C84"/>
    <w:rsid w:val="00041CF4"/>
    <w:rsid w:val="00042CA9"/>
    <w:rsid w:val="00043703"/>
    <w:rsid w:val="00043985"/>
    <w:rsid w:val="00044420"/>
    <w:rsid w:val="00044452"/>
    <w:rsid w:val="00045817"/>
    <w:rsid w:val="00045EA1"/>
    <w:rsid w:val="000468A5"/>
    <w:rsid w:val="0004744D"/>
    <w:rsid w:val="00047488"/>
    <w:rsid w:val="000475AA"/>
    <w:rsid w:val="000513D8"/>
    <w:rsid w:val="0005167D"/>
    <w:rsid w:val="00051AF2"/>
    <w:rsid w:val="00051CF6"/>
    <w:rsid w:val="00051F5B"/>
    <w:rsid w:val="000522AA"/>
    <w:rsid w:val="00053616"/>
    <w:rsid w:val="00053B61"/>
    <w:rsid w:val="00053C6D"/>
    <w:rsid w:val="000547CC"/>
    <w:rsid w:val="00055C7C"/>
    <w:rsid w:val="00056726"/>
    <w:rsid w:val="00056993"/>
    <w:rsid w:val="0005700E"/>
    <w:rsid w:val="00061484"/>
    <w:rsid w:val="00061714"/>
    <w:rsid w:val="0006200D"/>
    <w:rsid w:val="00062353"/>
    <w:rsid w:val="00062FDC"/>
    <w:rsid w:val="00063B92"/>
    <w:rsid w:val="00064668"/>
    <w:rsid w:val="0006552B"/>
    <w:rsid w:val="00065A15"/>
    <w:rsid w:val="000661F5"/>
    <w:rsid w:val="00067200"/>
    <w:rsid w:val="00070824"/>
    <w:rsid w:val="00071F18"/>
    <w:rsid w:val="000727E4"/>
    <w:rsid w:val="00072C5F"/>
    <w:rsid w:val="00073911"/>
    <w:rsid w:val="00073948"/>
    <w:rsid w:val="00074200"/>
    <w:rsid w:val="00074ADB"/>
    <w:rsid w:val="0007521B"/>
    <w:rsid w:val="00077B93"/>
    <w:rsid w:val="00080289"/>
    <w:rsid w:val="000804C0"/>
    <w:rsid w:val="00081D52"/>
    <w:rsid w:val="00086B2B"/>
    <w:rsid w:val="00086C70"/>
    <w:rsid w:val="00087996"/>
    <w:rsid w:val="00087CAE"/>
    <w:rsid w:val="000905BE"/>
    <w:rsid w:val="000909EF"/>
    <w:rsid w:val="00090BF9"/>
    <w:rsid w:val="00092C45"/>
    <w:rsid w:val="00092E5E"/>
    <w:rsid w:val="00094751"/>
    <w:rsid w:val="000961EF"/>
    <w:rsid w:val="00096364"/>
    <w:rsid w:val="000968C6"/>
    <w:rsid w:val="000A00B6"/>
    <w:rsid w:val="000A293D"/>
    <w:rsid w:val="000A373B"/>
    <w:rsid w:val="000A4294"/>
    <w:rsid w:val="000A4CBB"/>
    <w:rsid w:val="000A64C1"/>
    <w:rsid w:val="000A6E7B"/>
    <w:rsid w:val="000B0321"/>
    <w:rsid w:val="000B3F2E"/>
    <w:rsid w:val="000B4BDD"/>
    <w:rsid w:val="000B54FB"/>
    <w:rsid w:val="000B5F06"/>
    <w:rsid w:val="000B6A74"/>
    <w:rsid w:val="000C0264"/>
    <w:rsid w:val="000C282C"/>
    <w:rsid w:val="000C506A"/>
    <w:rsid w:val="000C5C1F"/>
    <w:rsid w:val="000D001D"/>
    <w:rsid w:val="000D119B"/>
    <w:rsid w:val="000D17CF"/>
    <w:rsid w:val="000D1D93"/>
    <w:rsid w:val="000D21A9"/>
    <w:rsid w:val="000D462D"/>
    <w:rsid w:val="000D466F"/>
    <w:rsid w:val="000D6418"/>
    <w:rsid w:val="000D789F"/>
    <w:rsid w:val="000E058A"/>
    <w:rsid w:val="000E0B6E"/>
    <w:rsid w:val="000E0E59"/>
    <w:rsid w:val="000E2560"/>
    <w:rsid w:val="000E2D0E"/>
    <w:rsid w:val="000E33D0"/>
    <w:rsid w:val="000E36D1"/>
    <w:rsid w:val="000E3DDC"/>
    <w:rsid w:val="000E54C6"/>
    <w:rsid w:val="000E6D5A"/>
    <w:rsid w:val="000E72A9"/>
    <w:rsid w:val="000F2647"/>
    <w:rsid w:val="000F2675"/>
    <w:rsid w:val="000F3664"/>
    <w:rsid w:val="000F42E9"/>
    <w:rsid w:val="000F6398"/>
    <w:rsid w:val="000F6C5F"/>
    <w:rsid w:val="000F6F2F"/>
    <w:rsid w:val="000F7ED4"/>
    <w:rsid w:val="0010003A"/>
    <w:rsid w:val="0010075F"/>
    <w:rsid w:val="00102800"/>
    <w:rsid w:val="00104417"/>
    <w:rsid w:val="00106449"/>
    <w:rsid w:val="00107774"/>
    <w:rsid w:val="00111FCD"/>
    <w:rsid w:val="001128EE"/>
    <w:rsid w:val="00112F91"/>
    <w:rsid w:val="00113952"/>
    <w:rsid w:val="00114B07"/>
    <w:rsid w:val="001163F8"/>
    <w:rsid w:val="00116459"/>
    <w:rsid w:val="00117F2F"/>
    <w:rsid w:val="001212BD"/>
    <w:rsid w:val="00121AB0"/>
    <w:rsid w:val="00121E81"/>
    <w:rsid w:val="00123EA0"/>
    <w:rsid w:val="00124315"/>
    <w:rsid w:val="0012503D"/>
    <w:rsid w:val="001251A7"/>
    <w:rsid w:val="001262CA"/>
    <w:rsid w:val="00127B99"/>
    <w:rsid w:val="00127F59"/>
    <w:rsid w:val="00130000"/>
    <w:rsid w:val="0013075D"/>
    <w:rsid w:val="00131603"/>
    <w:rsid w:val="00132B32"/>
    <w:rsid w:val="001337AA"/>
    <w:rsid w:val="00135136"/>
    <w:rsid w:val="00135FE5"/>
    <w:rsid w:val="0013666B"/>
    <w:rsid w:val="00136B20"/>
    <w:rsid w:val="00141167"/>
    <w:rsid w:val="001424AA"/>
    <w:rsid w:val="00142BA2"/>
    <w:rsid w:val="00142BC1"/>
    <w:rsid w:val="001438B4"/>
    <w:rsid w:val="00144780"/>
    <w:rsid w:val="00145E04"/>
    <w:rsid w:val="0015271F"/>
    <w:rsid w:val="001534AC"/>
    <w:rsid w:val="00154181"/>
    <w:rsid w:val="00154414"/>
    <w:rsid w:val="00156C7A"/>
    <w:rsid w:val="0016145C"/>
    <w:rsid w:val="001614CC"/>
    <w:rsid w:val="00161C5E"/>
    <w:rsid w:val="001646F7"/>
    <w:rsid w:val="0016703D"/>
    <w:rsid w:val="0016788A"/>
    <w:rsid w:val="00167AC1"/>
    <w:rsid w:val="00167CF3"/>
    <w:rsid w:val="00167D35"/>
    <w:rsid w:val="00170708"/>
    <w:rsid w:val="00171462"/>
    <w:rsid w:val="00171B25"/>
    <w:rsid w:val="00172039"/>
    <w:rsid w:val="001745E9"/>
    <w:rsid w:val="0017526A"/>
    <w:rsid w:val="00175CBF"/>
    <w:rsid w:val="00175EB3"/>
    <w:rsid w:val="00176CBB"/>
    <w:rsid w:val="00176FB1"/>
    <w:rsid w:val="00177797"/>
    <w:rsid w:val="00180260"/>
    <w:rsid w:val="001808FA"/>
    <w:rsid w:val="00180CE6"/>
    <w:rsid w:val="00181652"/>
    <w:rsid w:val="00181D84"/>
    <w:rsid w:val="00182AE9"/>
    <w:rsid w:val="00183828"/>
    <w:rsid w:val="00184D22"/>
    <w:rsid w:val="001863A0"/>
    <w:rsid w:val="00186665"/>
    <w:rsid w:val="0018715F"/>
    <w:rsid w:val="001877BB"/>
    <w:rsid w:val="001910C6"/>
    <w:rsid w:val="001914D3"/>
    <w:rsid w:val="00195723"/>
    <w:rsid w:val="001957F9"/>
    <w:rsid w:val="00196E7C"/>
    <w:rsid w:val="00197F59"/>
    <w:rsid w:val="001A0110"/>
    <w:rsid w:val="001A04AA"/>
    <w:rsid w:val="001A0CAF"/>
    <w:rsid w:val="001A2E40"/>
    <w:rsid w:val="001A54F1"/>
    <w:rsid w:val="001A6358"/>
    <w:rsid w:val="001A6611"/>
    <w:rsid w:val="001A6C56"/>
    <w:rsid w:val="001B0612"/>
    <w:rsid w:val="001B113B"/>
    <w:rsid w:val="001B171F"/>
    <w:rsid w:val="001B1C81"/>
    <w:rsid w:val="001B1E64"/>
    <w:rsid w:val="001B2BAF"/>
    <w:rsid w:val="001B2ED0"/>
    <w:rsid w:val="001B6658"/>
    <w:rsid w:val="001B68CF"/>
    <w:rsid w:val="001B6954"/>
    <w:rsid w:val="001B73D8"/>
    <w:rsid w:val="001B7B6C"/>
    <w:rsid w:val="001C03DB"/>
    <w:rsid w:val="001C385F"/>
    <w:rsid w:val="001C3BFA"/>
    <w:rsid w:val="001C4BE7"/>
    <w:rsid w:val="001C62D8"/>
    <w:rsid w:val="001D0258"/>
    <w:rsid w:val="001D1890"/>
    <w:rsid w:val="001D1D11"/>
    <w:rsid w:val="001D21C4"/>
    <w:rsid w:val="001D234A"/>
    <w:rsid w:val="001D2F05"/>
    <w:rsid w:val="001D3168"/>
    <w:rsid w:val="001D3C2C"/>
    <w:rsid w:val="001D543D"/>
    <w:rsid w:val="001D6BCA"/>
    <w:rsid w:val="001D723C"/>
    <w:rsid w:val="001D7C6E"/>
    <w:rsid w:val="001E16F2"/>
    <w:rsid w:val="001E1BBA"/>
    <w:rsid w:val="001E2B3A"/>
    <w:rsid w:val="001E2BFF"/>
    <w:rsid w:val="001E2C52"/>
    <w:rsid w:val="001E607D"/>
    <w:rsid w:val="001E6B26"/>
    <w:rsid w:val="001F06C6"/>
    <w:rsid w:val="001F1DD9"/>
    <w:rsid w:val="001F28E1"/>
    <w:rsid w:val="001F2B6D"/>
    <w:rsid w:val="001F315B"/>
    <w:rsid w:val="001F33D8"/>
    <w:rsid w:val="001F37FE"/>
    <w:rsid w:val="001F3A2D"/>
    <w:rsid w:val="001F4113"/>
    <w:rsid w:val="001F4470"/>
    <w:rsid w:val="001F4736"/>
    <w:rsid w:val="001F5049"/>
    <w:rsid w:val="001F664D"/>
    <w:rsid w:val="001F6EB7"/>
    <w:rsid w:val="00200951"/>
    <w:rsid w:val="00201ABB"/>
    <w:rsid w:val="00203603"/>
    <w:rsid w:val="00203D23"/>
    <w:rsid w:val="00205DE1"/>
    <w:rsid w:val="00206477"/>
    <w:rsid w:val="00207A55"/>
    <w:rsid w:val="00210E02"/>
    <w:rsid w:val="00211C31"/>
    <w:rsid w:val="0021386B"/>
    <w:rsid w:val="0021454A"/>
    <w:rsid w:val="0021476D"/>
    <w:rsid w:val="00217BB8"/>
    <w:rsid w:val="0022070A"/>
    <w:rsid w:val="00221A44"/>
    <w:rsid w:val="0022263D"/>
    <w:rsid w:val="00223107"/>
    <w:rsid w:val="00223B35"/>
    <w:rsid w:val="00223BA6"/>
    <w:rsid w:val="00223EB0"/>
    <w:rsid w:val="002240CE"/>
    <w:rsid w:val="00224B95"/>
    <w:rsid w:val="002254BF"/>
    <w:rsid w:val="00225805"/>
    <w:rsid w:val="00226C0C"/>
    <w:rsid w:val="0022773C"/>
    <w:rsid w:val="00231F12"/>
    <w:rsid w:val="00233702"/>
    <w:rsid w:val="0023378B"/>
    <w:rsid w:val="00233B1E"/>
    <w:rsid w:val="00233D2B"/>
    <w:rsid w:val="00234BDA"/>
    <w:rsid w:val="00235D47"/>
    <w:rsid w:val="0023616B"/>
    <w:rsid w:val="00237691"/>
    <w:rsid w:val="00237BA1"/>
    <w:rsid w:val="00237EBF"/>
    <w:rsid w:val="002405A0"/>
    <w:rsid w:val="00241DC9"/>
    <w:rsid w:val="002424FD"/>
    <w:rsid w:val="00242824"/>
    <w:rsid w:val="00243670"/>
    <w:rsid w:val="002446FC"/>
    <w:rsid w:val="00244747"/>
    <w:rsid w:val="002448A2"/>
    <w:rsid w:val="00245A2F"/>
    <w:rsid w:val="00245EEA"/>
    <w:rsid w:val="00245F39"/>
    <w:rsid w:val="00246368"/>
    <w:rsid w:val="0024668A"/>
    <w:rsid w:val="00246D22"/>
    <w:rsid w:val="00246E1C"/>
    <w:rsid w:val="00250153"/>
    <w:rsid w:val="00251476"/>
    <w:rsid w:val="002515D2"/>
    <w:rsid w:val="00254050"/>
    <w:rsid w:val="00254A28"/>
    <w:rsid w:val="002558AB"/>
    <w:rsid w:val="00260015"/>
    <w:rsid w:val="0026035E"/>
    <w:rsid w:val="00261732"/>
    <w:rsid w:val="00261A27"/>
    <w:rsid w:val="00262420"/>
    <w:rsid w:val="00262566"/>
    <w:rsid w:val="00262A8F"/>
    <w:rsid w:val="002642DC"/>
    <w:rsid w:val="00264406"/>
    <w:rsid w:val="00265879"/>
    <w:rsid w:val="0026709A"/>
    <w:rsid w:val="00270A8E"/>
    <w:rsid w:val="00270DE2"/>
    <w:rsid w:val="00271E5F"/>
    <w:rsid w:val="00272F52"/>
    <w:rsid w:val="00273053"/>
    <w:rsid w:val="002740EF"/>
    <w:rsid w:val="00276E1F"/>
    <w:rsid w:val="00277060"/>
    <w:rsid w:val="002824BD"/>
    <w:rsid w:val="00282D10"/>
    <w:rsid w:val="00284163"/>
    <w:rsid w:val="002843E0"/>
    <w:rsid w:val="00284835"/>
    <w:rsid w:val="00286104"/>
    <w:rsid w:val="0028618E"/>
    <w:rsid w:val="002868D1"/>
    <w:rsid w:val="0029040B"/>
    <w:rsid w:val="002916FE"/>
    <w:rsid w:val="00295AD1"/>
    <w:rsid w:val="00295B30"/>
    <w:rsid w:val="002A1981"/>
    <w:rsid w:val="002A1F36"/>
    <w:rsid w:val="002A38BD"/>
    <w:rsid w:val="002A3D1D"/>
    <w:rsid w:val="002A3E36"/>
    <w:rsid w:val="002A43B5"/>
    <w:rsid w:val="002A53A5"/>
    <w:rsid w:val="002A5863"/>
    <w:rsid w:val="002A71D1"/>
    <w:rsid w:val="002A71FB"/>
    <w:rsid w:val="002B0F43"/>
    <w:rsid w:val="002B16F7"/>
    <w:rsid w:val="002B2018"/>
    <w:rsid w:val="002B3735"/>
    <w:rsid w:val="002B3882"/>
    <w:rsid w:val="002B55B1"/>
    <w:rsid w:val="002B6929"/>
    <w:rsid w:val="002B693F"/>
    <w:rsid w:val="002B6B03"/>
    <w:rsid w:val="002B7CB0"/>
    <w:rsid w:val="002C037A"/>
    <w:rsid w:val="002C05D6"/>
    <w:rsid w:val="002C0A3B"/>
    <w:rsid w:val="002C428B"/>
    <w:rsid w:val="002C496C"/>
    <w:rsid w:val="002C4FBF"/>
    <w:rsid w:val="002C5076"/>
    <w:rsid w:val="002C5CD6"/>
    <w:rsid w:val="002D0C1F"/>
    <w:rsid w:val="002D0EA6"/>
    <w:rsid w:val="002D1248"/>
    <w:rsid w:val="002D3FBB"/>
    <w:rsid w:val="002D5527"/>
    <w:rsid w:val="002D6976"/>
    <w:rsid w:val="002D7525"/>
    <w:rsid w:val="002D775B"/>
    <w:rsid w:val="002D7AA3"/>
    <w:rsid w:val="002D7D30"/>
    <w:rsid w:val="002D7F5A"/>
    <w:rsid w:val="002E06CF"/>
    <w:rsid w:val="002E27F8"/>
    <w:rsid w:val="002E33D4"/>
    <w:rsid w:val="002E4E9F"/>
    <w:rsid w:val="002E62C3"/>
    <w:rsid w:val="002E6313"/>
    <w:rsid w:val="002F1410"/>
    <w:rsid w:val="002F14A2"/>
    <w:rsid w:val="002F3068"/>
    <w:rsid w:val="002F3710"/>
    <w:rsid w:val="002F424B"/>
    <w:rsid w:val="002F5705"/>
    <w:rsid w:val="002F5DF0"/>
    <w:rsid w:val="002F671C"/>
    <w:rsid w:val="002F7E6E"/>
    <w:rsid w:val="00301AAD"/>
    <w:rsid w:val="00302462"/>
    <w:rsid w:val="00302BBF"/>
    <w:rsid w:val="00302FC9"/>
    <w:rsid w:val="0030394F"/>
    <w:rsid w:val="003049BA"/>
    <w:rsid w:val="00304B9C"/>
    <w:rsid w:val="00305058"/>
    <w:rsid w:val="00306F4A"/>
    <w:rsid w:val="003074CE"/>
    <w:rsid w:val="003120CE"/>
    <w:rsid w:val="003124C2"/>
    <w:rsid w:val="00313150"/>
    <w:rsid w:val="0031338B"/>
    <w:rsid w:val="00314581"/>
    <w:rsid w:val="00314D8C"/>
    <w:rsid w:val="003156D8"/>
    <w:rsid w:val="00315739"/>
    <w:rsid w:val="00315839"/>
    <w:rsid w:val="00315C7E"/>
    <w:rsid w:val="0031622D"/>
    <w:rsid w:val="00317CF2"/>
    <w:rsid w:val="003200AF"/>
    <w:rsid w:val="00320995"/>
    <w:rsid w:val="0032151E"/>
    <w:rsid w:val="0032222C"/>
    <w:rsid w:val="00322281"/>
    <w:rsid w:val="0032384F"/>
    <w:rsid w:val="00325464"/>
    <w:rsid w:val="00326EE4"/>
    <w:rsid w:val="00331508"/>
    <w:rsid w:val="00333EE9"/>
    <w:rsid w:val="00334127"/>
    <w:rsid w:val="0033487E"/>
    <w:rsid w:val="00335C78"/>
    <w:rsid w:val="00336C23"/>
    <w:rsid w:val="00336D64"/>
    <w:rsid w:val="00341A78"/>
    <w:rsid w:val="00344E71"/>
    <w:rsid w:val="00345FC9"/>
    <w:rsid w:val="003506E3"/>
    <w:rsid w:val="003509F3"/>
    <w:rsid w:val="003524C6"/>
    <w:rsid w:val="00352FB8"/>
    <w:rsid w:val="00354C12"/>
    <w:rsid w:val="00355FE5"/>
    <w:rsid w:val="00356AE5"/>
    <w:rsid w:val="003573F1"/>
    <w:rsid w:val="003574CA"/>
    <w:rsid w:val="00357DDE"/>
    <w:rsid w:val="0036071A"/>
    <w:rsid w:val="00361666"/>
    <w:rsid w:val="00361C6B"/>
    <w:rsid w:val="0036206E"/>
    <w:rsid w:val="00362A5A"/>
    <w:rsid w:val="00362D65"/>
    <w:rsid w:val="00363273"/>
    <w:rsid w:val="00363D9B"/>
    <w:rsid w:val="00365659"/>
    <w:rsid w:val="0036672C"/>
    <w:rsid w:val="00367607"/>
    <w:rsid w:val="0037161E"/>
    <w:rsid w:val="0037171B"/>
    <w:rsid w:val="00373D44"/>
    <w:rsid w:val="003740B5"/>
    <w:rsid w:val="00374355"/>
    <w:rsid w:val="003772E1"/>
    <w:rsid w:val="00377956"/>
    <w:rsid w:val="00380325"/>
    <w:rsid w:val="00380437"/>
    <w:rsid w:val="00380B85"/>
    <w:rsid w:val="00381ADA"/>
    <w:rsid w:val="00382774"/>
    <w:rsid w:val="00382BA8"/>
    <w:rsid w:val="003839D7"/>
    <w:rsid w:val="003844EE"/>
    <w:rsid w:val="00386137"/>
    <w:rsid w:val="00386F25"/>
    <w:rsid w:val="00387270"/>
    <w:rsid w:val="003877C4"/>
    <w:rsid w:val="00390765"/>
    <w:rsid w:val="00391699"/>
    <w:rsid w:val="00391D0F"/>
    <w:rsid w:val="00392773"/>
    <w:rsid w:val="0039315A"/>
    <w:rsid w:val="003932DD"/>
    <w:rsid w:val="003937E5"/>
    <w:rsid w:val="00394B60"/>
    <w:rsid w:val="00395F37"/>
    <w:rsid w:val="0039601F"/>
    <w:rsid w:val="00396586"/>
    <w:rsid w:val="00397F81"/>
    <w:rsid w:val="003A09C4"/>
    <w:rsid w:val="003A17F4"/>
    <w:rsid w:val="003A2F10"/>
    <w:rsid w:val="003A406A"/>
    <w:rsid w:val="003A52FD"/>
    <w:rsid w:val="003A586A"/>
    <w:rsid w:val="003A658D"/>
    <w:rsid w:val="003A6B0C"/>
    <w:rsid w:val="003B29EC"/>
    <w:rsid w:val="003B50E6"/>
    <w:rsid w:val="003B77E3"/>
    <w:rsid w:val="003C1061"/>
    <w:rsid w:val="003C27F9"/>
    <w:rsid w:val="003C2D82"/>
    <w:rsid w:val="003C3039"/>
    <w:rsid w:val="003C31DB"/>
    <w:rsid w:val="003C4B0B"/>
    <w:rsid w:val="003C5923"/>
    <w:rsid w:val="003C71EB"/>
    <w:rsid w:val="003C79D8"/>
    <w:rsid w:val="003C79E9"/>
    <w:rsid w:val="003D19D6"/>
    <w:rsid w:val="003D205A"/>
    <w:rsid w:val="003D2489"/>
    <w:rsid w:val="003D39C6"/>
    <w:rsid w:val="003D4509"/>
    <w:rsid w:val="003D4D68"/>
    <w:rsid w:val="003D5640"/>
    <w:rsid w:val="003D605F"/>
    <w:rsid w:val="003D7446"/>
    <w:rsid w:val="003D7BD7"/>
    <w:rsid w:val="003E1005"/>
    <w:rsid w:val="003E13B8"/>
    <w:rsid w:val="003E2B57"/>
    <w:rsid w:val="003E3386"/>
    <w:rsid w:val="003E3E4A"/>
    <w:rsid w:val="003E5948"/>
    <w:rsid w:val="003E5D21"/>
    <w:rsid w:val="003E6599"/>
    <w:rsid w:val="003E65EC"/>
    <w:rsid w:val="003E76C9"/>
    <w:rsid w:val="003E7C07"/>
    <w:rsid w:val="003F00B6"/>
    <w:rsid w:val="003F300A"/>
    <w:rsid w:val="003F3256"/>
    <w:rsid w:val="003F4D5F"/>
    <w:rsid w:val="003F6832"/>
    <w:rsid w:val="003F6908"/>
    <w:rsid w:val="004012E8"/>
    <w:rsid w:val="004062AF"/>
    <w:rsid w:val="00407274"/>
    <w:rsid w:val="00407C87"/>
    <w:rsid w:val="00407CA9"/>
    <w:rsid w:val="00410576"/>
    <w:rsid w:val="0041158D"/>
    <w:rsid w:val="0041359E"/>
    <w:rsid w:val="0041418C"/>
    <w:rsid w:val="004147C4"/>
    <w:rsid w:val="00414B08"/>
    <w:rsid w:val="00414FEE"/>
    <w:rsid w:val="0041561C"/>
    <w:rsid w:val="004161BA"/>
    <w:rsid w:val="004176BA"/>
    <w:rsid w:val="00417917"/>
    <w:rsid w:val="00420DDB"/>
    <w:rsid w:val="00422C89"/>
    <w:rsid w:val="00423FDE"/>
    <w:rsid w:val="004274EB"/>
    <w:rsid w:val="00427AA3"/>
    <w:rsid w:val="00431399"/>
    <w:rsid w:val="00431AD6"/>
    <w:rsid w:val="004323F3"/>
    <w:rsid w:val="004327E5"/>
    <w:rsid w:val="004330A7"/>
    <w:rsid w:val="00434091"/>
    <w:rsid w:val="004346D4"/>
    <w:rsid w:val="004354B7"/>
    <w:rsid w:val="00435704"/>
    <w:rsid w:val="004370CD"/>
    <w:rsid w:val="0044377F"/>
    <w:rsid w:val="00444C59"/>
    <w:rsid w:val="00450AAF"/>
    <w:rsid w:val="00451AEA"/>
    <w:rsid w:val="00452CF0"/>
    <w:rsid w:val="004535A1"/>
    <w:rsid w:val="004539A9"/>
    <w:rsid w:val="00454840"/>
    <w:rsid w:val="004554F1"/>
    <w:rsid w:val="00455616"/>
    <w:rsid w:val="00456293"/>
    <w:rsid w:val="0045750C"/>
    <w:rsid w:val="00457FC0"/>
    <w:rsid w:val="004601D6"/>
    <w:rsid w:val="00461AE2"/>
    <w:rsid w:val="00462234"/>
    <w:rsid w:val="00462973"/>
    <w:rsid w:val="0046348E"/>
    <w:rsid w:val="0046523F"/>
    <w:rsid w:val="004658FF"/>
    <w:rsid w:val="00465F96"/>
    <w:rsid w:val="00466218"/>
    <w:rsid w:val="00467689"/>
    <w:rsid w:val="00467F0F"/>
    <w:rsid w:val="00470772"/>
    <w:rsid w:val="00471CF1"/>
    <w:rsid w:val="004729D9"/>
    <w:rsid w:val="00473042"/>
    <w:rsid w:val="00473AA2"/>
    <w:rsid w:val="00475912"/>
    <w:rsid w:val="00477BDE"/>
    <w:rsid w:val="00480DDB"/>
    <w:rsid w:val="00481E5C"/>
    <w:rsid w:val="00482166"/>
    <w:rsid w:val="004823DA"/>
    <w:rsid w:val="00482875"/>
    <w:rsid w:val="0048293A"/>
    <w:rsid w:val="00483DB9"/>
    <w:rsid w:val="00484FC6"/>
    <w:rsid w:val="00485591"/>
    <w:rsid w:val="00485659"/>
    <w:rsid w:val="00486874"/>
    <w:rsid w:val="00487B2B"/>
    <w:rsid w:val="00491F28"/>
    <w:rsid w:val="00493012"/>
    <w:rsid w:val="00493646"/>
    <w:rsid w:val="004938BF"/>
    <w:rsid w:val="00493C68"/>
    <w:rsid w:val="0049484E"/>
    <w:rsid w:val="00494AAC"/>
    <w:rsid w:val="00494BDB"/>
    <w:rsid w:val="00494DC3"/>
    <w:rsid w:val="00494E49"/>
    <w:rsid w:val="00494F41"/>
    <w:rsid w:val="00496038"/>
    <w:rsid w:val="0049653F"/>
    <w:rsid w:val="00496F56"/>
    <w:rsid w:val="004A0966"/>
    <w:rsid w:val="004A0FE5"/>
    <w:rsid w:val="004A1224"/>
    <w:rsid w:val="004A133E"/>
    <w:rsid w:val="004A19E1"/>
    <w:rsid w:val="004A3DA8"/>
    <w:rsid w:val="004A51D1"/>
    <w:rsid w:val="004A7B8C"/>
    <w:rsid w:val="004B07F6"/>
    <w:rsid w:val="004B0810"/>
    <w:rsid w:val="004B0ECA"/>
    <w:rsid w:val="004B35B2"/>
    <w:rsid w:val="004B3EB6"/>
    <w:rsid w:val="004B4171"/>
    <w:rsid w:val="004B513E"/>
    <w:rsid w:val="004B5CC8"/>
    <w:rsid w:val="004B6A00"/>
    <w:rsid w:val="004C01F8"/>
    <w:rsid w:val="004C10B6"/>
    <w:rsid w:val="004C29D7"/>
    <w:rsid w:val="004C2BD0"/>
    <w:rsid w:val="004C4216"/>
    <w:rsid w:val="004C6F0E"/>
    <w:rsid w:val="004C7099"/>
    <w:rsid w:val="004C7212"/>
    <w:rsid w:val="004C7A7A"/>
    <w:rsid w:val="004C7FC3"/>
    <w:rsid w:val="004D0A51"/>
    <w:rsid w:val="004D3889"/>
    <w:rsid w:val="004D3F81"/>
    <w:rsid w:val="004D538D"/>
    <w:rsid w:val="004D6227"/>
    <w:rsid w:val="004D6526"/>
    <w:rsid w:val="004D6D9B"/>
    <w:rsid w:val="004D71F9"/>
    <w:rsid w:val="004D7A62"/>
    <w:rsid w:val="004D7BC2"/>
    <w:rsid w:val="004D7C69"/>
    <w:rsid w:val="004E0691"/>
    <w:rsid w:val="004E317E"/>
    <w:rsid w:val="004E3244"/>
    <w:rsid w:val="004E36F8"/>
    <w:rsid w:val="004E380D"/>
    <w:rsid w:val="004E3BCA"/>
    <w:rsid w:val="004E5059"/>
    <w:rsid w:val="004E545B"/>
    <w:rsid w:val="004E5BA4"/>
    <w:rsid w:val="004F22EF"/>
    <w:rsid w:val="004F2D5D"/>
    <w:rsid w:val="004F4540"/>
    <w:rsid w:val="004F5163"/>
    <w:rsid w:val="004F524A"/>
    <w:rsid w:val="004F6DE6"/>
    <w:rsid w:val="004F6FB8"/>
    <w:rsid w:val="004F72FD"/>
    <w:rsid w:val="004F7AC6"/>
    <w:rsid w:val="005002F1"/>
    <w:rsid w:val="00501769"/>
    <w:rsid w:val="00503F44"/>
    <w:rsid w:val="00504DB0"/>
    <w:rsid w:val="00505A15"/>
    <w:rsid w:val="00506F65"/>
    <w:rsid w:val="00507130"/>
    <w:rsid w:val="00507964"/>
    <w:rsid w:val="00510349"/>
    <w:rsid w:val="005124AB"/>
    <w:rsid w:val="00513A93"/>
    <w:rsid w:val="0051560C"/>
    <w:rsid w:val="005156C3"/>
    <w:rsid w:val="00520901"/>
    <w:rsid w:val="0052099B"/>
    <w:rsid w:val="0052381B"/>
    <w:rsid w:val="00523EFA"/>
    <w:rsid w:val="00524BFC"/>
    <w:rsid w:val="00524DC3"/>
    <w:rsid w:val="005253FF"/>
    <w:rsid w:val="00525544"/>
    <w:rsid w:val="005308BC"/>
    <w:rsid w:val="00531893"/>
    <w:rsid w:val="00531EB6"/>
    <w:rsid w:val="00533C03"/>
    <w:rsid w:val="00534492"/>
    <w:rsid w:val="00534FEF"/>
    <w:rsid w:val="005372FA"/>
    <w:rsid w:val="005400FC"/>
    <w:rsid w:val="005413E7"/>
    <w:rsid w:val="0054214C"/>
    <w:rsid w:val="00542692"/>
    <w:rsid w:val="0054423C"/>
    <w:rsid w:val="005462C0"/>
    <w:rsid w:val="00547599"/>
    <w:rsid w:val="005477E8"/>
    <w:rsid w:val="00547F04"/>
    <w:rsid w:val="00550455"/>
    <w:rsid w:val="00550777"/>
    <w:rsid w:val="005521DE"/>
    <w:rsid w:val="0055230F"/>
    <w:rsid w:val="00553A36"/>
    <w:rsid w:val="00553E5B"/>
    <w:rsid w:val="00554214"/>
    <w:rsid w:val="00554971"/>
    <w:rsid w:val="0055516F"/>
    <w:rsid w:val="0055566E"/>
    <w:rsid w:val="0055638B"/>
    <w:rsid w:val="00556937"/>
    <w:rsid w:val="00557F6E"/>
    <w:rsid w:val="005601B3"/>
    <w:rsid w:val="00560951"/>
    <w:rsid w:val="00560DF9"/>
    <w:rsid w:val="00561198"/>
    <w:rsid w:val="0056184B"/>
    <w:rsid w:val="00561A7D"/>
    <w:rsid w:val="005638B7"/>
    <w:rsid w:val="005643C6"/>
    <w:rsid w:val="005647FF"/>
    <w:rsid w:val="0056757E"/>
    <w:rsid w:val="005678C1"/>
    <w:rsid w:val="0056793B"/>
    <w:rsid w:val="0057074D"/>
    <w:rsid w:val="00571FB0"/>
    <w:rsid w:val="005724C2"/>
    <w:rsid w:val="00572893"/>
    <w:rsid w:val="00573B7C"/>
    <w:rsid w:val="00574293"/>
    <w:rsid w:val="005747F6"/>
    <w:rsid w:val="00577193"/>
    <w:rsid w:val="005805B3"/>
    <w:rsid w:val="00580A4F"/>
    <w:rsid w:val="005822DE"/>
    <w:rsid w:val="005828E3"/>
    <w:rsid w:val="00583B44"/>
    <w:rsid w:val="00584ECD"/>
    <w:rsid w:val="00587819"/>
    <w:rsid w:val="00587C1F"/>
    <w:rsid w:val="00587F74"/>
    <w:rsid w:val="00590045"/>
    <w:rsid w:val="00590FB3"/>
    <w:rsid w:val="005928D3"/>
    <w:rsid w:val="00593F53"/>
    <w:rsid w:val="0059464E"/>
    <w:rsid w:val="00595D64"/>
    <w:rsid w:val="00596A53"/>
    <w:rsid w:val="005A010C"/>
    <w:rsid w:val="005A01DF"/>
    <w:rsid w:val="005A02D2"/>
    <w:rsid w:val="005A2D6C"/>
    <w:rsid w:val="005A4DC0"/>
    <w:rsid w:val="005B02AE"/>
    <w:rsid w:val="005B0C0A"/>
    <w:rsid w:val="005B15AC"/>
    <w:rsid w:val="005B1D52"/>
    <w:rsid w:val="005B2ACD"/>
    <w:rsid w:val="005B2E88"/>
    <w:rsid w:val="005B389D"/>
    <w:rsid w:val="005B4701"/>
    <w:rsid w:val="005B481C"/>
    <w:rsid w:val="005B59E2"/>
    <w:rsid w:val="005B6E68"/>
    <w:rsid w:val="005B7FC0"/>
    <w:rsid w:val="005C0578"/>
    <w:rsid w:val="005C0AC5"/>
    <w:rsid w:val="005C1DA5"/>
    <w:rsid w:val="005C2928"/>
    <w:rsid w:val="005C297C"/>
    <w:rsid w:val="005C7C04"/>
    <w:rsid w:val="005D2F4A"/>
    <w:rsid w:val="005D3F4F"/>
    <w:rsid w:val="005D4A78"/>
    <w:rsid w:val="005D5907"/>
    <w:rsid w:val="005D5EA2"/>
    <w:rsid w:val="005D6B0A"/>
    <w:rsid w:val="005D744F"/>
    <w:rsid w:val="005D7645"/>
    <w:rsid w:val="005E091C"/>
    <w:rsid w:val="005E1EE2"/>
    <w:rsid w:val="005E47EB"/>
    <w:rsid w:val="005E4C53"/>
    <w:rsid w:val="005E6247"/>
    <w:rsid w:val="005F09FB"/>
    <w:rsid w:val="005F0E23"/>
    <w:rsid w:val="005F29AB"/>
    <w:rsid w:val="005F36E4"/>
    <w:rsid w:val="005F4FCF"/>
    <w:rsid w:val="005F511C"/>
    <w:rsid w:val="005F59E0"/>
    <w:rsid w:val="005F6012"/>
    <w:rsid w:val="005F6221"/>
    <w:rsid w:val="005F6AE8"/>
    <w:rsid w:val="00601646"/>
    <w:rsid w:val="00602D0A"/>
    <w:rsid w:val="00603386"/>
    <w:rsid w:val="00604188"/>
    <w:rsid w:val="00604395"/>
    <w:rsid w:val="006059D4"/>
    <w:rsid w:val="006103F6"/>
    <w:rsid w:val="00610E49"/>
    <w:rsid w:val="0061111B"/>
    <w:rsid w:val="006111E2"/>
    <w:rsid w:val="006115D4"/>
    <w:rsid w:val="00611720"/>
    <w:rsid w:val="006117C5"/>
    <w:rsid w:val="006135FD"/>
    <w:rsid w:val="00613902"/>
    <w:rsid w:val="00613FDF"/>
    <w:rsid w:val="00616200"/>
    <w:rsid w:val="0061624A"/>
    <w:rsid w:val="00616569"/>
    <w:rsid w:val="006165E1"/>
    <w:rsid w:val="00617125"/>
    <w:rsid w:val="006209AF"/>
    <w:rsid w:val="006213D5"/>
    <w:rsid w:val="00625AC0"/>
    <w:rsid w:val="00626528"/>
    <w:rsid w:val="00627369"/>
    <w:rsid w:val="0063042B"/>
    <w:rsid w:val="00632478"/>
    <w:rsid w:val="0063317E"/>
    <w:rsid w:val="00633522"/>
    <w:rsid w:val="00633AE9"/>
    <w:rsid w:val="00633FDE"/>
    <w:rsid w:val="006360B7"/>
    <w:rsid w:val="00636C40"/>
    <w:rsid w:val="00636F4F"/>
    <w:rsid w:val="00637CA3"/>
    <w:rsid w:val="006400E5"/>
    <w:rsid w:val="0064110D"/>
    <w:rsid w:val="0064115F"/>
    <w:rsid w:val="0064123C"/>
    <w:rsid w:val="00641DB2"/>
    <w:rsid w:val="006439E3"/>
    <w:rsid w:val="00643CF8"/>
    <w:rsid w:val="00644091"/>
    <w:rsid w:val="00645688"/>
    <w:rsid w:val="00645BBB"/>
    <w:rsid w:val="006460AB"/>
    <w:rsid w:val="006476D9"/>
    <w:rsid w:val="00647FA2"/>
    <w:rsid w:val="006534C0"/>
    <w:rsid w:val="00653519"/>
    <w:rsid w:val="00653888"/>
    <w:rsid w:val="00653EBB"/>
    <w:rsid w:val="0065479B"/>
    <w:rsid w:val="00655608"/>
    <w:rsid w:val="00655B9C"/>
    <w:rsid w:val="006571FF"/>
    <w:rsid w:val="006573C1"/>
    <w:rsid w:val="00657491"/>
    <w:rsid w:val="00661901"/>
    <w:rsid w:val="0066213C"/>
    <w:rsid w:val="00662767"/>
    <w:rsid w:val="00662771"/>
    <w:rsid w:val="0066394F"/>
    <w:rsid w:val="00670148"/>
    <w:rsid w:val="0067099B"/>
    <w:rsid w:val="00671422"/>
    <w:rsid w:val="006714AF"/>
    <w:rsid w:val="0067164E"/>
    <w:rsid w:val="006728A5"/>
    <w:rsid w:val="006738D6"/>
    <w:rsid w:val="00675135"/>
    <w:rsid w:val="00675166"/>
    <w:rsid w:val="0067606A"/>
    <w:rsid w:val="006760C8"/>
    <w:rsid w:val="00676827"/>
    <w:rsid w:val="00677968"/>
    <w:rsid w:val="00680951"/>
    <w:rsid w:val="006810A3"/>
    <w:rsid w:val="00682BE2"/>
    <w:rsid w:val="00682CA8"/>
    <w:rsid w:val="00683B13"/>
    <w:rsid w:val="00684B8E"/>
    <w:rsid w:val="00684BD5"/>
    <w:rsid w:val="006854D1"/>
    <w:rsid w:val="00685E18"/>
    <w:rsid w:val="00686675"/>
    <w:rsid w:val="00687CC8"/>
    <w:rsid w:val="0069041B"/>
    <w:rsid w:val="006909A2"/>
    <w:rsid w:val="00690E98"/>
    <w:rsid w:val="00691072"/>
    <w:rsid w:val="00691395"/>
    <w:rsid w:val="006925B2"/>
    <w:rsid w:val="00692D40"/>
    <w:rsid w:val="00692DD2"/>
    <w:rsid w:val="0069430E"/>
    <w:rsid w:val="00694A9D"/>
    <w:rsid w:val="006955A6"/>
    <w:rsid w:val="006955F6"/>
    <w:rsid w:val="00695641"/>
    <w:rsid w:val="00695E70"/>
    <w:rsid w:val="006974EF"/>
    <w:rsid w:val="006978DA"/>
    <w:rsid w:val="006979AE"/>
    <w:rsid w:val="006A01A8"/>
    <w:rsid w:val="006A0AF8"/>
    <w:rsid w:val="006A4B52"/>
    <w:rsid w:val="006A5512"/>
    <w:rsid w:val="006A5903"/>
    <w:rsid w:val="006A7102"/>
    <w:rsid w:val="006A722D"/>
    <w:rsid w:val="006B07ED"/>
    <w:rsid w:val="006B0CF3"/>
    <w:rsid w:val="006B2340"/>
    <w:rsid w:val="006B2771"/>
    <w:rsid w:val="006B2C4A"/>
    <w:rsid w:val="006B3611"/>
    <w:rsid w:val="006B3940"/>
    <w:rsid w:val="006B3AFC"/>
    <w:rsid w:val="006B42BE"/>
    <w:rsid w:val="006B5674"/>
    <w:rsid w:val="006B5C9E"/>
    <w:rsid w:val="006B7C81"/>
    <w:rsid w:val="006C01BC"/>
    <w:rsid w:val="006C5970"/>
    <w:rsid w:val="006C626E"/>
    <w:rsid w:val="006D0168"/>
    <w:rsid w:val="006D12FA"/>
    <w:rsid w:val="006D1E47"/>
    <w:rsid w:val="006D2E96"/>
    <w:rsid w:val="006D3298"/>
    <w:rsid w:val="006D3D12"/>
    <w:rsid w:val="006D3FEA"/>
    <w:rsid w:val="006D6EA2"/>
    <w:rsid w:val="006E0F30"/>
    <w:rsid w:val="006E108A"/>
    <w:rsid w:val="006E19FF"/>
    <w:rsid w:val="006E236A"/>
    <w:rsid w:val="006E266F"/>
    <w:rsid w:val="006E32B1"/>
    <w:rsid w:val="006E5C21"/>
    <w:rsid w:val="006E64EB"/>
    <w:rsid w:val="006E7ACB"/>
    <w:rsid w:val="006F0530"/>
    <w:rsid w:val="006F0795"/>
    <w:rsid w:val="006F0E9B"/>
    <w:rsid w:val="006F1B09"/>
    <w:rsid w:val="006F1F3C"/>
    <w:rsid w:val="006F34F1"/>
    <w:rsid w:val="006F43E6"/>
    <w:rsid w:val="006F56CB"/>
    <w:rsid w:val="006F6DC3"/>
    <w:rsid w:val="0070094F"/>
    <w:rsid w:val="00702274"/>
    <w:rsid w:val="00703BA6"/>
    <w:rsid w:val="007114EF"/>
    <w:rsid w:val="00711DDD"/>
    <w:rsid w:val="00712EEB"/>
    <w:rsid w:val="00713892"/>
    <w:rsid w:val="0071390C"/>
    <w:rsid w:val="007141F6"/>
    <w:rsid w:val="00715C80"/>
    <w:rsid w:val="00716929"/>
    <w:rsid w:val="00716C3E"/>
    <w:rsid w:val="00717293"/>
    <w:rsid w:val="00720815"/>
    <w:rsid w:val="0072115B"/>
    <w:rsid w:val="007211B8"/>
    <w:rsid w:val="00722285"/>
    <w:rsid w:val="00722315"/>
    <w:rsid w:val="007223E5"/>
    <w:rsid w:val="00723452"/>
    <w:rsid w:val="00725525"/>
    <w:rsid w:val="00725E15"/>
    <w:rsid w:val="00727456"/>
    <w:rsid w:val="00727CF4"/>
    <w:rsid w:val="00727E5C"/>
    <w:rsid w:val="00730769"/>
    <w:rsid w:val="00730EE0"/>
    <w:rsid w:val="007319CA"/>
    <w:rsid w:val="00732E01"/>
    <w:rsid w:val="00733B00"/>
    <w:rsid w:val="00734CDA"/>
    <w:rsid w:val="00734E66"/>
    <w:rsid w:val="0073643E"/>
    <w:rsid w:val="00736895"/>
    <w:rsid w:val="0073697C"/>
    <w:rsid w:val="00737F83"/>
    <w:rsid w:val="00741A9B"/>
    <w:rsid w:val="00741B93"/>
    <w:rsid w:val="00742087"/>
    <w:rsid w:val="00743138"/>
    <w:rsid w:val="0074351A"/>
    <w:rsid w:val="007437FF"/>
    <w:rsid w:val="007440FF"/>
    <w:rsid w:val="00744259"/>
    <w:rsid w:val="007450EF"/>
    <w:rsid w:val="0075094A"/>
    <w:rsid w:val="00751885"/>
    <w:rsid w:val="00751F30"/>
    <w:rsid w:val="007537FC"/>
    <w:rsid w:val="0075544E"/>
    <w:rsid w:val="00755B47"/>
    <w:rsid w:val="007606F9"/>
    <w:rsid w:val="0076133F"/>
    <w:rsid w:val="0076264D"/>
    <w:rsid w:val="007652FE"/>
    <w:rsid w:val="00765C22"/>
    <w:rsid w:val="00766E2E"/>
    <w:rsid w:val="00767FAA"/>
    <w:rsid w:val="007700DF"/>
    <w:rsid w:val="00770FF9"/>
    <w:rsid w:val="00771223"/>
    <w:rsid w:val="00772E76"/>
    <w:rsid w:val="00773305"/>
    <w:rsid w:val="007748CB"/>
    <w:rsid w:val="00774C06"/>
    <w:rsid w:val="00780465"/>
    <w:rsid w:val="00780A69"/>
    <w:rsid w:val="00780B5A"/>
    <w:rsid w:val="00781973"/>
    <w:rsid w:val="00782438"/>
    <w:rsid w:val="007824AE"/>
    <w:rsid w:val="00782AA0"/>
    <w:rsid w:val="00782D51"/>
    <w:rsid w:val="00784F8D"/>
    <w:rsid w:val="0078530B"/>
    <w:rsid w:val="00785D4B"/>
    <w:rsid w:val="0078685E"/>
    <w:rsid w:val="00787492"/>
    <w:rsid w:val="00787E5A"/>
    <w:rsid w:val="00790ACB"/>
    <w:rsid w:val="007923E7"/>
    <w:rsid w:val="00792647"/>
    <w:rsid w:val="0079457E"/>
    <w:rsid w:val="007952BB"/>
    <w:rsid w:val="007967C4"/>
    <w:rsid w:val="00797032"/>
    <w:rsid w:val="0079711C"/>
    <w:rsid w:val="00797620"/>
    <w:rsid w:val="007A084F"/>
    <w:rsid w:val="007A0A19"/>
    <w:rsid w:val="007A0B75"/>
    <w:rsid w:val="007A13BF"/>
    <w:rsid w:val="007A13FF"/>
    <w:rsid w:val="007A15D7"/>
    <w:rsid w:val="007A5227"/>
    <w:rsid w:val="007A57DC"/>
    <w:rsid w:val="007A59AB"/>
    <w:rsid w:val="007A608C"/>
    <w:rsid w:val="007A60EB"/>
    <w:rsid w:val="007A7DFA"/>
    <w:rsid w:val="007B0262"/>
    <w:rsid w:val="007B31B7"/>
    <w:rsid w:val="007B3735"/>
    <w:rsid w:val="007B59F9"/>
    <w:rsid w:val="007B627F"/>
    <w:rsid w:val="007B77E6"/>
    <w:rsid w:val="007B7E7A"/>
    <w:rsid w:val="007C12B9"/>
    <w:rsid w:val="007C18F0"/>
    <w:rsid w:val="007C1FA3"/>
    <w:rsid w:val="007C274B"/>
    <w:rsid w:val="007C3BE6"/>
    <w:rsid w:val="007C3CCC"/>
    <w:rsid w:val="007C3FAE"/>
    <w:rsid w:val="007C41CC"/>
    <w:rsid w:val="007C4793"/>
    <w:rsid w:val="007C47AD"/>
    <w:rsid w:val="007C7CDC"/>
    <w:rsid w:val="007C7D93"/>
    <w:rsid w:val="007D25F7"/>
    <w:rsid w:val="007D2846"/>
    <w:rsid w:val="007D2C6D"/>
    <w:rsid w:val="007D3D7D"/>
    <w:rsid w:val="007D442A"/>
    <w:rsid w:val="007D5BA7"/>
    <w:rsid w:val="007D6ED8"/>
    <w:rsid w:val="007D7A24"/>
    <w:rsid w:val="007D7C5A"/>
    <w:rsid w:val="007E1DFB"/>
    <w:rsid w:val="007E27A0"/>
    <w:rsid w:val="007E3B40"/>
    <w:rsid w:val="007E4342"/>
    <w:rsid w:val="007E479B"/>
    <w:rsid w:val="007E4D5D"/>
    <w:rsid w:val="007E4E2C"/>
    <w:rsid w:val="007E6456"/>
    <w:rsid w:val="007E6C82"/>
    <w:rsid w:val="007E7451"/>
    <w:rsid w:val="007E7799"/>
    <w:rsid w:val="007E7C77"/>
    <w:rsid w:val="007F0E5A"/>
    <w:rsid w:val="007F127F"/>
    <w:rsid w:val="007F2C1E"/>
    <w:rsid w:val="007F38F7"/>
    <w:rsid w:val="007F39CD"/>
    <w:rsid w:val="007F49C1"/>
    <w:rsid w:val="007F5A44"/>
    <w:rsid w:val="007F6463"/>
    <w:rsid w:val="007F798D"/>
    <w:rsid w:val="0080018D"/>
    <w:rsid w:val="00800960"/>
    <w:rsid w:val="00800A25"/>
    <w:rsid w:val="00801ED9"/>
    <w:rsid w:val="0080335D"/>
    <w:rsid w:val="00803939"/>
    <w:rsid w:val="0080403F"/>
    <w:rsid w:val="0080525C"/>
    <w:rsid w:val="0080583C"/>
    <w:rsid w:val="00806646"/>
    <w:rsid w:val="0080696D"/>
    <w:rsid w:val="00806DBC"/>
    <w:rsid w:val="0080710B"/>
    <w:rsid w:val="008076A8"/>
    <w:rsid w:val="00810700"/>
    <w:rsid w:val="008123D9"/>
    <w:rsid w:val="00812483"/>
    <w:rsid w:val="008128C6"/>
    <w:rsid w:val="00814120"/>
    <w:rsid w:val="00814296"/>
    <w:rsid w:val="0081488C"/>
    <w:rsid w:val="0081513C"/>
    <w:rsid w:val="00815E62"/>
    <w:rsid w:val="00816D37"/>
    <w:rsid w:val="00820914"/>
    <w:rsid w:val="0082282C"/>
    <w:rsid w:val="008239BC"/>
    <w:rsid w:val="0082447D"/>
    <w:rsid w:val="00825B3B"/>
    <w:rsid w:val="008261B1"/>
    <w:rsid w:val="008262AA"/>
    <w:rsid w:val="00830D24"/>
    <w:rsid w:val="00833528"/>
    <w:rsid w:val="008348FE"/>
    <w:rsid w:val="00835177"/>
    <w:rsid w:val="00835259"/>
    <w:rsid w:val="008354E7"/>
    <w:rsid w:val="008415BE"/>
    <w:rsid w:val="00841890"/>
    <w:rsid w:val="008422D6"/>
    <w:rsid w:val="00842809"/>
    <w:rsid w:val="00842880"/>
    <w:rsid w:val="008449EB"/>
    <w:rsid w:val="0084709B"/>
    <w:rsid w:val="0084799C"/>
    <w:rsid w:val="008500EB"/>
    <w:rsid w:val="00851B70"/>
    <w:rsid w:val="00851D89"/>
    <w:rsid w:val="0085284A"/>
    <w:rsid w:val="00853343"/>
    <w:rsid w:val="00853FB0"/>
    <w:rsid w:val="0085548A"/>
    <w:rsid w:val="00855676"/>
    <w:rsid w:val="008561F7"/>
    <w:rsid w:val="008569E4"/>
    <w:rsid w:val="0085711B"/>
    <w:rsid w:val="0086072F"/>
    <w:rsid w:val="00861722"/>
    <w:rsid w:val="0086175C"/>
    <w:rsid w:val="00861CE5"/>
    <w:rsid w:val="00862118"/>
    <w:rsid w:val="008625DC"/>
    <w:rsid w:val="00862F62"/>
    <w:rsid w:val="0086375E"/>
    <w:rsid w:val="00864C43"/>
    <w:rsid w:val="008651C2"/>
    <w:rsid w:val="008674B0"/>
    <w:rsid w:val="008704FE"/>
    <w:rsid w:val="00870803"/>
    <w:rsid w:val="0087196C"/>
    <w:rsid w:val="00873AA9"/>
    <w:rsid w:val="00874195"/>
    <w:rsid w:val="00874851"/>
    <w:rsid w:val="00874D50"/>
    <w:rsid w:val="00877252"/>
    <w:rsid w:val="00880AB3"/>
    <w:rsid w:val="008819CB"/>
    <w:rsid w:val="008829D2"/>
    <w:rsid w:val="00882A9A"/>
    <w:rsid w:val="00882ACB"/>
    <w:rsid w:val="008844F0"/>
    <w:rsid w:val="00884B97"/>
    <w:rsid w:val="00884BAD"/>
    <w:rsid w:val="00884D98"/>
    <w:rsid w:val="0088608A"/>
    <w:rsid w:val="008864DA"/>
    <w:rsid w:val="00886901"/>
    <w:rsid w:val="008927B2"/>
    <w:rsid w:val="008933B1"/>
    <w:rsid w:val="00893560"/>
    <w:rsid w:val="008963F4"/>
    <w:rsid w:val="00896A98"/>
    <w:rsid w:val="008A004D"/>
    <w:rsid w:val="008A0727"/>
    <w:rsid w:val="008A2BA0"/>
    <w:rsid w:val="008A2F51"/>
    <w:rsid w:val="008A5272"/>
    <w:rsid w:val="008A5729"/>
    <w:rsid w:val="008A6069"/>
    <w:rsid w:val="008A63B3"/>
    <w:rsid w:val="008A70C9"/>
    <w:rsid w:val="008A79B4"/>
    <w:rsid w:val="008B0031"/>
    <w:rsid w:val="008B1462"/>
    <w:rsid w:val="008B2557"/>
    <w:rsid w:val="008B2BB6"/>
    <w:rsid w:val="008B2D4F"/>
    <w:rsid w:val="008B4DE7"/>
    <w:rsid w:val="008B5F00"/>
    <w:rsid w:val="008B63FE"/>
    <w:rsid w:val="008B764B"/>
    <w:rsid w:val="008C0161"/>
    <w:rsid w:val="008C2E71"/>
    <w:rsid w:val="008C2E76"/>
    <w:rsid w:val="008C454C"/>
    <w:rsid w:val="008C4A4A"/>
    <w:rsid w:val="008C4ED9"/>
    <w:rsid w:val="008C590D"/>
    <w:rsid w:val="008C6BEB"/>
    <w:rsid w:val="008C6FF9"/>
    <w:rsid w:val="008C7B8F"/>
    <w:rsid w:val="008D00DD"/>
    <w:rsid w:val="008D247B"/>
    <w:rsid w:val="008D368D"/>
    <w:rsid w:val="008D4345"/>
    <w:rsid w:val="008D5299"/>
    <w:rsid w:val="008D54E1"/>
    <w:rsid w:val="008D55F4"/>
    <w:rsid w:val="008D758C"/>
    <w:rsid w:val="008E0CF7"/>
    <w:rsid w:val="008E2B62"/>
    <w:rsid w:val="008E2CE8"/>
    <w:rsid w:val="008E4177"/>
    <w:rsid w:val="008E453B"/>
    <w:rsid w:val="008E4D22"/>
    <w:rsid w:val="008E59AB"/>
    <w:rsid w:val="008E5DCC"/>
    <w:rsid w:val="008F0F26"/>
    <w:rsid w:val="008F123E"/>
    <w:rsid w:val="008F2280"/>
    <w:rsid w:val="008F27F0"/>
    <w:rsid w:val="008F34B0"/>
    <w:rsid w:val="008F3BAE"/>
    <w:rsid w:val="008F4E50"/>
    <w:rsid w:val="008F777E"/>
    <w:rsid w:val="008F7EC0"/>
    <w:rsid w:val="00900ACC"/>
    <w:rsid w:val="00900C5B"/>
    <w:rsid w:val="009037AE"/>
    <w:rsid w:val="00903A26"/>
    <w:rsid w:val="00905779"/>
    <w:rsid w:val="00905EE9"/>
    <w:rsid w:val="0090781F"/>
    <w:rsid w:val="00907BEB"/>
    <w:rsid w:val="00911588"/>
    <w:rsid w:val="00912E48"/>
    <w:rsid w:val="0091355B"/>
    <w:rsid w:val="00913CC0"/>
    <w:rsid w:val="0091437D"/>
    <w:rsid w:val="00914828"/>
    <w:rsid w:val="00921EF8"/>
    <w:rsid w:val="00922353"/>
    <w:rsid w:val="00922E65"/>
    <w:rsid w:val="00923157"/>
    <w:rsid w:val="00924270"/>
    <w:rsid w:val="009242A1"/>
    <w:rsid w:val="009271BC"/>
    <w:rsid w:val="0092734E"/>
    <w:rsid w:val="009305CC"/>
    <w:rsid w:val="009308B6"/>
    <w:rsid w:val="00931320"/>
    <w:rsid w:val="00931B6D"/>
    <w:rsid w:val="00933530"/>
    <w:rsid w:val="00933572"/>
    <w:rsid w:val="00933962"/>
    <w:rsid w:val="00933A74"/>
    <w:rsid w:val="00933B6C"/>
    <w:rsid w:val="009344AA"/>
    <w:rsid w:val="0093471C"/>
    <w:rsid w:val="00935621"/>
    <w:rsid w:val="00935FD6"/>
    <w:rsid w:val="00936C2C"/>
    <w:rsid w:val="00937660"/>
    <w:rsid w:val="00940E9B"/>
    <w:rsid w:val="00941DCA"/>
    <w:rsid w:val="00942D43"/>
    <w:rsid w:val="00943E3A"/>
    <w:rsid w:val="00944F2E"/>
    <w:rsid w:val="00945CE0"/>
    <w:rsid w:val="00947FEC"/>
    <w:rsid w:val="00950F99"/>
    <w:rsid w:val="00951D9C"/>
    <w:rsid w:val="00951EEA"/>
    <w:rsid w:val="00955475"/>
    <w:rsid w:val="009559F6"/>
    <w:rsid w:val="00955ADC"/>
    <w:rsid w:val="009572AE"/>
    <w:rsid w:val="009577B7"/>
    <w:rsid w:val="00957CD6"/>
    <w:rsid w:val="00961A35"/>
    <w:rsid w:val="00962721"/>
    <w:rsid w:val="00963912"/>
    <w:rsid w:val="0096449A"/>
    <w:rsid w:val="009650F4"/>
    <w:rsid w:val="0096656A"/>
    <w:rsid w:val="00966B64"/>
    <w:rsid w:val="009672AD"/>
    <w:rsid w:val="00967D25"/>
    <w:rsid w:val="00970325"/>
    <w:rsid w:val="0097080A"/>
    <w:rsid w:val="00971014"/>
    <w:rsid w:val="0097153D"/>
    <w:rsid w:val="0097401F"/>
    <w:rsid w:val="0097402B"/>
    <w:rsid w:val="00974823"/>
    <w:rsid w:val="009749D1"/>
    <w:rsid w:val="00974C9F"/>
    <w:rsid w:val="00974FBD"/>
    <w:rsid w:val="009759DE"/>
    <w:rsid w:val="00976AF8"/>
    <w:rsid w:val="00980215"/>
    <w:rsid w:val="00980923"/>
    <w:rsid w:val="009811A8"/>
    <w:rsid w:val="009821C2"/>
    <w:rsid w:val="009838A8"/>
    <w:rsid w:val="009849FA"/>
    <w:rsid w:val="00984FF3"/>
    <w:rsid w:val="00986852"/>
    <w:rsid w:val="0098725B"/>
    <w:rsid w:val="00987AB0"/>
    <w:rsid w:val="00987D11"/>
    <w:rsid w:val="00992F68"/>
    <w:rsid w:val="0099482C"/>
    <w:rsid w:val="00996BD5"/>
    <w:rsid w:val="009A0B99"/>
    <w:rsid w:val="009A4406"/>
    <w:rsid w:val="009A4E24"/>
    <w:rsid w:val="009A51CF"/>
    <w:rsid w:val="009A6FF3"/>
    <w:rsid w:val="009A7434"/>
    <w:rsid w:val="009B1118"/>
    <w:rsid w:val="009B1D9E"/>
    <w:rsid w:val="009B26E8"/>
    <w:rsid w:val="009B296F"/>
    <w:rsid w:val="009B2D2C"/>
    <w:rsid w:val="009B32D0"/>
    <w:rsid w:val="009B3BE6"/>
    <w:rsid w:val="009B41C4"/>
    <w:rsid w:val="009B43BB"/>
    <w:rsid w:val="009B43F3"/>
    <w:rsid w:val="009B4657"/>
    <w:rsid w:val="009B4B67"/>
    <w:rsid w:val="009B4C31"/>
    <w:rsid w:val="009B519E"/>
    <w:rsid w:val="009C1759"/>
    <w:rsid w:val="009C1909"/>
    <w:rsid w:val="009C2DC8"/>
    <w:rsid w:val="009C34EA"/>
    <w:rsid w:val="009C5AC3"/>
    <w:rsid w:val="009C651A"/>
    <w:rsid w:val="009D0175"/>
    <w:rsid w:val="009D112A"/>
    <w:rsid w:val="009D4068"/>
    <w:rsid w:val="009D4DC1"/>
    <w:rsid w:val="009D4FE2"/>
    <w:rsid w:val="009D54CB"/>
    <w:rsid w:val="009D62B1"/>
    <w:rsid w:val="009D640A"/>
    <w:rsid w:val="009D65E3"/>
    <w:rsid w:val="009D670E"/>
    <w:rsid w:val="009D7034"/>
    <w:rsid w:val="009E0047"/>
    <w:rsid w:val="009E1C19"/>
    <w:rsid w:val="009E2C27"/>
    <w:rsid w:val="009E2C5C"/>
    <w:rsid w:val="009E2D24"/>
    <w:rsid w:val="009E2D91"/>
    <w:rsid w:val="009E2F20"/>
    <w:rsid w:val="009E3A50"/>
    <w:rsid w:val="009E3F6A"/>
    <w:rsid w:val="009E4707"/>
    <w:rsid w:val="009E47B1"/>
    <w:rsid w:val="009E4B0E"/>
    <w:rsid w:val="009E7B3D"/>
    <w:rsid w:val="009F1D7D"/>
    <w:rsid w:val="009F3ADE"/>
    <w:rsid w:val="009F3B0F"/>
    <w:rsid w:val="009F552F"/>
    <w:rsid w:val="009F56D3"/>
    <w:rsid w:val="009F58F8"/>
    <w:rsid w:val="009F6558"/>
    <w:rsid w:val="009F69E6"/>
    <w:rsid w:val="009F6F4C"/>
    <w:rsid w:val="009F7195"/>
    <w:rsid w:val="00A007BC"/>
    <w:rsid w:val="00A017D7"/>
    <w:rsid w:val="00A02F31"/>
    <w:rsid w:val="00A03071"/>
    <w:rsid w:val="00A04275"/>
    <w:rsid w:val="00A043DA"/>
    <w:rsid w:val="00A04E3C"/>
    <w:rsid w:val="00A07BCC"/>
    <w:rsid w:val="00A108C2"/>
    <w:rsid w:val="00A11448"/>
    <w:rsid w:val="00A12380"/>
    <w:rsid w:val="00A1241B"/>
    <w:rsid w:val="00A134CD"/>
    <w:rsid w:val="00A14167"/>
    <w:rsid w:val="00A15348"/>
    <w:rsid w:val="00A15BF8"/>
    <w:rsid w:val="00A16F94"/>
    <w:rsid w:val="00A2010B"/>
    <w:rsid w:val="00A20477"/>
    <w:rsid w:val="00A20ACA"/>
    <w:rsid w:val="00A22506"/>
    <w:rsid w:val="00A24133"/>
    <w:rsid w:val="00A24E39"/>
    <w:rsid w:val="00A25388"/>
    <w:rsid w:val="00A2669E"/>
    <w:rsid w:val="00A26C34"/>
    <w:rsid w:val="00A30D05"/>
    <w:rsid w:val="00A30EAA"/>
    <w:rsid w:val="00A32234"/>
    <w:rsid w:val="00A32D72"/>
    <w:rsid w:val="00A3363E"/>
    <w:rsid w:val="00A34DCF"/>
    <w:rsid w:val="00A37199"/>
    <w:rsid w:val="00A37D42"/>
    <w:rsid w:val="00A37ED3"/>
    <w:rsid w:val="00A413DC"/>
    <w:rsid w:val="00A417CC"/>
    <w:rsid w:val="00A42118"/>
    <w:rsid w:val="00A439ED"/>
    <w:rsid w:val="00A4669E"/>
    <w:rsid w:val="00A47338"/>
    <w:rsid w:val="00A47396"/>
    <w:rsid w:val="00A47636"/>
    <w:rsid w:val="00A526E0"/>
    <w:rsid w:val="00A546F4"/>
    <w:rsid w:val="00A57D15"/>
    <w:rsid w:val="00A60A4B"/>
    <w:rsid w:val="00A60CD0"/>
    <w:rsid w:val="00A6149C"/>
    <w:rsid w:val="00A61E11"/>
    <w:rsid w:val="00A63C1C"/>
    <w:rsid w:val="00A64742"/>
    <w:rsid w:val="00A64EEE"/>
    <w:rsid w:val="00A65557"/>
    <w:rsid w:val="00A7002C"/>
    <w:rsid w:val="00A70335"/>
    <w:rsid w:val="00A70975"/>
    <w:rsid w:val="00A70BB8"/>
    <w:rsid w:val="00A746F8"/>
    <w:rsid w:val="00A7587A"/>
    <w:rsid w:val="00A7679A"/>
    <w:rsid w:val="00A76921"/>
    <w:rsid w:val="00A76D98"/>
    <w:rsid w:val="00A77CC2"/>
    <w:rsid w:val="00A806D3"/>
    <w:rsid w:val="00A80875"/>
    <w:rsid w:val="00A808B2"/>
    <w:rsid w:val="00A81D71"/>
    <w:rsid w:val="00A822F2"/>
    <w:rsid w:val="00A83353"/>
    <w:rsid w:val="00A83709"/>
    <w:rsid w:val="00A838EB"/>
    <w:rsid w:val="00A8399C"/>
    <w:rsid w:val="00A83A24"/>
    <w:rsid w:val="00A85AE0"/>
    <w:rsid w:val="00A87006"/>
    <w:rsid w:val="00A878B1"/>
    <w:rsid w:val="00A879F9"/>
    <w:rsid w:val="00A87D31"/>
    <w:rsid w:val="00A87F4D"/>
    <w:rsid w:val="00A9001A"/>
    <w:rsid w:val="00A9336E"/>
    <w:rsid w:val="00A94AAC"/>
    <w:rsid w:val="00A951F3"/>
    <w:rsid w:val="00A95CC9"/>
    <w:rsid w:val="00A95CF6"/>
    <w:rsid w:val="00A95D9B"/>
    <w:rsid w:val="00A96D41"/>
    <w:rsid w:val="00A97106"/>
    <w:rsid w:val="00AA006A"/>
    <w:rsid w:val="00AA1987"/>
    <w:rsid w:val="00AA1AF0"/>
    <w:rsid w:val="00AA21E5"/>
    <w:rsid w:val="00AA4F86"/>
    <w:rsid w:val="00AA6B77"/>
    <w:rsid w:val="00AA6F2D"/>
    <w:rsid w:val="00AB16B3"/>
    <w:rsid w:val="00AB2CE1"/>
    <w:rsid w:val="00AB3098"/>
    <w:rsid w:val="00AB3601"/>
    <w:rsid w:val="00AB44CE"/>
    <w:rsid w:val="00AB45AA"/>
    <w:rsid w:val="00AB540A"/>
    <w:rsid w:val="00AB5DA1"/>
    <w:rsid w:val="00AB6276"/>
    <w:rsid w:val="00AB6EEB"/>
    <w:rsid w:val="00AB79FB"/>
    <w:rsid w:val="00AB7FBB"/>
    <w:rsid w:val="00AC0D71"/>
    <w:rsid w:val="00AC35A7"/>
    <w:rsid w:val="00AC3BEB"/>
    <w:rsid w:val="00AC4BF0"/>
    <w:rsid w:val="00AC4D2E"/>
    <w:rsid w:val="00AC5EF8"/>
    <w:rsid w:val="00AC6C84"/>
    <w:rsid w:val="00AC75B2"/>
    <w:rsid w:val="00AC76D8"/>
    <w:rsid w:val="00AD027F"/>
    <w:rsid w:val="00AD13E0"/>
    <w:rsid w:val="00AD1428"/>
    <w:rsid w:val="00AD16B8"/>
    <w:rsid w:val="00AD3D4C"/>
    <w:rsid w:val="00AD4A1F"/>
    <w:rsid w:val="00AD4AF5"/>
    <w:rsid w:val="00AD4F33"/>
    <w:rsid w:val="00AD77EA"/>
    <w:rsid w:val="00AE1620"/>
    <w:rsid w:val="00AE18D6"/>
    <w:rsid w:val="00AE193B"/>
    <w:rsid w:val="00AE1A89"/>
    <w:rsid w:val="00AE1C96"/>
    <w:rsid w:val="00AE2B3F"/>
    <w:rsid w:val="00AE2D0B"/>
    <w:rsid w:val="00AE3031"/>
    <w:rsid w:val="00AE45D9"/>
    <w:rsid w:val="00AE4B12"/>
    <w:rsid w:val="00AE60FB"/>
    <w:rsid w:val="00AE6E60"/>
    <w:rsid w:val="00AE6F61"/>
    <w:rsid w:val="00AF1684"/>
    <w:rsid w:val="00AF2FFC"/>
    <w:rsid w:val="00AF32FD"/>
    <w:rsid w:val="00AF33BD"/>
    <w:rsid w:val="00AF3D53"/>
    <w:rsid w:val="00AF4F78"/>
    <w:rsid w:val="00AF534D"/>
    <w:rsid w:val="00AF554D"/>
    <w:rsid w:val="00AF6501"/>
    <w:rsid w:val="00AF67D6"/>
    <w:rsid w:val="00AF6BFE"/>
    <w:rsid w:val="00AF6F9C"/>
    <w:rsid w:val="00B01FA8"/>
    <w:rsid w:val="00B0460A"/>
    <w:rsid w:val="00B0650B"/>
    <w:rsid w:val="00B067FA"/>
    <w:rsid w:val="00B07E2F"/>
    <w:rsid w:val="00B100CE"/>
    <w:rsid w:val="00B1026C"/>
    <w:rsid w:val="00B10B9E"/>
    <w:rsid w:val="00B119A9"/>
    <w:rsid w:val="00B11B06"/>
    <w:rsid w:val="00B11EEC"/>
    <w:rsid w:val="00B131C0"/>
    <w:rsid w:val="00B13B46"/>
    <w:rsid w:val="00B14C61"/>
    <w:rsid w:val="00B15933"/>
    <w:rsid w:val="00B16984"/>
    <w:rsid w:val="00B17E7F"/>
    <w:rsid w:val="00B2026F"/>
    <w:rsid w:val="00B202FA"/>
    <w:rsid w:val="00B20317"/>
    <w:rsid w:val="00B218DE"/>
    <w:rsid w:val="00B23982"/>
    <w:rsid w:val="00B23DC7"/>
    <w:rsid w:val="00B2475D"/>
    <w:rsid w:val="00B26680"/>
    <w:rsid w:val="00B2700E"/>
    <w:rsid w:val="00B3016D"/>
    <w:rsid w:val="00B30977"/>
    <w:rsid w:val="00B31B91"/>
    <w:rsid w:val="00B355B8"/>
    <w:rsid w:val="00B37905"/>
    <w:rsid w:val="00B4255F"/>
    <w:rsid w:val="00B425F6"/>
    <w:rsid w:val="00B43D8E"/>
    <w:rsid w:val="00B4453B"/>
    <w:rsid w:val="00B4552C"/>
    <w:rsid w:val="00B46194"/>
    <w:rsid w:val="00B46F99"/>
    <w:rsid w:val="00B509A1"/>
    <w:rsid w:val="00B50EA4"/>
    <w:rsid w:val="00B56A32"/>
    <w:rsid w:val="00B57938"/>
    <w:rsid w:val="00B57C25"/>
    <w:rsid w:val="00B60369"/>
    <w:rsid w:val="00B62FB6"/>
    <w:rsid w:val="00B63969"/>
    <w:rsid w:val="00B63E85"/>
    <w:rsid w:val="00B646F7"/>
    <w:rsid w:val="00B658A8"/>
    <w:rsid w:val="00B6628C"/>
    <w:rsid w:val="00B71A00"/>
    <w:rsid w:val="00B71B76"/>
    <w:rsid w:val="00B720B8"/>
    <w:rsid w:val="00B72CEA"/>
    <w:rsid w:val="00B73654"/>
    <w:rsid w:val="00B77BE6"/>
    <w:rsid w:val="00B804CC"/>
    <w:rsid w:val="00B80A10"/>
    <w:rsid w:val="00B8236F"/>
    <w:rsid w:val="00B82F3D"/>
    <w:rsid w:val="00B86D61"/>
    <w:rsid w:val="00B870E7"/>
    <w:rsid w:val="00B878C8"/>
    <w:rsid w:val="00B92BC1"/>
    <w:rsid w:val="00B94843"/>
    <w:rsid w:val="00B95054"/>
    <w:rsid w:val="00B95537"/>
    <w:rsid w:val="00B957E7"/>
    <w:rsid w:val="00B96825"/>
    <w:rsid w:val="00B97408"/>
    <w:rsid w:val="00BA075F"/>
    <w:rsid w:val="00BA0D14"/>
    <w:rsid w:val="00BA21AB"/>
    <w:rsid w:val="00BA4E39"/>
    <w:rsid w:val="00BA5765"/>
    <w:rsid w:val="00BA6C5A"/>
    <w:rsid w:val="00BB1055"/>
    <w:rsid w:val="00BB165F"/>
    <w:rsid w:val="00BB1EFC"/>
    <w:rsid w:val="00BB2CD4"/>
    <w:rsid w:val="00BB2D69"/>
    <w:rsid w:val="00BB3F4B"/>
    <w:rsid w:val="00BB465D"/>
    <w:rsid w:val="00BB50B2"/>
    <w:rsid w:val="00BB6301"/>
    <w:rsid w:val="00BB77F0"/>
    <w:rsid w:val="00BB7C11"/>
    <w:rsid w:val="00BB7C66"/>
    <w:rsid w:val="00BB7FB2"/>
    <w:rsid w:val="00BC1052"/>
    <w:rsid w:val="00BC2119"/>
    <w:rsid w:val="00BC2531"/>
    <w:rsid w:val="00BC691B"/>
    <w:rsid w:val="00BC6BF2"/>
    <w:rsid w:val="00BD092E"/>
    <w:rsid w:val="00BD113B"/>
    <w:rsid w:val="00BD472B"/>
    <w:rsid w:val="00BD67BE"/>
    <w:rsid w:val="00BD731C"/>
    <w:rsid w:val="00BE0C2E"/>
    <w:rsid w:val="00BE28E4"/>
    <w:rsid w:val="00BE28F2"/>
    <w:rsid w:val="00BE2914"/>
    <w:rsid w:val="00BE2D2C"/>
    <w:rsid w:val="00BE34EC"/>
    <w:rsid w:val="00BE3AB2"/>
    <w:rsid w:val="00BE41EA"/>
    <w:rsid w:val="00BE4CA0"/>
    <w:rsid w:val="00BE5680"/>
    <w:rsid w:val="00BF03DE"/>
    <w:rsid w:val="00BF1BBD"/>
    <w:rsid w:val="00BF1D4E"/>
    <w:rsid w:val="00BF3233"/>
    <w:rsid w:val="00BF3310"/>
    <w:rsid w:val="00BF3C64"/>
    <w:rsid w:val="00BF51C4"/>
    <w:rsid w:val="00BF5711"/>
    <w:rsid w:val="00BF7C43"/>
    <w:rsid w:val="00C02A0E"/>
    <w:rsid w:val="00C0367E"/>
    <w:rsid w:val="00C03D57"/>
    <w:rsid w:val="00C0559D"/>
    <w:rsid w:val="00C05CB6"/>
    <w:rsid w:val="00C064F8"/>
    <w:rsid w:val="00C06D3F"/>
    <w:rsid w:val="00C07A6D"/>
    <w:rsid w:val="00C07AE5"/>
    <w:rsid w:val="00C11FA9"/>
    <w:rsid w:val="00C1219A"/>
    <w:rsid w:val="00C12703"/>
    <w:rsid w:val="00C12A55"/>
    <w:rsid w:val="00C14477"/>
    <w:rsid w:val="00C17102"/>
    <w:rsid w:val="00C17F96"/>
    <w:rsid w:val="00C22E04"/>
    <w:rsid w:val="00C246F5"/>
    <w:rsid w:val="00C2581A"/>
    <w:rsid w:val="00C25F91"/>
    <w:rsid w:val="00C27473"/>
    <w:rsid w:val="00C302EF"/>
    <w:rsid w:val="00C307F3"/>
    <w:rsid w:val="00C32ACA"/>
    <w:rsid w:val="00C3394F"/>
    <w:rsid w:val="00C34264"/>
    <w:rsid w:val="00C34789"/>
    <w:rsid w:val="00C37742"/>
    <w:rsid w:val="00C37A31"/>
    <w:rsid w:val="00C37B56"/>
    <w:rsid w:val="00C406C4"/>
    <w:rsid w:val="00C4229D"/>
    <w:rsid w:val="00C43F93"/>
    <w:rsid w:val="00C44274"/>
    <w:rsid w:val="00C45066"/>
    <w:rsid w:val="00C453A4"/>
    <w:rsid w:val="00C45C3B"/>
    <w:rsid w:val="00C45E61"/>
    <w:rsid w:val="00C46234"/>
    <w:rsid w:val="00C46276"/>
    <w:rsid w:val="00C468C4"/>
    <w:rsid w:val="00C4791C"/>
    <w:rsid w:val="00C47E1C"/>
    <w:rsid w:val="00C50FC3"/>
    <w:rsid w:val="00C51812"/>
    <w:rsid w:val="00C52089"/>
    <w:rsid w:val="00C54D12"/>
    <w:rsid w:val="00C57244"/>
    <w:rsid w:val="00C57AC5"/>
    <w:rsid w:val="00C60499"/>
    <w:rsid w:val="00C61D65"/>
    <w:rsid w:val="00C627B9"/>
    <w:rsid w:val="00C62AD4"/>
    <w:rsid w:val="00C630DC"/>
    <w:rsid w:val="00C6342D"/>
    <w:rsid w:val="00C63859"/>
    <w:rsid w:val="00C646EA"/>
    <w:rsid w:val="00C65A84"/>
    <w:rsid w:val="00C65B41"/>
    <w:rsid w:val="00C70436"/>
    <w:rsid w:val="00C70B25"/>
    <w:rsid w:val="00C72E90"/>
    <w:rsid w:val="00C732C2"/>
    <w:rsid w:val="00C7366C"/>
    <w:rsid w:val="00C74477"/>
    <w:rsid w:val="00C75353"/>
    <w:rsid w:val="00C763C9"/>
    <w:rsid w:val="00C77C20"/>
    <w:rsid w:val="00C8083D"/>
    <w:rsid w:val="00C80E3D"/>
    <w:rsid w:val="00C80EE3"/>
    <w:rsid w:val="00C814CE"/>
    <w:rsid w:val="00C8389B"/>
    <w:rsid w:val="00C83BE6"/>
    <w:rsid w:val="00C83D88"/>
    <w:rsid w:val="00C85B1E"/>
    <w:rsid w:val="00C90CB9"/>
    <w:rsid w:val="00C924D2"/>
    <w:rsid w:val="00C93311"/>
    <w:rsid w:val="00C9386D"/>
    <w:rsid w:val="00C94976"/>
    <w:rsid w:val="00C9610B"/>
    <w:rsid w:val="00C9691F"/>
    <w:rsid w:val="00C97152"/>
    <w:rsid w:val="00C9740F"/>
    <w:rsid w:val="00C9778F"/>
    <w:rsid w:val="00CA1809"/>
    <w:rsid w:val="00CA28AD"/>
    <w:rsid w:val="00CA36AA"/>
    <w:rsid w:val="00CA4C0D"/>
    <w:rsid w:val="00CA51AB"/>
    <w:rsid w:val="00CA7BAE"/>
    <w:rsid w:val="00CB092B"/>
    <w:rsid w:val="00CB1AC3"/>
    <w:rsid w:val="00CB2241"/>
    <w:rsid w:val="00CB3CDB"/>
    <w:rsid w:val="00CB4F55"/>
    <w:rsid w:val="00CB55B3"/>
    <w:rsid w:val="00CC030A"/>
    <w:rsid w:val="00CC06FD"/>
    <w:rsid w:val="00CC0EAD"/>
    <w:rsid w:val="00CC318E"/>
    <w:rsid w:val="00CC5951"/>
    <w:rsid w:val="00CC6543"/>
    <w:rsid w:val="00CC7D33"/>
    <w:rsid w:val="00CD10E8"/>
    <w:rsid w:val="00CD1623"/>
    <w:rsid w:val="00CD2B31"/>
    <w:rsid w:val="00CD2C7E"/>
    <w:rsid w:val="00CD4596"/>
    <w:rsid w:val="00CD4CAF"/>
    <w:rsid w:val="00CD560F"/>
    <w:rsid w:val="00CD5AC5"/>
    <w:rsid w:val="00CD5BB9"/>
    <w:rsid w:val="00CD7D71"/>
    <w:rsid w:val="00CE05A3"/>
    <w:rsid w:val="00CE087B"/>
    <w:rsid w:val="00CE09F0"/>
    <w:rsid w:val="00CE156D"/>
    <w:rsid w:val="00CE1825"/>
    <w:rsid w:val="00CE191A"/>
    <w:rsid w:val="00CE26B8"/>
    <w:rsid w:val="00CE2825"/>
    <w:rsid w:val="00CE2AFA"/>
    <w:rsid w:val="00CE2B97"/>
    <w:rsid w:val="00CE3156"/>
    <w:rsid w:val="00CE357C"/>
    <w:rsid w:val="00CE47ED"/>
    <w:rsid w:val="00CE7227"/>
    <w:rsid w:val="00CE7789"/>
    <w:rsid w:val="00CE78FA"/>
    <w:rsid w:val="00CE7E0D"/>
    <w:rsid w:val="00CE7F98"/>
    <w:rsid w:val="00CF12E6"/>
    <w:rsid w:val="00CF2C32"/>
    <w:rsid w:val="00CF3078"/>
    <w:rsid w:val="00CF340F"/>
    <w:rsid w:val="00CF4CDE"/>
    <w:rsid w:val="00CF50B7"/>
    <w:rsid w:val="00CF537F"/>
    <w:rsid w:val="00CF5451"/>
    <w:rsid w:val="00CF6D4C"/>
    <w:rsid w:val="00CF7987"/>
    <w:rsid w:val="00D00C97"/>
    <w:rsid w:val="00D010BA"/>
    <w:rsid w:val="00D01521"/>
    <w:rsid w:val="00D01541"/>
    <w:rsid w:val="00D01D67"/>
    <w:rsid w:val="00D030F0"/>
    <w:rsid w:val="00D04217"/>
    <w:rsid w:val="00D04B06"/>
    <w:rsid w:val="00D05144"/>
    <w:rsid w:val="00D055A1"/>
    <w:rsid w:val="00D058AC"/>
    <w:rsid w:val="00D06632"/>
    <w:rsid w:val="00D078BF"/>
    <w:rsid w:val="00D07B63"/>
    <w:rsid w:val="00D07EDA"/>
    <w:rsid w:val="00D10B09"/>
    <w:rsid w:val="00D113FC"/>
    <w:rsid w:val="00D11782"/>
    <w:rsid w:val="00D120B1"/>
    <w:rsid w:val="00D12761"/>
    <w:rsid w:val="00D128CD"/>
    <w:rsid w:val="00D1471E"/>
    <w:rsid w:val="00D1479B"/>
    <w:rsid w:val="00D14C27"/>
    <w:rsid w:val="00D14C72"/>
    <w:rsid w:val="00D15114"/>
    <w:rsid w:val="00D159E8"/>
    <w:rsid w:val="00D15B34"/>
    <w:rsid w:val="00D16776"/>
    <w:rsid w:val="00D167DF"/>
    <w:rsid w:val="00D21C20"/>
    <w:rsid w:val="00D2217F"/>
    <w:rsid w:val="00D22E51"/>
    <w:rsid w:val="00D2703B"/>
    <w:rsid w:val="00D27C8A"/>
    <w:rsid w:val="00D30A85"/>
    <w:rsid w:val="00D30F6B"/>
    <w:rsid w:val="00D34613"/>
    <w:rsid w:val="00D3539E"/>
    <w:rsid w:val="00D3576D"/>
    <w:rsid w:val="00D35B71"/>
    <w:rsid w:val="00D35DFA"/>
    <w:rsid w:val="00D3625C"/>
    <w:rsid w:val="00D367F9"/>
    <w:rsid w:val="00D3738D"/>
    <w:rsid w:val="00D41129"/>
    <w:rsid w:val="00D41B56"/>
    <w:rsid w:val="00D43B85"/>
    <w:rsid w:val="00D44869"/>
    <w:rsid w:val="00D46090"/>
    <w:rsid w:val="00D46915"/>
    <w:rsid w:val="00D47639"/>
    <w:rsid w:val="00D4790B"/>
    <w:rsid w:val="00D47D93"/>
    <w:rsid w:val="00D5021F"/>
    <w:rsid w:val="00D5365B"/>
    <w:rsid w:val="00D55A9E"/>
    <w:rsid w:val="00D576DC"/>
    <w:rsid w:val="00D577CB"/>
    <w:rsid w:val="00D5796D"/>
    <w:rsid w:val="00D60381"/>
    <w:rsid w:val="00D60F01"/>
    <w:rsid w:val="00D640D2"/>
    <w:rsid w:val="00D64AE3"/>
    <w:rsid w:val="00D64BE4"/>
    <w:rsid w:val="00D657FD"/>
    <w:rsid w:val="00D677EF"/>
    <w:rsid w:val="00D7012B"/>
    <w:rsid w:val="00D70DAF"/>
    <w:rsid w:val="00D73900"/>
    <w:rsid w:val="00D73AB7"/>
    <w:rsid w:val="00D73F1F"/>
    <w:rsid w:val="00D73F37"/>
    <w:rsid w:val="00D74DD8"/>
    <w:rsid w:val="00D75415"/>
    <w:rsid w:val="00D75928"/>
    <w:rsid w:val="00D773C1"/>
    <w:rsid w:val="00D8113E"/>
    <w:rsid w:val="00D81633"/>
    <w:rsid w:val="00D81796"/>
    <w:rsid w:val="00D8214C"/>
    <w:rsid w:val="00D82247"/>
    <w:rsid w:val="00D85139"/>
    <w:rsid w:val="00D859EB"/>
    <w:rsid w:val="00D86C35"/>
    <w:rsid w:val="00D87C83"/>
    <w:rsid w:val="00D900A7"/>
    <w:rsid w:val="00D9242F"/>
    <w:rsid w:val="00D92E41"/>
    <w:rsid w:val="00D95750"/>
    <w:rsid w:val="00D9594F"/>
    <w:rsid w:val="00D96B53"/>
    <w:rsid w:val="00D97595"/>
    <w:rsid w:val="00D97C9D"/>
    <w:rsid w:val="00DA0549"/>
    <w:rsid w:val="00DA057C"/>
    <w:rsid w:val="00DA19D9"/>
    <w:rsid w:val="00DA22E7"/>
    <w:rsid w:val="00DA3240"/>
    <w:rsid w:val="00DA3A1E"/>
    <w:rsid w:val="00DA54CB"/>
    <w:rsid w:val="00DA66CE"/>
    <w:rsid w:val="00DA72B9"/>
    <w:rsid w:val="00DA763B"/>
    <w:rsid w:val="00DA7B52"/>
    <w:rsid w:val="00DB11B3"/>
    <w:rsid w:val="00DB1264"/>
    <w:rsid w:val="00DB3AFE"/>
    <w:rsid w:val="00DB419C"/>
    <w:rsid w:val="00DB4A63"/>
    <w:rsid w:val="00DB5E4C"/>
    <w:rsid w:val="00DB5F3B"/>
    <w:rsid w:val="00DB70AD"/>
    <w:rsid w:val="00DB7CAF"/>
    <w:rsid w:val="00DC21B2"/>
    <w:rsid w:val="00DC274A"/>
    <w:rsid w:val="00DC3A19"/>
    <w:rsid w:val="00DC3A3F"/>
    <w:rsid w:val="00DC5AB9"/>
    <w:rsid w:val="00DC6E29"/>
    <w:rsid w:val="00DC774D"/>
    <w:rsid w:val="00DC7BCF"/>
    <w:rsid w:val="00DD11A1"/>
    <w:rsid w:val="00DD122D"/>
    <w:rsid w:val="00DD1AF2"/>
    <w:rsid w:val="00DD1AF8"/>
    <w:rsid w:val="00DD54FD"/>
    <w:rsid w:val="00DE235B"/>
    <w:rsid w:val="00DE2655"/>
    <w:rsid w:val="00DE3551"/>
    <w:rsid w:val="00DE4001"/>
    <w:rsid w:val="00DE4571"/>
    <w:rsid w:val="00DE5245"/>
    <w:rsid w:val="00DE5799"/>
    <w:rsid w:val="00DE5CA9"/>
    <w:rsid w:val="00DE5F90"/>
    <w:rsid w:val="00DE6AB5"/>
    <w:rsid w:val="00DE6DFA"/>
    <w:rsid w:val="00DF0DEA"/>
    <w:rsid w:val="00DF11E2"/>
    <w:rsid w:val="00DF15E5"/>
    <w:rsid w:val="00DF181A"/>
    <w:rsid w:val="00DF2D3F"/>
    <w:rsid w:val="00DF3D4D"/>
    <w:rsid w:val="00DF4EE2"/>
    <w:rsid w:val="00DF51ED"/>
    <w:rsid w:val="00DF6883"/>
    <w:rsid w:val="00DF7D7A"/>
    <w:rsid w:val="00E00DB9"/>
    <w:rsid w:val="00E01106"/>
    <w:rsid w:val="00E0116E"/>
    <w:rsid w:val="00E01D64"/>
    <w:rsid w:val="00E02CDF"/>
    <w:rsid w:val="00E03928"/>
    <w:rsid w:val="00E04535"/>
    <w:rsid w:val="00E049D4"/>
    <w:rsid w:val="00E04C00"/>
    <w:rsid w:val="00E109E8"/>
    <w:rsid w:val="00E12BA0"/>
    <w:rsid w:val="00E13228"/>
    <w:rsid w:val="00E1511A"/>
    <w:rsid w:val="00E15372"/>
    <w:rsid w:val="00E16D88"/>
    <w:rsid w:val="00E2020C"/>
    <w:rsid w:val="00E20609"/>
    <w:rsid w:val="00E20A6D"/>
    <w:rsid w:val="00E2130F"/>
    <w:rsid w:val="00E21C0F"/>
    <w:rsid w:val="00E21E49"/>
    <w:rsid w:val="00E2292C"/>
    <w:rsid w:val="00E22CD5"/>
    <w:rsid w:val="00E22F6A"/>
    <w:rsid w:val="00E23F2B"/>
    <w:rsid w:val="00E24B0B"/>
    <w:rsid w:val="00E24CA2"/>
    <w:rsid w:val="00E250A1"/>
    <w:rsid w:val="00E264F5"/>
    <w:rsid w:val="00E26507"/>
    <w:rsid w:val="00E26B0F"/>
    <w:rsid w:val="00E324D6"/>
    <w:rsid w:val="00E333D3"/>
    <w:rsid w:val="00E3351B"/>
    <w:rsid w:val="00E342A5"/>
    <w:rsid w:val="00E348E2"/>
    <w:rsid w:val="00E34D03"/>
    <w:rsid w:val="00E4166B"/>
    <w:rsid w:val="00E4697F"/>
    <w:rsid w:val="00E46A7E"/>
    <w:rsid w:val="00E472F8"/>
    <w:rsid w:val="00E50D33"/>
    <w:rsid w:val="00E513B3"/>
    <w:rsid w:val="00E517EC"/>
    <w:rsid w:val="00E51FD2"/>
    <w:rsid w:val="00E52E41"/>
    <w:rsid w:val="00E54054"/>
    <w:rsid w:val="00E55DF8"/>
    <w:rsid w:val="00E5698E"/>
    <w:rsid w:val="00E56B77"/>
    <w:rsid w:val="00E611F4"/>
    <w:rsid w:val="00E6182E"/>
    <w:rsid w:val="00E63DE4"/>
    <w:rsid w:val="00E66DD4"/>
    <w:rsid w:val="00E71B9F"/>
    <w:rsid w:val="00E722E6"/>
    <w:rsid w:val="00E7455F"/>
    <w:rsid w:val="00E74778"/>
    <w:rsid w:val="00E74853"/>
    <w:rsid w:val="00E75B6D"/>
    <w:rsid w:val="00E75D02"/>
    <w:rsid w:val="00E776B4"/>
    <w:rsid w:val="00E77D16"/>
    <w:rsid w:val="00E8009B"/>
    <w:rsid w:val="00E808AA"/>
    <w:rsid w:val="00E812D0"/>
    <w:rsid w:val="00E81E0F"/>
    <w:rsid w:val="00E82F09"/>
    <w:rsid w:val="00E83D5A"/>
    <w:rsid w:val="00E851DC"/>
    <w:rsid w:val="00E86B43"/>
    <w:rsid w:val="00E87106"/>
    <w:rsid w:val="00E8735C"/>
    <w:rsid w:val="00E9023C"/>
    <w:rsid w:val="00E9054C"/>
    <w:rsid w:val="00E90685"/>
    <w:rsid w:val="00E91157"/>
    <w:rsid w:val="00E924A6"/>
    <w:rsid w:val="00E92560"/>
    <w:rsid w:val="00E967D4"/>
    <w:rsid w:val="00E97648"/>
    <w:rsid w:val="00E97800"/>
    <w:rsid w:val="00EA07F9"/>
    <w:rsid w:val="00EA104B"/>
    <w:rsid w:val="00EA1D78"/>
    <w:rsid w:val="00EA1D7C"/>
    <w:rsid w:val="00EA1E82"/>
    <w:rsid w:val="00EA258B"/>
    <w:rsid w:val="00EA28D5"/>
    <w:rsid w:val="00EA2AE6"/>
    <w:rsid w:val="00EA35D5"/>
    <w:rsid w:val="00EA39C7"/>
    <w:rsid w:val="00EA428D"/>
    <w:rsid w:val="00EA43E7"/>
    <w:rsid w:val="00EA5F62"/>
    <w:rsid w:val="00EA72E9"/>
    <w:rsid w:val="00EA75F4"/>
    <w:rsid w:val="00EB15D0"/>
    <w:rsid w:val="00EB1DF6"/>
    <w:rsid w:val="00EB5879"/>
    <w:rsid w:val="00EB78C4"/>
    <w:rsid w:val="00EC0D6B"/>
    <w:rsid w:val="00EC11C7"/>
    <w:rsid w:val="00EC1F2D"/>
    <w:rsid w:val="00EC23BF"/>
    <w:rsid w:val="00EC32C1"/>
    <w:rsid w:val="00EC3372"/>
    <w:rsid w:val="00EC4B82"/>
    <w:rsid w:val="00EC64B3"/>
    <w:rsid w:val="00EC65D2"/>
    <w:rsid w:val="00EC7842"/>
    <w:rsid w:val="00ED0A4A"/>
    <w:rsid w:val="00ED0D5B"/>
    <w:rsid w:val="00ED20A8"/>
    <w:rsid w:val="00ED322E"/>
    <w:rsid w:val="00ED428B"/>
    <w:rsid w:val="00ED42B1"/>
    <w:rsid w:val="00ED553A"/>
    <w:rsid w:val="00ED6465"/>
    <w:rsid w:val="00EE015C"/>
    <w:rsid w:val="00EE0DFB"/>
    <w:rsid w:val="00EE143F"/>
    <w:rsid w:val="00EE1B65"/>
    <w:rsid w:val="00EE26B0"/>
    <w:rsid w:val="00EE2CD0"/>
    <w:rsid w:val="00EE333F"/>
    <w:rsid w:val="00EE4A06"/>
    <w:rsid w:val="00EE5AD1"/>
    <w:rsid w:val="00EE602A"/>
    <w:rsid w:val="00EE6FA4"/>
    <w:rsid w:val="00EE71F6"/>
    <w:rsid w:val="00EE72E9"/>
    <w:rsid w:val="00EF06F4"/>
    <w:rsid w:val="00EF1990"/>
    <w:rsid w:val="00EF2164"/>
    <w:rsid w:val="00EF56F5"/>
    <w:rsid w:val="00EF58B6"/>
    <w:rsid w:val="00EF5E85"/>
    <w:rsid w:val="00EF6B39"/>
    <w:rsid w:val="00EF705B"/>
    <w:rsid w:val="00F00803"/>
    <w:rsid w:val="00F019E3"/>
    <w:rsid w:val="00F01DA0"/>
    <w:rsid w:val="00F01DD5"/>
    <w:rsid w:val="00F02D78"/>
    <w:rsid w:val="00F03923"/>
    <w:rsid w:val="00F0432C"/>
    <w:rsid w:val="00F052DE"/>
    <w:rsid w:val="00F05475"/>
    <w:rsid w:val="00F067B9"/>
    <w:rsid w:val="00F0718A"/>
    <w:rsid w:val="00F073CF"/>
    <w:rsid w:val="00F10FDC"/>
    <w:rsid w:val="00F11C5B"/>
    <w:rsid w:val="00F12172"/>
    <w:rsid w:val="00F12635"/>
    <w:rsid w:val="00F12681"/>
    <w:rsid w:val="00F12D8C"/>
    <w:rsid w:val="00F1340C"/>
    <w:rsid w:val="00F1341C"/>
    <w:rsid w:val="00F17A5D"/>
    <w:rsid w:val="00F17DCF"/>
    <w:rsid w:val="00F213EB"/>
    <w:rsid w:val="00F2260F"/>
    <w:rsid w:val="00F23E94"/>
    <w:rsid w:val="00F24240"/>
    <w:rsid w:val="00F27501"/>
    <w:rsid w:val="00F3022B"/>
    <w:rsid w:val="00F31861"/>
    <w:rsid w:val="00F31E0B"/>
    <w:rsid w:val="00F323B1"/>
    <w:rsid w:val="00F32CA5"/>
    <w:rsid w:val="00F33D01"/>
    <w:rsid w:val="00F350CF"/>
    <w:rsid w:val="00F35125"/>
    <w:rsid w:val="00F363DC"/>
    <w:rsid w:val="00F37BC9"/>
    <w:rsid w:val="00F40061"/>
    <w:rsid w:val="00F40517"/>
    <w:rsid w:val="00F42939"/>
    <w:rsid w:val="00F436B4"/>
    <w:rsid w:val="00F44577"/>
    <w:rsid w:val="00F45CFE"/>
    <w:rsid w:val="00F46255"/>
    <w:rsid w:val="00F46A34"/>
    <w:rsid w:val="00F50BDD"/>
    <w:rsid w:val="00F51206"/>
    <w:rsid w:val="00F52C79"/>
    <w:rsid w:val="00F53A01"/>
    <w:rsid w:val="00F53BE2"/>
    <w:rsid w:val="00F547DF"/>
    <w:rsid w:val="00F5545E"/>
    <w:rsid w:val="00F55D14"/>
    <w:rsid w:val="00F60DAC"/>
    <w:rsid w:val="00F617FB"/>
    <w:rsid w:val="00F62E0D"/>
    <w:rsid w:val="00F63AF3"/>
    <w:rsid w:val="00F645AD"/>
    <w:rsid w:val="00F6749C"/>
    <w:rsid w:val="00F677B0"/>
    <w:rsid w:val="00F702A2"/>
    <w:rsid w:val="00F72520"/>
    <w:rsid w:val="00F73416"/>
    <w:rsid w:val="00F739E4"/>
    <w:rsid w:val="00F757F9"/>
    <w:rsid w:val="00F7609F"/>
    <w:rsid w:val="00F76452"/>
    <w:rsid w:val="00F76714"/>
    <w:rsid w:val="00F76833"/>
    <w:rsid w:val="00F77C9C"/>
    <w:rsid w:val="00F806B1"/>
    <w:rsid w:val="00F82193"/>
    <w:rsid w:val="00F828A4"/>
    <w:rsid w:val="00F835B8"/>
    <w:rsid w:val="00F8422C"/>
    <w:rsid w:val="00F84233"/>
    <w:rsid w:val="00F84CCD"/>
    <w:rsid w:val="00F84F5C"/>
    <w:rsid w:val="00F85BAC"/>
    <w:rsid w:val="00F85F4B"/>
    <w:rsid w:val="00F86941"/>
    <w:rsid w:val="00F90A68"/>
    <w:rsid w:val="00F91816"/>
    <w:rsid w:val="00F91B1B"/>
    <w:rsid w:val="00F9432A"/>
    <w:rsid w:val="00F953EF"/>
    <w:rsid w:val="00F95855"/>
    <w:rsid w:val="00F95D22"/>
    <w:rsid w:val="00F95D6E"/>
    <w:rsid w:val="00F9651A"/>
    <w:rsid w:val="00F97E2A"/>
    <w:rsid w:val="00FA0424"/>
    <w:rsid w:val="00FA182C"/>
    <w:rsid w:val="00FA24A5"/>
    <w:rsid w:val="00FA4823"/>
    <w:rsid w:val="00FA4984"/>
    <w:rsid w:val="00FA5B94"/>
    <w:rsid w:val="00FA673D"/>
    <w:rsid w:val="00FA67F7"/>
    <w:rsid w:val="00FA79FA"/>
    <w:rsid w:val="00FA7C41"/>
    <w:rsid w:val="00FA7E5A"/>
    <w:rsid w:val="00FB146B"/>
    <w:rsid w:val="00FB2201"/>
    <w:rsid w:val="00FB3598"/>
    <w:rsid w:val="00FB4CE1"/>
    <w:rsid w:val="00FB56C0"/>
    <w:rsid w:val="00FB6640"/>
    <w:rsid w:val="00FB709B"/>
    <w:rsid w:val="00FB742C"/>
    <w:rsid w:val="00FB7AFE"/>
    <w:rsid w:val="00FC16DA"/>
    <w:rsid w:val="00FC1CF3"/>
    <w:rsid w:val="00FC2A96"/>
    <w:rsid w:val="00FC3157"/>
    <w:rsid w:val="00FC32BD"/>
    <w:rsid w:val="00FC442B"/>
    <w:rsid w:val="00FC48D7"/>
    <w:rsid w:val="00FC760A"/>
    <w:rsid w:val="00FD04F7"/>
    <w:rsid w:val="00FD0CEB"/>
    <w:rsid w:val="00FD217B"/>
    <w:rsid w:val="00FD2B8F"/>
    <w:rsid w:val="00FD35BE"/>
    <w:rsid w:val="00FD4258"/>
    <w:rsid w:val="00FD4509"/>
    <w:rsid w:val="00FD4CE8"/>
    <w:rsid w:val="00FD56FC"/>
    <w:rsid w:val="00FD6756"/>
    <w:rsid w:val="00FD6FA1"/>
    <w:rsid w:val="00FE0419"/>
    <w:rsid w:val="00FE04F5"/>
    <w:rsid w:val="00FE0881"/>
    <w:rsid w:val="00FE0AB3"/>
    <w:rsid w:val="00FE203C"/>
    <w:rsid w:val="00FE285F"/>
    <w:rsid w:val="00FE2B30"/>
    <w:rsid w:val="00FE36A5"/>
    <w:rsid w:val="00FE38B7"/>
    <w:rsid w:val="00FE3F3B"/>
    <w:rsid w:val="00FE4267"/>
    <w:rsid w:val="00FE6A17"/>
    <w:rsid w:val="00FE7C98"/>
    <w:rsid w:val="00FE7DFB"/>
    <w:rsid w:val="00FF1174"/>
    <w:rsid w:val="00FF1DB9"/>
    <w:rsid w:val="00FF38BE"/>
    <w:rsid w:val="00FF3949"/>
    <w:rsid w:val="00FF3B3D"/>
    <w:rsid w:val="00FF3BAD"/>
    <w:rsid w:val="00FF3D84"/>
    <w:rsid w:val="00FF4BFD"/>
    <w:rsid w:val="00FF4CB8"/>
    <w:rsid w:val="00FF5595"/>
    <w:rsid w:val="00FF634E"/>
    <w:rsid w:val="5F5AC51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8C44DA"/>
  <w15:docId w15:val="{6FBA3413-523B-4A13-A4F1-472F208F3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before="120" w:after="120" w:line="300" w:lineRule="exac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602A"/>
    <w:pPr>
      <w:spacing w:line="360" w:lineRule="auto"/>
      <w:jc w:val="both"/>
    </w:pPr>
    <w:rPr>
      <w:rFonts w:ascii="Arial" w:hAnsi="Arial"/>
    </w:rPr>
  </w:style>
  <w:style w:type="paragraph" w:styleId="Heading1">
    <w:name w:val="heading 1"/>
    <w:basedOn w:val="Normal"/>
    <w:next w:val="Normal"/>
    <w:link w:val="Heading1Char"/>
    <w:uiPriority w:val="9"/>
    <w:qFormat/>
    <w:rsid w:val="009A7434"/>
    <w:pPr>
      <w:keepNext/>
      <w:keepLines/>
      <w:numPr>
        <w:numId w:val="1"/>
      </w:numPr>
      <w:spacing w:before="360" w:after="360"/>
      <w:ind w:left="357" w:hanging="357"/>
      <w:outlineLvl w:val="0"/>
    </w:pPr>
    <w:rPr>
      <w:rFonts w:eastAsiaTheme="majorEastAsia" w:cstheme="majorBidi"/>
      <w:b/>
      <w:bCs/>
      <w:smallCaps/>
      <w:color w:val="212745" w:themeColor="text2"/>
      <w:sz w:val="26"/>
      <w:szCs w:val="28"/>
    </w:rPr>
  </w:style>
  <w:style w:type="paragraph" w:styleId="Heading2">
    <w:name w:val="heading 2"/>
    <w:basedOn w:val="Normal"/>
    <w:next w:val="Normal"/>
    <w:link w:val="Heading2Char"/>
    <w:uiPriority w:val="9"/>
    <w:unhideWhenUsed/>
    <w:qFormat/>
    <w:rsid w:val="009B3BE6"/>
    <w:pPr>
      <w:keepNext/>
      <w:keepLines/>
      <w:numPr>
        <w:ilvl w:val="1"/>
        <w:numId w:val="1"/>
      </w:numPr>
      <w:spacing w:before="200" w:after="0"/>
      <w:outlineLvl w:val="1"/>
    </w:pPr>
    <w:rPr>
      <w:rFonts w:eastAsiaTheme="majorEastAsia" w:cstheme="majorBidi"/>
      <w:b/>
      <w:bCs/>
      <w:color w:val="212745" w:themeColor="text2"/>
      <w:sz w:val="24"/>
      <w:szCs w:val="26"/>
    </w:rPr>
  </w:style>
  <w:style w:type="paragraph" w:styleId="Heading3">
    <w:name w:val="heading 3"/>
    <w:basedOn w:val="Normal"/>
    <w:next w:val="Normal"/>
    <w:link w:val="Heading3Char"/>
    <w:uiPriority w:val="9"/>
    <w:unhideWhenUsed/>
    <w:qFormat/>
    <w:rsid w:val="00C25F91"/>
    <w:pPr>
      <w:keepNext/>
      <w:keepLines/>
      <w:numPr>
        <w:ilvl w:val="2"/>
        <w:numId w:val="1"/>
      </w:numPr>
      <w:spacing w:before="200" w:after="0"/>
      <w:outlineLvl w:val="2"/>
    </w:pPr>
    <w:rPr>
      <w:rFonts w:eastAsiaTheme="majorEastAsia" w:cstheme="majorBidi"/>
      <w:b/>
      <w:bCs/>
      <w:color w:val="212745" w:themeColor="text2"/>
    </w:rPr>
  </w:style>
  <w:style w:type="paragraph" w:styleId="Heading4">
    <w:name w:val="heading 4"/>
    <w:basedOn w:val="Normal"/>
    <w:next w:val="Normal"/>
    <w:link w:val="Heading4Char"/>
    <w:uiPriority w:val="9"/>
    <w:unhideWhenUsed/>
    <w:qFormat/>
    <w:rsid w:val="00C25F91"/>
    <w:pPr>
      <w:keepNext/>
      <w:keepLines/>
      <w:numPr>
        <w:ilvl w:val="3"/>
        <w:numId w:val="1"/>
      </w:numPr>
      <w:spacing w:before="200" w:after="0"/>
      <w:outlineLvl w:val="3"/>
    </w:pPr>
    <w:rPr>
      <w:rFonts w:eastAsiaTheme="majorEastAsia" w:cstheme="majorBidi"/>
      <w:bCs/>
      <w:i/>
      <w:iCs/>
      <w:color w:val="212745" w:themeColor="text2"/>
    </w:rPr>
  </w:style>
  <w:style w:type="paragraph" w:styleId="Heading5">
    <w:name w:val="heading 5"/>
    <w:basedOn w:val="Normal"/>
    <w:next w:val="Normal"/>
    <w:link w:val="Heading5Char"/>
    <w:uiPriority w:val="9"/>
    <w:unhideWhenUsed/>
    <w:qFormat/>
    <w:rsid w:val="009B3BE6"/>
    <w:pPr>
      <w:keepNext/>
      <w:keepLines/>
      <w:numPr>
        <w:ilvl w:val="4"/>
        <w:numId w:val="1"/>
      </w:numPr>
      <w:spacing w:before="200" w:after="0"/>
      <w:outlineLvl w:val="4"/>
    </w:pPr>
    <w:rPr>
      <w:rFonts w:asciiTheme="majorHAnsi" w:eastAsiaTheme="majorEastAsia" w:hAnsiTheme="majorHAnsi" w:cstheme="majorBidi"/>
      <w:color w:val="202F69" w:themeColor="accent1" w:themeShade="7F"/>
    </w:rPr>
  </w:style>
  <w:style w:type="paragraph" w:styleId="Heading6">
    <w:name w:val="heading 6"/>
    <w:basedOn w:val="Normal"/>
    <w:next w:val="Normal"/>
    <w:link w:val="Heading6Char"/>
    <w:uiPriority w:val="9"/>
    <w:unhideWhenUsed/>
    <w:qFormat/>
    <w:rsid w:val="009B3BE6"/>
    <w:pPr>
      <w:keepNext/>
      <w:keepLines/>
      <w:numPr>
        <w:ilvl w:val="5"/>
        <w:numId w:val="1"/>
      </w:numPr>
      <w:spacing w:before="200" w:after="0"/>
      <w:outlineLvl w:val="5"/>
    </w:pPr>
    <w:rPr>
      <w:rFonts w:asciiTheme="majorHAnsi" w:eastAsiaTheme="majorEastAsia" w:hAnsiTheme="majorHAnsi" w:cstheme="majorBidi"/>
      <w:i/>
      <w:iCs/>
      <w:color w:val="202F69" w:themeColor="accent1" w:themeShade="7F"/>
    </w:rPr>
  </w:style>
  <w:style w:type="paragraph" w:styleId="Heading7">
    <w:name w:val="heading 7"/>
    <w:basedOn w:val="Normal"/>
    <w:next w:val="Normal"/>
    <w:link w:val="Heading7Char"/>
    <w:uiPriority w:val="9"/>
    <w:unhideWhenUsed/>
    <w:qFormat/>
    <w:rsid w:val="009B3BE6"/>
    <w:pPr>
      <w:keepNext/>
      <w:keepLines/>
      <w:numPr>
        <w:ilvl w:val="6"/>
        <w:numId w:val="1"/>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unhideWhenUsed/>
    <w:qFormat/>
    <w:rsid w:val="009B3BE6"/>
    <w:pPr>
      <w:keepNext/>
      <w:keepLines/>
      <w:numPr>
        <w:ilvl w:val="7"/>
        <w:numId w:val="1"/>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unhideWhenUsed/>
    <w:qFormat/>
    <w:rsid w:val="009B3BE6"/>
    <w:pPr>
      <w:keepNext/>
      <w:keepLines/>
      <w:numPr>
        <w:ilvl w:val="8"/>
        <w:numId w:val="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21C20"/>
    <w:pPr>
      <w:numPr>
        <w:numId w:val="27"/>
      </w:numPr>
      <w:tabs>
        <w:tab w:val="center" w:pos="4320"/>
        <w:tab w:val="right" w:pos="8640"/>
      </w:tabs>
      <w:spacing w:before="0" w:after="0" w:line="240" w:lineRule="auto"/>
    </w:pPr>
  </w:style>
  <w:style w:type="character" w:customStyle="1" w:styleId="HeaderChar">
    <w:name w:val="Header Char"/>
    <w:basedOn w:val="DefaultParagraphFont"/>
    <w:link w:val="Header"/>
    <w:uiPriority w:val="99"/>
    <w:rsid w:val="00D21C20"/>
    <w:rPr>
      <w:rFonts w:ascii="Arial" w:hAnsi="Arial"/>
    </w:rPr>
  </w:style>
  <w:style w:type="paragraph" w:styleId="Footer">
    <w:name w:val="footer"/>
    <w:basedOn w:val="Normal"/>
    <w:link w:val="FooterChar"/>
    <w:uiPriority w:val="99"/>
    <w:unhideWhenUsed/>
    <w:rsid w:val="00D21C20"/>
    <w:pPr>
      <w:tabs>
        <w:tab w:val="center" w:pos="4320"/>
        <w:tab w:val="right" w:pos="8640"/>
      </w:tabs>
      <w:spacing w:before="0" w:after="0" w:line="240" w:lineRule="auto"/>
    </w:pPr>
  </w:style>
  <w:style w:type="character" w:customStyle="1" w:styleId="FooterChar">
    <w:name w:val="Footer Char"/>
    <w:basedOn w:val="DefaultParagraphFont"/>
    <w:link w:val="Footer"/>
    <w:uiPriority w:val="99"/>
    <w:rsid w:val="00D21C20"/>
  </w:style>
  <w:style w:type="paragraph" w:styleId="BalloonText">
    <w:name w:val="Balloon Text"/>
    <w:basedOn w:val="Normal"/>
    <w:link w:val="BalloonTextChar"/>
    <w:uiPriority w:val="99"/>
    <w:semiHidden/>
    <w:unhideWhenUsed/>
    <w:rsid w:val="00D21C20"/>
    <w:pPr>
      <w:spacing w:before="0" w:after="0" w:line="240" w:lineRule="auto"/>
    </w:pPr>
    <w:rPr>
      <w:rFonts w:cs="Tahoma"/>
      <w:sz w:val="16"/>
      <w:szCs w:val="16"/>
    </w:rPr>
  </w:style>
  <w:style w:type="character" w:customStyle="1" w:styleId="BalloonTextChar">
    <w:name w:val="Balloon Text Char"/>
    <w:basedOn w:val="DefaultParagraphFont"/>
    <w:link w:val="BalloonText"/>
    <w:uiPriority w:val="99"/>
    <w:semiHidden/>
    <w:rsid w:val="00D21C20"/>
    <w:rPr>
      <w:rFonts w:ascii="Tahoma" w:hAnsi="Tahoma" w:cs="Tahoma"/>
      <w:sz w:val="16"/>
      <w:szCs w:val="16"/>
    </w:rPr>
  </w:style>
  <w:style w:type="table" w:styleId="TableGrid">
    <w:name w:val="Table Grid"/>
    <w:basedOn w:val="TableNormal"/>
    <w:uiPriority w:val="59"/>
    <w:rsid w:val="00D21C20"/>
    <w:pPr>
      <w:spacing w:before="0"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ing1Char">
    <w:name w:val="Heading 1 Char"/>
    <w:basedOn w:val="DefaultParagraphFont"/>
    <w:link w:val="Heading1"/>
    <w:uiPriority w:val="9"/>
    <w:rsid w:val="009A7434"/>
    <w:rPr>
      <w:rFonts w:ascii="Tahoma" w:eastAsiaTheme="majorEastAsia" w:hAnsi="Tahoma" w:cstheme="majorBidi"/>
      <w:b/>
      <w:bCs/>
      <w:smallCaps/>
      <w:color w:val="212745" w:themeColor="text2"/>
      <w:sz w:val="26"/>
      <w:szCs w:val="28"/>
    </w:rPr>
  </w:style>
  <w:style w:type="character" w:customStyle="1" w:styleId="Heading2Char">
    <w:name w:val="Heading 2 Char"/>
    <w:basedOn w:val="DefaultParagraphFont"/>
    <w:link w:val="Heading2"/>
    <w:uiPriority w:val="9"/>
    <w:rsid w:val="009B3BE6"/>
    <w:rPr>
      <w:rFonts w:ascii="Tahoma" w:eastAsiaTheme="majorEastAsia" w:hAnsi="Tahoma" w:cstheme="majorBidi"/>
      <w:b/>
      <w:bCs/>
      <w:color w:val="212745" w:themeColor="text2"/>
      <w:sz w:val="24"/>
      <w:szCs w:val="26"/>
    </w:rPr>
  </w:style>
  <w:style w:type="paragraph" w:styleId="Title">
    <w:name w:val="Title"/>
    <w:basedOn w:val="Normal"/>
    <w:next w:val="Normal"/>
    <w:link w:val="TitleChar"/>
    <w:uiPriority w:val="10"/>
    <w:qFormat/>
    <w:rsid w:val="00A822F2"/>
    <w:pPr>
      <w:spacing w:before="0" w:after="300" w:line="240" w:lineRule="auto"/>
      <w:contextualSpacing/>
      <w:jc w:val="left"/>
    </w:pPr>
    <w:rPr>
      <w:rFonts w:eastAsiaTheme="majorEastAsia" w:cstheme="majorBidi"/>
      <w:color w:val="212745" w:themeColor="text2"/>
      <w:spacing w:val="5"/>
      <w:kern w:val="28"/>
      <w:sz w:val="40"/>
      <w:szCs w:val="52"/>
    </w:rPr>
  </w:style>
  <w:style w:type="character" w:customStyle="1" w:styleId="TitleChar">
    <w:name w:val="Title Char"/>
    <w:basedOn w:val="DefaultParagraphFont"/>
    <w:link w:val="Title"/>
    <w:uiPriority w:val="10"/>
    <w:rsid w:val="00A822F2"/>
    <w:rPr>
      <w:rFonts w:ascii="Tahoma" w:eastAsiaTheme="majorEastAsia" w:hAnsi="Tahoma" w:cstheme="majorBidi"/>
      <w:color w:val="212745" w:themeColor="text2"/>
      <w:spacing w:val="5"/>
      <w:kern w:val="28"/>
      <w:sz w:val="40"/>
      <w:szCs w:val="52"/>
    </w:rPr>
  </w:style>
  <w:style w:type="paragraph" w:styleId="Subtitle">
    <w:name w:val="Subtitle"/>
    <w:basedOn w:val="Normal"/>
    <w:next w:val="Normal"/>
    <w:link w:val="SubtitleChar"/>
    <w:uiPriority w:val="11"/>
    <w:qFormat/>
    <w:rsid w:val="00A61E11"/>
    <w:pPr>
      <w:numPr>
        <w:ilvl w:val="1"/>
      </w:numPr>
      <w:jc w:val="left"/>
    </w:pPr>
    <w:rPr>
      <w:rFonts w:eastAsiaTheme="majorEastAsia" w:cstheme="majorBidi"/>
      <w:i/>
      <w:iCs/>
      <w:color w:val="212745" w:themeColor="text2"/>
      <w:spacing w:val="15"/>
      <w:sz w:val="28"/>
      <w:szCs w:val="24"/>
    </w:rPr>
  </w:style>
  <w:style w:type="character" w:customStyle="1" w:styleId="SubtitleChar">
    <w:name w:val="Subtitle Char"/>
    <w:basedOn w:val="DefaultParagraphFont"/>
    <w:link w:val="Subtitle"/>
    <w:uiPriority w:val="11"/>
    <w:rsid w:val="00A61E11"/>
    <w:rPr>
      <w:rFonts w:ascii="Tahoma" w:eastAsiaTheme="majorEastAsia" w:hAnsi="Tahoma" w:cstheme="majorBidi"/>
      <w:i/>
      <w:iCs/>
      <w:color w:val="212745" w:themeColor="text2"/>
      <w:spacing w:val="15"/>
      <w:sz w:val="28"/>
      <w:szCs w:val="24"/>
    </w:rPr>
  </w:style>
  <w:style w:type="character" w:customStyle="1" w:styleId="Heading3Char">
    <w:name w:val="Heading 3 Char"/>
    <w:basedOn w:val="DefaultParagraphFont"/>
    <w:link w:val="Heading3"/>
    <w:uiPriority w:val="9"/>
    <w:rsid w:val="00C25F91"/>
    <w:rPr>
      <w:rFonts w:ascii="Tahoma" w:eastAsiaTheme="majorEastAsia" w:hAnsi="Tahoma" w:cstheme="majorBidi"/>
      <w:b/>
      <w:bCs/>
      <w:color w:val="212745" w:themeColor="text2"/>
    </w:rPr>
  </w:style>
  <w:style w:type="character" w:customStyle="1" w:styleId="Heading4Char">
    <w:name w:val="Heading 4 Char"/>
    <w:basedOn w:val="DefaultParagraphFont"/>
    <w:link w:val="Heading4"/>
    <w:uiPriority w:val="9"/>
    <w:rsid w:val="00C25F91"/>
    <w:rPr>
      <w:rFonts w:ascii="Tahoma" w:eastAsiaTheme="majorEastAsia" w:hAnsi="Tahoma" w:cstheme="majorBidi"/>
      <w:bCs/>
      <w:i/>
      <w:iCs/>
      <w:color w:val="212745" w:themeColor="text2"/>
    </w:rPr>
  </w:style>
  <w:style w:type="character" w:customStyle="1" w:styleId="Heading5Char">
    <w:name w:val="Heading 5 Char"/>
    <w:basedOn w:val="DefaultParagraphFont"/>
    <w:link w:val="Heading5"/>
    <w:uiPriority w:val="9"/>
    <w:semiHidden/>
    <w:rsid w:val="009B3BE6"/>
    <w:rPr>
      <w:rFonts w:asciiTheme="majorHAnsi" w:eastAsiaTheme="majorEastAsia" w:hAnsiTheme="majorHAnsi" w:cstheme="majorBidi"/>
      <w:color w:val="202F69" w:themeColor="accent1" w:themeShade="7F"/>
    </w:rPr>
  </w:style>
  <w:style w:type="character" w:customStyle="1" w:styleId="Heading6Char">
    <w:name w:val="Heading 6 Char"/>
    <w:basedOn w:val="DefaultParagraphFont"/>
    <w:link w:val="Heading6"/>
    <w:uiPriority w:val="9"/>
    <w:semiHidden/>
    <w:rsid w:val="009B3BE6"/>
    <w:rPr>
      <w:rFonts w:asciiTheme="majorHAnsi" w:eastAsiaTheme="majorEastAsia" w:hAnsiTheme="majorHAnsi" w:cstheme="majorBidi"/>
      <w:i/>
      <w:iCs/>
      <w:color w:val="202F69" w:themeColor="accent1" w:themeShade="7F"/>
    </w:rPr>
  </w:style>
  <w:style w:type="character" w:customStyle="1" w:styleId="Heading7Char">
    <w:name w:val="Heading 7 Char"/>
    <w:basedOn w:val="DefaultParagraphFont"/>
    <w:link w:val="Heading7"/>
    <w:uiPriority w:val="9"/>
    <w:semiHidden/>
    <w:rsid w:val="009B3BE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9B3BE6"/>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9B3BE6"/>
    <w:rPr>
      <w:rFonts w:asciiTheme="majorHAnsi" w:eastAsiaTheme="majorEastAsia" w:hAnsiTheme="majorHAnsi" w:cstheme="majorBidi"/>
      <w:i/>
      <w:iCs/>
      <w:color w:val="404040" w:themeColor="text1" w:themeTint="BF"/>
      <w:sz w:val="20"/>
      <w:szCs w:val="20"/>
    </w:rPr>
  </w:style>
  <w:style w:type="character" w:styleId="Strong">
    <w:name w:val="Strong"/>
    <w:basedOn w:val="DefaultParagraphFont"/>
    <w:qFormat/>
    <w:rsid w:val="00E75D02"/>
    <w:rPr>
      <w:rFonts w:ascii="Arial" w:hAnsi="Arial"/>
      <w:b/>
      <w:bCs/>
      <w:sz w:val="22"/>
    </w:rPr>
  </w:style>
  <w:style w:type="paragraph" w:styleId="ListBullet2">
    <w:name w:val="List Bullet 2"/>
    <w:basedOn w:val="Normal"/>
    <w:uiPriority w:val="99"/>
    <w:unhideWhenUsed/>
    <w:rsid w:val="009B3BE6"/>
    <w:pPr>
      <w:numPr>
        <w:numId w:val="3"/>
      </w:numPr>
      <w:spacing w:before="240" w:after="240"/>
      <w:contextualSpacing/>
    </w:pPr>
    <w:rPr>
      <w:rFonts w:eastAsia="Calibri" w:cs="Times New Roman"/>
      <w:lang w:val="en-GB"/>
    </w:rPr>
  </w:style>
  <w:style w:type="character" w:styleId="Emphasis">
    <w:name w:val="Emphasis"/>
    <w:basedOn w:val="DefaultParagraphFont"/>
    <w:uiPriority w:val="20"/>
    <w:qFormat/>
    <w:rsid w:val="009B3BE6"/>
    <w:rPr>
      <w:i/>
      <w:iCs/>
    </w:rPr>
  </w:style>
  <w:style w:type="character" w:styleId="Hyperlink">
    <w:name w:val="Hyperlink"/>
    <w:basedOn w:val="DefaultParagraphFont"/>
    <w:uiPriority w:val="99"/>
    <w:unhideWhenUsed/>
    <w:rsid w:val="009B3BE6"/>
    <w:rPr>
      <w:color w:val="0000FF"/>
      <w:u w:val="single"/>
    </w:rPr>
  </w:style>
  <w:style w:type="paragraph" w:styleId="Bibliography">
    <w:name w:val="Bibliography"/>
    <w:basedOn w:val="Normal"/>
    <w:next w:val="Normal"/>
    <w:uiPriority w:val="37"/>
    <w:unhideWhenUsed/>
    <w:rsid w:val="00EF1990"/>
    <w:pPr>
      <w:numPr>
        <w:numId w:val="13"/>
      </w:numPr>
      <w:ind w:left="0" w:firstLine="0"/>
    </w:pPr>
    <w:rPr>
      <w:rFonts w:eastAsia="Calibri" w:cs="Times New Roman"/>
      <w:lang w:val="en-GB"/>
    </w:rPr>
  </w:style>
  <w:style w:type="paragraph" w:styleId="Caption">
    <w:name w:val="caption"/>
    <w:basedOn w:val="Normal"/>
    <w:next w:val="Normal"/>
    <w:uiPriority w:val="35"/>
    <w:qFormat/>
    <w:rsid w:val="009B3BE6"/>
    <w:pPr>
      <w:spacing w:before="240" w:after="240"/>
      <w:jc w:val="center"/>
    </w:pPr>
    <w:rPr>
      <w:rFonts w:eastAsia="Calibri" w:cs="Times New Roman"/>
      <w:b/>
      <w:bCs/>
      <w:color w:val="212745" w:themeColor="text2"/>
      <w:sz w:val="20"/>
      <w:szCs w:val="20"/>
      <w:lang w:val="en-GB"/>
    </w:rPr>
  </w:style>
  <w:style w:type="paragraph" w:styleId="TableofFigures">
    <w:name w:val="table of figures"/>
    <w:basedOn w:val="Normal"/>
    <w:next w:val="Normal"/>
    <w:uiPriority w:val="99"/>
    <w:unhideWhenUsed/>
    <w:rsid w:val="00C25F91"/>
    <w:pPr>
      <w:spacing w:before="240" w:after="240"/>
    </w:pPr>
    <w:rPr>
      <w:rFonts w:eastAsia="Calibri" w:cs="Times New Roman"/>
      <w:lang w:val="en-GB"/>
    </w:rPr>
  </w:style>
  <w:style w:type="paragraph" w:styleId="FootnoteText">
    <w:name w:val="footnote text"/>
    <w:basedOn w:val="Normal"/>
    <w:link w:val="FootnoteTextChar"/>
    <w:uiPriority w:val="99"/>
    <w:semiHidden/>
    <w:unhideWhenUsed/>
    <w:rsid w:val="00C60499"/>
    <w:pPr>
      <w:spacing w:before="0" w:after="0" w:line="240" w:lineRule="auto"/>
    </w:pPr>
    <w:rPr>
      <w:sz w:val="20"/>
      <w:szCs w:val="20"/>
    </w:rPr>
  </w:style>
  <w:style w:type="character" w:customStyle="1" w:styleId="FootnoteTextChar">
    <w:name w:val="Footnote Text Char"/>
    <w:basedOn w:val="DefaultParagraphFont"/>
    <w:link w:val="FootnoteText"/>
    <w:uiPriority w:val="99"/>
    <w:semiHidden/>
    <w:rsid w:val="00C60499"/>
    <w:rPr>
      <w:rFonts w:ascii="Tahoma" w:hAnsi="Tahoma"/>
      <w:sz w:val="20"/>
      <w:szCs w:val="20"/>
    </w:rPr>
  </w:style>
  <w:style w:type="character" w:styleId="FootnoteReference">
    <w:name w:val="footnote reference"/>
    <w:aliases w:val="Footnote symbol,Footnote"/>
    <w:basedOn w:val="DefaultParagraphFont"/>
    <w:uiPriority w:val="99"/>
    <w:semiHidden/>
    <w:unhideWhenUsed/>
    <w:rsid w:val="00C60499"/>
    <w:rPr>
      <w:vertAlign w:val="superscript"/>
    </w:rPr>
  </w:style>
  <w:style w:type="paragraph" w:styleId="TOCHeading">
    <w:name w:val="TOC Heading"/>
    <w:basedOn w:val="Heading1"/>
    <w:next w:val="Normal"/>
    <w:uiPriority w:val="39"/>
    <w:semiHidden/>
    <w:unhideWhenUsed/>
    <w:qFormat/>
    <w:rsid w:val="00976AF8"/>
    <w:pPr>
      <w:numPr>
        <w:numId w:val="0"/>
      </w:numPr>
      <w:spacing w:before="480" w:after="0" w:line="276" w:lineRule="auto"/>
      <w:jc w:val="left"/>
      <w:outlineLvl w:val="9"/>
    </w:pPr>
    <w:rPr>
      <w:rFonts w:asciiTheme="majorHAnsi" w:hAnsiTheme="majorHAnsi"/>
      <w:smallCaps w:val="0"/>
      <w:color w:val="31479E" w:themeColor="accent1" w:themeShade="BF"/>
      <w:sz w:val="28"/>
    </w:rPr>
  </w:style>
  <w:style w:type="paragraph" w:styleId="TOC1">
    <w:name w:val="toc 1"/>
    <w:basedOn w:val="Normal"/>
    <w:next w:val="Normal"/>
    <w:autoRedefine/>
    <w:uiPriority w:val="39"/>
    <w:unhideWhenUsed/>
    <w:rsid w:val="00E01D64"/>
    <w:pPr>
      <w:tabs>
        <w:tab w:val="left" w:pos="284"/>
        <w:tab w:val="right" w:leader="dot" w:pos="8495"/>
      </w:tabs>
      <w:spacing w:before="0" w:after="0"/>
    </w:pPr>
  </w:style>
  <w:style w:type="paragraph" w:styleId="TOC2">
    <w:name w:val="toc 2"/>
    <w:basedOn w:val="Normal"/>
    <w:next w:val="Normal"/>
    <w:autoRedefine/>
    <w:uiPriority w:val="39"/>
    <w:unhideWhenUsed/>
    <w:rsid w:val="001424AA"/>
    <w:pPr>
      <w:tabs>
        <w:tab w:val="left" w:pos="709"/>
        <w:tab w:val="right" w:leader="dot" w:pos="8495"/>
      </w:tabs>
      <w:spacing w:before="0" w:after="0"/>
      <w:ind w:left="284"/>
    </w:pPr>
  </w:style>
  <w:style w:type="paragraph" w:styleId="TOC3">
    <w:name w:val="toc 3"/>
    <w:basedOn w:val="Normal"/>
    <w:next w:val="Normal"/>
    <w:autoRedefine/>
    <w:uiPriority w:val="39"/>
    <w:unhideWhenUsed/>
    <w:rsid w:val="001424AA"/>
    <w:pPr>
      <w:tabs>
        <w:tab w:val="left" w:pos="1134"/>
        <w:tab w:val="right" w:leader="dot" w:pos="8495"/>
      </w:tabs>
      <w:spacing w:before="0" w:after="0"/>
      <w:ind w:left="567"/>
    </w:pPr>
  </w:style>
  <w:style w:type="paragraph" w:styleId="ListNumber2">
    <w:name w:val="List Number 2"/>
    <w:basedOn w:val="Normal"/>
    <w:uiPriority w:val="99"/>
    <w:unhideWhenUsed/>
    <w:rsid w:val="00B07E2F"/>
    <w:pPr>
      <w:numPr>
        <w:numId w:val="9"/>
      </w:numPr>
      <w:contextualSpacing/>
    </w:pPr>
  </w:style>
  <w:style w:type="character" w:styleId="IntenseEmphasis">
    <w:name w:val="Intense Emphasis"/>
    <w:basedOn w:val="DefaultParagraphFont"/>
    <w:uiPriority w:val="21"/>
    <w:qFormat/>
    <w:rsid w:val="00E75D02"/>
    <w:rPr>
      <w:rFonts w:ascii="Arial" w:hAnsi="Arial" w:hint="default"/>
      <w:b/>
      <w:bCs/>
      <w:i/>
      <w:iCs/>
      <w:color w:val="31479E" w:themeColor="accent1" w:themeShade="BF"/>
      <w:sz w:val="22"/>
    </w:rPr>
  </w:style>
  <w:style w:type="table" w:customStyle="1" w:styleId="TableGrid1">
    <w:name w:val="Table Grid1"/>
    <w:basedOn w:val="TableNormal"/>
    <w:next w:val="TableGrid"/>
    <w:uiPriority w:val="59"/>
    <w:qFormat/>
    <w:rsid w:val="00D75928"/>
    <w:pPr>
      <w:spacing w:after="0" w:line="240" w:lineRule="auto"/>
      <w:jc w:val="both"/>
    </w:pPr>
    <w:rPr>
      <w:rFonts w:ascii="Arial" w:eastAsia="Arial" w:hAnsi="Arial" w:cs="Arial"/>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2B0F43"/>
    <w:pPr>
      <w:ind w:left="720"/>
      <w:contextualSpacing/>
    </w:pPr>
  </w:style>
  <w:style w:type="character" w:styleId="CommentReference">
    <w:name w:val="annotation reference"/>
    <w:basedOn w:val="DefaultParagraphFont"/>
    <w:uiPriority w:val="99"/>
    <w:semiHidden/>
    <w:unhideWhenUsed/>
    <w:rsid w:val="001863A0"/>
    <w:rPr>
      <w:sz w:val="16"/>
      <w:szCs w:val="16"/>
    </w:rPr>
  </w:style>
  <w:style w:type="paragraph" w:styleId="CommentText">
    <w:name w:val="annotation text"/>
    <w:basedOn w:val="Normal"/>
    <w:link w:val="CommentTextChar"/>
    <w:uiPriority w:val="99"/>
    <w:semiHidden/>
    <w:unhideWhenUsed/>
    <w:rsid w:val="001863A0"/>
    <w:pPr>
      <w:spacing w:line="240" w:lineRule="auto"/>
    </w:pPr>
    <w:rPr>
      <w:sz w:val="20"/>
      <w:szCs w:val="20"/>
    </w:rPr>
  </w:style>
  <w:style w:type="character" w:customStyle="1" w:styleId="CommentTextChar">
    <w:name w:val="Comment Text Char"/>
    <w:basedOn w:val="DefaultParagraphFont"/>
    <w:link w:val="CommentText"/>
    <w:uiPriority w:val="99"/>
    <w:semiHidden/>
    <w:rsid w:val="001863A0"/>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1863A0"/>
    <w:rPr>
      <w:b/>
      <w:bCs/>
    </w:rPr>
  </w:style>
  <w:style w:type="character" w:customStyle="1" w:styleId="CommentSubjectChar">
    <w:name w:val="Comment Subject Char"/>
    <w:basedOn w:val="CommentTextChar"/>
    <w:link w:val="CommentSubject"/>
    <w:uiPriority w:val="99"/>
    <w:semiHidden/>
    <w:rsid w:val="001863A0"/>
    <w:rPr>
      <w:rFonts w:ascii="Arial" w:hAnsi="Arial"/>
      <w:b/>
      <w:bCs/>
      <w:sz w:val="20"/>
      <w:szCs w:val="20"/>
    </w:rPr>
  </w:style>
  <w:style w:type="paragraph" w:styleId="Revision">
    <w:name w:val="Revision"/>
    <w:hidden/>
    <w:uiPriority w:val="99"/>
    <w:semiHidden/>
    <w:rsid w:val="001D723C"/>
    <w:pPr>
      <w:spacing w:before="0" w:after="0" w:line="240" w:lineRule="auto"/>
    </w:pPr>
    <w:rPr>
      <w:rFonts w:ascii="Arial" w:hAnsi="Arial"/>
    </w:rPr>
  </w:style>
  <w:style w:type="paragraph" w:customStyle="1" w:styleId="MAIL1">
    <w:name w:val="MAIL 1"/>
    <w:basedOn w:val="Heading1"/>
    <w:next w:val="Normal"/>
    <w:link w:val="MAIL1Char"/>
    <w:qFormat/>
    <w:rsid w:val="00E97800"/>
    <w:rPr>
      <w:lang w:val="en-GB"/>
    </w:rPr>
  </w:style>
  <w:style w:type="paragraph" w:customStyle="1" w:styleId="MAIL2">
    <w:name w:val="MAIL 2"/>
    <w:basedOn w:val="Heading2"/>
    <w:next w:val="Normal"/>
    <w:link w:val="MAIL2Char"/>
    <w:qFormat/>
    <w:rsid w:val="008E2B62"/>
  </w:style>
  <w:style w:type="character" w:customStyle="1" w:styleId="MAIL1Char">
    <w:name w:val="MAIL 1 Char"/>
    <w:basedOn w:val="Heading1Char"/>
    <w:link w:val="MAIL1"/>
    <w:rsid w:val="00E97800"/>
    <w:rPr>
      <w:rFonts w:ascii="Arial" w:eastAsiaTheme="majorEastAsia" w:hAnsi="Arial" w:cstheme="majorBidi"/>
      <w:b/>
      <w:bCs/>
      <w:smallCaps/>
      <w:color w:val="212745" w:themeColor="text2"/>
      <w:sz w:val="26"/>
      <w:szCs w:val="28"/>
      <w:lang w:val="en-GB"/>
    </w:rPr>
  </w:style>
  <w:style w:type="paragraph" w:customStyle="1" w:styleId="MAIL3">
    <w:name w:val="MAIL 3"/>
    <w:basedOn w:val="Heading3"/>
    <w:next w:val="Normal"/>
    <w:link w:val="MAIL3Char"/>
    <w:qFormat/>
    <w:rsid w:val="008E2B62"/>
    <w:rPr>
      <w:lang w:val="en-GB"/>
    </w:rPr>
  </w:style>
  <w:style w:type="character" w:customStyle="1" w:styleId="MAIL2Char">
    <w:name w:val="MAIL 2 Char"/>
    <w:basedOn w:val="Heading2Char"/>
    <w:link w:val="MAIL2"/>
    <w:rsid w:val="008E2B62"/>
    <w:rPr>
      <w:rFonts w:ascii="Arial" w:eastAsiaTheme="majorEastAsia" w:hAnsi="Arial" w:cstheme="majorBidi"/>
      <w:b/>
      <w:bCs/>
      <w:color w:val="212745" w:themeColor="text2"/>
      <w:sz w:val="24"/>
      <w:szCs w:val="26"/>
    </w:rPr>
  </w:style>
  <w:style w:type="character" w:styleId="PlaceholderText">
    <w:name w:val="Placeholder Text"/>
    <w:basedOn w:val="DefaultParagraphFont"/>
    <w:uiPriority w:val="99"/>
    <w:semiHidden/>
    <w:rsid w:val="006B2C4A"/>
    <w:rPr>
      <w:color w:val="808080"/>
    </w:rPr>
  </w:style>
  <w:style w:type="character" w:customStyle="1" w:styleId="MAIL3Char">
    <w:name w:val="MAIL 3 Char"/>
    <w:basedOn w:val="Heading3Char"/>
    <w:link w:val="MAIL3"/>
    <w:rsid w:val="008E2B62"/>
    <w:rPr>
      <w:rFonts w:ascii="Arial" w:eastAsiaTheme="majorEastAsia" w:hAnsi="Arial" w:cstheme="majorBidi"/>
      <w:b/>
      <w:bCs/>
      <w:color w:val="212745" w:themeColor="text2"/>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7540234">
      <w:bodyDiv w:val="1"/>
      <w:marLeft w:val="0"/>
      <w:marRight w:val="0"/>
      <w:marTop w:val="0"/>
      <w:marBottom w:val="0"/>
      <w:divBdr>
        <w:top w:val="none" w:sz="0" w:space="0" w:color="auto"/>
        <w:left w:val="none" w:sz="0" w:space="0" w:color="auto"/>
        <w:bottom w:val="none" w:sz="0" w:space="0" w:color="auto"/>
        <w:right w:val="none" w:sz="0" w:space="0" w:color="auto"/>
      </w:divBdr>
    </w:div>
    <w:div w:id="445663303">
      <w:bodyDiv w:val="1"/>
      <w:marLeft w:val="0"/>
      <w:marRight w:val="0"/>
      <w:marTop w:val="0"/>
      <w:marBottom w:val="0"/>
      <w:divBdr>
        <w:top w:val="none" w:sz="0" w:space="0" w:color="auto"/>
        <w:left w:val="none" w:sz="0" w:space="0" w:color="auto"/>
        <w:bottom w:val="none" w:sz="0" w:space="0" w:color="auto"/>
        <w:right w:val="none" w:sz="0" w:space="0" w:color="auto"/>
      </w:divBdr>
    </w:div>
    <w:div w:id="1082802905">
      <w:bodyDiv w:val="1"/>
      <w:marLeft w:val="0"/>
      <w:marRight w:val="0"/>
      <w:marTop w:val="0"/>
      <w:marBottom w:val="0"/>
      <w:divBdr>
        <w:top w:val="none" w:sz="0" w:space="0" w:color="auto"/>
        <w:left w:val="none" w:sz="0" w:space="0" w:color="auto"/>
        <w:bottom w:val="none" w:sz="0" w:space="0" w:color="auto"/>
        <w:right w:val="none" w:sz="0" w:space="0" w:color="auto"/>
      </w:divBdr>
    </w:div>
    <w:div w:id="1320578849">
      <w:bodyDiv w:val="1"/>
      <w:marLeft w:val="0"/>
      <w:marRight w:val="0"/>
      <w:marTop w:val="0"/>
      <w:marBottom w:val="0"/>
      <w:divBdr>
        <w:top w:val="none" w:sz="0" w:space="0" w:color="auto"/>
        <w:left w:val="none" w:sz="0" w:space="0" w:color="auto"/>
        <w:bottom w:val="none" w:sz="0" w:space="0" w:color="auto"/>
        <w:right w:val="none" w:sz="0" w:space="0" w:color="auto"/>
      </w:divBdr>
    </w:div>
    <w:div w:id="1537085653">
      <w:bodyDiv w:val="1"/>
      <w:marLeft w:val="0"/>
      <w:marRight w:val="0"/>
      <w:marTop w:val="0"/>
      <w:marBottom w:val="0"/>
      <w:divBdr>
        <w:top w:val="none" w:sz="0" w:space="0" w:color="auto"/>
        <w:left w:val="none" w:sz="0" w:space="0" w:color="auto"/>
        <w:bottom w:val="none" w:sz="0" w:space="0" w:color="auto"/>
        <w:right w:val="none" w:sz="0" w:space="0" w:color="auto"/>
      </w:divBdr>
    </w:div>
    <w:div w:id="2073191253">
      <w:bodyDiv w:val="1"/>
      <w:marLeft w:val="0"/>
      <w:marRight w:val="0"/>
      <w:marTop w:val="0"/>
      <w:marBottom w:val="0"/>
      <w:divBdr>
        <w:top w:val="none" w:sz="0" w:space="0" w:color="auto"/>
        <w:left w:val="none" w:sz="0" w:space="0" w:color="auto"/>
        <w:bottom w:val="none" w:sz="0" w:space="0" w:color="auto"/>
        <w:right w:val="none" w:sz="0" w:space="0" w:color="auto"/>
      </w:divBdr>
    </w:div>
    <w:div w:id="21430412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footer" Target="footer2.xml"/><Relationship Id="rId26" Type="http://schemas.openxmlformats.org/officeDocument/2006/relationships/image" Target="media/image17.png"/><Relationship Id="rId3" Type="http://schemas.openxmlformats.org/officeDocument/2006/relationships/styles" Target="styles.xml"/><Relationship Id="rId21" Type="http://schemas.openxmlformats.org/officeDocument/2006/relationships/image" Target="media/image12.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eader" Target="header2.xml"/><Relationship Id="rId25" Type="http://schemas.openxmlformats.org/officeDocument/2006/relationships/image" Target="media/image16.PN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image" Target="media/image11.png"/><Relationship Id="rId29" Type="http://schemas.openxmlformats.org/officeDocument/2006/relationships/image" Target="media/image20.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5.pn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image" Target="media/image14.PNG"/><Relationship Id="rId28" Type="http://schemas.openxmlformats.org/officeDocument/2006/relationships/image" Target="media/image19.png"/><Relationship Id="rId10" Type="http://schemas.openxmlformats.org/officeDocument/2006/relationships/image" Target="media/image3.jpeg"/><Relationship Id="rId19" Type="http://schemas.openxmlformats.org/officeDocument/2006/relationships/image" Target="media/image10.PNG"/><Relationship Id="rId31" Type="http://schemas.openxmlformats.org/officeDocument/2006/relationships/header" Target="head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image" Target="media/image13.png"/><Relationship Id="rId27" Type="http://schemas.openxmlformats.org/officeDocument/2006/relationships/image" Target="media/image18.png"/><Relationship Id="rId30" Type="http://schemas.openxmlformats.org/officeDocument/2006/relationships/image" Target="media/image21.png"/><Relationship Id="rId8"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_rels/header2.xml.rels><?xml version="1.0" encoding="UTF-8" standalone="yes"?>
<Relationships xmlns="http://schemas.openxmlformats.org/package/2006/relationships"><Relationship Id="rId1" Type="http://schemas.openxmlformats.org/officeDocument/2006/relationships/image" Target="media/image9.jpg"/></Relationships>
</file>

<file path=word/_rels/header3.xml.rels><?xml version="1.0" encoding="UTF-8" standalone="yes"?>
<Relationships xmlns="http://schemas.openxmlformats.org/package/2006/relationships"><Relationship Id="rId1" Type="http://schemas.openxmlformats.org/officeDocument/2006/relationships/image" Target="media/image22.png"/></Relationships>
</file>

<file path=word/theme/theme1.xml><?xml version="1.0" encoding="utf-8"?>
<a:theme xmlns:a="http://schemas.openxmlformats.org/drawingml/2006/main" name="Office Theme">
  <a:themeElements>
    <a:clrScheme name="Slipstream">
      <a:dk1>
        <a:sysClr val="windowText" lastClr="000000"/>
      </a:dk1>
      <a:lt1>
        <a:sysClr val="window" lastClr="FFFFFF"/>
      </a:lt1>
      <a:dk2>
        <a:srgbClr val="212745"/>
      </a:dk2>
      <a:lt2>
        <a:srgbClr val="B4DCFA"/>
      </a:lt2>
      <a:accent1>
        <a:srgbClr val="4E67C8"/>
      </a:accent1>
      <a:accent2>
        <a:srgbClr val="5ECCF3"/>
      </a:accent2>
      <a:accent3>
        <a:srgbClr val="A7EA52"/>
      </a:accent3>
      <a:accent4>
        <a:srgbClr val="5DCEAF"/>
      </a:accent4>
      <a:accent5>
        <a:srgbClr val="FF8021"/>
      </a:accent5>
      <a:accent6>
        <a:srgbClr val="F14124"/>
      </a:accent6>
      <a:hlink>
        <a:srgbClr val="56C7AA"/>
      </a:hlink>
      <a:folHlink>
        <a:srgbClr val="59A8D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19ECB6-6EF2-4896-B1B6-FC4CBA3ED3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Pages>
  <Words>30257</Words>
  <Characters>163389</Characters>
  <Application>Microsoft Office Word</Application>
  <DocSecurity>0</DocSecurity>
  <Lines>1361</Lines>
  <Paragraphs>386</Paragraphs>
  <ScaleCrop>false</ScaleCrop>
  <HeadingPairs>
    <vt:vector size="4" baseType="variant">
      <vt:variant>
        <vt:lpstr>Title</vt:lpstr>
      </vt:variant>
      <vt:variant>
        <vt:i4>1</vt:i4>
      </vt:variant>
      <vt:variant>
        <vt:lpstr>Tytuł</vt:lpstr>
      </vt:variant>
      <vt:variant>
        <vt:i4>1</vt:i4>
      </vt:variant>
    </vt:vector>
  </HeadingPairs>
  <TitlesOfParts>
    <vt:vector size="2" baseType="lpstr">
      <vt:lpstr/>
      <vt:lpstr/>
    </vt:vector>
  </TitlesOfParts>
  <Company/>
  <LinksUpToDate>false</LinksUpToDate>
  <CharactersWithSpaces>193260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GeoSpan@outlook.com.gr</dc:creator>
  <cp:keywords/>
  <cp:lastModifiedBy>Charalampos Georgiadis</cp:lastModifiedBy>
  <cp:revision>5</cp:revision>
  <cp:lastPrinted>2021-12-28T09:34:00Z</cp:lastPrinted>
  <dcterms:created xsi:type="dcterms:W3CDTF">2021-12-28T09:34:00Z</dcterms:created>
  <dcterms:modified xsi:type="dcterms:W3CDTF">2021-12-28T10:33:00Z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 11th edition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7th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 6th edition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17th edition (author-date)</vt:lpwstr>
  </property>
  <property fmtid="{D5CDD505-2E9C-101B-9397-08002B2CF9AE}" pid="12" name="Mendeley Recent Style Id 5_1">
    <vt:lpwstr>http://www.zotero.org/styles/harvard-cite-them-right</vt:lpwstr>
  </property>
  <property fmtid="{D5CDD505-2E9C-101B-9397-08002B2CF9AE}" pid="13" name="Mendeley Recent Style Name 5_1">
    <vt:lpwstr>Cite Them Right 10th edition - Harvard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8th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y fmtid="{D5CDD505-2E9C-101B-9397-08002B2CF9AE}" pid="22" name="Mendeley Document_1">
    <vt:lpwstr>True</vt:lpwstr>
  </property>
  <property fmtid="{D5CDD505-2E9C-101B-9397-08002B2CF9AE}" pid="23" name="Mendeley Unique User Id_1">
    <vt:lpwstr>02843d33-4b91-3545-9ebe-8b74abaf6fd4</vt:lpwstr>
  </property>
  <property fmtid="{D5CDD505-2E9C-101B-9397-08002B2CF9AE}" pid="24" name="Mendeley Citation Style_1">
    <vt:lpwstr>http://www.zotero.org/styles/apa</vt:lpwstr>
  </property>
</Properties>
</file>